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s="宋体"/>
          <w:b/>
          <w:color w:val="auto"/>
          <w:szCs w:val="84"/>
          <w:highlight w:val="none"/>
        </w:rPr>
      </w:pPr>
      <w:r>
        <w:rPr>
          <w:rFonts w:hint="eastAsia" w:ascii="宋体" w:hAnsi="宋体" w:cs="宋体"/>
          <w:b/>
          <w:color w:val="auto"/>
          <w:szCs w:val="84"/>
          <w:highlight w:val="none"/>
        </w:rPr>
        <w:t>（服务类公开招标项目）</w:t>
      </w:r>
    </w:p>
    <w:p>
      <w:pPr>
        <w:spacing w:line="360" w:lineRule="auto"/>
        <w:jc w:val="center"/>
        <w:rPr>
          <w:rFonts w:ascii="宋体" w:hAnsi="宋体" w:cs="宋体"/>
          <w:color w:val="auto"/>
          <w:w w:val="80"/>
          <w:sz w:val="52"/>
          <w:szCs w:val="52"/>
          <w:highlight w:val="none"/>
          <w:lang w:bidi="th-TH"/>
        </w:rPr>
      </w:pPr>
    </w:p>
    <w:p>
      <w:pPr>
        <w:pStyle w:val="18"/>
        <w:rPr>
          <w:rFonts w:ascii="宋体" w:hAnsi="宋体" w:cs="宋体"/>
          <w:color w:val="auto"/>
          <w:highlight w:val="none"/>
        </w:rPr>
      </w:pPr>
    </w:p>
    <w:p>
      <w:pPr>
        <w:jc w:val="center"/>
        <w:rPr>
          <w:rFonts w:hint="eastAsia" w:ascii="宋体" w:hAnsi="宋体" w:eastAsia="宋体" w:cs="宋体"/>
          <w:b/>
          <w:color w:val="auto"/>
          <w:sz w:val="52"/>
          <w:szCs w:val="52"/>
          <w:highlight w:val="none"/>
          <w:lang w:eastAsia="zh-CN"/>
        </w:rPr>
      </w:pPr>
      <w:r>
        <w:rPr>
          <w:rFonts w:hint="eastAsia" w:ascii="宋体" w:hAnsi="宋体" w:cs="宋体"/>
          <w:b/>
          <w:color w:val="auto"/>
          <w:sz w:val="52"/>
          <w:szCs w:val="52"/>
          <w:highlight w:val="none"/>
          <w:lang w:eastAsia="zh-CN"/>
        </w:rPr>
        <w:t>浙江省药品信息宣传和发展服务中心</w:t>
      </w:r>
    </w:p>
    <w:p>
      <w:pPr>
        <w:jc w:val="center"/>
        <w:rPr>
          <w:rFonts w:hint="eastAsia" w:ascii="宋体" w:hAnsi="宋体" w:eastAsia="宋体" w:cs="宋体"/>
          <w:b/>
          <w:color w:val="auto"/>
          <w:sz w:val="44"/>
          <w:szCs w:val="44"/>
          <w:highlight w:val="none"/>
          <w:lang w:eastAsia="zh-CN"/>
        </w:rPr>
      </w:pPr>
      <w:r>
        <w:rPr>
          <w:rFonts w:hint="eastAsia" w:ascii="宋体" w:hAnsi="宋体" w:cs="宋体"/>
          <w:b/>
          <w:color w:val="auto"/>
          <w:sz w:val="44"/>
          <w:szCs w:val="44"/>
          <w:highlight w:val="none"/>
          <w:lang w:eastAsia="zh-CN"/>
        </w:rPr>
        <w:t>药品安全智慧监管“黑匣子”（二期）项目</w:t>
      </w:r>
    </w:p>
    <w:p>
      <w:pPr>
        <w:jc w:val="center"/>
        <w:rPr>
          <w:rFonts w:ascii="宋体" w:hAnsi="宋体" w:cs="宋体"/>
          <w:b/>
          <w:color w:val="auto"/>
          <w:szCs w:val="84"/>
          <w:highlight w:val="none"/>
        </w:rPr>
      </w:pPr>
    </w:p>
    <w:p>
      <w:pPr>
        <w:jc w:val="center"/>
        <w:rPr>
          <w:rFonts w:ascii="宋体" w:hAnsi="宋体" w:cs="宋体"/>
          <w:b/>
          <w:color w:val="auto"/>
          <w:szCs w:val="84"/>
          <w:highlight w:val="none"/>
        </w:rPr>
      </w:pPr>
      <w:r>
        <w:rPr>
          <w:rFonts w:hint="eastAsia" w:ascii="宋体" w:hAnsi="宋体" w:cs="宋体"/>
          <w:b/>
          <w:color w:val="auto"/>
          <w:szCs w:val="84"/>
          <w:highlight w:val="none"/>
        </w:rPr>
        <w:t>（电子交易方式）</w:t>
      </w:r>
    </w:p>
    <w:p>
      <w:pPr>
        <w:jc w:val="center"/>
        <w:rPr>
          <w:rFonts w:ascii="宋体" w:hAnsi="宋体" w:cs="宋体"/>
          <w:b/>
          <w:color w:val="auto"/>
          <w:szCs w:val="84"/>
          <w:highlight w:val="none"/>
        </w:rPr>
      </w:pPr>
    </w:p>
    <w:p>
      <w:pPr>
        <w:jc w:val="center"/>
        <w:rPr>
          <w:rFonts w:ascii="宋体" w:hAnsi="宋体" w:cs="宋体"/>
          <w:b/>
          <w:color w:val="auto"/>
          <w:szCs w:val="84"/>
          <w:highlight w:val="none"/>
        </w:rPr>
      </w:pPr>
    </w:p>
    <w:p>
      <w:pPr>
        <w:pStyle w:val="2"/>
        <w:rPr>
          <w:rFonts w:ascii="宋体" w:hAnsi="宋体" w:cs="宋体"/>
          <w:b/>
          <w:color w:val="auto"/>
          <w:szCs w:val="84"/>
          <w:highlight w:val="none"/>
        </w:rPr>
      </w:pPr>
    </w:p>
    <w:p>
      <w:pPr>
        <w:jc w:val="center"/>
        <w:rPr>
          <w:rFonts w:ascii="宋体" w:hAnsi="宋体" w:cs="宋体"/>
          <w:b/>
          <w:color w:val="auto"/>
          <w:szCs w:val="84"/>
          <w:highlight w:val="none"/>
        </w:rPr>
      </w:pPr>
    </w:p>
    <w:p>
      <w:pPr>
        <w:spacing w:line="360" w:lineRule="auto"/>
        <w:jc w:val="center"/>
        <w:rPr>
          <w:rFonts w:ascii="宋体" w:hAnsi="宋体" w:cs="宋体"/>
          <w:b/>
          <w:color w:val="auto"/>
          <w:sz w:val="84"/>
          <w:szCs w:val="84"/>
          <w:highlight w:val="none"/>
        </w:rPr>
      </w:pPr>
      <w:r>
        <w:rPr>
          <w:rFonts w:hint="eastAsia" w:ascii="宋体" w:hAnsi="宋体" w:cs="宋体"/>
          <w:color w:val="auto"/>
          <w:spacing w:val="40"/>
          <w:w w:val="80"/>
          <w:sz w:val="96"/>
          <w:szCs w:val="96"/>
          <w:highlight w:val="none"/>
          <w:lang w:bidi="th-TH"/>
        </w:rPr>
        <w:t>采 购 文 件</w:t>
      </w:r>
    </w:p>
    <w:p>
      <w:pPr>
        <w:jc w:val="center"/>
        <w:rPr>
          <w:rFonts w:ascii="宋体" w:hAnsi="宋体" w:cs="宋体"/>
          <w:b/>
          <w:color w:val="auto"/>
          <w:szCs w:val="84"/>
          <w:highlight w:val="none"/>
        </w:rPr>
      </w:pPr>
    </w:p>
    <w:p>
      <w:pPr>
        <w:pStyle w:val="17"/>
        <w:rPr>
          <w:rFonts w:ascii="宋体" w:hAnsi="宋体" w:cs="宋体"/>
          <w:color w:val="auto"/>
          <w:highlight w:val="none"/>
        </w:rPr>
      </w:pPr>
    </w:p>
    <w:p>
      <w:pPr>
        <w:spacing w:line="360" w:lineRule="auto"/>
        <w:jc w:val="center"/>
        <w:rPr>
          <w:rFonts w:hint="eastAsia" w:ascii="宋体" w:hAnsi="宋体" w:eastAsia="宋体" w:cs="宋体"/>
          <w:b/>
          <w:bCs/>
          <w:color w:val="auto"/>
          <w:w w:val="80"/>
          <w:sz w:val="36"/>
          <w:szCs w:val="36"/>
          <w:highlight w:val="none"/>
          <w:lang w:eastAsia="zh-CN" w:bidi="th-TH"/>
        </w:rPr>
      </w:pPr>
      <w:r>
        <w:rPr>
          <w:rFonts w:hint="eastAsia" w:ascii="宋体" w:hAnsi="宋体" w:cs="宋体"/>
          <w:b/>
          <w:bCs/>
          <w:color w:val="auto"/>
          <w:w w:val="80"/>
          <w:sz w:val="36"/>
          <w:szCs w:val="36"/>
          <w:highlight w:val="none"/>
          <w:lang w:bidi="th-TH"/>
        </w:rPr>
        <w:t>项目编号：</w:t>
      </w:r>
      <w:r>
        <w:rPr>
          <w:rFonts w:hint="eastAsia" w:ascii="宋体" w:hAnsi="宋体" w:cs="宋体"/>
          <w:b/>
          <w:bCs/>
          <w:color w:val="auto"/>
          <w:w w:val="80"/>
          <w:sz w:val="36"/>
          <w:szCs w:val="36"/>
          <w:highlight w:val="none"/>
          <w:lang w:eastAsia="zh-CN" w:bidi="th-TH"/>
        </w:rPr>
        <w:t>ZJ-2370554-02</w:t>
      </w:r>
    </w:p>
    <w:p>
      <w:pPr>
        <w:pStyle w:val="24"/>
        <w:ind w:left="5250" w:leftChars="0"/>
        <w:rPr>
          <w:rFonts w:ascii="宋体" w:hAnsi="宋体" w:cs="宋体"/>
          <w:color w:val="auto"/>
          <w:szCs w:val="28"/>
          <w:highlight w:val="none"/>
        </w:rPr>
      </w:pPr>
      <w:r>
        <w:rPr>
          <w:rFonts w:hint="eastAsia" w:ascii="宋体" w:hAnsi="宋体" w:cs="宋体"/>
          <w:color w:val="auto"/>
          <w:highlight w:val="none"/>
        </w:rPr>
        <w:t xml:space="preserve">      </w:t>
      </w:r>
    </w:p>
    <w:p>
      <w:pPr>
        <w:rPr>
          <w:rFonts w:ascii="宋体" w:hAnsi="宋体" w:cs="宋体"/>
          <w:b/>
          <w:color w:val="auto"/>
          <w:highlight w:val="none"/>
        </w:rPr>
      </w:pPr>
    </w:p>
    <w:p>
      <w:pPr>
        <w:rPr>
          <w:rFonts w:ascii="宋体" w:hAnsi="宋体" w:cs="宋体"/>
          <w:b/>
          <w:color w:val="auto"/>
          <w:highlight w:val="none"/>
        </w:rPr>
      </w:pPr>
    </w:p>
    <w:p>
      <w:pPr>
        <w:rPr>
          <w:rFonts w:ascii="宋体" w:hAnsi="宋体" w:cs="宋体"/>
          <w:b/>
          <w:color w:val="auto"/>
          <w:highlight w:val="none"/>
        </w:rPr>
      </w:pPr>
    </w:p>
    <w:tbl>
      <w:tblPr>
        <w:tblStyle w:val="37"/>
        <w:tblW w:w="8338" w:type="dxa"/>
        <w:jc w:val="center"/>
        <w:tblLayout w:type="fixed"/>
        <w:tblCellMar>
          <w:top w:w="0" w:type="dxa"/>
          <w:left w:w="108" w:type="dxa"/>
          <w:bottom w:w="0" w:type="dxa"/>
          <w:right w:w="108" w:type="dxa"/>
        </w:tblCellMar>
      </w:tblPr>
      <w:tblGrid>
        <w:gridCol w:w="2255"/>
        <w:gridCol w:w="572"/>
        <w:gridCol w:w="5511"/>
      </w:tblGrid>
      <w:tr>
        <w:tblPrEx>
          <w:tblCellMar>
            <w:top w:w="0" w:type="dxa"/>
            <w:left w:w="108" w:type="dxa"/>
            <w:bottom w:w="0" w:type="dxa"/>
            <w:right w:w="108" w:type="dxa"/>
          </w:tblCellMar>
        </w:tblPrEx>
        <w:trPr>
          <w:trHeight w:val="752" w:hRule="atLeast"/>
          <w:jc w:val="center"/>
        </w:trPr>
        <w:tc>
          <w:tcPr>
            <w:tcW w:w="2255" w:type="dxa"/>
            <w:vAlign w:val="center"/>
          </w:tcPr>
          <w:p>
            <w:pPr>
              <w:snapToGrid w:val="0"/>
              <w:jc w:val="distribute"/>
              <w:rPr>
                <w:rFonts w:ascii="宋体" w:hAnsi="宋体" w:cs="宋体"/>
                <w:color w:val="auto"/>
                <w:sz w:val="30"/>
                <w:szCs w:val="30"/>
                <w:highlight w:val="none"/>
              </w:rPr>
            </w:pPr>
            <w:r>
              <w:rPr>
                <w:rFonts w:hint="eastAsia" w:ascii="宋体" w:hAnsi="宋体" w:cs="宋体"/>
                <w:color w:val="auto"/>
                <w:sz w:val="30"/>
                <w:szCs w:val="30"/>
                <w:highlight w:val="none"/>
              </w:rPr>
              <w:t>采购人</w:t>
            </w:r>
          </w:p>
        </w:tc>
        <w:tc>
          <w:tcPr>
            <w:tcW w:w="572" w:type="dxa"/>
            <w:vAlign w:val="center"/>
          </w:tcPr>
          <w:p>
            <w:pPr>
              <w:snapToGrid w:val="0"/>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5511" w:type="dxa"/>
            <w:vAlign w:val="center"/>
          </w:tcPr>
          <w:p>
            <w:pPr>
              <w:snapToGrid w:val="0"/>
              <w:jc w:val="distribute"/>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lang w:eastAsia="zh-CN"/>
              </w:rPr>
              <w:t>浙江省药品信息宣传和发展服务中心</w:t>
            </w:r>
          </w:p>
        </w:tc>
      </w:tr>
      <w:tr>
        <w:tblPrEx>
          <w:tblCellMar>
            <w:top w:w="0" w:type="dxa"/>
            <w:left w:w="108" w:type="dxa"/>
            <w:bottom w:w="0" w:type="dxa"/>
            <w:right w:w="108" w:type="dxa"/>
          </w:tblCellMar>
        </w:tblPrEx>
        <w:trPr>
          <w:trHeight w:val="287" w:hRule="atLeast"/>
          <w:jc w:val="center"/>
        </w:trPr>
        <w:tc>
          <w:tcPr>
            <w:tcW w:w="2255" w:type="dxa"/>
            <w:vAlign w:val="center"/>
          </w:tcPr>
          <w:p>
            <w:pPr>
              <w:snapToGrid w:val="0"/>
              <w:jc w:val="distribute"/>
              <w:rPr>
                <w:rFonts w:ascii="宋体" w:hAnsi="宋体" w:cs="宋体"/>
                <w:color w:val="auto"/>
                <w:szCs w:val="21"/>
                <w:highlight w:val="none"/>
              </w:rPr>
            </w:pPr>
          </w:p>
        </w:tc>
        <w:tc>
          <w:tcPr>
            <w:tcW w:w="572" w:type="dxa"/>
            <w:vAlign w:val="center"/>
          </w:tcPr>
          <w:p>
            <w:pPr>
              <w:snapToGrid w:val="0"/>
              <w:jc w:val="distribute"/>
              <w:rPr>
                <w:rFonts w:ascii="宋体" w:hAnsi="宋体" w:cs="宋体"/>
                <w:color w:val="auto"/>
                <w:szCs w:val="21"/>
                <w:highlight w:val="none"/>
              </w:rPr>
            </w:pPr>
          </w:p>
        </w:tc>
        <w:tc>
          <w:tcPr>
            <w:tcW w:w="5511" w:type="dxa"/>
            <w:vAlign w:val="center"/>
          </w:tcPr>
          <w:p>
            <w:pPr>
              <w:snapToGrid w:val="0"/>
              <w:jc w:val="distribute"/>
              <w:rPr>
                <w:rFonts w:ascii="宋体" w:hAnsi="宋体" w:cs="宋体"/>
                <w:color w:val="auto"/>
                <w:szCs w:val="21"/>
                <w:highlight w:val="none"/>
              </w:rPr>
            </w:pPr>
          </w:p>
        </w:tc>
      </w:tr>
      <w:tr>
        <w:tblPrEx>
          <w:tblCellMar>
            <w:top w:w="0" w:type="dxa"/>
            <w:left w:w="108" w:type="dxa"/>
            <w:bottom w:w="0" w:type="dxa"/>
            <w:right w:w="108" w:type="dxa"/>
          </w:tblCellMar>
        </w:tblPrEx>
        <w:trPr>
          <w:trHeight w:val="657" w:hRule="atLeast"/>
          <w:jc w:val="center"/>
        </w:trPr>
        <w:tc>
          <w:tcPr>
            <w:tcW w:w="2255" w:type="dxa"/>
            <w:vAlign w:val="center"/>
          </w:tcPr>
          <w:p>
            <w:pPr>
              <w:snapToGrid w:val="0"/>
              <w:jc w:val="distribute"/>
              <w:rPr>
                <w:rFonts w:ascii="宋体" w:hAnsi="宋体" w:cs="宋体"/>
                <w:color w:val="auto"/>
                <w:sz w:val="30"/>
                <w:szCs w:val="30"/>
                <w:highlight w:val="none"/>
              </w:rPr>
            </w:pPr>
            <w:r>
              <w:rPr>
                <w:rFonts w:hint="eastAsia" w:ascii="宋体" w:hAnsi="宋体" w:cs="宋体"/>
                <w:color w:val="auto"/>
                <w:sz w:val="30"/>
                <w:szCs w:val="30"/>
                <w:highlight w:val="none"/>
              </w:rPr>
              <w:t>采购代理机构</w:t>
            </w:r>
          </w:p>
        </w:tc>
        <w:tc>
          <w:tcPr>
            <w:tcW w:w="572" w:type="dxa"/>
            <w:vAlign w:val="center"/>
          </w:tcPr>
          <w:p>
            <w:pPr>
              <w:snapToGrid w:val="0"/>
              <w:jc w:val="distribute"/>
              <w:rPr>
                <w:rFonts w:ascii="宋体" w:hAnsi="宋体" w:cs="宋体"/>
                <w:color w:val="auto"/>
                <w:sz w:val="30"/>
                <w:szCs w:val="30"/>
                <w:highlight w:val="none"/>
              </w:rPr>
            </w:pPr>
            <w:r>
              <w:rPr>
                <w:rFonts w:hint="eastAsia" w:ascii="宋体" w:hAnsi="宋体" w:cs="宋体"/>
                <w:color w:val="auto"/>
                <w:sz w:val="30"/>
                <w:szCs w:val="30"/>
                <w:highlight w:val="none"/>
              </w:rPr>
              <w:t>：</w:t>
            </w:r>
          </w:p>
        </w:tc>
        <w:tc>
          <w:tcPr>
            <w:tcW w:w="5511" w:type="dxa"/>
            <w:vAlign w:val="center"/>
          </w:tcPr>
          <w:p>
            <w:pPr>
              <w:snapToGrid w:val="0"/>
              <w:jc w:val="distribute"/>
              <w:rPr>
                <w:rFonts w:ascii="宋体" w:hAnsi="宋体" w:cs="宋体"/>
                <w:color w:val="auto"/>
                <w:sz w:val="30"/>
                <w:szCs w:val="30"/>
                <w:highlight w:val="none"/>
              </w:rPr>
            </w:pPr>
            <w:r>
              <w:rPr>
                <w:rFonts w:hint="eastAsia" w:ascii="宋体" w:hAnsi="宋体" w:cs="宋体"/>
                <w:color w:val="auto"/>
                <w:sz w:val="30"/>
                <w:szCs w:val="30"/>
                <w:highlight w:val="none"/>
              </w:rPr>
              <w:t>浙江国际招投标有限公司</w:t>
            </w:r>
          </w:p>
        </w:tc>
      </w:tr>
      <w:tr>
        <w:tblPrEx>
          <w:tblCellMar>
            <w:top w:w="0" w:type="dxa"/>
            <w:left w:w="108" w:type="dxa"/>
            <w:bottom w:w="0" w:type="dxa"/>
            <w:right w:w="108" w:type="dxa"/>
          </w:tblCellMar>
        </w:tblPrEx>
        <w:trPr>
          <w:trHeight w:val="657" w:hRule="atLeast"/>
          <w:jc w:val="center"/>
        </w:trPr>
        <w:tc>
          <w:tcPr>
            <w:tcW w:w="8338" w:type="dxa"/>
            <w:gridSpan w:val="3"/>
            <w:vAlign w:val="bottom"/>
          </w:tcPr>
          <w:p>
            <w:pPr>
              <w:snapToGrid w:val="0"/>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lang w:eastAsia="zh-CN"/>
              </w:rPr>
              <w:t>2023年0</w:t>
            </w:r>
            <w:r>
              <w:rPr>
                <w:rFonts w:hint="eastAsia" w:ascii="宋体" w:hAnsi="宋体" w:cs="宋体"/>
                <w:color w:val="auto"/>
                <w:sz w:val="30"/>
                <w:szCs w:val="30"/>
                <w:highlight w:val="none"/>
                <w:lang w:val="en-US" w:eastAsia="zh-CN"/>
              </w:rPr>
              <w:t>8</w:t>
            </w:r>
            <w:r>
              <w:rPr>
                <w:rFonts w:hint="eastAsia" w:ascii="宋体" w:hAnsi="宋体" w:cs="宋体"/>
                <w:color w:val="auto"/>
                <w:sz w:val="30"/>
                <w:szCs w:val="30"/>
                <w:highlight w:val="none"/>
                <w:lang w:eastAsia="zh-CN"/>
              </w:rPr>
              <w:t>月</w:t>
            </w:r>
          </w:p>
        </w:tc>
      </w:tr>
    </w:tbl>
    <w:p>
      <w:pPr>
        <w:widowControl/>
        <w:spacing w:beforeAutospacing="1" w:afterAutospacing="1" w:line="360" w:lineRule="auto"/>
        <w:jc w:val="left"/>
        <w:rPr>
          <w:rFonts w:ascii="宋体" w:hAnsi="宋体" w:cs="宋体"/>
          <w:b/>
          <w:color w:val="auto"/>
          <w:sz w:val="28"/>
          <w:szCs w:val="28"/>
          <w:highlight w:val="none"/>
        </w:rPr>
        <w:sectPr>
          <w:pgSz w:w="11906" w:h="16838"/>
          <w:pgMar w:top="1418" w:right="1588" w:bottom="1418" w:left="1588" w:header="851" w:footer="992" w:gutter="0"/>
          <w:pgNumType w:start="0"/>
          <w:cols w:space="720" w:num="1"/>
          <w:formProt w:val="1"/>
          <w:docGrid w:type="lines" w:linePitch="312" w:charSpace="0"/>
        </w:sectPr>
      </w:pPr>
    </w:p>
    <w:p>
      <w:pPr>
        <w:pStyle w:val="23"/>
        <w:spacing w:line="360" w:lineRule="auto"/>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    录</w:t>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aps w:val="0"/>
          <w:color w:val="auto"/>
          <w:sz w:val="21"/>
          <w:szCs w:val="21"/>
          <w:highlight w:val="none"/>
        </w:rPr>
        <w:fldChar w:fldCharType="begin"/>
      </w:r>
      <w:r>
        <w:rPr>
          <w:rFonts w:hint="eastAsia" w:ascii="宋体" w:hAnsi="宋体" w:eastAsia="宋体" w:cs="宋体"/>
          <w:b/>
          <w:caps w:val="0"/>
          <w:color w:val="auto"/>
          <w:sz w:val="21"/>
          <w:szCs w:val="21"/>
          <w:highlight w:val="none"/>
        </w:rPr>
        <w:instrText xml:space="preserve"> TOC \o "1-2" \u </w:instrText>
      </w:r>
      <w:r>
        <w:rPr>
          <w:rFonts w:hint="eastAsia" w:ascii="宋体" w:hAnsi="宋体" w:eastAsia="宋体" w:cs="宋体"/>
          <w:b/>
          <w:caps w:val="0"/>
          <w:color w:val="auto"/>
          <w:sz w:val="21"/>
          <w:szCs w:val="21"/>
          <w:highlight w:val="none"/>
        </w:rPr>
        <w:fldChar w:fldCharType="separate"/>
      </w:r>
      <w:r>
        <w:rPr>
          <w:rFonts w:hint="eastAsia" w:ascii="宋体" w:hAnsi="宋体" w:eastAsia="宋体" w:cs="宋体"/>
          <w:color w:val="auto"/>
          <w:sz w:val="21"/>
          <w:szCs w:val="21"/>
          <w:highlight w:val="none"/>
        </w:rPr>
        <w:t>第一部分  采购公告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_Toc15262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 附 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_Toc3075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第二部分  投标须知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_Toc2059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一、总则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_Toc10432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二、采购文件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_Toc11669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_Toc26281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四、投标文件的递交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_Toc12133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五、开标与评标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_Toc22843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六、确定中标供应商及授予合同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_Toc28617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第三部分 采购需求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_Toc20315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项目背景</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_Toc26785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二、建设目标及内容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_Toc20433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lang w:eastAsia="zh-Hans"/>
        </w:rPr>
        <w:t>实施要求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_Toc18527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四、其他要求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_Toc18531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五、商务要求表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_Toc16636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第四部分  合同主要条款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_Toc31811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第五部分  评标办法（综合评分法）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_Toc17482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一、总则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_Toc18962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二、评标组织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_Toc31959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三、评标纪律</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_Toc16161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四、评标程序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_Toc13222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 评标细则及标准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_Toc600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六、询标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_Toc13872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77</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七、修改评标结果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_Toc3284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77</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第六部分  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_Toc31889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一、投标文件封面（格式供参考）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_Toc13262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二、资格响应文件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_Toc5742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81</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三、商务技术响应文件部分格式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_Toc17018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88</w:t>
      </w:r>
      <w:r>
        <w:rPr>
          <w:rFonts w:hint="eastAsia" w:ascii="宋体" w:hAnsi="宋体" w:eastAsia="宋体" w:cs="宋体"/>
          <w:color w:val="auto"/>
          <w:sz w:val="21"/>
          <w:szCs w:val="21"/>
          <w:highlight w:val="none"/>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SA"/>
        </w:rPr>
        <w:t>四、报价响应文件部分格式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_Toc15296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104</w:t>
      </w:r>
      <w:r>
        <w:rPr>
          <w:rFonts w:hint="eastAsia" w:ascii="宋体" w:hAnsi="宋体" w:eastAsia="宋体" w:cs="宋体"/>
          <w:color w:val="auto"/>
          <w:sz w:val="21"/>
          <w:szCs w:val="21"/>
          <w:highlight w:val="none"/>
        </w:rPr>
        <w:fldChar w:fldCharType="end"/>
      </w:r>
    </w:p>
    <w:p>
      <w:pPr>
        <w:pStyle w:val="29"/>
        <w:keepNext w:val="0"/>
        <w:keepLines w:val="0"/>
        <w:pageBreakBefore w:val="0"/>
        <w:widowControl w:val="0"/>
        <w:tabs>
          <w:tab w:val="right" w:leader="dot" w:pos="8730"/>
          <w:tab w:val="clear" w:pos="8720"/>
        </w:tabs>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第七部分   其它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_Toc11296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107</w:t>
      </w:r>
      <w:r>
        <w:rPr>
          <w:rFonts w:hint="eastAsia" w:ascii="宋体" w:hAnsi="宋体" w:eastAsia="宋体" w:cs="宋体"/>
          <w:color w:val="auto"/>
          <w:sz w:val="21"/>
          <w:szCs w:val="21"/>
          <w:highlight w:val="none"/>
        </w:rPr>
        <w:fldChar w:fldCharType="end"/>
      </w:r>
    </w:p>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color w:val="auto"/>
          <w:szCs w:val="21"/>
          <w:highlight w:val="none"/>
        </w:rPr>
      </w:pPr>
      <w:r>
        <w:rPr>
          <w:rFonts w:hint="eastAsia" w:ascii="宋体" w:hAnsi="宋体" w:eastAsia="宋体" w:cs="宋体"/>
          <w:color w:val="auto"/>
          <w:sz w:val="21"/>
          <w:szCs w:val="21"/>
          <w:highlight w:val="none"/>
        </w:rPr>
        <w:fldChar w:fldCharType="end"/>
      </w:r>
    </w:p>
    <w:p>
      <w:pPr>
        <w:widowControl/>
        <w:spacing w:beforeAutospacing="1" w:afterAutospacing="1" w:line="360" w:lineRule="auto"/>
        <w:jc w:val="left"/>
        <w:rPr>
          <w:rFonts w:ascii="宋体" w:hAnsi="宋体" w:cs="宋体"/>
          <w:color w:val="auto"/>
          <w:szCs w:val="21"/>
          <w:highlight w:val="none"/>
        </w:rPr>
        <w:sectPr>
          <w:footerReference r:id="rId3" w:type="default"/>
          <w:pgSz w:w="11906" w:h="16838"/>
          <w:pgMar w:top="1418" w:right="1588" w:bottom="1418" w:left="1588" w:header="851" w:footer="992" w:gutter="0"/>
          <w:pgNumType w:start="1"/>
          <w:cols w:space="720" w:num="1"/>
          <w:formProt w:val="1"/>
          <w:docGrid w:type="lines" w:linePitch="312" w:charSpace="0"/>
        </w:sectPr>
      </w:pPr>
    </w:p>
    <w:p>
      <w:pPr>
        <w:adjustRightInd w:val="0"/>
        <w:snapToGrid w:val="0"/>
        <w:spacing w:beforeLines="50" w:afterLines="50" w:line="360" w:lineRule="auto"/>
        <w:jc w:val="center"/>
        <w:outlineLvl w:val="0"/>
        <w:rPr>
          <w:rFonts w:ascii="宋体" w:hAnsi="宋体" w:cs="宋体"/>
          <w:b/>
          <w:color w:val="auto"/>
          <w:sz w:val="30"/>
          <w:szCs w:val="30"/>
          <w:highlight w:val="none"/>
        </w:rPr>
      </w:pPr>
      <w:bookmarkStart w:id="0" w:name="_Toc17274"/>
      <w:bookmarkStart w:id="1" w:name="_Toc21665"/>
      <w:bookmarkStart w:id="2" w:name="_Toc7128"/>
      <w:bookmarkStart w:id="3" w:name="_Toc15262"/>
      <w:bookmarkStart w:id="4" w:name="_Toc9264"/>
      <w:bookmarkStart w:id="5" w:name="_Toc35"/>
      <w:r>
        <w:rPr>
          <w:rFonts w:hint="eastAsia" w:ascii="宋体" w:hAnsi="宋体" w:cs="宋体"/>
          <w:b/>
          <w:color w:val="auto"/>
          <w:sz w:val="30"/>
          <w:szCs w:val="30"/>
          <w:highlight w:val="none"/>
        </w:rPr>
        <w:t>第一部分  采购公告</w:t>
      </w:r>
      <w:bookmarkEnd w:id="0"/>
      <w:bookmarkEnd w:id="1"/>
      <w:bookmarkEnd w:id="2"/>
      <w:bookmarkEnd w:id="3"/>
      <w:bookmarkEnd w:id="4"/>
      <w:bookmarkEnd w:id="5"/>
    </w:p>
    <w:tbl>
      <w:tblPr>
        <w:tblStyle w:val="37"/>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8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cs="宋体"/>
                <w:b/>
                <w:bCs/>
                <w:color w:val="auto"/>
                <w:szCs w:val="21"/>
                <w:highlight w:val="none"/>
              </w:rPr>
            </w:pPr>
            <w:bookmarkStart w:id="6" w:name="_Toc185012671"/>
            <w:bookmarkStart w:id="7" w:name="_Toc251189093"/>
            <w:bookmarkStart w:id="8" w:name="_Toc251221438"/>
            <w:r>
              <w:rPr>
                <w:rFonts w:hint="eastAsia" w:ascii="宋体" w:hAnsi="宋体" w:cs="宋体"/>
                <w:b/>
                <w:bCs/>
                <w:color w:val="auto"/>
                <w:szCs w:val="21"/>
                <w:highlight w:val="none"/>
              </w:rPr>
              <w:t>项目概况</w:t>
            </w:r>
          </w:p>
          <w:p>
            <w:pPr>
              <w:widowControl/>
              <w:adjustRightInd w:val="0"/>
              <w:snapToGrid w:val="0"/>
              <w:spacing w:line="360" w:lineRule="auto"/>
              <w:ind w:firstLine="422" w:firstLineChars="200"/>
              <w:rPr>
                <w:rFonts w:ascii="宋体" w:hAnsi="宋体" w:cs="宋体"/>
                <w:color w:val="auto"/>
                <w:szCs w:val="21"/>
                <w:highlight w:val="none"/>
              </w:rPr>
            </w:pPr>
            <w:r>
              <w:rPr>
                <w:rFonts w:hint="eastAsia" w:ascii="宋体" w:hAnsi="宋体" w:cs="宋体"/>
                <w:b/>
                <w:bCs/>
                <w:color w:val="auto"/>
                <w:kern w:val="0"/>
                <w:szCs w:val="21"/>
                <w:highlight w:val="none"/>
                <w:u w:val="single"/>
                <w:lang w:eastAsia="zh-CN"/>
              </w:rPr>
              <w:t>浙江省药品信息宣传和发展服务中心药品安全智慧监管“黑匣子”（二期）项目</w:t>
            </w:r>
            <w:r>
              <w:rPr>
                <w:rFonts w:hint="eastAsia" w:ascii="宋体" w:hAnsi="宋体" w:cs="宋体"/>
                <w:b/>
                <w:bCs/>
                <w:color w:val="auto"/>
                <w:szCs w:val="21"/>
                <w:highlight w:val="none"/>
              </w:rPr>
              <w:t>的潜在投标人应在政府采购云平台</w:t>
            </w:r>
            <w:r>
              <w:rPr>
                <w:rFonts w:hint="eastAsia" w:ascii="宋体" w:hAnsi="宋体" w:cs="宋体"/>
                <w:b/>
                <w:bCs/>
                <w:color w:val="auto"/>
                <w:szCs w:val="21"/>
                <w:highlight w:val="none"/>
                <w:u w:val="single"/>
              </w:rPr>
              <w:t>（https://www.zcygov.cn/）</w:t>
            </w:r>
            <w:r>
              <w:rPr>
                <w:rFonts w:hint="eastAsia" w:ascii="宋体" w:hAnsi="宋体" w:cs="宋体"/>
                <w:b/>
                <w:bCs/>
                <w:color w:val="auto"/>
                <w:szCs w:val="21"/>
                <w:highlight w:val="none"/>
              </w:rPr>
              <w:t>获取（下载）招标文件，并于</w:t>
            </w:r>
            <w:r>
              <w:rPr>
                <w:rFonts w:hint="eastAsia" w:ascii="宋体" w:hAnsi="宋体" w:cs="宋体"/>
                <w:b/>
                <w:bCs/>
                <w:color w:val="auto"/>
                <w:szCs w:val="21"/>
                <w:highlight w:val="none"/>
                <w:u w:val="single"/>
                <w:lang w:eastAsia="zh-CN"/>
              </w:rPr>
              <w:t>2023年09月19日09:00</w:t>
            </w:r>
            <w:r>
              <w:rPr>
                <w:rFonts w:hint="eastAsia" w:ascii="宋体" w:hAnsi="宋体" w:cs="宋体"/>
                <w:b/>
                <w:bCs/>
                <w:color w:val="auto"/>
                <w:szCs w:val="21"/>
                <w:highlight w:val="none"/>
              </w:rPr>
              <w:t>（北京时间）前递交（上传）投标文件。</w:t>
            </w:r>
          </w:p>
        </w:tc>
      </w:tr>
    </w:tbl>
    <w:p>
      <w:pPr>
        <w:widowControl/>
        <w:spacing w:line="360" w:lineRule="auto"/>
        <w:rPr>
          <w:rFonts w:hint="eastAsia" w:ascii="宋体" w:hAnsi="宋体" w:cs="宋体"/>
          <w:b/>
          <w:bCs/>
          <w:color w:val="auto"/>
          <w:kern w:val="0"/>
          <w:szCs w:val="21"/>
          <w:highlight w:val="none"/>
        </w:rPr>
      </w:pPr>
    </w:p>
    <w:p>
      <w:pPr>
        <w:widowControl/>
        <w:spacing w:line="360" w:lineRule="auto"/>
        <w:rPr>
          <w:rFonts w:ascii="宋体" w:hAnsi="宋体" w:cs="宋体"/>
          <w:color w:val="auto"/>
          <w:kern w:val="0"/>
          <w:szCs w:val="21"/>
          <w:highlight w:val="none"/>
        </w:rPr>
      </w:pPr>
      <w:r>
        <w:rPr>
          <w:rFonts w:hint="eastAsia" w:ascii="宋体" w:hAnsi="宋体" w:cs="宋体"/>
          <w:b/>
          <w:bCs/>
          <w:color w:val="auto"/>
          <w:kern w:val="0"/>
          <w:szCs w:val="21"/>
          <w:highlight w:val="none"/>
        </w:rPr>
        <w:t>一、项目基本情况</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lang w:eastAsia="zh-CN"/>
        </w:rPr>
        <w:t>ZJ-2370554-02</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lang w:eastAsia="zh-CN"/>
        </w:rPr>
        <w:t>浙江省药品信息宣传和发展服务中心药品安全智慧监管“黑匣子”（二期）项目</w:t>
      </w:r>
    </w:p>
    <w:p>
      <w:pPr>
        <w:widowControl/>
        <w:adjustRightInd w:val="0"/>
        <w:snapToGrid w:val="0"/>
        <w:spacing w:line="360" w:lineRule="auto"/>
        <w:ind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预算金额（元）：</w:t>
      </w:r>
      <w:r>
        <w:rPr>
          <w:rFonts w:hint="eastAsia" w:ascii="宋体" w:hAnsi="宋体" w:cs="宋体"/>
          <w:color w:val="auto"/>
          <w:kern w:val="0"/>
          <w:szCs w:val="21"/>
          <w:highlight w:val="none"/>
          <w:lang w:val="en-US" w:eastAsia="zh-CN"/>
        </w:rPr>
        <w:t>8060000</w:t>
      </w:r>
    </w:p>
    <w:p>
      <w:pPr>
        <w:widowControl/>
        <w:adjustRightInd w:val="0"/>
        <w:snapToGrid w:val="0"/>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kern w:val="0"/>
          <w:szCs w:val="21"/>
          <w:highlight w:val="none"/>
        </w:rPr>
        <w:t>最高限价（元）：</w:t>
      </w:r>
      <w:r>
        <w:rPr>
          <w:rFonts w:hint="eastAsia" w:ascii="宋体" w:hAnsi="宋体" w:cs="宋体"/>
          <w:color w:val="auto"/>
          <w:kern w:val="0"/>
          <w:szCs w:val="21"/>
          <w:highlight w:val="none"/>
          <w:lang w:val="en-US" w:eastAsia="zh-CN"/>
        </w:rPr>
        <w:t>8060000</w:t>
      </w:r>
    </w:p>
    <w:p>
      <w:pPr>
        <w:widowControl/>
        <w:adjustRightInd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采购需求：</w:t>
      </w:r>
    </w:p>
    <w:p>
      <w:pPr>
        <w:widowControl/>
        <w:adjustRightInd w:val="0"/>
        <w:snapToGrid w:val="0"/>
        <w:spacing w:line="360" w:lineRule="auto"/>
        <w:ind w:firstLine="840" w:firstLineChars="400"/>
        <w:jc w:val="left"/>
        <w:rPr>
          <w:rFonts w:ascii="宋体" w:hAnsi="宋体" w:cs="宋体"/>
          <w:color w:val="auto"/>
          <w:kern w:val="0"/>
          <w:szCs w:val="21"/>
          <w:highlight w:val="none"/>
        </w:rPr>
      </w:pPr>
    </w:p>
    <w:p>
      <w:pPr>
        <w:widowControl/>
        <w:adjustRightInd w:val="0"/>
        <w:snapToGrid w:val="0"/>
        <w:spacing w:line="360" w:lineRule="auto"/>
        <w:ind w:firstLine="420" w:firstLineChars="200"/>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标项一</w:t>
      </w:r>
    </w:p>
    <w:p>
      <w:pPr>
        <w:widowControl/>
        <w:adjustRightInd w:val="0"/>
        <w:snapToGrid w:val="0"/>
        <w:spacing w:line="360" w:lineRule="auto"/>
        <w:ind w:firstLine="420" w:firstLineChars="200"/>
        <w:jc w:val="left"/>
        <w:rPr>
          <w:rStyle w:val="39"/>
          <w:rFonts w:hint="default" w:eastAsia="宋体"/>
          <w:b w:val="0"/>
          <w:color w:val="auto"/>
          <w:highlight w:val="none"/>
          <w:shd w:val="clear" w:color="auto" w:fill="FFFFFF"/>
          <w:lang w:val="en-US" w:eastAsia="zh-CN"/>
        </w:rPr>
      </w:pPr>
      <w:r>
        <w:rPr>
          <w:rFonts w:hint="eastAsia" w:ascii="宋体" w:hAnsi="宋体" w:cs="宋体"/>
          <w:color w:val="auto"/>
          <w:kern w:val="0"/>
          <w:szCs w:val="21"/>
          <w:highlight w:val="none"/>
        </w:rPr>
        <w:t>标项名称：</w:t>
      </w:r>
      <w:r>
        <w:rPr>
          <w:rFonts w:hint="eastAsia" w:ascii="宋体" w:hAnsi="宋体" w:cs="宋体"/>
          <w:color w:val="auto"/>
          <w:kern w:val="0"/>
          <w:szCs w:val="21"/>
          <w:highlight w:val="none"/>
          <w:lang w:eastAsia="zh-CN"/>
        </w:rPr>
        <w:t>浙江省药品信息宣传和发展服务中心药品安全智慧监管“黑匣子”（二期）项目</w:t>
      </w:r>
    </w:p>
    <w:p>
      <w:pPr>
        <w:widowControl/>
        <w:adjustRightInd w:val="0"/>
        <w:snapToGrid w:val="0"/>
        <w:spacing w:line="360" w:lineRule="auto"/>
        <w:ind w:firstLine="420" w:firstLineChars="200"/>
        <w:jc w:val="left"/>
        <w:rPr>
          <w:color w:val="auto"/>
          <w:highlight w:val="none"/>
        </w:rPr>
      </w:pPr>
      <w:r>
        <w:rPr>
          <w:rFonts w:hint="eastAsia" w:ascii="宋体" w:hAnsi="宋体" w:cs="宋体"/>
          <w:color w:val="auto"/>
          <w:kern w:val="0"/>
          <w:szCs w:val="21"/>
          <w:highlight w:val="none"/>
        </w:rPr>
        <w:t>数量：1</w:t>
      </w:r>
    </w:p>
    <w:p>
      <w:pPr>
        <w:widowControl/>
        <w:adjustRightInd w:val="0"/>
        <w:snapToGrid w:val="0"/>
        <w:spacing w:line="360" w:lineRule="auto"/>
        <w:ind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预算金额（元）：</w:t>
      </w:r>
      <w:r>
        <w:rPr>
          <w:rFonts w:hint="eastAsia" w:ascii="宋体" w:hAnsi="宋体" w:cs="宋体"/>
          <w:color w:val="auto"/>
          <w:kern w:val="0"/>
          <w:szCs w:val="21"/>
          <w:highlight w:val="none"/>
          <w:lang w:val="en-US" w:eastAsia="zh-CN"/>
        </w:rPr>
        <w:t>8060000</w:t>
      </w:r>
    </w:p>
    <w:p>
      <w:pPr>
        <w:widowControl/>
        <w:adjustRightInd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简要规格描述或项目基本概况介绍、用途：本</w:t>
      </w:r>
      <w:r>
        <w:rPr>
          <w:rFonts w:hint="eastAsia" w:ascii="宋体" w:hAnsi="宋体" w:cs="宋体"/>
          <w:color w:val="auto"/>
          <w:kern w:val="0"/>
          <w:szCs w:val="21"/>
          <w:highlight w:val="none"/>
          <w:lang w:val="en-US" w:eastAsia="zh-CN"/>
        </w:rPr>
        <w:t>项目内容</w:t>
      </w:r>
      <w:r>
        <w:rPr>
          <w:rFonts w:hint="eastAsia" w:ascii="宋体" w:hAnsi="宋体" w:cs="宋体"/>
          <w:color w:val="auto"/>
          <w:kern w:val="0"/>
          <w:szCs w:val="21"/>
          <w:highlight w:val="none"/>
        </w:rPr>
        <w:t>为</w:t>
      </w:r>
      <w:r>
        <w:rPr>
          <w:rFonts w:hint="eastAsia" w:ascii="宋体" w:hAnsi="宋体" w:cs="宋体"/>
          <w:color w:val="auto"/>
          <w:kern w:val="0"/>
          <w:szCs w:val="21"/>
          <w:highlight w:val="none"/>
          <w:lang w:eastAsia="zh-CN"/>
        </w:rPr>
        <w:t>浙江省药品信息宣传和发展服务中心药品安全智慧监管“黑匣子”（二期）项目</w:t>
      </w:r>
      <w:r>
        <w:rPr>
          <w:rFonts w:hint="eastAsia" w:ascii="宋体" w:hAnsi="宋体" w:cs="宋体"/>
          <w:color w:val="auto"/>
          <w:highlight w:val="none"/>
        </w:rPr>
        <w:t>，具体内容和要求详见采购文件的相关章节。</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备注：</w:t>
      </w:r>
    </w:p>
    <w:p>
      <w:pPr>
        <w:widowControl/>
        <w:spacing w:line="360" w:lineRule="auto"/>
        <w:ind w:firstLine="420" w:firstLineChars="200"/>
        <w:jc w:val="left"/>
        <w:rPr>
          <w:rFonts w:ascii="宋体" w:hAnsi="宋体" w:cs="宋体"/>
          <w:color w:val="auto"/>
          <w:kern w:val="0"/>
          <w:szCs w:val="21"/>
          <w:highlight w:val="none"/>
        </w:rPr>
      </w:pP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合同履行期限：标项1，详见采购文件。</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本项目（是）接受联合体投标。</w:t>
      </w:r>
    </w:p>
    <w:p>
      <w:pPr>
        <w:widowControl/>
        <w:spacing w:line="360" w:lineRule="auto"/>
        <w:rPr>
          <w:rFonts w:ascii="宋体" w:hAnsi="宋体" w:cs="宋体"/>
          <w:color w:val="auto"/>
          <w:kern w:val="0"/>
          <w:szCs w:val="21"/>
          <w:highlight w:val="none"/>
        </w:rPr>
      </w:pPr>
      <w:r>
        <w:rPr>
          <w:rFonts w:hint="eastAsia" w:ascii="宋体" w:hAnsi="宋体" w:cs="宋体"/>
          <w:b/>
          <w:bCs/>
          <w:color w:val="auto"/>
          <w:kern w:val="0"/>
          <w:szCs w:val="21"/>
          <w:highlight w:val="none"/>
        </w:rPr>
        <w:t>二、申请人的资格要求：</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2.落实政府采购政策需满足的资格要求：</w:t>
      </w:r>
      <w:r>
        <w:rPr>
          <w:rFonts w:hint="eastAsia" w:ascii="宋体" w:hAnsi="宋体" w:cs="宋体"/>
          <w:color w:val="auto"/>
          <w:szCs w:val="21"/>
          <w:highlight w:val="none"/>
        </w:rPr>
        <w:t>标项1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供应商为中小企业。</w:t>
      </w:r>
    </w:p>
    <w:p>
      <w:pPr>
        <w:widowControl/>
        <w:spacing w:line="360" w:lineRule="auto"/>
        <w:ind w:firstLine="420" w:firstLineChars="200"/>
        <w:jc w:val="left"/>
        <w:rPr>
          <w:color w:val="auto"/>
          <w:highlight w:val="none"/>
        </w:rPr>
      </w:pPr>
      <w:r>
        <w:rPr>
          <w:rFonts w:hint="eastAsia" w:ascii="宋体" w:hAnsi="宋体" w:cs="宋体"/>
          <w:color w:val="auto"/>
          <w:kern w:val="0"/>
          <w:szCs w:val="21"/>
          <w:highlight w:val="none"/>
        </w:rPr>
        <w:t>3.本项目的特定资格要求：无。</w:t>
      </w:r>
    </w:p>
    <w:p>
      <w:pPr>
        <w:widowControl/>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三、获取招标文件</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时间：</w:t>
      </w:r>
      <w:r>
        <w:rPr>
          <w:rFonts w:hint="eastAsia" w:ascii="宋体" w:hAnsi="宋体" w:cs="宋体"/>
          <w:color w:val="auto"/>
          <w:szCs w:val="21"/>
          <w:highlight w:val="none"/>
        </w:rPr>
        <w:t>/</w:t>
      </w:r>
      <w:r>
        <w:rPr>
          <w:rFonts w:hint="eastAsia" w:ascii="宋体" w:hAnsi="宋体" w:cs="宋体"/>
          <w:color w:val="auto"/>
          <w:kern w:val="0"/>
          <w:szCs w:val="21"/>
          <w:highlight w:val="none"/>
        </w:rPr>
        <w:t>至</w:t>
      </w:r>
      <w:r>
        <w:rPr>
          <w:rFonts w:hint="eastAsia" w:ascii="宋体" w:hAnsi="宋体" w:cs="宋体"/>
          <w:color w:val="auto"/>
          <w:szCs w:val="21"/>
          <w:highlight w:val="none"/>
          <w:lang w:eastAsia="zh-CN"/>
        </w:rPr>
        <w:t>2023年09月19日</w:t>
      </w:r>
      <w:r>
        <w:rPr>
          <w:rFonts w:hint="eastAsia" w:ascii="宋体" w:hAnsi="宋体" w:cs="宋体"/>
          <w:color w:val="auto"/>
          <w:kern w:val="0"/>
          <w:szCs w:val="21"/>
          <w:highlight w:val="none"/>
        </w:rPr>
        <w:t>，每天上午00:00至12:00，下午12:00至23:59（北京时间，线上获取法定节假日均可，线下获取文件法定节假日除外）；</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地点（网址）：政府采购云平台（https://www.zcygov.cn/）；</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方式：供应商登录政采云平台https://www.zcygov.cn/在线申请获取采购文件（进入“项目采购”应用，在获取采购文件菜单中选择项目，申请获取采购文件）；</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售价（元）：0。</w:t>
      </w:r>
    </w:p>
    <w:p>
      <w:pPr>
        <w:widowControl/>
        <w:spacing w:line="360" w:lineRule="auto"/>
        <w:rPr>
          <w:rFonts w:ascii="宋体" w:hAnsi="宋体" w:cs="宋体"/>
          <w:color w:val="auto"/>
          <w:kern w:val="0"/>
          <w:szCs w:val="21"/>
          <w:highlight w:val="none"/>
        </w:rPr>
      </w:pPr>
      <w:r>
        <w:rPr>
          <w:rFonts w:hint="eastAsia" w:ascii="宋体" w:hAnsi="宋体" w:cs="宋体"/>
          <w:b/>
          <w:bCs/>
          <w:color w:val="auto"/>
          <w:kern w:val="0"/>
          <w:szCs w:val="21"/>
          <w:highlight w:val="none"/>
        </w:rPr>
        <w:t>四、提交投标文件截止时间、开标时间和地点</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提交投标文件截止时间：</w:t>
      </w:r>
      <w:r>
        <w:rPr>
          <w:rFonts w:hint="eastAsia" w:ascii="宋体" w:hAnsi="宋体" w:cs="宋体"/>
          <w:color w:val="auto"/>
          <w:kern w:val="0"/>
          <w:szCs w:val="21"/>
          <w:highlight w:val="none"/>
          <w:lang w:eastAsia="zh-CN"/>
        </w:rPr>
        <w:t>2023年09月19日09:00</w:t>
      </w:r>
      <w:r>
        <w:rPr>
          <w:rFonts w:hint="eastAsia" w:ascii="宋体" w:hAnsi="宋体" w:cs="宋体"/>
          <w:color w:val="auto"/>
          <w:kern w:val="0"/>
          <w:szCs w:val="21"/>
          <w:highlight w:val="none"/>
        </w:rPr>
        <w:t>（北京时间）；</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投标地点（网址）：线上（请登录政采云平台上传投标文件）。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开标时间：</w:t>
      </w:r>
      <w:r>
        <w:rPr>
          <w:rFonts w:hint="eastAsia" w:ascii="宋体" w:hAnsi="宋体" w:cs="宋体"/>
          <w:color w:val="auto"/>
          <w:kern w:val="0"/>
          <w:szCs w:val="21"/>
          <w:highlight w:val="none"/>
          <w:lang w:eastAsia="zh-CN"/>
        </w:rPr>
        <w:t>2023年09月19日09:00</w:t>
      </w:r>
      <w:r>
        <w:rPr>
          <w:rFonts w:hint="eastAsia" w:ascii="宋体" w:hAnsi="宋体" w:cs="宋体"/>
          <w:color w:val="auto"/>
          <w:kern w:val="0"/>
          <w:szCs w:val="21"/>
          <w:highlight w:val="none"/>
        </w:rPr>
        <w:t>；</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开标地点（网址）：线上（请登录政采云投标客户端开标大厅）。</w:t>
      </w:r>
    </w:p>
    <w:p>
      <w:pPr>
        <w:widowControl/>
        <w:spacing w:line="360" w:lineRule="auto"/>
        <w:rPr>
          <w:rFonts w:ascii="宋体" w:hAnsi="宋体" w:cs="宋体"/>
          <w:color w:val="auto"/>
          <w:kern w:val="0"/>
          <w:szCs w:val="21"/>
          <w:highlight w:val="none"/>
        </w:rPr>
      </w:pPr>
      <w:r>
        <w:rPr>
          <w:rFonts w:hint="eastAsia" w:ascii="宋体" w:hAnsi="宋体" w:cs="宋体"/>
          <w:b/>
          <w:bCs/>
          <w:color w:val="auto"/>
          <w:kern w:val="0"/>
          <w:szCs w:val="21"/>
          <w:highlight w:val="none"/>
        </w:rPr>
        <w:t>五、公告期限</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widowControl/>
        <w:spacing w:line="360" w:lineRule="auto"/>
        <w:rPr>
          <w:rFonts w:ascii="宋体" w:hAnsi="宋体" w:cs="宋体"/>
          <w:color w:val="auto"/>
          <w:kern w:val="0"/>
          <w:szCs w:val="21"/>
          <w:highlight w:val="none"/>
        </w:rPr>
      </w:pPr>
      <w:r>
        <w:rPr>
          <w:rFonts w:hint="eastAsia" w:ascii="宋体" w:hAnsi="宋体" w:cs="宋体"/>
          <w:b/>
          <w:bCs/>
          <w:color w:val="auto"/>
          <w:kern w:val="0"/>
          <w:szCs w:val="21"/>
          <w:highlight w:val="none"/>
        </w:rPr>
        <w:t>六、其他补充事宜</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4.其他事项：</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4.1按照《浙江省财政厅关于印发浙江省政府采购项电子交易管理暂行办法的通知》规定，本项目采用电子交易方式进行，相关指南或流程说明如下：</w:t>
      </w:r>
    </w:p>
    <w:p>
      <w:pPr>
        <w:pStyle w:val="18"/>
        <w:spacing w:after="0" w:line="360" w:lineRule="auto"/>
        <w:ind w:firstLineChars="200"/>
        <w:rPr>
          <w:color w:val="auto"/>
          <w:highlight w:val="none"/>
        </w:rPr>
      </w:pPr>
      <w:r>
        <w:rPr>
          <w:rFonts w:hint="eastAsia" w:ascii="宋体" w:hAnsi="宋体" w:cs="宋体"/>
          <w:color w:val="auto"/>
          <w:kern w:val="0"/>
          <w:szCs w:val="21"/>
          <w:highlight w:val="none"/>
        </w:rPr>
        <w:t>4.1.1供应商注册：供应商应按照《浙江省政府采购供应商注册及诚信管理暂行办法》（浙财采监字［2009］28号）的相关规定，在投标截止前及时办理更新或供应商注册事项。</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4.1.2电子交易流程介绍：</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①电子招投标：本项目以数据电文形式，依托“政府采购云平台（www.zcygov.cn）”进行招投标活动，投标时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w:t>
      </w:r>
      <w:r>
        <w:rPr>
          <w:rFonts w:hint="eastAsia" w:ascii="宋体" w:hAnsi="宋体" w:cs="宋体"/>
          <w:b/>
          <w:bCs/>
          <w:color w:val="auto"/>
          <w:szCs w:val="21"/>
          <w:highlight w:val="none"/>
          <w:u w:val="single"/>
        </w:rPr>
        <w:t>⑥对未按上述方式获取采购文件的供应商对该文件提出的质疑，采购人或采购代理机构将依据《政府采购质疑和投诉办法》第十一条规定不予受理；</w:t>
      </w:r>
      <w:r>
        <w:rPr>
          <w:rFonts w:hint="eastAsia" w:ascii="宋体" w:hAnsi="宋体" w:cs="宋体"/>
          <w:color w:val="auto"/>
          <w:szCs w:val="21"/>
          <w:highlight w:val="none"/>
        </w:rPr>
        <w:t>⑦投标时不提供采购文件纸质版；⑧投标文件的传输递交：供应商在提交投标文件截止时间前将加密的投标文件上传至政府采购云平台，还可以在提交投标文件截止时间前直接提交或者以快递方式递交备份投标文件1份。备份投标文件的制作、存储、密封详见采购文件前附表第17点—“备份投标文件的制作、存储、密封”；⑨投标文件的解密：供应商按照平台提示和采购文件的规定在半小时内完成在线解密。通过“政府采购云平台”上传递交的投标文件无法按时解密，投标供应商递交了备份投标文件的，以备份投标文件为依据，</w:t>
      </w:r>
      <w:r>
        <w:rPr>
          <w:rFonts w:hint="eastAsia" w:ascii="宋体" w:hAnsi="宋体" w:cs="宋体"/>
          <w:b/>
          <w:bCs/>
          <w:color w:val="auto"/>
          <w:highlight w:val="none"/>
          <w:u w:val="single"/>
        </w:rPr>
        <w:t>否则按照《浙江省政府采购项目电子交易管理暂行办法》二十四条规定视为投标（响应）文件撤回</w:t>
      </w:r>
      <w:r>
        <w:rPr>
          <w:rFonts w:hint="eastAsia" w:ascii="宋体" w:hAnsi="宋体" w:cs="宋体"/>
          <w:color w:val="auto"/>
          <w:szCs w:val="21"/>
          <w:highlight w:val="none"/>
        </w:rPr>
        <w:t>。通过“政府采购云平台”上传递交的投标文件已按时解密的，备份投标文件自动失效。供应商仅提交备份投标文件，没有在电子交易平台传输递交投标文件的，投标无效；⑩具体操作指南：详见政采云平台“服务中心-帮助文档-项目采购-操作流程-电子招投标-政府采购项目电子交易管理操作指南-供应商”。</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4.1.3政采云电子交易相关指南：https://zfcg.czt.zj.gov.cn/bidClientTemplate/2021-11-01/12975.html?utm=web-government-front.a2eab82.0.0.e8360c20f9d111ec89240940ffdc69e2</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4.1.4《CA驱动和申领流程》：https://zfcg.czt.zj.gov.cn/bidClientTemplate/2019-05-27/12945.html?utm=web-government-front.a2eab82.0.0.e8360c20f9d111ec89240940ffdc69e2</w:t>
      </w:r>
    </w:p>
    <w:p>
      <w:pPr>
        <w:widowControl/>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color w:val="auto"/>
          <w:szCs w:val="21"/>
          <w:highlight w:val="none"/>
        </w:rPr>
        <w:t>4.2依据《政府采购质疑和投诉办法》第十条第二款规定，</w:t>
      </w:r>
      <w:r>
        <w:rPr>
          <w:rFonts w:hint="eastAsia" w:ascii="宋体" w:hAnsi="宋体" w:cs="宋体"/>
          <w:snapToGrid w:val="0"/>
          <w:color w:val="auto"/>
          <w:kern w:val="0"/>
          <w:szCs w:val="21"/>
          <w:highlight w:val="none"/>
        </w:rPr>
        <w:t>本项目要求供应商在法定质疑期内一次性提出针对同一采购程序环节的质疑。供应商在法定质疑期内多次提出针对同一采购程序环节的质疑的，采购人或采购代理机构只受理该供应商的第一次有效质疑。</w:t>
      </w:r>
    </w:p>
    <w:p>
      <w:pPr>
        <w:widowControl/>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color w:val="auto"/>
          <w:szCs w:val="21"/>
          <w:highlight w:val="none"/>
        </w:rPr>
        <w:t>4.3需要落实的政府采购政策：包括节约资源、保护环境、支持创新、促进中小企业发展等，详见采购文件的前附表</w:t>
      </w:r>
      <w:r>
        <w:rPr>
          <w:rFonts w:hint="eastAsia" w:ascii="宋体" w:hAnsi="宋体" w:cs="宋体"/>
          <w:snapToGrid w:val="0"/>
          <w:color w:val="auto"/>
          <w:kern w:val="0"/>
          <w:szCs w:val="21"/>
          <w:highlight w:val="none"/>
        </w:rPr>
        <w:t>。</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4.4本项目资格审查方式为资格后审。</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4.5采购文件公告期限为本公告发布之日起5个工作日。</w:t>
      </w:r>
    </w:p>
    <w:p>
      <w:pPr>
        <w:widowControl/>
        <w:spacing w:line="360" w:lineRule="auto"/>
        <w:rPr>
          <w:rFonts w:ascii="宋体" w:hAnsi="宋体" w:cs="宋体"/>
          <w:color w:val="auto"/>
          <w:kern w:val="0"/>
          <w:szCs w:val="21"/>
          <w:highlight w:val="none"/>
        </w:rPr>
      </w:pPr>
      <w:r>
        <w:rPr>
          <w:rFonts w:hint="eastAsia" w:ascii="宋体" w:hAnsi="宋体" w:cs="宋体"/>
          <w:b/>
          <w:bCs/>
          <w:color w:val="auto"/>
          <w:kern w:val="0"/>
          <w:szCs w:val="21"/>
          <w:highlight w:val="none"/>
        </w:rPr>
        <w:t>七、对本次采购提出询问、质疑、投诉，请按以下方式联系</w:t>
      </w:r>
      <w:r>
        <w:rPr>
          <w:rFonts w:hint="eastAsia" w:ascii="宋体" w:hAnsi="宋体" w:cs="宋体"/>
          <w:color w:val="auto"/>
          <w:kern w:val="0"/>
          <w:szCs w:val="21"/>
          <w:highlight w:val="none"/>
        </w:rPr>
        <w:t>　　　　　　　　　　　　</w:t>
      </w:r>
    </w:p>
    <w:p>
      <w:pPr>
        <w:widowControl/>
        <w:adjustRightInd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1.采购人信息</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名称：</w:t>
      </w:r>
      <w:r>
        <w:rPr>
          <w:rFonts w:hint="eastAsia" w:ascii="宋体" w:hAnsi="宋体" w:cs="宋体"/>
          <w:color w:val="auto"/>
          <w:szCs w:val="21"/>
          <w:highlight w:val="none"/>
          <w:lang w:eastAsia="zh-CN"/>
        </w:rPr>
        <w:t>浙江省药品信息宣传和发展服务中心</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cs="宋体"/>
          <w:color w:val="auto"/>
          <w:szCs w:val="21"/>
          <w:highlight w:val="none"/>
          <w:lang w:eastAsia="zh-CN"/>
        </w:rPr>
        <w:t>杭州市西湖区莫干山路文北巷27号</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项目联系人（询问）：周路遥</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项目联系方式（询问）：0571-88903240</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质疑联系人：徐航</w:t>
      </w:r>
    </w:p>
    <w:p>
      <w:pPr>
        <w:widowControl/>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质疑联系方式：0571-88903266</w:t>
      </w:r>
    </w:p>
    <w:p>
      <w:pPr>
        <w:widowControl/>
        <w:adjustRightInd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2.采购代理机构信息</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名称：浙江国际招投标有限公司</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地址：杭州市西湖区文三路90号东部软件园1号楼3楼</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传真：0571-88473430</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项目联系人（询问）：周群峰、葛珍妮</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项目联系方式（询问）：0571-81061821、0571-81061804</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质疑联系人：郑珊珊</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质疑联系方式：0571-81061842</w:t>
      </w:r>
    </w:p>
    <w:p>
      <w:pPr>
        <w:widowControl/>
        <w:adjustRightInd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3.同级政府采购监督管理部门</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名称：浙江省财政厅政府采购监管处、浙江省政府采购行政裁决服务中心（杭州）</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地址：杭州市上城区四季青街道新业路市民之家G03办公室　</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传真：/</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联系人：朱女士、王女士 </w:t>
      </w:r>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监督投诉电话：0571-85252453</w:t>
      </w:r>
    </w:p>
    <w:p>
      <w:pPr>
        <w:pStyle w:val="18"/>
        <w:rPr>
          <w:rFonts w:ascii="宋体" w:hAnsi="宋体" w:cs="宋体"/>
          <w:color w:val="auto"/>
          <w:szCs w:val="21"/>
          <w:highlight w:val="none"/>
        </w:rPr>
      </w:pPr>
      <w:r>
        <w:rPr>
          <w:rFonts w:hint="eastAsia" w:ascii="宋体" w:hAnsi="宋体" w:cs="宋体"/>
          <w:color w:val="auto"/>
          <w:szCs w:val="21"/>
          <w:highlight w:val="none"/>
        </w:rPr>
        <w:t>政策咨询：何一平、冯华，0571-87058424、87055741</w:t>
      </w:r>
    </w:p>
    <w:p>
      <w:pPr>
        <w:widowControl/>
        <w:adjustRightInd w:val="0"/>
        <w:snapToGrid w:val="0"/>
        <w:spacing w:line="360" w:lineRule="auto"/>
        <w:ind w:firstLine="420" w:firstLineChars="200"/>
        <w:jc w:val="left"/>
        <w:rPr>
          <w:rFonts w:ascii="宋体" w:hAnsi="宋体" w:cs="宋体"/>
          <w:color w:val="auto"/>
          <w:szCs w:val="21"/>
          <w:highlight w:val="none"/>
        </w:rPr>
      </w:pPr>
      <w:bookmarkStart w:id="9" w:name="_Toc27432"/>
      <w:bookmarkStart w:id="10" w:name="_Toc24012"/>
      <w:bookmarkStart w:id="11" w:name="_Toc21099"/>
      <w:bookmarkStart w:id="12" w:name="_Toc18423"/>
      <w:bookmarkStart w:id="13" w:name="_Toc14241"/>
      <w:r>
        <w:rPr>
          <w:rFonts w:hint="eastAsia" w:ascii="宋体" w:hAnsi="宋体" w:cs="宋体"/>
          <w:color w:val="auto"/>
          <w:szCs w:val="21"/>
          <w:highlight w:val="none"/>
        </w:rPr>
        <w:t>预算金额未达100万元的采购项目，由采购人处理采购争议。</w:t>
      </w: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w:t>
      </w:r>
      <w:r>
        <w:rPr>
          <w:rFonts w:hint="eastAsia" w:ascii="宋体" w:hAnsi="宋体" w:cs="宋体"/>
          <w:color w:val="auto"/>
          <w:highlight w:val="none"/>
          <w:lang w:val="en-US" w:eastAsia="zh-CN"/>
        </w:rPr>
        <w:t>95763</w:t>
      </w:r>
      <w:r>
        <w:rPr>
          <w:rFonts w:hint="eastAsia" w:ascii="宋体" w:hAnsi="宋体" w:cs="宋体"/>
          <w:color w:val="auto"/>
          <w:highlight w:val="none"/>
        </w:rPr>
        <w:t>获取热线服务帮助。</w:t>
      </w:r>
      <w:bookmarkEnd w:id="9"/>
      <w:bookmarkEnd w:id="10"/>
      <w:bookmarkEnd w:id="11"/>
      <w:bookmarkEnd w:id="12"/>
      <w:bookmarkEnd w:id="13"/>
    </w:p>
    <w:p>
      <w:pPr>
        <w:spacing w:line="360" w:lineRule="auto"/>
        <w:rPr>
          <w:rFonts w:ascii="宋体" w:hAnsi="宋体" w:cs="宋体"/>
          <w:color w:val="auto"/>
          <w:highlight w:val="none"/>
        </w:rPr>
      </w:pPr>
      <w:r>
        <w:rPr>
          <w:rFonts w:hint="eastAsia" w:ascii="宋体" w:hAnsi="宋体" w:cs="宋体"/>
          <w:color w:val="auto"/>
          <w:highlight w:val="none"/>
        </w:rPr>
        <w:t xml:space="preserve"> </w:t>
      </w:r>
      <w:bookmarkStart w:id="14" w:name="_Toc9543"/>
      <w:bookmarkStart w:id="15" w:name="_Toc15793"/>
      <w:bookmarkStart w:id="16" w:name="_Toc9249"/>
      <w:bookmarkStart w:id="17" w:name="_Toc10608"/>
      <w:bookmarkStart w:id="18" w:name="_Toc8213"/>
      <w:r>
        <w:rPr>
          <w:rFonts w:hint="eastAsia" w:ascii="宋体" w:hAnsi="宋体" w:cs="宋体"/>
          <w:color w:val="auto"/>
          <w:highlight w:val="none"/>
        </w:rPr>
        <w:t xml:space="preserve">    CA问题联系电话（人工）：汇信CA 400-888-4636；天谷CA 400-087-8198。</w:t>
      </w:r>
      <w:bookmarkEnd w:id="14"/>
      <w:bookmarkEnd w:id="15"/>
      <w:bookmarkEnd w:id="16"/>
      <w:bookmarkEnd w:id="17"/>
      <w:bookmarkEnd w:id="18"/>
    </w:p>
    <w:p>
      <w:pPr>
        <w:spacing w:line="360" w:lineRule="auto"/>
        <w:ind w:left="65" w:leftChars="31" w:firstLine="571" w:firstLineChars="272"/>
        <w:jc w:val="center"/>
        <w:outlineLvl w:val="0"/>
        <w:rPr>
          <w:rFonts w:ascii="宋体" w:hAnsi="宋体" w:cs="宋体"/>
          <w:b/>
          <w:color w:val="auto"/>
          <w:sz w:val="30"/>
          <w:szCs w:val="30"/>
          <w:highlight w:val="none"/>
        </w:rPr>
      </w:pPr>
      <w:r>
        <w:rPr>
          <w:rFonts w:hint="eastAsia" w:ascii="宋体" w:hAnsi="宋体" w:cs="宋体"/>
          <w:color w:val="auto"/>
          <w:kern w:val="0"/>
          <w:szCs w:val="21"/>
          <w:highlight w:val="none"/>
        </w:rPr>
        <w:br w:type="page"/>
      </w:r>
      <w:bookmarkEnd w:id="6"/>
      <w:bookmarkEnd w:id="7"/>
      <w:bookmarkEnd w:id="8"/>
      <w:bookmarkStart w:id="19" w:name="_Toc7650"/>
      <w:bookmarkStart w:id="20" w:name="_Toc25776"/>
      <w:bookmarkStart w:id="21" w:name="_Toc23337"/>
      <w:bookmarkStart w:id="22" w:name="_Toc18977"/>
      <w:bookmarkStart w:id="23" w:name="_Toc3075"/>
      <w:r>
        <w:rPr>
          <w:rFonts w:hint="eastAsia" w:ascii="宋体" w:hAnsi="宋体" w:cs="宋体"/>
          <w:b/>
          <w:color w:val="auto"/>
          <w:sz w:val="30"/>
          <w:szCs w:val="30"/>
          <w:highlight w:val="none"/>
        </w:rPr>
        <w:t>前 附 表</w:t>
      </w:r>
      <w:bookmarkEnd w:id="19"/>
      <w:bookmarkEnd w:id="20"/>
      <w:bookmarkEnd w:id="21"/>
      <w:bookmarkEnd w:id="22"/>
      <w:bookmarkEnd w:id="23"/>
    </w:p>
    <w:tbl>
      <w:tblPr>
        <w:tblStyle w:val="37"/>
        <w:tblW w:w="918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729"/>
        <w:gridCol w:w="6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blHeader/>
          <w:jc w:val="center"/>
        </w:trPr>
        <w:tc>
          <w:tcPr>
            <w:tcW w:w="648" w:type="dxa"/>
            <w:tcBorders>
              <w:top w:val="double" w:color="auto" w:sz="4" w:space="0"/>
              <w:left w:val="double" w:color="auto" w:sz="4" w:space="0"/>
              <w:bottom w:val="single" w:color="auto" w:sz="6" w:space="0"/>
              <w:right w:val="single" w:color="auto" w:sz="6" w:space="0"/>
            </w:tcBorders>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29" w:type="dxa"/>
            <w:tcBorders>
              <w:top w:val="double" w:color="auto" w:sz="4" w:space="0"/>
              <w:left w:val="single" w:color="auto" w:sz="6" w:space="0"/>
              <w:bottom w:val="single" w:color="auto" w:sz="6" w:space="0"/>
              <w:right w:val="single" w:color="auto" w:sz="6" w:space="0"/>
            </w:tcBorders>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项   目</w:t>
            </w:r>
          </w:p>
        </w:tc>
        <w:tc>
          <w:tcPr>
            <w:tcW w:w="6809" w:type="dxa"/>
            <w:tcBorders>
              <w:top w:val="double" w:color="auto" w:sz="4" w:space="0"/>
              <w:left w:val="single" w:color="auto" w:sz="6" w:space="0"/>
              <w:bottom w:val="single" w:color="auto" w:sz="6" w:space="0"/>
              <w:right w:val="double" w:color="auto" w:sz="4" w:space="0"/>
            </w:tcBorders>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9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浙江省药品信息宣传和发展服务中心药品安全智慧监管“黑匣子”（二期）项目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项目编号</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ZJ-2370554-02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采购方式</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kern w:val="0"/>
                <w:szCs w:val="21"/>
                <w:highlight w:val="none"/>
              </w:rPr>
            </w:pPr>
            <w:r>
              <w:rPr>
                <w:rFonts w:hint="eastAsia" w:ascii="宋体" w:hAnsi="宋体" w:cs="宋体"/>
                <w:bCs/>
                <w:color w:val="auto"/>
                <w:szCs w:val="21"/>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napToGrid w:val="0"/>
                <w:color w:val="auto"/>
                <w:kern w:val="0"/>
                <w:szCs w:val="21"/>
                <w:highlight w:val="none"/>
              </w:rPr>
            </w:pPr>
            <w:r>
              <w:rPr>
                <w:rFonts w:hint="eastAsia" w:ascii="宋体" w:hAnsi="宋体" w:cs="宋体"/>
                <w:color w:val="auto"/>
                <w:szCs w:val="21"/>
                <w:highlight w:val="none"/>
              </w:rPr>
              <w:t>采购内容</w:t>
            </w:r>
          </w:p>
        </w:tc>
        <w:tc>
          <w:tcPr>
            <w:tcW w:w="6809" w:type="dxa"/>
            <w:tcBorders>
              <w:top w:val="single" w:color="auto" w:sz="6" w:space="0"/>
              <w:left w:val="single" w:color="auto" w:sz="6" w:space="0"/>
              <w:bottom w:val="single" w:color="auto" w:sz="6" w:space="0"/>
              <w:right w:val="double" w:color="auto" w:sz="4" w:space="0"/>
            </w:tcBorders>
            <w:vAlign w:val="center"/>
          </w:tcPr>
          <w:p>
            <w:pPr>
              <w:widowControl/>
              <w:adjustRightInd w:val="0"/>
              <w:snapToGrid w:val="0"/>
              <w:jc w:val="left"/>
              <w:rPr>
                <w:rFonts w:ascii="宋体" w:hAnsi="宋体" w:cs="宋体"/>
                <w:strike/>
                <w:snapToGrid w:val="0"/>
                <w:color w:val="auto"/>
                <w:kern w:val="0"/>
                <w:szCs w:val="21"/>
                <w:highlight w:val="none"/>
              </w:rPr>
            </w:pPr>
            <w:r>
              <w:rPr>
                <w:rFonts w:hint="eastAsia" w:ascii="宋体" w:hAnsi="宋体" w:cs="宋体"/>
                <w:color w:val="auto"/>
                <w:szCs w:val="21"/>
                <w:highlight w:val="none"/>
              </w:rPr>
              <w:t>本项目为</w:t>
            </w:r>
            <w:r>
              <w:rPr>
                <w:rFonts w:hint="eastAsia" w:ascii="宋体" w:hAnsi="宋体" w:cs="宋体"/>
                <w:color w:val="auto"/>
                <w:szCs w:val="21"/>
                <w:highlight w:val="none"/>
                <w:lang w:eastAsia="zh-CN"/>
              </w:rPr>
              <w:t>浙江省药品信息宣传和发展服务中心药品安全智慧监管“黑匣子”（二期）项目</w:t>
            </w:r>
            <w:r>
              <w:rPr>
                <w:rFonts w:hint="eastAsia" w:ascii="宋体" w:hAnsi="宋体" w:cs="宋体"/>
                <w:color w:val="auto"/>
                <w:szCs w:val="21"/>
                <w:highlight w:val="none"/>
              </w:rPr>
              <w:t>，具体内容和要求详见采购文件的相关章节。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snapToGrid w:val="0"/>
                <w:color w:val="auto"/>
                <w:kern w:val="0"/>
                <w:szCs w:val="21"/>
                <w:highlight w:val="none"/>
              </w:rPr>
              <w:t>服务地点</w:t>
            </w:r>
          </w:p>
        </w:tc>
        <w:tc>
          <w:tcPr>
            <w:tcW w:w="6809"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bCs/>
                <w:color w:val="auto"/>
                <w:szCs w:val="21"/>
                <w:highlight w:val="none"/>
              </w:rPr>
            </w:pPr>
            <w:r>
              <w:rPr>
                <w:rFonts w:hint="eastAsia" w:ascii="宋体" w:hAnsi="宋体" w:cs="宋体"/>
                <w:bCs/>
                <w:color w:val="auto"/>
                <w:szCs w:val="21"/>
                <w:highlight w:val="none"/>
                <w:lang w:eastAsia="zh-CN"/>
              </w:rPr>
              <w:t>浙江省药品信息宣传和发展服务中心</w:t>
            </w:r>
            <w:r>
              <w:rPr>
                <w:rFonts w:hint="eastAsia" w:ascii="宋体" w:hAnsi="宋体" w:cs="宋体"/>
                <w:bCs/>
                <w:color w:val="auto"/>
                <w:szCs w:val="21"/>
                <w:highlight w:val="none"/>
                <w:lang w:val="en-US" w:eastAsia="zh-CN"/>
              </w:rPr>
              <w:t>指定地点</w:t>
            </w:r>
            <w:r>
              <w:rPr>
                <w:rFonts w:hint="eastAsia" w:ascii="宋体" w:hAnsi="宋体" w:cs="宋体"/>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建设</w:t>
            </w:r>
            <w:r>
              <w:rPr>
                <w:rFonts w:hint="eastAsia" w:ascii="宋体" w:hAnsi="宋体" w:cs="宋体"/>
                <w:snapToGrid w:val="0"/>
                <w:color w:val="auto"/>
                <w:kern w:val="0"/>
                <w:szCs w:val="21"/>
                <w:highlight w:val="none"/>
                <w:lang w:val="en-US" w:eastAsia="zh-CN"/>
              </w:rPr>
              <w:t>工期</w:t>
            </w:r>
          </w:p>
        </w:tc>
        <w:tc>
          <w:tcPr>
            <w:tcW w:w="6809" w:type="dxa"/>
            <w:tcBorders>
              <w:top w:val="single" w:color="auto" w:sz="6" w:space="0"/>
              <w:left w:val="single" w:color="auto" w:sz="6" w:space="0"/>
              <w:bottom w:val="single" w:color="auto" w:sz="6" w:space="0"/>
              <w:right w:val="double" w:color="auto" w:sz="4" w:space="0"/>
            </w:tcBorders>
            <w:vAlign w:val="center"/>
          </w:tcPr>
          <w:p>
            <w:pPr>
              <w:widowControl/>
              <w:adjustRightInd w:val="0"/>
              <w:snapToGrid w:val="0"/>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合同签订后12个月。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27"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资金来源</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color w:val="auto"/>
                <w:szCs w:val="21"/>
                <w:highlight w:val="none"/>
              </w:rPr>
            </w:pPr>
            <w:r>
              <w:rPr>
                <w:rFonts w:hint="eastAsia" w:ascii="宋体" w:hAnsi="宋体" w:cs="宋体"/>
                <w:b/>
                <w:bCs/>
                <w:snapToGrid w:val="0"/>
                <w:color w:val="auto"/>
                <w:kern w:val="0"/>
                <w:highlight w:val="none"/>
              </w:rPr>
              <w:t>▲</w:t>
            </w:r>
            <w:r>
              <w:rPr>
                <w:rFonts w:hint="eastAsia" w:ascii="宋体" w:hAnsi="宋体" w:cs="宋体"/>
                <w:b/>
                <w:color w:val="auto"/>
                <w:szCs w:val="21"/>
                <w:highlight w:val="none"/>
              </w:rPr>
              <w:t>最高限价</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b/>
                <w:color w:val="auto"/>
                <w:kern w:val="0"/>
                <w:szCs w:val="21"/>
                <w:highlight w:val="none"/>
              </w:rPr>
            </w:pPr>
            <w:r>
              <w:rPr>
                <w:rFonts w:hint="eastAsia" w:ascii="宋体" w:hAnsi="宋体" w:cs="宋体"/>
                <w:color w:val="auto"/>
                <w:highlight w:val="none"/>
              </w:rPr>
              <w:t>最高限价</w:t>
            </w:r>
            <w:r>
              <w:rPr>
                <w:rFonts w:hint="eastAsia" w:ascii="宋体" w:hAnsi="宋体" w:cs="宋体"/>
                <w:color w:val="auto"/>
                <w:highlight w:val="none"/>
                <w:lang w:val="en-US" w:eastAsia="zh-CN"/>
              </w:rPr>
              <w:t>为</w:t>
            </w:r>
            <w:r>
              <w:rPr>
                <w:rFonts w:hint="eastAsia" w:ascii="宋体" w:hAnsi="宋体" w:cs="宋体"/>
                <w:color w:val="auto"/>
                <w:kern w:val="0"/>
                <w:szCs w:val="21"/>
                <w:highlight w:val="none"/>
                <w:lang w:val="en-US" w:eastAsia="zh-CN"/>
              </w:rPr>
              <w:t>8060000元，</w:t>
            </w:r>
            <w:r>
              <w:rPr>
                <w:rFonts w:hint="eastAsia" w:ascii="宋体" w:hAnsi="宋体" w:cs="宋体"/>
                <w:color w:val="auto"/>
                <w:highlight w:val="none"/>
              </w:rPr>
              <w:t>超过最高限价的投标报价为无效投标。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21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资格审查方式</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资格后审。</w:t>
            </w:r>
          </w:p>
          <w:p>
            <w:pPr>
              <w:snapToGrid w:val="0"/>
              <w:rPr>
                <w:rFonts w:ascii="宋体" w:hAnsi="宋体" w:cs="宋体"/>
                <w:color w:val="auto"/>
                <w:szCs w:val="21"/>
                <w:highlight w:val="none"/>
              </w:rPr>
            </w:pPr>
            <w:r>
              <w:rPr>
                <w:rFonts w:hint="eastAsia" w:ascii="宋体" w:hAnsi="宋体" w:cs="宋体"/>
                <w:color w:val="auto"/>
                <w:szCs w:val="21"/>
                <w:highlight w:val="none"/>
              </w:rPr>
              <w:t>资格后审是指在开标后由采购人或采购代理机构代表根据采购文件的规定对投标人进行的资格审查，资格后审不合格的投标人，其投标作无效标处理。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踏勘现场</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bCs/>
                <w:color w:val="auto"/>
                <w:szCs w:val="21"/>
                <w:highlight w:val="none"/>
              </w:rPr>
              <w:t>采购人不组织现场踏勘。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招标答疑</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color w:val="auto"/>
                <w:kern w:val="0"/>
                <w:szCs w:val="21"/>
                <w:highlight w:val="none"/>
              </w:rPr>
            </w:pPr>
            <w:r>
              <w:rPr>
                <w:rFonts w:hint="eastAsia" w:ascii="宋体" w:hAnsi="宋体" w:cs="宋体"/>
                <w:color w:val="auto"/>
                <w:szCs w:val="21"/>
                <w:highlight w:val="none"/>
              </w:rPr>
              <w:t>投标人如认为采购文件表述不清晰、存在歧视性或者倾向性或者其他违法内容的，必须在</w:t>
            </w:r>
            <w:r>
              <w:rPr>
                <w:rFonts w:hint="eastAsia" w:ascii="宋体" w:hAnsi="宋体" w:cs="宋体"/>
                <w:color w:val="auto"/>
                <w:szCs w:val="21"/>
                <w:highlight w:val="none"/>
                <w:lang w:eastAsia="zh-CN"/>
              </w:rPr>
              <w:t>2023年0</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04</w:t>
            </w:r>
            <w:r>
              <w:rPr>
                <w:rFonts w:hint="eastAsia" w:ascii="宋体" w:hAnsi="宋体" w:cs="宋体"/>
                <w:color w:val="auto"/>
                <w:szCs w:val="21"/>
                <w:highlight w:val="none"/>
              </w:rPr>
              <w:t>日</w:t>
            </w:r>
            <w:r>
              <w:rPr>
                <w:rFonts w:hint="eastAsia" w:ascii="宋体" w:hAnsi="宋体" w:cs="宋体"/>
                <w:snapToGrid w:val="0"/>
                <w:color w:val="auto"/>
                <w:kern w:val="0"/>
                <w:szCs w:val="21"/>
                <w:highlight w:val="none"/>
              </w:rPr>
              <w:t>16时之前、将要求答疑的问题传真</w:t>
            </w:r>
            <w:r>
              <w:rPr>
                <w:rFonts w:hint="eastAsia" w:ascii="宋体" w:hAnsi="宋体" w:cs="宋体"/>
                <w:bCs/>
                <w:snapToGrid w:val="0"/>
                <w:color w:val="auto"/>
                <w:kern w:val="0"/>
                <w:szCs w:val="21"/>
                <w:highlight w:val="none"/>
              </w:rPr>
              <w:t>0571－88473430</w:t>
            </w:r>
            <w:r>
              <w:rPr>
                <w:rFonts w:hint="eastAsia" w:ascii="宋体" w:hAnsi="宋体" w:cs="宋体"/>
                <w:b/>
                <w:bCs/>
                <w:snapToGrid w:val="0"/>
                <w:color w:val="auto"/>
                <w:kern w:val="0"/>
                <w:szCs w:val="21"/>
                <w:highlight w:val="none"/>
              </w:rPr>
              <w:t>,</w:t>
            </w:r>
            <w:r>
              <w:rPr>
                <w:rFonts w:hint="eastAsia" w:ascii="宋体" w:hAnsi="宋体" w:cs="宋体"/>
                <w:snapToGrid w:val="0"/>
                <w:color w:val="auto"/>
                <w:kern w:val="0"/>
                <w:szCs w:val="21"/>
                <w:highlight w:val="none"/>
              </w:rPr>
              <w:t>并发电子邮件至</w:t>
            </w:r>
            <w:r>
              <w:rPr>
                <w:rFonts w:hint="eastAsia" w:ascii="宋体" w:hAnsi="宋体" w:cs="宋体"/>
                <w:snapToGrid w:val="0"/>
                <w:color w:val="auto"/>
                <w:kern w:val="0"/>
                <w:szCs w:val="21"/>
                <w:highlight w:val="none"/>
                <w:lang w:eastAsia="zh-CN"/>
              </w:rPr>
              <w:t>zhouqf@zmeetb.com</w:t>
            </w:r>
            <w:r>
              <w:rPr>
                <w:rFonts w:hint="eastAsia" w:ascii="宋体" w:hAnsi="宋体" w:cs="宋体"/>
                <w:color w:val="auto"/>
                <w:szCs w:val="21"/>
                <w:highlight w:val="none"/>
              </w:rPr>
              <w:t>（</w:t>
            </w:r>
            <w:r>
              <w:rPr>
                <w:rFonts w:hint="eastAsia" w:ascii="宋体" w:hAnsi="宋体" w:cs="宋体"/>
                <w:color w:val="auto"/>
                <w:szCs w:val="21"/>
                <w:highlight w:val="none"/>
                <w:lang w:val="zh-CN"/>
              </w:rPr>
              <w:t>电子邮件与书面文件有不一致的</w:t>
            </w:r>
            <w:r>
              <w:rPr>
                <w:rFonts w:hint="eastAsia" w:ascii="宋体" w:hAnsi="宋体" w:cs="宋体"/>
                <w:color w:val="auto"/>
                <w:szCs w:val="21"/>
                <w:highlight w:val="none"/>
              </w:rPr>
              <w:t>，</w:t>
            </w:r>
            <w:r>
              <w:rPr>
                <w:rFonts w:hint="eastAsia" w:ascii="宋体" w:hAnsi="宋体" w:cs="宋体"/>
                <w:color w:val="auto"/>
                <w:szCs w:val="21"/>
                <w:highlight w:val="none"/>
                <w:lang w:val="zh-CN"/>
              </w:rPr>
              <w:t>一律以书面文件为准</w:t>
            </w:r>
            <w:r>
              <w:rPr>
                <w:rFonts w:hint="eastAsia" w:ascii="宋体" w:hAnsi="宋体" w:cs="宋体"/>
                <w:color w:val="auto"/>
                <w:szCs w:val="21"/>
                <w:highlight w:val="none"/>
              </w:rPr>
              <w:t>）</w:t>
            </w:r>
            <w:r>
              <w:rPr>
                <w:rFonts w:hint="eastAsia" w:ascii="宋体" w:hAnsi="宋体" w:cs="宋体"/>
                <w:color w:val="auto"/>
                <w:szCs w:val="21"/>
                <w:highlight w:val="none"/>
                <w:lang w:val="zh-CN"/>
              </w:rPr>
              <w:t>。截止期后的疑问将不予受理、答复。</w:t>
            </w:r>
            <w:r>
              <w:rPr>
                <w:rFonts w:hint="eastAsia" w:ascii="宋体" w:hAnsi="宋体" w:cs="宋体"/>
                <w:color w:val="auto"/>
                <w:szCs w:val="21"/>
                <w:highlight w:val="none"/>
              </w:rPr>
              <w:t>答疑回复内容是采购文件的组成部份，并将以书面形式送达所有已购买采购文件的投标人。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1"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采购文件的澄清与修改</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ind w:right="105" w:rightChars="50"/>
              <w:rPr>
                <w:rFonts w:ascii="宋体" w:hAnsi="宋体" w:cs="宋体"/>
                <w:color w:val="auto"/>
                <w:szCs w:val="21"/>
                <w:highlight w:val="none"/>
              </w:rPr>
            </w:pPr>
            <w:r>
              <w:rPr>
                <w:rFonts w:hint="eastAsia" w:ascii="宋体" w:hAnsi="宋体" w:cs="宋体"/>
                <w:snapToGrid w:val="0"/>
                <w:color w:val="auto"/>
                <w:kern w:val="0"/>
                <w:szCs w:val="21"/>
                <w:highlight w:val="none"/>
              </w:rPr>
              <w:t>在投标截止时间15天前，采购人有权澄清和修改采购文件，并以更正（澄清）公告形式通知所有已购买采购文件的投标人。修改和澄清（答疑）答复的内容作为采购文件的补充和组成部分，对所有投标人均有约束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92"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投标文件形式</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ind w:right="105" w:rightChars="50"/>
              <w:rPr>
                <w:rFonts w:ascii="宋体" w:hAnsi="宋体" w:cs="宋体"/>
                <w:color w:val="auto"/>
                <w:szCs w:val="21"/>
                <w:highlight w:val="none"/>
              </w:rPr>
            </w:pPr>
            <w:r>
              <w:rPr>
                <w:rFonts w:hint="eastAsia" w:ascii="宋体" w:hAnsi="宋体" w:cs="宋体"/>
                <w:color w:val="auto"/>
                <w:szCs w:val="21"/>
                <w:highlight w:val="none"/>
              </w:rPr>
              <w:t>电子投标文件形式包括“电子加密投标文件”和“备份投标文件”，在投标文件编制完成后同时生成。</w:t>
            </w:r>
          </w:p>
          <w:p>
            <w:pPr>
              <w:numPr>
                <w:ilvl w:val="0"/>
                <w:numId w:val="0"/>
              </w:numPr>
              <w:snapToGrid w:val="0"/>
              <w:ind w:right="105" w:rightChars="50"/>
              <w:rPr>
                <w:rFonts w:ascii="宋体" w:hAnsi="宋体" w:cs="宋体"/>
                <w:color w:val="auto"/>
                <w:szCs w:val="21"/>
                <w:highlight w:val="none"/>
              </w:rPr>
            </w:pPr>
            <w:r>
              <w:rPr>
                <w:rFonts w:ascii="宋体" w:hAnsi="宋体" w:eastAsia="宋体" w:cs="宋体"/>
                <w:color w:val="auto"/>
                <w:kern w:val="2"/>
                <w:sz w:val="21"/>
                <w:szCs w:val="21"/>
                <w:highlight w:val="none"/>
                <w:lang w:val="en-US" w:eastAsia="zh-CN" w:bidi="ar-SA"/>
              </w:rPr>
              <w:t>1.</w:t>
            </w:r>
            <w:r>
              <w:rPr>
                <w:rFonts w:hint="eastAsia" w:ascii="宋体" w:hAnsi="宋体" w:cs="宋体"/>
                <w:color w:val="auto"/>
                <w:szCs w:val="21"/>
                <w:highlight w:val="none"/>
              </w:rPr>
              <w:t>“电子加密投标文件”是指通过“政采云电子交易客户端”完成投标文件编制后生成并加密的数据电文形式的投标文件。</w:t>
            </w:r>
          </w:p>
          <w:p>
            <w:pPr>
              <w:numPr>
                <w:ilvl w:val="0"/>
                <w:numId w:val="0"/>
              </w:numPr>
              <w:snapToGrid w:val="0"/>
              <w:rPr>
                <w:rFonts w:ascii="宋体" w:hAnsi="宋体" w:cs="宋体"/>
                <w:color w:val="auto"/>
                <w:szCs w:val="21"/>
                <w:highlight w:val="none"/>
              </w:rPr>
            </w:pPr>
            <w:r>
              <w:rPr>
                <w:rFonts w:ascii="宋体" w:hAnsi="宋体" w:eastAsia="宋体" w:cs="宋体"/>
                <w:color w:val="auto"/>
                <w:kern w:val="2"/>
                <w:sz w:val="21"/>
                <w:szCs w:val="21"/>
                <w:highlight w:val="none"/>
                <w:lang w:val="en-US" w:eastAsia="zh-CN" w:bidi="ar-SA"/>
              </w:rPr>
              <w:t>2.</w:t>
            </w:r>
            <w:r>
              <w:rPr>
                <w:rFonts w:hint="eastAsia" w:ascii="宋体" w:hAnsi="宋体" w:cs="宋体"/>
                <w:color w:val="auto"/>
                <w:szCs w:val="21"/>
                <w:highlight w:val="none"/>
              </w:rPr>
              <w:t>“备份投标文件”是指与“电子加密投标文件”同时生成的数据电文形式的电子文件（备份标书，用于投标人标书解密异常时应急使用），其他方式编制的备份投标文件视为无效备份投标文件。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投标文件份数</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highlight w:val="none"/>
              </w:rPr>
            </w:pPr>
            <w:r>
              <w:rPr>
                <w:rFonts w:hint="eastAsia" w:ascii="宋体" w:hAnsi="宋体" w:cs="宋体"/>
                <w:color w:val="auto"/>
                <w:highlight w:val="none"/>
              </w:rPr>
              <w:t>1.电子投标文件应包括资格响应文件、商务技术响应文件及报价响应文件三部分内容。</w:t>
            </w:r>
          </w:p>
          <w:p>
            <w:pPr>
              <w:pStyle w:val="17"/>
              <w:rPr>
                <w:rFonts w:ascii="宋体" w:hAnsi="宋体" w:cs="宋体"/>
                <w:color w:val="auto"/>
                <w:szCs w:val="21"/>
                <w:highlight w:val="none"/>
              </w:rPr>
            </w:pPr>
            <w:r>
              <w:rPr>
                <w:rFonts w:hint="eastAsia" w:ascii="宋体" w:hAnsi="宋体" w:cs="宋体"/>
                <w:color w:val="auto"/>
                <w:szCs w:val="21"/>
                <w:highlight w:val="none"/>
              </w:rPr>
              <w:t>2.如中标，中标供应商需根据采购人要求提供纸质投标文件至少两份。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4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投标文件的上传和递交</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1.电子加密投标文件：投标文件制作完成并生成加密标书，在投标截止时间前，供应商需将加密的投标文件上传至政采云平台，在开标时间开始后30分钟内，解密投标文件。</w:t>
            </w:r>
          </w:p>
          <w:p>
            <w:pPr>
              <w:snapToGrid w:val="0"/>
              <w:rPr>
                <w:rFonts w:ascii="宋体" w:hAnsi="宋体" w:cs="宋体"/>
                <w:b/>
                <w:bCs/>
                <w:color w:val="auto"/>
                <w:szCs w:val="21"/>
                <w:highlight w:val="none"/>
              </w:rPr>
            </w:pPr>
            <w:r>
              <w:rPr>
                <w:rFonts w:hint="eastAsia" w:ascii="宋体" w:hAnsi="宋体" w:cs="宋体"/>
                <w:b/>
                <w:bCs/>
                <w:color w:val="auto"/>
                <w:szCs w:val="21"/>
                <w:highlight w:val="none"/>
              </w:rPr>
              <w:t>a.供应商应未能投标截止时间前成功上传电子加密投标文件的投标无效。</w:t>
            </w:r>
          </w:p>
          <w:p>
            <w:pPr>
              <w:snapToGrid w:val="0"/>
              <w:rPr>
                <w:rFonts w:ascii="宋体" w:hAnsi="宋体" w:cs="宋体"/>
                <w:color w:val="auto"/>
                <w:szCs w:val="21"/>
                <w:highlight w:val="none"/>
              </w:rPr>
            </w:pPr>
            <w:r>
              <w:rPr>
                <w:rFonts w:hint="eastAsia" w:ascii="宋体" w:hAnsi="宋体" w:cs="宋体"/>
                <w:color w:val="auto"/>
                <w:szCs w:val="21"/>
                <w:highlight w:val="none"/>
              </w:rPr>
              <w:t>b.供应商成功上传电子加密投标文件后，可自行打印投标文件接收回执。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vMerge w:val="restart"/>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备份投标文件的制作、存储、密封</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highlight w:val="none"/>
              </w:rPr>
            </w:pPr>
            <w:r>
              <w:rPr>
                <w:rFonts w:hint="eastAsia" w:ascii="宋体" w:hAnsi="宋体" w:cs="宋体"/>
                <w:color w:val="auto"/>
                <w:highlight w:val="none"/>
              </w:rPr>
              <w:t>1.投标人在电子交易平台传输递交投标文件后，还可以在</w:t>
            </w:r>
            <w:r>
              <w:rPr>
                <w:rFonts w:hint="eastAsia" w:ascii="宋体" w:hAnsi="宋体" w:cs="宋体"/>
                <w:color w:val="auto"/>
                <w:szCs w:val="21"/>
                <w:highlight w:val="none"/>
              </w:rPr>
              <w:t>投标文件上传截止时间</w:t>
            </w:r>
            <w:r>
              <w:rPr>
                <w:rFonts w:hint="eastAsia" w:ascii="宋体" w:hAnsi="宋体" w:cs="宋体"/>
                <w:color w:val="auto"/>
                <w:highlight w:val="none"/>
              </w:rPr>
              <w:t>前直接提交或者以快递方式递交备份投标文件1份，但采购人、采购代理机构不强制或变相强制投标人提交备份投标文件。</w:t>
            </w:r>
          </w:p>
          <w:p>
            <w:pPr>
              <w:snapToGrid w:val="0"/>
              <w:rPr>
                <w:rFonts w:ascii="宋体" w:hAnsi="宋体" w:cs="宋体"/>
                <w:color w:val="auto"/>
                <w:highlight w:val="none"/>
              </w:rPr>
            </w:pPr>
            <w:r>
              <w:rPr>
                <w:rFonts w:hint="eastAsia" w:ascii="宋体" w:hAnsi="宋体" w:cs="宋体"/>
                <w:color w:val="auto"/>
                <w:highlight w:val="none"/>
              </w:rPr>
              <w:t>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不符合上述制作、存储、密封规定的备份投标文件将被视为无效或者被拒绝接收。</w:t>
            </w:r>
          </w:p>
          <w:p>
            <w:pPr>
              <w:snapToGrid w:val="0"/>
              <w:rPr>
                <w:rFonts w:ascii="宋体" w:hAnsi="宋体" w:cs="宋体"/>
                <w:color w:val="auto"/>
                <w:highlight w:val="none"/>
              </w:rPr>
            </w:pPr>
            <w:r>
              <w:rPr>
                <w:rFonts w:hint="eastAsia" w:ascii="宋体" w:hAnsi="宋体" w:cs="宋体"/>
                <w:color w:val="auto"/>
                <w:highlight w:val="none"/>
              </w:rPr>
              <w:t>3.直接提交备份投标文件的，投标人应于</w:t>
            </w:r>
            <w:r>
              <w:rPr>
                <w:rFonts w:hint="eastAsia" w:ascii="宋体" w:hAnsi="宋体" w:cs="宋体"/>
                <w:color w:val="auto"/>
                <w:szCs w:val="21"/>
                <w:highlight w:val="none"/>
              </w:rPr>
              <w:t>投标文件上传截止时间</w:t>
            </w:r>
            <w:r>
              <w:rPr>
                <w:rFonts w:hint="eastAsia" w:ascii="宋体" w:hAnsi="宋体" w:cs="宋体"/>
                <w:color w:val="auto"/>
                <w:highlight w:val="none"/>
              </w:rPr>
              <w:t>前将备份投标文件提交给采购代理机构，采购代理机构将拒绝接受逾期送达的备份投标文件。</w:t>
            </w:r>
          </w:p>
          <w:p>
            <w:pPr>
              <w:snapToGrid w:val="0"/>
              <w:rPr>
                <w:rFonts w:ascii="宋体" w:hAnsi="宋体" w:cs="宋体"/>
                <w:color w:val="auto"/>
                <w:highlight w:val="none"/>
              </w:rPr>
            </w:pPr>
            <w:r>
              <w:rPr>
                <w:rFonts w:hint="eastAsia" w:ascii="宋体" w:hAnsi="宋体" w:cs="宋体"/>
                <w:color w:val="auto"/>
                <w:highlight w:val="none"/>
              </w:rPr>
              <w:t>4.以快递方式递交备份投标文件的，投标人应先将备份投标文件按要求密封和标记，再进行快递包装后邮寄。备份投标文件须在</w:t>
            </w:r>
            <w:r>
              <w:rPr>
                <w:rFonts w:hint="eastAsia" w:ascii="宋体" w:hAnsi="宋体" w:cs="宋体"/>
                <w:color w:val="auto"/>
                <w:szCs w:val="21"/>
                <w:highlight w:val="none"/>
              </w:rPr>
              <w:t>投标文件上传截止时间</w:t>
            </w:r>
            <w:r>
              <w:rPr>
                <w:rFonts w:hint="eastAsia" w:ascii="宋体" w:hAnsi="宋体" w:cs="宋体"/>
                <w:color w:val="auto"/>
                <w:highlight w:val="none"/>
              </w:rPr>
              <w:t>之前送达采购文件本前附表本条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napToGrid w:val="0"/>
              <w:rPr>
                <w:rFonts w:ascii="宋体" w:hAnsi="宋体" w:cs="宋体"/>
                <w:color w:val="auto"/>
                <w:highlight w:val="none"/>
              </w:rPr>
            </w:pPr>
            <w:r>
              <w:rPr>
                <w:rFonts w:hint="eastAsia" w:ascii="宋体" w:hAnsi="宋体" w:cs="宋体"/>
                <w:color w:val="auto"/>
                <w:highlight w:val="none"/>
              </w:rPr>
              <w:t>5投标人仅提交备份投标文件，没有在电子交易平台传输递交投标文件的，投标无效。</w:t>
            </w:r>
          </w:p>
          <w:p>
            <w:pPr>
              <w:snapToGrid w:val="0"/>
              <w:rPr>
                <w:rFonts w:ascii="宋体" w:hAnsi="宋体" w:cs="宋体"/>
                <w:color w:val="auto"/>
                <w:szCs w:val="21"/>
                <w:highlight w:val="none"/>
              </w:rPr>
            </w:pPr>
            <w:r>
              <w:rPr>
                <w:rFonts w:hint="eastAsia" w:ascii="宋体" w:hAnsi="宋体" w:cs="宋体"/>
                <w:b/>
                <w:bCs/>
                <w:color w:val="auto"/>
                <w:highlight w:val="none"/>
                <w:u w:val="single"/>
              </w:rPr>
              <w:t>6.通过“政府采购云平台”上传递交的投标文件无法按时解密，投标供应商递交了备份投标文件的，以备份投标文件为依据，否则按照《浙江省政府采购项目电子交易管理暂行办法》二十四条规定视为投标（响应）文件撤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75"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auto"/>
                <w:szCs w:val="21"/>
                <w:highlight w:val="none"/>
              </w:rPr>
            </w:pP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cs="宋体"/>
                <w:color w:val="auto"/>
                <w:szCs w:val="21"/>
                <w:highlight w:val="none"/>
              </w:rPr>
            </w:pPr>
            <w:r>
              <w:rPr>
                <w:rFonts w:hint="eastAsia" w:ascii="宋体" w:hAnsi="宋体" w:cs="宋体"/>
                <w:color w:val="auto"/>
                <w:highlight w:val="none"/>
              </w:rPr>
              <w:t xml:space="preserve">备份投标文件送达地点和签收人员 </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highlight w:val="none"/>
                <w:u w:val="single"/>
              </w:rPr>
            </w:pPr>
            <w:r>
              <w:rPr>
                <w:rFonts w:hint="eastAsia" w:ascii="宋体" w:hAnsi="宋体" w:cs="宋体"/>
                <w:color w:val="auto"/>
                <w:highlight w:val="none"/>
              </w:rPr>
              <w:t>1.备份投标文件送达的采购代理机构地点：</w:t>
            </w:r>
            <w:r>
              <w:rPr>
                <w:rFonts w:hint="eastAsia" w:ascii="宋体" w:hAnsi="宋体" w:cs="宋体"/>
                <w:color w:val="auto"/>
                <w:highlight w:val="none"/>
                <w:u w:val="single"/>
              </w:rPr>
              <w:t>浙江国际招投标有限公司305室（杭州市西湖区文三路90号东部软件园1号楼3楼）；</w:t>
            </w:r>
          </w:p>
          <w:p>
            <w:pPr>
              <w:snapToGrid w:val="0"/>
              <w:rPr>
                <w:rFonts w:ascii="宋体" w:hAnsi="宋体" w:cs="宋体"/>
                <w:color w:val="auto"/>
                <w:highlight w:val="none"/>
              </w:rPr>
            </w:pPr>
            <w:r>
              <w:rPr>
                <w:rFonts w:hint="eastAsia" w:ascii="宋体" w:hAnsi="宋体" w:cs="宋体"/>
                <w:color w:val="auto"/>
                <w:highlight w:val="none"/>
              </w:rPr>
              <w:t>2.备份投标文件签收/接收人员及联系电话：</w:t>
            </w:r>
          </w:p>
          <w:p>
            <w:pPr>
              <w:snapToGrid w:val="0"/>
              <w:rPr>
                <w:rFonts w:ascii="宋体" w:hAnsi="宋体" w:cs="宋体"/>
                <w:color w:val="auto"/>
                <w:highlight w:val="none"/>
                <w:u w:val="single"/>
              </w:rPr>
            </w:pPr>
            <w:r>
              <w:rPr>
                <w:rFonts w:hint="eastAsia" w:ascii="宋体" w:hAnsi="宋体" w:cs="宋体"/>
                <w:color w:val="auto"/>
                <w:highlight w:val="none"/>
              </w:rPr>
              <w:t>（1）签收/接收人员：</w:t>
            </w:r>
            <w:r>
              <w:rPr>
                <w:rFonts w:hint="eastAsia" w:ascii="宋体" w:hAnsi="宋体" w:cs="宋体"/>
                <w:color w:val="auto"/>
                <w:highlight w:val="none"/>
                <w:u w:val="single"/>
              </w:rPr>
              <w:t>周群峰、葛珍妮</w:t>
            </w:r>
          </w:p>
          <w:p>
            <w:pPr>
              <w:snapToGrid w:val="0"/>
              <w:rPr>
                <w:rFonts w:ascii="宋体" w:hAnsi="宋体" w:cs="宋体"/>
                <w:color w:val="auto"/>
                <w:highlight w:val="none"/>
                <w:u w:val="single"/>
              </w:rPr>
            </w:pPr>
            <w:r>
              <w:rPr>
                <w:rFonts w:hint="eastAsia" w:ascii="宋体" w:hAnsi="宋体" w:cs="宋体"/>
                <w:color w:val="auto"/>
                <w:highlight w:val="none"/>
              </w:rPr>
              <w:t>（2）联系电话：</w:t>
            </w:r>
            <w:r>
              <w:rPr>
                <w:rFonts w:hint="eastAsia" w:ascii="宋体" w:hAnsi="宋体" w:cs="宋体"/>
                <w:color w:val="auto"/>
                <w:highlight w:val="none"/>
                <w:u w:val="single"/>
              </w:rPr>
              <w:t>0571-81061821、0571-81061804</w:t>
            </w:r>
          </w:p>
          <w:p>
            <w:pPr>
              <w:snapToGrid w:val="0"/>
              <w:rPr>
                <w:rFonts w:ascii="宋体" w:hAnsi="宋体" w:cs="宋体"/>
                <w:color w:val="auto"/>
                <w:szCs w:val="21"/>
                <w:highlight w:val="none"/>
              </w:rPr>
            </w:pPr>
            <w:r>
              <w:rPr>
                <w:rFonts w:hint="eastAsia" w:ascii="宋体" w:hAnsi="宋体" w:cs="宋体"/>
                <w:color w:val="auto"/>
                <w:highlight w:val="none"/>
              </w:rPr>
              <w:t>3.采购人、采购机构不强制或变相强制投标人提交备份投标文件。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val="0"/>
                <w:bCs w:val="0"/>
                <w:color w:val="auto"/>
                <w:szCs w:val="21"/>
                <w:highlight w:val="none"/>
                <w:u w:val="none"/>
              </w:rPr>
            </w:pPr>
            <w:r>
              <w:rPr>
                <w:rFonts w:hint="eastAsia" w:ascii="宋体" w:hAnsi="宋体" w:cs="宋体"/>
                <w:b w:val="0"/>
                <w:bCs w:val="0"/>
                <w:color w:val="auto"/>
                <w:szCs w:val="21"/>
                <w:highlight w:val="none"/>
                <w:u w:val="none"/>
                <w:lang w:val="en-US" w:eastAsia="zh-CN"/>
              </w:rPr>
              <w:t>现场系统</w:t>
            </w:r>
            <w:r>
              <w:rPr>
                <w:rFonts w:hint="eastAsia" w:ascii="宋体" w:hAnsi="宋体" w:cs="宋体"/>
                <w:b w:val="0"/>
                <w:bCs w:val="0"/>
                <w:color w:val="auto"/>
                <w:szCs w:val="21"/>
                <w:highlight w:val="none"/>
                <w:u w:val="none"/>
              </w:rPr>
              <w:t>演示要求</w:t>
            </w:r>
          </w:p>
        </w:tc>
        <w:tc>
          <w:tcPr>
            <w:tcW w:w="6809"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b w:val="0"/>
                <w:bCs w:val="0"/>
                <w:color w:val="auto"/>
                <w:szCs w:val="21"/>
                <w:highlight w:val="none"/>
                <w:u w:val="none"/>
              </w:rPr>
            </w:pPr>
            <w:r>
              <w:rPr>
                <w:rFonts w:hint="eastAsia" w:ascii="宋体" w:hAnsi="宋体" w:cs="宋体"/>
                <w:b w:val="0"/>
                <w:bCs w:val="0"/>
                <w:color w:val="auto"/>
                <w:kern w:val="0"/>
                <w:szCs w:val="21"/>
                <w:highlight w:val="none"/>
                <w:u w:val="none"/>
              </w:rPr>
              <w:t>本项目</w:t>
            </w:r>
            <w:r>
              <w:rPr>
                <w:rFonts w:hint="eastAsia" w:ascii="宋体" w:hAnsi="宋体" w:cs="宋体"/>
                <w:b w:val="0"/>
                <w:bCs w:val="0"/>
                <w:color w:val="auto"/>
                <w:kern w:val="0"/>
                <w:szCs w:val="21"/>
                <w:highlight w:val="none"/>
                <w:u w:val="none"/>
                <w:lang w:val="en-US" w:eastAsia="zh-CN"/>
              </w:rPr>
              <w:t>不</w:t>
            </w:r>
            <w:r>
              <w:rPr>
                <w:rFonts w:hint="eastAsia" w:ascii="宋体" w:hAnsi="宋体" w:cs="宋体"/>
                <w:b w:val="0"/>
                <w:bCs w:val="0"/>
                <w:color w:val="auto"/>
                <w:kern w:val="0"/>
                <w:szCs w:val="21"/>
                <w:highlight w:val="none"/>
                <w:u w:val="none"/>
              </w:rPr>
              <w:t>组织现场系统演示。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投标文件、流程文件签章</w:t>
            </w:r>
          </w:p>
        </w:tc>
        <w:tc>
          <w:tcPr>
            <w:tcW w:w="6809" w:type="dxa"/>
            <w:tcBorders>
              <w:top w:val="single" w:color="auto" w:sz="6" w:space="0"/>
              <w:left w:val="single" w:color="auto" w:sz="6" w:space="0"/>
              <w:bottom w:val="single" w:color="auto" w:sz="6" w:space="0"/>
              <w:right w:val="double" w:color="auto" w:sz="4" w:space="0"/>
            </w:tcBorders>
            <w:vAlign w:val="center"/>
          </w:tcPr>
          <w:p>
            <w:pPr>
              <w:numPr>
                <w:ilvl w:val="0"/>
                <w:numId w:val="2"/>
              </w:numPr>
              <w:snapToGrid w:val="0"/>
              <w:rPr>
                <w:rFonts w:ascii="宋体" w:hAnsi="宋体" w:cs="宋体"/>
                <w:color w:val="auto"/>
                <w:szCs w:val="21"/>
                <w:highlight w:val="none"/>
              </w:rPr>
            </w:pPr>
            <w:r>
              <w:rPr>
                <w:rFonts w:hint="eastAsia" w:ascii="宋体" w:hAnsi="宋体" w:cs="宋体"/>
                <w:color w:val="auto"/>
                <w:szCs w:val="21"/>
                <w:highlight w:val="none"/>
              </w:rPr>
              <w:t>电子投标文件必须有电子签章；</w:t>
            </w:r>
          </w:p>
          <w:p>
            <w:pPr>
              <w:numPr>
                <w:ilvl w:val="0"/>
                <w:numId w:val="2"/>
              </w:numPr>
              <w:snapToGrid w:val="0"/>
              <w:rPr>
                <w:rFonts w:ascii="宋体" w:hAnsi="宋体" w:cs="宋体"/>
                <w:color w:val="auto"/>
                <w:szCs w:val="21"/>
                <w:highlight w:val="none"/>
              </w:rPr>
            </w:pPr>
            <w:r>
              <w:rPr>
                <w:rFonts w:hint="eastAsia" w:ascii="宋体" w:hAnsi="宋体" w:cs="宋体"/>
                <w:color w:val="auto"/>
                <w:szCs w:val="21"/>
                <w:highlight w:val="none"/>
              </w:rPr>
              <w:t>开标后，相关信息记录确认、澄清说明、回复等内容，电子签章、或者签章后上传相关文件，均认可；</w:t>
            </w:r>
          </w:p>
          <w:p>
            <w:pPr>
              <w:pStyle w:val="20"/>
              <w:numPr>
                <w:ilvl w:val="0"/>
                <w:numId w:val="2"/>
              </w:numPr>
              <w:spacing w:line="24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评标办法</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开标时间</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15" w:hanging="14" w:hangingChars="7"/>
              <w:rPr>
                <w:rFonts w:ascii="宋体" w:hAnsi="宋体" w:cs="宋体"/>
                <w:color w:val="auto"/>
                <w:szCs w:val="21"/>
                <w:highlight w:val="none"/>
              </w:rPr>
            </w:pPr>
            <w:r>
              <w:rPr>
                <w:rFonts w:hint="eastAsia" w:ascii="宋体" w:hAnsi="宋体" w:cs="宋体"/>
                <w:color w:val="auto"/>
                <w:kern w:val="0"/>
                <w:szCs w:val="21"/>
                <w:highlight w:val="none"/>
                <w:lang w:eastAsia="zh-CN"/>
              </w:rPr>
              <w:t>2023年09月19日09:00</w:t>
            </w:r>
            <w:r>
              <w:rPr>
                <w:rFonts w:hint="eastAsia" w:ascii="宋体" w:hAnsi="宋体" w:cs="宋体"/>
                <w:color w:val="auto"/>
                <w:kern w:val="0"/>
                <w:szCs w:val="21"/>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75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22</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15" w:hanging="14" w:hangingChars="7"/>
              <w:rPr>
                <w:rFonts w:ascii="宋体" w:hAnsi="宋体" w:cs="宋体"/>
                <w:color w:val="auto"/>
                <w:szCs w:val="21"/>
                <w:highlight w:val="none"/>
              </w:rPr>
            </w:pPr>
            <w:r>
              <w:rPr>
                <w:rFonts w:hint="eastAsia" w:ascii="宋体" w:hAnsi="宋体" w:cs="宋体"/>
                <w:color w:val="auto"/>
                <w:szCs w:val="21"/>
                <w:highlight w:val="none"/>
              </w:rPr>
              <w:t>1.采购代理机构按照采购文件规定的时间通过电子交易平台组织开标，所有投标人均应当准时在线参加。投标人不足3家的，不得开标。</w:t>
            </w:r>
          </w:p>
          <w:p>
            <w:pPr>
              <w:adjustRightInd w:val="0"/>
              <w:snapToGrid w:val="0"/>
              <w:ind w:left="15" w:hanging="14" w:hangingChars="7"/>
              <w:rPr>
                <w:rFonts w:ascii="宋体" w:hAnsi="宋体" w:cs="宋体"/>
                <w:color w:val="auto"/>
                <w:szCs w:val="21"/>
                <w:highlight w:val="none"/>
              </w:rPr>
            </w:pPr>
            <w:r>
              <w:rPr>
                <w:rFonts w:hint="eastAsia" w:ascii="宋体" w:hAnsi="宋体" w:cs="宋体"/>
                <w:color w:val="auto"/>
                <w:szCs w:val="21"/>
                <w:highlight w:val="none"/>
              </w:rPr>
              <w:t>2.开标时，采购代理机构点击【开始解密】，供应商应在 30 分钟内完成解密。供应商在规定的时间内都已完成解密，则系统自动结束解密；供应商超过解密时限，默认自动放弃；</w:t>
            </w:r>
          </w:p>
          <w:p>
            <w:pPr>
              <w:adjustRightInd w:val="0"/>
              <w:snapToGrid w:val="0"/>
              <w:ind w:left="15" w:hanging="14" w:hangingChars="7"/>
              <w:rPr>
                <w:rFonts w:ascii="宋体" w:hAnsi="宋体" w:cs="宋体"/>
                <w:color w:val="auto"/>
                <w:szCs w:val="21"/>
                <w:highlight w:val="none"/>
              </w:rPr>
            </w:pPr>
            <w:r>
              <w:rPr>
                <w:rFonts w:hint="eastAsia" w:ascii="宋体" w:hAnsi="宋体" w:cs="宋体"/>
                <w:color w:val="auto"/>
                <w:szCs w:val="21"/>
                <w:highlight w:val="none"/>
              </w:rPr>
              <w:t>异常处理：如供应商在开标时因遗失CA或其他原因导致解密不成功时，如供应商已按规定递交了“备份投标文件”的，采购代理机构通过【异常处理】端口对备份投标文件上传、解密。</w:t>
            </w:r>
          </w:p>
          <w:p>
            <w:pPr>
              <w:adjustRightInd w:val="0"/>
              <w:snapToGrid w:val="0"/>
              <w:ind w:left="15" w:hanging="15" w:hangingChars="7"/>
              <w:rPr>
                <w:rFonts w:ascii="宋体" w:hAnsi="宋体" w:cs="宋体"/>
                <w:b/>
                <w:bCs/>
                <w:color w:val="auto"/>
                <w:szCs w:val="21"/>
                <w:highlight w:val="none"/>
              </w:rPr>
            </w:pPr>
            <w:r>
              <w:rPr>
                <w:rFonts w:hint="eastAsia" w:ascii="宋体" w:hAnsi="宋体" w:cs="宋体"/>
                <w:b/>
                <w:bCs/>
                <w:color w:val="auto"/>
                <w:szCs w:val="21"/>
                <w:highlight w:val="none"/>
              </w:rPr>
              <w:t>3.收到政采云系统中包含投标人名单等信息的相关询标函后30分钟内，供应商把填写完整且经授权代表签署的《政府采购活动现场确认声明书》（格式见采购文件第七部分）扫描件在线提交或发送至指定邮箱（邮箱地址：</w:t>
            </w:r>
            <w:r>
              <w:rPr>
                <w:rFonts w:hint="eastAsia" w:ascii="宋体" w:hAnsi="宋体" w:cs="宋体"/>
                <w:b/>
                <w:bCs/>
                <w:color w:val="auto"/>
                <w:szCs w:val="21"/>
                <w:highlight w:val="none"/>
                <w:lang w:eastAsia="zh-CN"/>
              </w:rPr>
              <w:t>zhouqf@zmeetb.com</w:t>
            </w:r>
            <w:r>
              <w:rPr>
                <w:rFonts w:hint="eastAsia" w:ascii="宋体" w:hAnsi="宋体" w:cs="宋体"/>
                <w:b/>
                <w:bCs/>
                <w:color w:val="auto"/>
                <w:szCs w:val="21"/>
                <w:highlight w:val="none"/>
              </w:rPr>
              <w:t xml:space="preserve"> ，联系人：周群峰，电话：0571-81061821）；</w:t>
            </w:r>
          </w:p>
          <w:p>
            <w:pPr>
              <w:adjustRightInd w:val="0"/>
              <w:snapToGrid w:val="0"/>
              <w:ind w:left="15" w:hanging="14" w:hangingChars="7"/>
              <w:rPr>
                <w:rFonts w:ascii="宋体" w:hAnsi="宋体" w:cs="宋体"/>
                <w:color w:val="auto"/>
                <w:szCs w:val="21"/>
                <w:highlight w:val="none"/>
              </w:rPr>
            </w:pPr>
            <w:r>
              <w:rPr>
                <w:rFonts w:hint="eastAsia" w:ascii="宋体" w:hAnsi="宋体" w:cs="宋体"/>
                <w:color w:val="auto"/>
                <w:szCs w:val="21"/>
                <w:highlight w:val="none"/>
              </w:rPr>
              <w:t>说明：不填写或未按规定发出邮件的，视同默认不存在确认声明书中的相关违规情形。</w:t>
            </w:r>
          </w:p>
          <w:p>
            <w:pPr>
              <w:adjustRightInd w:val="0"/>
              <w:snapToGrid w:val="0"/>
              <w:ind w:left="15" w:hanging="14" w:hangingChars="7"/>
              <w:rPr>
                <w:rFonts w:ascii="宋体" w:hAnsi="宋体" w:cs="宋体"/>
                <w:color w:val="auto"/>
                <w:szCs w:val="21"/>
                <w:highlight w:val="none"/>
              </w:rPr>
            </w:pPr>
            <w:r>
              <w:rPr>
                <w:rFonts w:hint="eastAsia" w:ascii="宋体" w:hAnsi="宋体" w:cs="宋体"/>
                <w:color w:val="auto"/>
                <w:szCs w:val="21"/>
                <w:highlight w:val="none"/>
              </w:rPr>
              <w:t>4.采购组织机构点击【开启标书信息】，开启标书成功后进入开标流程。</w:t>
            </w:r>
          </w:p>
          <w:p>
            <w:pPr>
              <w:pStyle w:val="20"/>
              <w:spacing w:line="240" w:lineRule="auto"/>
              <w:ind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23</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olor w:val="auto"/>
                <w:szCs w:val="21"/>
                <w:highlight w:val="none"/>
              </w:rPr>
              <w:t>资格审查</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ind w:left="15" w:hanging="14" w:hangingChars="7"/>
              <w:rPr>
                <w:rFonts w:ascii="宋体" w:hAnsi="宋体" w:cs="宋体"/>
                <w:color w:val="auto"/>
                <w:highlight w:val="none"/>
              </w:rPr>
            </w:pPr>
            <w:r>
              <w:rPr>
                <w:rFonts w:hint="eastAsia" w:ascii="宋体" w:hAnsi="宋体" w:cs="宋体"/>
                <w:color w:val="auto"/>
                <w:highlight w:val="none"/>
              </w:rPr>
              <w:t>1.开标后，由采购人或采购代理机构代表根据采购文件的规定对投标人的基本资格条件、落实政府采购政策需满足的资格要求、特定资格条件及政府采购政策条件要求进行审查。</w:t>
            </w:r>
          </w:p>
          <w:p>
            <w:pPr>
              <w:adjustRightInd w:val="0"/>
              <w:snapToGrid w:val="0"/>
              <w:ind w:left="15" w:hanging="14" w:hangingChars="7"/>
              <w:rPr>
                <w:rFonts w:ascii="宋体" w:hAnsi="宋体" w:cs="宋体"/>
                <w:color w:val="auto"/>
                <w:highlight w:val="none"/>
              </w:rPr>
            </w:pPr>
            <w:r>
              <w:rPr>
                <w:rFonts w:hint="eastAsia" w:ascii="宋体" w:hAnsi="宋体" w:cs="宋体"/>
                <w:color w:val="auto"/>
                <w:highlight w:val="none"/>
              </w:rPr>
              <w:t>2.投标人未按照采购文件要求提供与基本资格条件、落实政府采购政策需满足的资格要求、特定资格条件等相应的有效资格证明材料的，视为投标人不具备采购文件中规定的资格要求，其投标无效；投标人存在政府采购规定的投标限制情形的，其投标无效。</w:t>
            </w:r>
          </w:p>
          <w:p>
            <w:pPr>
              <w:adjustRightInd w:val="0"/>
              <w:snapToGrid w:val="0"/>
              <w:ind w:left="15" w:hanging="14" w:hangingChars="7"/>
              <w:rPr>
                <w:rFonts w:ascii="宋体" w:hAnsi="宋体" w:cs="宋体"/>
                <w:color w:val="auto"/>
                <w:highlight w:val="none"/>
              </w:rPr>
            </w:pPr>
            <w:r>
              <w:rPr>
                <w:rFonts w:hint="eastAsia" w:ascii="宋体" w:hAnsi="宋体" w:cs="宋体"/>
                <w:color w:val="auto"/>
                <w:highlight w:val="none"/>
              </w:rPr>
              <w:t>3.对未通过资格审查的投标人，采购人或采购代理机构告知其未通过的原因。</w:t>
            </w:r>
          </w:p>
          <w:p>
            <w:pPr>
              <w:adjustRightInd w:val="0"/>
              <w:snapToGrid w:val="0"/>
              <w:ind w:left="15" w:hanging="14" w:hangingChars="7"/>
              <w:rPr>
                <w:rFonts w:ascii="宋体" w:hAnsi="宋体" w:cs="宋体"/>
                <w:color w:val="auto"/>
                <w:szCs w:val="21"/>
                <w:highlight w:val="none"/>
              </w:rPr>
            </w:pPr>
            <w:r>
              <w:rPr>
                <w:rFonts w:hint="eastAsia" w:ascii="宋体" w:hAnsi="宋体" w:cs="宋体"/>
                <w:color w:val="auto"/>
                <w:highlight w:val="none"/>
              </w:rPr>
              <w:t>4.合格投标人不足3家的，不再评标。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24</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评标程序</w:t>
            </w:r>
          </w:p>
        </w:tc>
        <w:tc>
          <w:tcPr>
            <w:tcW w:w="6809" w:type="dxa"/>
            <w:tcBorders>
              <w:top w:val="single" w:color="auto" w:sz="6" w:space="0"/>
              <w:left w:val="single" w:color="auto" w:sz="6" w:space="0"/>
              <w:bottom w:val="single" w:color="auto" w:sz="6" w:space="0"/>
              <w:right w:val="double" w:color="auto" w:sz="4" w:space="0"/>
            </w:tcBorders>
            <w:vAlign w:val="center"/>
          </w:tcPr>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符合性评审：依据采购文件的规定，对商务技术响应文件的有效性、完整性和对采购文件的响应程度进行审查，以确定是否对采购文件的实质性要求作出响应。具体审查内容见采购文件第五部分评标办法中第5条“无效投标的认定”。</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商务技术评分：由评标委员会对各投标人的技术商务内容充分审核后，独立评分。</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商务技术评分汇总</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商务技术结果公布；采购代理机构公布符合性审查、商务技术评审无效供应商名称及理由；公布经商务技术评审后有效投标供应商的名单及其商务技术部分得分情况。</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开启报价响应文件：采购代理机构成功开启报价响应文件后，方可查看各供应商报价情况。</w:t>
            </w:r>
          </w:p>
          <w:p>
            <w:pPr>
              <w:pStyle w:val="23"/>
              <w:snapToGrid w:val="0"/>
              <w:rPr>
                <w:rFonts w:ascii="宋体" w:hAnsi="宋体" w:eastAsia="宋体" w:cs="宋体"/>
                <w:color w:val="auto"/>
                <w:highlight w:val="none"/>
              </w:rPr>
            </w:pPr>
            <w:r>
              <w:rPr>
                <w:rFonts w:hint="eastAsia" w:ascii="宋体" w:hAnsi="宋体" w:eastAsia="宋体" w:cs="宋体"/>
                <w:color w:val="auto"/>
                <w:highlight w:val="none"/>
              </w:rPr>
              <w:t>电子交易平台公布开标一览表有关内容，采购代理机构开启报价确认，供应商应在报价确认开启后30分钟内予以确认，不予确认的应说明理由，否则视为无异议。</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报价评审：由评标委员会对报价响应文件的有效性和报价的合理性、准确性等进行审查核实。</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得分汇总。</w:t>
            </w:r>
          </w:p>
          <w:p>
            <w:pPr>
              <w:pStyle w:val="23"/>
              <w:numPr>
                <w:ilvl w:val="0"/>
                <w:numId w:val="3"/>
              </w:numPr>
              <w:snapToGrid w:val="0"/>
              <w:rPr>
                <w:rFonts w:ascii="宋体" w:hAnsi="宋体" w:eastAsia="宋体" w:cs="宋体"/>
                <w:color w:val="auto"/>
                <w:highlight w:val="none"/>
              </w:rPr>
            </w:pPr>
            <w:r>
              <w:rPr>
                <w:rFonts w:hint="eastAsia" w:ascii="宋体" w:hAnsi="宋体" w:eastAsia="宋体" w:cs="宋体"/>
                <w:color w:val="auto"/>
                <w:highlight w:val="none"/>
              </w:rPr>
              <w:t>结果公布：供应商可通过在线平台查看评审结果。</w:t>
            </w:r>
          </w:p>
          <w:p>
            <w:pPr>
              <w:pStyle w:val="23"/>
              <w:snapToGrid w:val="0"/>
              <w:rPr>
                <w:rFonts w:ascii="宋体" w:hAnsi="宋体" w:eastAsia="宋体" w:cs="宋体"/>
                <w:snapToGrid w:val="0"/>
                <w:color w:val="auto"/>
                <w:kern w:val="0"/>
                <w:highlight w:val="none"/>
              </w:rPr>
            </w:pPr>
            <w:r>
              <w:rPr>
                <w:rFonts w:hint="eastAsia" w:ascii="宋体" w:hAnsi="宋体" w:eastAsia="宋体" w:cs="宋体"/>
                <w:color w:val="auto"/>
                <w:highlight w:val="none"/>
              </w:rPr>
              <w:t>注：除邮件交互外，如政采云平台提供信息发布、澄清说明、数据交换等操作方式的，或者</w:t>
            </w:r>
            <w:r>
              <w:rPr>
                <w:rFonts w:hint="eastAsia" w:ascii="宋体" w:hAnsi="宋体" w:eastAsia="宋体" w:cs="宋体"/>
                <w:color w:val="auto"/>
                <w:szCs w:val="24"/>
                <w:highlight w:val="none"/>
              </w:rPr>
              <w:t>政采云系统平台有新的操作流程的，按其规定</w:t>
            </w:r>
            <w:r>
              <w:rPr>
                <w:rFonts w:hint="eastAsia" w:ascii="宋体" w:hAnsi="宋体" w:eastAsia="宋体" w:cs="宋体"/>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25</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auto"/>
                <w:szCs w:val="21"/>
                <w:highlight w:val="none"/>
              </w:rPr>
            </w:pPr>
            <w:r>
              <w:rPr>
                <w:rFonts w:hint="eastAsia" w:ascii="宋体" w:hAnsi="宋体"/>
                <w:snapToGrid w:val="0"/>
                <w:color w:val="auto"/>
                <w:kern w:val="0"/>
                <w:szCs w:val="21"/>
                <w:highlight w:val="none"/>
              </w:rPr>
              <w:t>询标澄清</w:t>
            </w:r>
          </w:p>
        </w:tc>
        <w:tc>
          <w:tcPr>
            <w:tcW w:w="6809" w:type="dxa"/>
            <w:tcBorders>
              <w:top w:val="single" w:color="auto" w:sz="6" w:space="0"/>
              <w:left w:val="single" w:color="auto" w:sz="6" w:space="0"/>
              <w:bottom w:val="single" w:color="auto" w:sz="6" w:space="0"/>
              <w:right w:val="double" w:color="auto" w:sz="4" w:space="0"/>
            </w:tcBorders>
            <w:vAlign w:val="center"/>
          </w:tcPr>
          <w:p>
            <w:pPr>
              <w:pStyle w:val="23"/>
              <w:adjustRightInd w:val="0"/>
              <w:snapToGrid w:val="0"/>
              <w:rPr>
                <w:rFonts w:ascii="宋体" w:hAnsi="宋体" w:eastAsia="宋体" w:cs="宋体"/>
                <w:color w:val="auto"/>
                <w:highlight w:val="none"/>
              </w:rPr>
            </w:pPr>
            <w:r>
              <w:rPr>
                <w:rFonts w:hint="eastAsia" w:ascii="宋体" w:hAnsi="宋体" w:eastAsia="宋体"/>
                <w:color w:val="auto"/>
                <w:highlight w:val="none"/>
              </w:rPr>
              <w:t>在评标过程中，如评审小组对投标文件有疑问，由评审组长将问题汇总后发起询标澄清函（或由采购代理机构代替评审组长发起询标澄清函），供应商应在规定截止时间前回复相关内容并加盖供应商电子签章后上传提交（或通过平台上传经授权代表签字或加盖公章的扫描件）。逾期答复的，投标人</w:t>
            </w:r>
            <w:r>
              <w:rPr>
                <w:rFonts w:hint="eastAsia" w:ascii="宋体" w:hAnsi="宋体" w:eastAsia="宋体" w:cs="宋体"/>
                <w:color w:val="auto"/>
                <w:highlight w:val="none"/>
              </w:rPr>
              <w:t>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26</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color w:val="auto"/>
                <w:szCs w:val="21"/>
                <w:highlight w:val="none"/>
              </w:rPr>
            </w:pPr>
            <w:r>
              <w:rPr>
                <w:rFonts w:hint="eastAsia" w:ascii="宋体" w:hAnsi="宋体" w:cs="宋体"/>
                <w:snapToGrid w:val="0"/>
                <w:color w:val="auto"/>
                <w:kern w:val="0"/>
                <w:szCs w:val="21"/>
                <w:highlight w:val="none"/>
              </w:rPr>
              <w:t>投标文件在</w:t>
            </w:r>
            <w:r>
              <w:rPr>
                <w:rFonts w:hint="eastAsia"/>
                <w:color w:val="auto"/>
                <w:highlight w:val="none"/>
              </w:rPr>
              <w:t>提交投标文件的截止之日起算</w:t>
            </w:r>
            <w:r>
              <w:rPr>
                <w:rFonts w:hint="eastAsia" w:ascii="宋体" w:hAnsi="宋体" w:cs="宋体"/>
                <w:snapToGrid w:val="0"/>
                <w:color w:val="auto"/>
                <w:kern w:val="0"/>
                <w:szCs w:val="21"/>
                <w:highlight w:val="none"/>
              </w:rPr>
              <w:t>90个日历天内有效</w:t>
            </w:r>
            <w:r>
              <w:rPr>
                <w:rFonts w:hint="eastAsia" w:ascii="宋体" w:hAnsi="宋体" w:cs="宋体"/>
                <w:color w:val="auto"/>
                <w:szCs w:val="21"/>
                <w:highlight w:val="none"/>
              </w:rPr>
              <w:t>，不足有效期的，其投标视为无效标。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27</w:t>
            </w:r>
          </w:p>
        </w:tc>
        <w:tc>
          <w:tcPr>
            <w:tcW w:w="172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809" w:type="dxa"/>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1.履约保证金收取：</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签订合同后</w:t>
            </w:r>
            <w:r>
              <w:rPr>
                <w:rFonts w:hint="eastAsia" w:ascii="宋体" w:hAnsi="宋体" w:eastAsia="宋体" w:cs="宋体"/>
                <w:color w:val="auto"/>
                <w:sz w:val="21"/>
                <w:szCs w:val="21"/>
                <w:highlight w:val="none"/>
              </w:rPr>
              <w:t>7个工作日</w:t>
            </w:r>
            <w:r>
              <w:rPr>
                <w:rFonts w:hint="eastAsia" w:ascii="宋体" w:hAnsi="宋体" w:cs="宋体"/>
                <w:color w:val="auto"/>
                <w:sz w:val="21"/>
                <w:szCs w:val="21"/>
                <w:highlight w:val="none"/>
                <w:lang w:val="en-US" w:eastAsia="zh-CN"/>
              </w:rPr>
              <w:t>内</w:t>
            </w:r>
            <w:r>
              <w:rPr>
                <w:rFonts w:hint="eastAsia" w:ascii="宋体" w:hAnsi="宋体" w:cs="宋体"/>
                <w:color w:val="auto"/>
                <w:szCs w:val="21"/>
                <w:highlight w:val="none"/>
                <w:lang w:eastAsia="zh-CN"/>
              </w:rPr>
              <w:t>中标供应商</w:t>
            </w:r>
            <w:r>
              <w:rPr>
                <w:rFonts w:hint="eastAsia" w:ascii="宋体" w:hAnsi="宋体" w:eastAsia="宋体" w:cs="宋体"/>
                <w:color w:val="auto"/>
                <w:szCs w:val="21"/>
                <w:highlight w:val="none"/>
              </w:rPr>
              <w:t>向采购人(</w:t>
            </w:r>
            <w:r>
              <w:rPr>
                <w:rFonts w:hint="eastAsia" w:ascii="宋体" w:hAnsi="宋体" w:cs="宋体"/>
                <w:color w:val="auto"/>
                <w:szCs w:val="21"/>
                <w:highlight w:val="none"/>
                <w:lang w:eastAsia="zh-CN"/>
              </w:rPr>
              <w:t>浙江省药品信息宣传和发展服务中心</w:t>
            </w:r>
            <w:r>
              <w:rPr>
                <w:rFonts w:hint="eastAsia" w:ascii="宋体" w:hAnsi="宋体" w:eastAsia="宋体" w:cs="宋体"/>
                <w:color w:val="auto"/>
                <w:szCs w:val="21"/>
                <w:highlight w:val="none"/>
              </w:rPr>
              <w:t>)缴纳合同总金额的1%作为履约保证金。缴纳方式：</w:t>
            </w:r>
            <w:r>
              <w:rPr>
                <w:rFonts w:hint="eastAsia" w:ascii="宋体" w:hAnsi="宋体" w:cs="宋体"/>
                <w:color w:val="auto"/>
                <w:szCs w:val="21"/>
                <w:highlight w:val="none"/>
                <w:lang w:eastAsia="zh-CN"/>
              </w:rPr>
              <w:t>中标供应商</w:t>
            </w:r>
            <w:r>
              <w:rPr>
                <w:rFonts w:hint="eastAsia" w:ascii="宋体" w:hAnsi="宋体" w:eastAsia="宋体" w:cs="宋体"/>
                <w:color w:val="auto"/>
                <w:szCs w:val="21"/>
                <w:highlight w:val="none"/>
              </w:rPr>
              <w:t>应当以支票、汇票、本票或者金融机构、担保机构出具的保函等非现金形式提交。</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2.履约保证金退还：</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采购人在验收结束之后30个工作日内无息退还履约保证金。</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办理履约保证金退还手续时，</w:t>
            </w:r>
            <w:r>
              <w:rPr>
                <w:rFonts w:hint="eastAsia" w:ascii="宋体" w:hAnsi="宋体" w:cs="宋体"/>
                <w:color w:val="auto"/>
                <w:szCs w:val="21"/>
                <w:highlight w:val="none"/>
                <w:lang w:eastAsia="zh-CN"/>
              </w:rPr>
              <w:t>中标供应商</w:t>
            </w:r>
            <w:r>
              <w:rPr>
                <w:rFonts w:hint="eastAsia" w:ascii="宋体" w:hAnsi="宋体" w:eastAsia="宋体" w:cs="宋体"/>
                <w:color w:val="auto"/>
                <w:szCs w:val="21"/>
                <w:highlight w:val="none"/>
              </w:rPr>
              <w:t>凭以下材料办理退保手续。</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（1）由采购人开具的交入履约保证金往来款收据原件(如无法提供原件的，提供复印件及采购人开具的收据)；</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（2）合同原件或复印件一份；</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（3）使用单位的验收证明(需两人以上签名并盖章)；</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（4）保证金交入时的银行回单复印件；</w:t>
            </w:r>
          </w:p>
          <w:p>
            <w:pPr>
              <w:rPr>
                <w:rFonts w:hint="default" w:ascii="宋体" w:hAnsi="宋体" w:eastAsia="宋体" w:cs="宋体"/>
                <w:color w:val="auto"/>
                <w:highlight w:val="none"/>
                <w:lang w:val="en-US" w:eastAsia="zh-CN"/>
              </w:rPr>
            </w:pPr>
            <w:r>
              <w:rPr>
                <w:rFonts w:hint="eastAsia" w:ascii="宋体" w:hAnsi="宋体" w:eastAsia="宋体" w:cs="宋体"/>
                <w:color w:val="auto"/>
                <w:szCs w:val="21"/>
                <w:highlight w:val="none"/>
              </w:rPr>
              <w:t>（5）如原账户发生变更，提供说明和账户变更资料。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28</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napToGrid w:val="0"/>
                <w:color w:val="auto"/>
                <w:kern w:val="0"/>
                <w:sz w:val="24"/>
                <w:highlight w:val="none"/>
              </w:rPr>
            </w:pPr>
            <w:r>
              <w:rPr>
                <w:rFonts w:hint="eastAsia" w:ascii="宋体" w:hAnsi="宋体" w:cs="宋体"/>
                <w:snapToGrid w:val="0"/>
                <w:color w:val="auto"/>
                <w:kern w:val="0"/>
                <w:szCs w:val="21"/>
                <w:highlight w:val="none"/>
              </w:rPr>
              <w:t>公告发布媒体</w:t>
            </w:r>
          </w:p>
        </w:tc>
        <w:tc>
          <w:tcPr>
            <w:tcW w:w="6809" w:type="dxa"/>
            <w:tcBorders>
              <w:top w:val="single" w:color="auto" w:sz="6" w:space="0"/>
              <w:left w:val="single" w:color="auto" w:sz="6" w:space="0"/>
              <w:bottom w:val="single" w:color="auto" w:sz="6" w:space="0"/>
              <w:right w:val="double" w:color="auto" w:sz="4" w:space="0"/>
            </w:tcBorders>
            <w:vAlign w:val="center"/>
          </w:tcPr>
          <w:p>
            <w:pPr>
              <w:pStyle w:val="23"/>
              <w:adjustRightInd w:val="0"/>
              <w:snapToGrid w:val="0"/>
              <w:rPr>
                <w:rFonts w:ascii="宋体" w:hAnsi="宋体" w:eastAsia="宋体" w:cs="宋体"/>
                <w:color w:val="auto"/>
                <w:sz w:val="24"/>
                <w:highlight w:val="none"/>
              </w:rPr>
            </w:pPr>
            <w:r>
              <w:rPr>
                <w:rFonts w:hint="eastAsia" w:ascii="宋体" w:hAnsi="宋体" w:eastAsia="宋体" w:cs="宋体"/>
                <w:color w:val="auto"/>
                <w:kern w:val="0"/>
                <w:highlight w:val="none"/>
              </w:rPr>
              <w:t>浙江政府采购网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48" w:type="dxa"/>
            <w:vMerge w:val="restart"/>
            <w:tcBorders>
              <w:top w:val="single" w:color="auto" w:sz="6" w:space="0"/>
              <w:left w:val="double" w:color="auto" w:sz="4" w:space="0"/>
              <w:bottom w:val="single" w:color="auto" w:sz="6" w:space="0"/>
              <w:right w:val="single" w:color="auto" w:sz="6" w:space="0"/>
            </w:tcBorders>
            <w:vAlign w:val="center"/>
          </w:tcPr>
          <w:p>
            <w:pPr>
              <w:adjustRightIn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w:t>
            </w:r>
          </w:p>
        </w:tc>
        <w:tc>
          <w:tcPr>
            <w:tcW w:w="1729" w:type="dxa"/>
            <w:vMerge w:val="restart"/>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质疑</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根据《中华人民共和国政府采购法》第五十二条、《中华人民共和国政府采购法实施条例》第五十三条、《政府采购质疑和投诉办法》的规定：</w:t>
            </w:r>
          </w:p>
          <w:p>
            <w:pPr>
              <w:snapToGrid w:val="0"/>
              <w:rPr>
                <w:rFonts w:ascii="宋体" w:hAnsi="宋体" w:cs="宋体"/>
                <w:b/>
                <w:bCs/>
                <w:snapToGrid w:val="0"/>
                <w:color w:val="auto"/>
                <w:kern w:val="0"/>
                <w:szCs w:val="21"/>
                <w:highlight w:val="none"/>
              </w:rPr>
            </w:pPr>
            <w:r>
              <w:rPr>
                <w:rFonts w:hint="eastAsia" w:ascii="宋体" w:hAnsi="宋体" w:cs="宋体"/>
                <w:snapToGrid w:val="0"/>
                <w:color w:val="auto"/>
                <w:kern w:val="0"/>
                <w:szCs w:val="21"/>
                <w:highlight w:val="none"/>
              </w:rPr>
              <w:t>投标人认为采购（招标）文件、采购过程、中标或者成交结果使自己的权益受到损害的，可以在知道或者应知其权益受到损害之日起7个工作日内，以书面形式向采购人、采购代理机构提出质疑。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color w:val="auto"/>
                <w:kern w:val="0"/>
                <w:szCs w:val="21"/>
                <w:highlight w:val="none"/>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Cs w:val="21"/>
                <w:highlight w:val="none"/>
              </w:rPr>
            </w:pP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color w:val="auto"/>
                <w:kern w:val="0"/>
                <w:szCs w:val="21"/>
                <w:highlight w:val="none"/>
              </w:rPr>
            </w:pPr>
            <w:r>
              <w:rPr>
                <w:rFonts w:hint="eastAsia" w:ascii="宋体" w:hAnsi="宋体" w:cs="宋体"/>
                <w:color w:val="auto"/>
                <w:szCs w:val="21"/>
                <w:highlight w:val="none"/>
              </w:rPr>
              <w:t>依据《政府采购质疑和投诉办法》第十条第二款规定，</w:t>
            </w:r>
            <w:r>
              <w:rPr>
                <w:rFonts w:hint="eastAsia" w:ascii="宋体" w:hAnsi="宋体" w:cs="宋体"/>
                <w:snapToGrid w:val="0"/>
                <w:color w:val="auto"/>
                <w:kern w:val="0"/>
                <w:szCs w:val="21"/>
                <w:highlight w:val="none"/>
              </w:rPr>
              <w:t>本项目要求投标人在法定质疑期内一次性提出针对同一采购程序环节的质疑。投标人在法定质疑期内多性提出针对同一采购程序环节的质疑的，采购人或采购代理机构只受理该投标人的第一次有效质疑。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30</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投诉</w:t>
            </w:r>
          </w:p>
        </w:tc>
        <w:tc>
          <w:tcPr>
            <w:tcW w:w="6809" w:type="dxa"/>
            <w:tcBorders>
              <w:top w:val="single" w:color="auto" w:sz="6" w:space="0"/>
              <w:left w:val="single" w:color="auto" w:sz="6" w:space="0"/>
              <w:bottom w:val="single" w:color="auto" w:sz="6" w:space="0"/>
              <w:right w:val="double" w:color="auto" w:sz="4" w:space="0"/>
            </w:tcBorders>
            <w:vAlign w:val="center"/>
          </w:tcPr>
          <w:p>
            <w:pPr>
              <w:snapToGrid w:val="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snapToGrid w:val="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9"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31</w:t>
            </w:r>
          </w:p>
        </w:tc>
        <w:tc>
          <w:tcPr>
            <w:tcW w:w="17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color w:val="auto"/>
                <w:szCs w:val="21"/>
                <w:highlight w:val="none"/>
              </w:rPr>
            </w:pPr>
            <w:r>
              <w:rPr>
                <w:rFonts w:hint="eastAsia" w:ascii="宋体" w:hAnsi="宋体" w:cs="宋体"/>
                <w:bCs/>
                <w:color w:val="auto"/>
                <w:szCs w:val="21"/>
                <w:highlight w:val="none"/>
              </w:rPr>
              <w:t>特别说明</w:t>
            </w:r>
          </w:p>
        </w:tc>
        <w:tc>
          <w:tcPr>
            <w:tcW w:w="6809" w:type="dxa"/>
            <w:tcBorders>
              <w:top w:val="single" w:color="auto" w:sz="6" w:space="0"/>
              <w:left w:val="single" w:color="auto" w:sz="6" w:space="0"/>
              <w:bottom w:val="single" w:color="auto" w:sz="6" w:space="0"/>
              <w:right w:val="double" w:color="auto" w:sz="4" w:space="0"/>
            </w:tcBorders>
            <w:vAlign w:val="center"/>
          </w:tcPr>
          <w:p>
            <w:pPr>
              <w:pStyle w:val="23"/>
              <w:adjustRightInd w:val="0"/>
              <w:snapToGrid w:val="0"/>
              <w:rPr>
                <w:rFonts w:ascii="宋体" w:hAnsi="宋体" w:eastAsia="宋体" w:cs="宋体"/>
                <w:snapToGrid w:val="0"/>
                <w:color w:val="auto"/>
                <w:kern w:val="0"/>
                <w:highlight w:val="none"/>
              </w:rPr>
            </w:pPr>
            <w:r>
              <w:rPr>
                <w:rFonts w:hint="eastAsia" w:ascii="宋体" w:hAnsi="宋体" w:eastAsia="宋体" w:cs="宋体"/>
                <w:snapToGrid w:val="0"/>
                <w:color w:val="auto"/>
                <w:kern w:val="0"/>
                <w:highlight w:val="none"/>
                <w:lang w:val="en-US" w:eastAsia="zh-CN"/>
              </w:rPr>
              <w:t>1.</w:t>
            </w:r>
            <w:r>
              <w:rPr>
                <w:rFonts w:hint="eastAsia" w:ascii="宋体" w:hAnsi="宋体" w:eastAsia="宋体" w:cs="宋体"/>
                <w:snapToGrid w:val="0"/>
                <w:color w:val="auto"/>
                <w:kern w:val="0"/>
                <w:highlight w:val="none"/>
              </w:rPr>
              <w:t>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23"/>
              <w:adjustRightInd w:val="0"/>
              <w:snapToGrid w:val="0"/>
              <w:rPr>
                <w:rFonts w:ascii="宋体" w:hAnsi="宋体" w:eastAsia="宋体" w:cs="宋体"/>
                <w:b/>
                <w:color w:val="auto"/>
                <w:highlight w:val="none"/>
              </w:rPr>
            </w:pPr>
            <w:r>
              <w:rPr>
                <w:rFonts w:hint="eastAsia" w:ascii="宋体" w:hAnsi="宋体" w:eastAsia="宋体" w:cs="宋体"/>
                <w:snapToGrid w:val="0"/>
                <w:color w:val="auto"/>
                <w:kern w:val="0"/>
                <w:highlight w:val="none"/>
                <w:lang w:val="en-US" w:eastAsia="zh-CN"/>
              </w:rPr>
              <w:t>2.</w:t>
            </w:r>
            <w:r>
              <w:rPr>
                <w:rFonts w:hint="eastAsia" w:ascii="宋体" w:hAnsi="宋体" w:eastAsia="宋体" w:cs="宋体"/>
                <w:snapToGrid w:val="0"/>
                <w:color w:val="auto"/>
                <w:kern w:val="0"/>
                <w:highlight w:val="none"/>
              </w:rPr>
              <w:t>本项目中标</w:t>
            </w:r>
            <w:r>
              <w:rPr>
                <w:rFonts w:hint="eastAsia" w:ascii="宋体" w:hAnsi="宋体" w:eastAsia="宋体" w:cs="宋体"/>
                <w:snapToGrid w:val="0"/>
                <w:color w:val="auto"/>
                <w:kern w:val="0"/>
                <w:highlight w:val="none"/>
                <w:lang w:val="en-US" w:eastAsia="zh-CN"/>
              </w:rPr>
              <w:t>结果</w:t>
            </w:r>
            <w:r>
              <w:rPr>
                <w:rFonts w:hint="eastAsia" w:ascii="宋体" w:hAnsi="宋体" w:eastAsia="宋体" w:cs="宋体"/>
                <w:snapToGrid w:val="0"/>
                <w:color w:val="auto"/>
                <w:kern w:val="0"/>
                <w:highlight w:val="none"/>
              </w:rPr>
              <w:t>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32</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color w:val="auto"/>
                <w:szCs w:val="21"/>
                <w:highlight w:val="none"/>
              </w:rPr>
            </w:pPr>
            <w:r>
              <w:rPr>
                <w:rFonts w:hint="eastAsia" w:ascii="宋体" w:hAnsi="宋体" w:cs="宋体"/>
                <w:color w:val="auto"/>
                <w:szCs w:val="21"/>
                <w:highlight w:val="none"/>
              </w:rPr>
              <w:t>采购代理服务费</w:t>
            </w:r>
          </w:p>
        </w:tc>
        <w:tc>
          <w:tcPr>
            <w:tcW w:w="6809" w:type="dxa"/>
            <w:tcBorders>
              <w:top w:val="single" w:color="auto" w:sz="6" w:space="0"/>
              <w:left w:val="single" w:color="auto" w:sz="6" w:space="0"/>
              <w:bottom w:val="single" w:color="auto" w:sz="6" w:space="0"/>
              <w:right w:val="double" w:color="auto" w:sz="4" w:space="0"/>
            </w:tcBorders>
            <w:vAlign w:val="center"/>
          </w:tcPr>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（1）代理服务费用收取方式：本项目的代理服务费由中标供应商在本项目合同签订前一次性全额支付。</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代理服务费用收取标准：本项目代理服务费用按照《招标代理服务收费管理暂行办法》(计价格【2002】1980号)的7折计取，以中标金额为计费基数，分段按优惠后费率差额定率累进计算，单个项目按以上约定的优惠收费标准计算代理服务费不足人民币3000元时，按人民币3000元计取</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（3）代理服务费支付：</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 代理服务费支付形式：汇票/支票/电汇/现金</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 代理服务费支付账户 ：</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收款单位（户名）：浙江国际招投标有限公司</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 户：中国工商银行杭州市武林支行</w:t>
            </w:r>
          </w:p>
          <w:p>
            <w:pPr>
              <w:pStyle w:val="36"/>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 1202021209906782015</w:t>
            </w:r>
          </w:p>
          <w:p>
            <w:pPr>
              <w:pStyle w:val="36"/>
              <w:spacing w:line="240" w:lineRule="auto"/>
              <w:ind w:firstLine="0"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（4）收取流程：中标供应商按照中标结果公告确定金额支付后将汇款底单、开票信息和发票邮寄地址发送至</w:t>
            </w:r>
            <w:r>
              <w:rPr>
                <w:rFonts w:hint="eastAsia" w:ascii="宋体" w:hAnsi="宋体" w:eastAsia="宋体" w:cs="宋体"/>
                <w:color w:val="auto"/>
                <w:sz w:val="21"/>
                <w:szCs w:val="21"/>
                <w:highlight w:val="none"/>
                <w:lang w:val="en-US" w:eastAsia="zh-CN"/>
              </w:rPr>
              <w:t>zhouqf</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zmeetb.</w:t>
            </w:r>
            <w:r>
              <w:rPr>
                <w:rFonts w:hint="eastAsia" w:ascii="宋体" w:hAnsi="宋体" w:eastAsia="宋体" w:cs="宋体"/>
                <w:color w:val="auto"/>
                <w:sz w:val="21"/>
                <w:szCs w:val="21"/>
                <w:highlight w:val="none"/>
              </w:rPr>
              <w:t>com，采购代理机构在收到邮件后开具发票并及时寄送给中标供应商。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s="宋体"/>
                <w:color w:val="auto"/>
                <w:szCs w:val="21"/>
                <w:highlight w:val="none"/>
              </w:rPr>
            </w:pPr>
            <w:r>
              <w:rPr>
                <w:rFonts w:hint="eastAsia" w:ascii="宋体" w:hAnsi="宋体" w:cs="宋体"/>
                <w:snapToGrid w:val="0"/>
                <w:color w:val="auto"/>
                <w:kern w:val="0"/>
                <w:highlight w:val="none"/>
              </w:rPr>
              <w:t>33</w:t>
            </w:r>
          </w:p>
        </w:tc>
        <w:tc>
          <w:tcPr>
            <w:tcW w:w="1729"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snapToGrid w:val="0"/>
                <w:color w:val="auto"/>
                <w:kern w:val="0"/>
                <w:sz w:val="21"/>
                <w:szCs w:val="21"/>
                <w:highlight w:val="none"/>
              </w:rPr>
              <w:t>采购项目需要落实的政府采购政策</w:t>
            </w:r>
          </w:p>
        </w:tc>
        <w:tc>
          <w:tcPr>
            <w:tcW w:w="6809" w:type="dxa"/>
            <w:tcBorders>
              <w:top w:val="single" w:color="auto" w:sz="6" w:space="0"/>
              <w:left w:val="single" w:color="auto" w:sz="6" w:space="0"/>
              <w:bottom w:val="single" w:color="auto" w:sz="6" w:space="0"/>
              <w:right w:val="double" w:color="auto" w:sz="4" w:space="0"/>
            </w:tcBorders>
            <w:vAlign w:val="center"/>
          </w:tcPr>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2.支持绿色发展</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招标文件要求提供相关产品认证证书。▲采购人拟采购的产品属于政府强制采购的节能产品品目清单范围的，供应商未按招标文件要求提供国家确定的认证机构出具的、处于有效期之内的节能产品认证证书的，投标无效。</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2.2 修缮、装修类项目采购建材的，采购人应将绿色建筑和绿色建材性能、指标等作为实质性条件纳入招标文件和合同。</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3.支持中小企业发展</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符合中小企业划分标准的个体工商户，在政府采购活动中视同中小企业。</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3.2在政府采购活动中，供应商提供的货物、工程或者服务符合下列情形的，享受中小企业扶持政策：</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3.2.1在货物采购项目中，货物由中小企业制造，即货物由中小企业生产且使用该中小企业商号或者注册商标；</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3.2.2在工程采购项目中，工程由中小企业承建，即工程施工单位为中小企业；</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3.2.3在服务采购项目中，服务由中小企业承接，即提供服务的人员为中小企业依照《中华人民共和国劳动合同法》订立劳动合同的从业人员。</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在货物采购项目中，供应商提供的货物既有中小企业制造货物，也有大型企业制造货物的，不享受中小企业扶持政策。</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以联合体形式参加政府采购活动，联合体各方均为中小企业的，联合体视同中小企业。其中，联合体各方均为小微企业的，联合体视同小微企业。</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体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已专门面向中小微企业采购的项目，不再执行价格评审优惠的扶持政策。</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3.4符合《关于促进残疾人就业政府采购政策的通知》（财库〔2017〕141号）规定的条件并提供《残疾人福利性单位声明函》（附件1）的残疾人福利性单位视同小型、微型企业；</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3.6可享受中小企业扶持政策的供应商应按照招标文件格式要求提供《中小企业声明函》，供应商提供的《中小企业声明函》与实际情况不符的，不享受中小企业扶持政策。声明内容不实的，属于提供虚假材料谋取中标、成交的，依法承担法律责任。</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3.7中小企业享受扶持政策获得政府采购合同的，小微企业不得将合同分包给大中型企业，中型企业不得将合同分包给大型企业。</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4.支持创新发展</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 采购人优先采购被认定为首台套产品和“制造精品”的自主创新产品。</w:t>
            </w:r>
          </w:p>
          <w:p>
            <w:pPr>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4.2首台套产品被纳入《首台套产品推广应用指导目录》之日起2年内，以及产品核心技术高于国内领先水平，并具有明晰自主知识产权的“制造精品”产品，自认定之日起3年内视同已具备相应销售业绩，参加政府采购活动时业绩分值为满分。</w:t>
            </w:r>
          </w:p>
          <w:p>
            <w:pPr>
              <w:pStyle w:val="3"/>
              <w:pageBreakBefore w:val="0"/>
              <w:kinsoku/>
              <w:wordWrap/>
              <w:overflowPunct/>
              <w:topLinePunct w:val="0"/>
              <w:autoSpaceDE/>
              <w:autoSpaceDN/>
              <w:bidi w:val="0"/>
              <w:spacing w:before="0" w:after="0" w:line="240" w:lineRule="auto"/>
              <w:ind w:left="0" w:leftChars="0" w:firstLine="0" w:firstLineChars="0"/>
              <w:textAlignment w:val="auto"/>
              <w:rPr>
                <w:rFonts w:hint="eastAsia" w:ascii="宋体" w:hAnsi="宋体" w:eastAsia="宋体" w:cs="宋体"/>
                <w:b w:val="0"/>
                <w:bCs w:val="0"/>
                <w:color w:val="auto"/>
                <w:sz w:val="21"/>
                <w:szCs w:val="21"/>
                <w:highlight w:val="none"/>
                <w:lang w:val="en-US" w:eastAsia="zh-CN"/>
              </w:rPr>
            </w:pPr>
            <w:bookmarkStart w:id="24" w:name="_Toc13269"/>
            <w:bookmarkStart w:id="25" w:name="_Toc20488"/>
            <w:bookmarkStart w:id="26" w:name="_Toc14177"/>
            <w:r>
              <w:rPr>
                <w:rFonts w:hint="eastAsia" w:ascii="宋体" w:hAnsi="宋体" w:eastAsia="宋体" w:cs="宋体"/>
                <w:b w:val="0"/>
                <w:bCs w:val="0"/>
                <w:color w:val="auto"/>
                <w:sz w:val="21"/>
                <w:szCs w:val="21"/>
                <w:highlight w:val="none"/>
                <w:lang w:val="en-US" w:eastAsia="zh-CN"/>
              </w:rPr>
              <w:t>5.其他政府采购需执行的政策。</w:t>
            </w:r>
            <w:bookmarkEnd w:id="24"/>
            <w:bookmarkEnd w:id="25"/>
            <w:bookmarkEnd w:id="26"/>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6" w:space="0"/>
              <w:left w:val="double" w:color="auto" w:sz="4" w:space="0"/>
              <w:bottom w:val="single" w:color="auto" w:sz="4" w:space="0"/>
              <w:right w:val="single" w:color="auto" w:sz="6"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34</w:t>
            </w:r>
          </w:p>
        </w:tc>
        <w:tc>
          <w:tcPr>
            <w:tcW w:w="1729" w:type="dxa"/>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信息安全要求</w:t>
            </w:r>
          </w:p>
        </w:tc>
        <w:tc>
          <w:tcPr>
            <w:tcW w:w="6809" w:type="dxa"/>
            <w:tcBorders>
              <w:top w:val="single" w:color="auto" w:sz="6" w:space="0"/>
              <w:left w:val="single" w:color="auto" w:sz="6" w:space="0"/>
              <w:bottom w:val="single" w:color="auto" w:sz="4" w:space="0"/>
              <w:right w:val="double" w:color="auto" w:sz="4" w:space="0"/>
            </w:tcBorders>
            <w:vAlign w:val="center"/>
          </w:tcPr>
          <w:p>
            <w:pPr>
              <w:rPr>
                <w:rFonts w:ascii="宋体" w:hAnsi="宋体" w:cs="宋体"/>
                <w:b/>
                <w:bCs/>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b/>
                <w:bCs/>
                <w:color w:val="auto"/>
                <w:kern w:val="0"/>
                <w:szCs w:val="21"/>
                <w:highlight w:val="none"/>
                <w:lang w:val="en-US" w:eastAsia="zh-CN"/>
              </w:rPr>
              <w:t xml:space="preserve"> </w:t>
            </w:r>
            <w:r>
              <w:rPr>
                <w:rFonts w:hint="eastAsia" w:ascii="宋体" w:hAnsi="宋体" w:cs="宋体"/>
                <w:b/>
                <w:bCs/>
                <w:color w:val="auto"/>
                <w:kern w:val="0"/>
                <w:szCs w:val="21"/>
                <w:highlight w:val="none"/>
              </w:rPr>
              <w:t>本项目无信息安全要求。</w:t>
            </w:r>
          </w:p>
          <w:p>
            <w:pPr>
              <w:adjustRightInd w:val="0"/>
              <w:snapToGrid w:val="0"/>
              <w:rPr>
                <w:color w:val="auto"/>
                <w:highlight w:val="none"/>
              </w:rPr>
            </w:pPr>
            <w:r>
              <w:rPr>
                <w:rFonts w:ascii="宋体" w:hAnsi="宋体" w:cs="宋体"/>
                <w:color w:val="auto"/>
                <w:kern w:val="0"/>
                <w:szCs w:val="21"/>
                <w:highlight w:val="none"/>
              </w:rPr>
              <w:sym w:font="Wingdings" w:char="F0A8"/>
            </w:r>
            <w:r>
              <w:rPr>
                <w:rFonts w:hint="eastAsia" w:ascii="宋体" w:hAnsi="宋体" w:cs="宋体"/>
                <w:color w:val="auto"/>
                <w:kern w:val="0"/>
                <w:szCs w:val="21"/>
                <w:highlight w:val="none"/>
              </w:rPr>
              <w:t xml:space="preserve"> </w:t>
            </w:r>
            <w:r>
              <w:rPr>
                <w:rFonts w:hint="eastAsia" w:ascii="宋体" w:hAnsi="宋体" w:cs="宋体"/>
                <w:color w:val="auto"/>
                <w:highlight w:val="none"/>
              </w:rPr>
              <w:t>本次采购产品属于信息安全产品类别的，须提供由中国网络安全审查技术与认证中心（原中国信息安全认证中心）按国家标准认证颁发的有效认证证书，投标应符合《关于信息安全产品实施政府采购的通知》（财库〔2010〕48 号）要求。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35</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napToGrid w:val="0"/>
                <w:color w:val="auto"/>
                <w:kern w:val="0"/>
                <w:highlight w:val="none"/>
              </w:rPr>
            </w:pPr>
            <w:r>
              <w:rPr>
                <w:rFonts w:hint="eastAsia" w:ascii="宋体" w:hAnsi="宋体" w:cs="宋体"/>
                <w:color w:val="auto"/>
                <w:szCs w:val="21"/>
                <w:highlight w:val="none"/>
              </w:rPr>
              <w:t>是否允许采购进口产品</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b/>
                <w:bCs/>
                <w:color w:val="auto"/>
                <w:kern w:val="0"/>
                <w:szCs w:val="21"/>
                <w:highlight w:val="none"/>
              </w:rPr>
            </w:pPr>
            <w:r>
              <w:rPr>
                <w:rFonts w:hint="eastAsia" w:ascii="宋体" w:hAnsi="宋体" w:cs="宋体"/>
                <w:b/>
                <w:bCs/>
                <w:color w:val="auto"/>
                <w:kern w:val="0"/>
                <w:szCs w:val="21"/>
                <w:highlight w:val="none"/>
              </w:rPr>
              <w:t>√ 本项目不允许采购进口产品。</w:t>
            </w:r>
          </w:p>
          <w:p>
            <w:pPr>
              <w:rPr>
                <w:rFonts w:ascii="宋体" w:hAnsi="宋体" w:cs="宋体"/>
                <w:color w:val="auto"/>
                <w:highlight w:val="none"/>
              </w:rPr>
            </w:pPr>
            <w:r>
              <w:rPr>
                <w:rFonts w:ascii="宋体" w:hAnsi="宋体" w:cs="宋体"/>
                <w:color w:val="auto"/>
                <w:kern w:val="0"/>
                <w:szCs w:val="21"/>
                <w:highlight w:val="none"/>
              </w:rPr>
              <w:sym w:font="Wingdings" w:char="F0A8"/>
            </w:r>
            <w:r>
              <w:rPr>
                <w:rFonts w:hint="eastAsia" w:ascii="宋体" w:hAnsi="宋体" w:cs="宋体"/>
                <w:color w:val="auto"/>
                <w:kern w:val="0"/>
                <w:szCs w:val="21"/>
                <w:highlight w:val="none"/>
              </w:rPr>
              <w:t xml:space="preserve"> 本项目允许采购进口产品。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36</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项目属性与核心产品</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color w:val="auto"/>
                <w:szCs w:val="21"/>
                <w:highlight w:val="none"/>
              </w:rPr>
            </w:pPr>
            <w:r>
              <w:rPr>
                <w:rFonts w:ascii="Segoe UI Symbol" w:hAnsi="Segoe UI Symbol" w:cs="Segoe UI Symbol"/>
                <w:color w:val="auto"/>
                <w:kern w:val="0"/>
                <w:szCs w:val="21"/>
                <w:highlight w:val="none"/>
              </w:rPr>
              <w:t>☐</w:t>
            </w:r>
            <w:r>
              <w:rPr>
                <w:rFonts w:hint="eastAsia" w:ascii="宋体" w:hAnsi="宋体" w:cs="宋体"/>
                <w:color w:val="auto"/>
                <w:kern w:val="0"/>
                <w:szCs w:val="21"/>
                <w:highlight w:val="none"/>
              </w:rPr>
              <w:t xml:space="preserve"> </w:t>
            </w:r>
            <w:r>
              <w:rPr>
                <w:rFonts w:hint="eastAsia" w:ascii="宋体" w:hAnsi="宋体" w:cs="宋体"/>
                <w:color w:val="auto"/>
                <w:szCs w:val="21"/>
                <w:highlight w:val="none"/>
              </w:rPr>
              <w:t>货物类，单一产品或</w:t>
            </w:r>
            <w:r>
              <w:rPr>
                <w:rFonts w:hint="eastAsia" w:ascii="宋体" w:hAnsi="宋体" w:cs="宋体"/>
                <w:color w:val="auto"/>
                <w:kern w:val="0"/>
                <w:szCs w:val="21"/>
                <w:highlight w:val="none"/>
              </w:rPr>
              <w:t>核心产品为：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b/>
                <w:bCs/>
                <w:color w:val="auto"/>
                <w:szCs w:val="21"/>
                <w:highlight w:val="none"/>
              </w:rPr>
              <w:t>服务类。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37</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bCs/>
                <w:color w:val="auto"/>
                <w:szCs w:val="21"/>
                <w:highlight w:val="none"/>
              </w:rPr>
              <w:t>采购标的对应的中小企业划分标准所属行业</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b/>
                <w:bCs/>
                <w:color w:val="auto"/>
                <w:highlight w:val="none"/>
                <w:u w:val="single"/>
              </w:rPr>
            </w:pPr>
            <w:bookmarkStart w:id="27" w:name="_Toc25726"/>
            <w:bookmarkStart w:id="28" w:name="_Toc3371"/>
            <w:bookmarkStart w:id="29" w:name="_Toc12704"/>
            <w:bookmarkStart w:id="30" w:name="_Toc10868"/>
            <w:bookmarkStart w:id="31" w:name="_Toc2572"/>
            <w:bookmarkStart w:id="32" w:name="_Toc9884"/>
            <w:r>
              <w:rPr>
                <w:rFonts w:hint="eastAsia" w:ascii="宋体" w:hAnsi="宋体" w:eastAsia="宋体" w:cs="宋体"/>
                <w:color w:val="auto"/>
                <w:highlight w:val="none"/>
              </w:rPr>
              <w:t>本项目的采购标的：</w:t>
            </w:r>
            <w:r>
              <w:rPr>
                <w:rFonts w:hint="eastAsia" w:ascii="宋体" w:hAnsi="宋体" w:eastAsia="宋体" w:cs="宋体"/>
                <w:b/>
                <w:bCs/>
                <w:color w:val="auto"/>
                <w:highlight w:val="none"/>
                <w:u w:val="single"/>
              </w:rPr>
              <w:t>药品安全智慧监管“黑匣子”（二期）项目；</w:t>
            </w:r>
            <w:bookmarkEnd w:id="27"/>
            <w:bookmarkEnd w:id="28"/>
            <w:bookmarkEnd w:id="29"/>
            <w:bookmarkEnd w:id="30"/>
            <w:bookmarkEnd w:id="31"/>
            <w:bookmarkEnd w:id="32"/>
          </w:p>
          <w:p>
            <w:pPr>
              <w:rPr>
                <w:rFonts w:hint="eastAsia" w:ascii="宋体" w:hAnsi="宋体" w:eastAsia="宋体" w:cs="宋体"/>
                <w:color w:val="auto"/>
                <w:highlight w:val="none"/>
              </w:rPr>
            </w:pPr>
            <w:bookmarkStart w:id="33" w:name="_Toc9299"/>
            <w:bookmarkStart w:id="34" w:name="_Toc437"/>
            <w:bookmarkStart w:id="35" w:name="_Toc8765"/>
            <w:bookmarkStart w:id="36" w:name="_Toc25942"/>
            <w:bookmarkStart w:id="37" w:name="_Toc27718"/>
            <w:bookmarkStart w:id="38" w:name="_Toc9673"/>
            <w:r>
              <w:rPr>
                <w:rFonts w:hint="eastAsia" w:ascii="宋体" w:hAnsi="宋体" w:eastAsia="宋体" w:cs="宋体"/>
                <w:color w:val="auto"/>
                <w:highlight w:val="none"/>
              </w:rPr>
              <w:t>本项目属于中小企业划分标准所属行业中的</w:t>
            </w:r>
            <w:r>
              <w:rPr>
                <w:rFonts w:hint="eastAsia" w:ascii="宋体" w:hAnsi="宋体" w:eastAsia="宋体" w:cs="宋体"/>
                <w:b/>
                <w:bCs/>
                <w:color w:val="auto"/>
                <w:highlight w:val="none"/>
                <w:u w:val="single"/>
              </w:rPr>
              <w:t xml:space="preserve"> 软件和信息技术服务业 </w:t>
            </w:r>
            <w:r>
              <w:rPr>
                <w:rFonts w:hint="eastAsia" w:ascii="宋体" w:hAnsi="宋体" w:eastAsia="宋体" w:cs="宋体"/>
                <w:color w:val="auto"/>
                <w:highlight w:val="none"/>
              </w:rPr>
              <w:t>行业</w:t>
            </w:r>
            <w:bookmarkEnd w:id="33"/>
            <w:bookmarkEnd w:id="34"/>
            <w:bookmarkEnd w:id="35"/>
            <w:bookmarkEnd w:id="36"/>
            <w:bookmarkEnd w:id="37"/>
            <w:bookmarkEnd w:id="38"/>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软件和信息技术服务业</w:t>
            </w:r>
            <w:r>
              <w:rPr>
                <w:rFonts w:hint="eastAsia" w:ascii="宋体" w:hAnsi="宋体" w:eastAsia="宋体" w:cs="宋体"/>
                <w:bCs/>
                <w:color w:val="auto"/>
                <w:szCs w:val="21"/>
                <w:highlight w:val="none"/>
              </w:rPr>
              <w:t>划分标准：</w:t>
            </w:r>
            <w:r>
              <w:rPr>
                <w:rFonts w:hint="eastAsia" w:ascii="宋体" w:hAnsi="宋体" w:eastAsia="宋体" w:cs="宋体"/>
                <w:b/>
                <w:bCs/>
                <w:color w:val="auto"/>
                <w:spacing w:val="6"/>
                <w:szCs w:val="21"/>
                <w:highlight w:val="none"/>
                <w:u w:val="singl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38</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是否专门面向</w:t>
            </w:r>
          </w:p>
          <w:p>
            <w:pPr>
              <w:adjustRightInd w:val="0"/>
              <w:snapToGrid w:val="0"/>
              <w:jc w:val="center"/>
              <w:rPr>
                <w:rFonts w:ascii="宋体" w:hAnsi="宋体" w:cs="宋体"/>
                <w:bCs/>
                <w:color w:val="auto"/>
                <w:szCs w:val="21"/>
                <w:highlight w:val="none"/>
              </w:rPr>
            </w:pPr>
            <w:r>
              <w:rPr>
                <w:rFonts w:hint="eastAsia" w:ascii="宋体" w:hAnsi="宋体" w:cs="宋体"/>
                <w:color w:val="auto"/>
                <w:szCs w:val="21"/>
                <w:highlight w:val="none"/>
              </w:rPr>
              <w:t>中小微企业采购</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b/>
                <w:bCs/>
                <w:color w:val="auto"/>
                <w:highlight w:val="none"/>
              </w:rPr>
            </w:pPr>
            <w:r>
              <w:rPr>
                <w:rFonts w:hint="eastAsia" w:ascii="宋体" w:hAnsi="宋体" w:cs="宋体"/>
                <w:b/>
                <w:bCs/>
                <w:color w:val="auto"/>
                <w:kern w:val="0"/>
                <w:szCs w:val="21"/>
                <w:highlight w:val="none"/>
              </w:rPr>
              <w:t>√</w:t>
            </w:r>
            <w:r>
              <w:rPr>
                <w:rFonts w:hint="eastAsia" w:ascii="宋体" w:hAnsi="宋体" w:cs="宋体"/>
                <w:b/>
                <w:bCs/>
                <w:color w:val="auto"/>
                <w:kern w:val="0"/>
                <w:szCs w:val="21"/>
                <w:highlight w:val="none"/>
                <w:lang w:val="en-US" w:eastAsia="zh-CN"/>
              </w:rPr>
              <w:t xml:space="preserve"> </w:t>
            </w:r>
            <w:r>
              <w:rPr>
                <w:rFonts w:hint="eastAsia" w:ascii="宋体" w:hAnsi="宋体" w:cs="宋体"/>
                <w:b/>
                <w:bCs/>
                <w:color w:val="auto"/>
                <w:highlight w:val="none"/>
              </w:rPr>
              <w:t>本项目专门面向中小企业采购</w:t>
            </w:r>
          </w:p>
          <w:p>
            <w:pPr>
              <w:rPr>
                <w:rFonts w:ascii="宋体" w:hAnsi="宋体" w:cs="宋体"/>
                <w:b w:val="0"/>
                <w:bCs w:val="0"/>
                <w:color w:val="auto"/>
                <w:highlight w:val="none"/>
              </w:rPr>
            </w:pPr>
            <w:r>
              <w:rPr>
                <w:rFonts w:ascii="宋体" w:hAnsi="宋体" w:cs="宋体"/>
                <w:color w:val="auto"/>
                <w:szCs w:val="21"/>
                <w:highlight w:val="none"/>
              </w:rPr>
              <w:sym w:font="Wingdings" w:char="00A8"/>
            </w:r>
            <w:r>
              <w:rPr>
                <w:rFonts w:hint="eastAsia" w:ascii="宋体" w:hAnsi="宋体" w:cs="宋体"/>
                <w:color w:val="auto"/>
                <w:szCs w:val="21"/>
                <w:highlight w:val="none"/>
                <w:lang w:val="en-US" w:eastAsia="zh-CN"/>
              </w:rPr>
              <w:t xml:space="preserve"> </w:t>
            </w:r>
            <w:r>
              <w:rPr>
                <w:rFonts w:hint="eastAsia" w:ascii="宋体" w:hAnsi="宋体" w:cs="宋体"/>
                <w:b w:val="0"/>
                <w:bCs w:val="0"/>
                <w:color w:val="auto"/>
                <w:highlight w:val="none"/>
              </w:rPr>
              <w:t>本项目非专门面向中小企业采购</w:t>
            </w:r>
          </w:p>
          <w:p>
            <w:pPr>
              <w:pStyle w:val="17"/>
              <w:rPr>
                <w:rFonts w:ascii="宋体" w:hAnsi="宋体" w:cs="宋体"/>
                <w:color w:val="auto"/>
                <w:kern w:val="0"/>
                <w:szCs w:val="21"/>
                <w:highlight w:val="none"/>
              </w:rPr>
            </w:pPr>
            <w:r>
              <w:rPr>
                <w:rFonts w:hint="eastAsia" w:ascii="宋体" w:hAnsi="宋体" w:cs="宋体"/>
                <w:color w:val="auto"/>
                <w:highlight w:val="none"/>
              </w:rPr>
              <w:t>供应商应提供符合《政府采购促进中小企业发展管理办法》规定的中小企业声明函，</w:t>
            </w:r>
            <w:r>
              <w:rPr>
                <w:rFonts w:hint="eastAsia"/>
                <w:color w:val="auto"/>
                <w:spacing w:val="-1"/>
                <w:highlight w:val="none"/>
              </w:rPr>
              <w:t>否则不得享受相关中小企业扶持政策</w:t>
            </w:r>
            <w:r>
              <w:rPr>
                <w:rFonts w:hint="eastAsia" w:ascii="宋体" w:hAnsi="宋体" w:cs="宋体"/>
                <w:color w:val="auto"/>
                <w:highlight w:val="none"/>
              </w:rPr>
              <w:t>。本项目不</w:t>
            </w:r>
            <w:r>
              <w:rPr>
                <w:rFonts w:hint="eastAsia"/>
                <w:color w:val="auto"/>
                <w:spacing w:val="-1"/>
                <w:highlight w:val="none"/>
              </w:rPr>
              <w:t>要求供应商提供《中小企业声明函》之外的中小企业身份证明文件。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39</w:t>
            </w:r>
          </w:p>
        </w:tc>
        <w:tc>
          <w:tcPr>
            <w:tcW w:w="172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cs="宋体"/>
                <w:snapToGrid w:val="0"/>
                <w:color w:val="auto"/>
                <w:kern w:val="0"/>
                <w:szCs w:val="21"/>
                <w:highlight w:val="none"/>
              </w:rPr>
            </w:pPr>
            <w:r>
              <w:rPr>
                <w:rFonts w:hint="eastAsia" w:ascii="宋体" w:hAnsi="宋体" w:cs="宋体"/>
                <w:color w:val="auto"/>
                <w:szCs w:val="21"/>
                <w:highlight w:val="none"/>
              </w:rPr>
              <w:t>采购人是否允许分包</w:t>
            </w:r>
          </w:p>
        </w:tc>
        <w:tc>
          <w:tcPr>
            <w:tcW w:w="680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color w:val="auto"/>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w:t>
            </w:r>
            <w:r>
              <w:rPr>
                <w:rFonts w:hint="eastAsia" w:ascii="宋体" w:hAnsi="宋体" w:cs="宋体"/>
                <w:b/>
                <w:bCs/>
                <w:color w:val="auto"/>
                <w:szCs w:val="21"/>
                <w:highlight w:val="none"/>
              </w:rPr>
              <w:t>同意将非主体、非关键性的工作分包，供应商拟将本项目进行分包又符合价格优惠政策的，应在投标文件中提供分包意向协议，否则不予享受价格优惠政策。</w:t>
            </w:r>
          </w:p>
          <w:p>
            <w:pPr>
              <w:rPr>
                <w:rFonts w:ascii="宋体" w:hAnsi="宋体" w:cs="宋体"/>
                <w:color w:val="auto"/>
                <w:szCs w:val="21"/>
                <w:highlight w:val="none"/>
              </w:rPr>
            </w:pPr>
            <w:r>
              <w:rPr>
                <w:rFonts w:hint="eastAsia" w:ascii="宋体" w:hAnsi="宋体" w:cs="宋体"/>
                <w:b/>
                <w:bCs/>
                <w:color w:val="auto"/>
                <w:kern w:val="0"/>
                <w:szCs w:val="21"/>
                <w:highlight w:val="none"/>
              </w:rPr>
              <w:t xml:space="preserve"> </w:t>
            </w:r>
            <w:r>
              <w:rPr>
                <w:rFonts w:ascii="宋体" w:hAnsi="宋体" w:cs="宋体"/>
                <w:color w:val="auto"/>
                <w:szCs w:val="21"/>
                <w:highlight w:val="none"/>
              </w:rPr>
              <w:sym w:font="Wingdings" w:char="F0A8"/>
            </w:r>
            <w:r>
              <w:rPr>
                <w:rFonts w:hint="eastAsia" w:ascii="宋体" w:hAnsi="宋体" w:cs="宋体"/>
                <w:color w:val="auto"/>
                <w:szCs w:val="21"/>
                <w:highlight w:val="none"/>
              </w:rPr>
              <w:t xml:space="preserve"> 不同意分包。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648" w:type="dxa"/>
            <w:vMerge w:val="restart"/>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40</w:t>
            </w:r>
          </w:p>
        </w:tc>
        <w:tc>
          <w:tcPr>
            <w:tcW w:w="1729"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投标人信用信息事项</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color w:val="auto"/>
                <w:kern w:val="0"/>
                <w:highlight w:val="none"/>
              </w:rPr>
            </w:pPr>
            <w:r>
              <w:rPr>
                <w:rFonts w:hint="eastAsia" w:ascii="宋体" w:hAnsi="宋体" w:cs="宋体"/>
                <w:snapToGrid w:val="0"/>
                <w:color w:val="auto"/>
                <w:kern w:val="0"/>
                <w:highlight w:val="none"/>
              </w:rPr>
              <w:t>信用信息查询渠道及截止时间：采购代理机构将通过“信用中国”网站(www.creditchina.gov.cn)、中国政府采购网(www.ccgp.gov.cn)等渠道查询投标人投标截止时间当天的信用记录。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color w:val="auto"/>
                <w:kern w:val="0"/>
                <w:highlight w:val="none"/>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napToGrid w:val="0"/>
                <w:color w:val="auto"/>
                <w:kern w:val="0"/>
                <w:highlight w:val="none"/>
              </w:rPr>
            </w:pP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color w:val="auto"/>
                <w:kern w:val="0"/>
                <w:highlight w:val="none"/>
              </w:rPr>
            </w:pPr>
            <w:r>
              <w:rPr>
                <w:rFonts w:hint="eastAsia" w:ascii="宋体" w:hAnsi="宋体" w:cs="宋体"/>
                <w:snapToGrid w:val="0"/>
                <w:color w:val="auto"/>
                <w:kern w:val="0"/>
                <w:highlight w:val="none"/>
              </w:rPr>
              <w:t>信用信息查询记录和证据留存的具体方式：采购代理机构开标当天查询投标人的信用记录，查询结果经确认后与采购文件一起存档。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color w:val="auto"/>
                <w:kern w:val="0"/>
                <w:highlight w:val="none"/>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napToGrid w:val="0"/>
                <w:color w:val="auto"/>
                <w:kern w:val="0"/>
                <w:highlight w:val="none"/>
              </w:rPr>
            </w:pP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color w:val="auto"/>
                <w:kern w:val="0"/>
                <w:highlight w:val="none"/>
              </w:rPr>
            </w:pPr>
            <w:r>
              <w:rPr>
                <w:rFonts w:hint="eastAsia" w:ascii="宋体" w:hAnsi="宋体" w:cs="宋体"/>
                <w:snapToGrid w:val="0"/>
                <w:color w:val="auto"/>
                <w:kern w:val="0"/>
                <w:highlight w:val="none"/>
              </w:rPr>
              <w:t>信用信息的使用规则：经查询列入失信被执行人名单、重大税收违法案件当事人名单、政府采购严重违法失信行为记录名单的投标人的投标文件将被拒绝。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snapToGrid w:val="0"/>
                <w:color w:val="auto"/>
                <w:kern w:val="0"/>
                <w:highlight w:val="none"/>
              </w:rPr>
            </w:pPr>
          </w:p>
        </w:tc>
        <w:tc>
          <w:tcPr>
            <w:tcW w:w="172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napToGrid w:val="0"/>
                <w:color w:val="auto"/>
                <w:kern w:val="0"/>
                <w:highlight w:val="none"/>
              </w:rPr>
            </w:pP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rPr>
                <w:rFonts w:ascii="宋体" w:hAnsi="宋体" w:cs="宋体"/>
                <w:snapToGrid w:val="0"/>
                <w:color w:val="auto"/>
                <w:kern w:val="0"/>
                <w:highlight w:val="none"/>
              </w:rPr>
            </w:pPr>
            <w:r>
              <w:rPr>
                <w:rFonts w:hint="eastAsia" w:ascii="宋体" w:hAnsi="宋体" w:cs="宋体"/>
                <w:snapToGrid w:val="0"/>
                <w:color w:val="auto"/>
                <w:kern w:val="0"/>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left w:val="double" w:color="auto" w:sz="4" w:space="0"/>
              <w:bottom w:val="single" w:color="auto" w:sz="6" w:space="0"/>
              <w:right w:val="single" w:color="auto" w:sz="6" w:space="0"/>
            </w:tcBorders>
            <w:vAlign w:val="center"/>
          </w:tcPr>
          <w:p>
            <w:pPr>
              <w:widowControl/>
              <w:jc w:val="left"/>
              <w:rPr>
                <w:rFonts w:hint="default" w:ascii="宋体" w:hAnsi="宋体" w:eastAsia="宋体" w:cs="宋体"/>
                <w:snapToGrid w:val="0"/>
                <w:color w:val="auto"/>
                <w:kern w:val="0"/>
                <w:highlight w:val="none"/>
                <w:lang w:val="en-US" w:eastAsia="zh-CN"/>
              </w:rPr>
            </w:pPr>
            <w:bookmarkStart w:id="39" w:name="_Toc251566649"/>
            <w:bookmarkStart w:id="40" w:name="_Toc240450076"/>
            <w:r>
              <w:rPr>
                <w:rFonts w:hint="eastAsia" w:ascii="宋体" w:hAnsi="宋体" w:cs="宋体"/>
                <w:snapToGrid w:val="0"/>
                <w:color w:val="auto"/>
                <w:kern w:val="0"/>
                <w:highlight w:val="none"/>
                <w:lang w:val="en-US" w:eastAsia="zh-CN"/>
              </w:rPr>
              <w:t>41</w:t>
            </w:r>
          </w:p>
        </w:tc>
        <w:tc>
          <w:tcPr>
            <w:tcW w:w="172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rPr>
                <w:rFonts w:ascii="宋体" w:hAnsi="宋体" w:cs="宋体"/>
                <w:snapToGrid w:val="0"/>
                <w:color w:val="auto"/>
                <w:kern w:val="0"/>
                <w:highlight w:val="none"/>
              </w:rPr>
            </w:pPr>
            <w:r>
              <w:rPr>
                <w:rFonts w:hint="eastAsia" w:ascii="宋体" w:hAnsi="宋体" w:cs="宋体"/>
                <w:snapToGrid w:val="0"/>
                <w:color w:val="auto"/>
                <w:kern w:val="0"/>
                <w:highlight w:val="none"/>
              </w:rPr>
              <w:t>联合体投标说明</w:t>
            </w:r>
          </w:p>
        </w:tc>
        <w:tc>
          <w:tcPr>
            <w:tcW w:w="6809"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1.业绩证明材料</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联合体投标的，按联合体协议约定的分工内容出具相应的业绩证明材料。承担相同工作的各方或工作内容存在部分相同的，业绩数量以提供材料较少的一方为准。</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2.其他资信证明材料</w:t>
            </w:r>
          </w:p>
          <w:p>
            <w:pPr>
              <w:adjustRightInd w:val="0"/>
              <w:snapToGrid w:val="0"/>
              <w:spacing w:line="320" w:lineRule="exac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联合体投标的，联合体各方均需按招标文件第五部分评标标准要求提供资信证明文件，否则视为不符合相关要求。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tcBorders>
              <w:top w:val="single" w:color="auto" w:sz="6" w:space="0"/>
              <w:left w:val="double" w:color="auto" w:sz="4" w:space="0"/>
              <w:bottom w:val="double" w:color="auto" w:sz="4" w:space="0"/>
              <w:right w:val="single" w:color="auto" w:sz="6"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2</w:t>
            </w:r>
          </w:p>
        </w:tc>
        <w:tc>
          <w:tcPr>
            <w:tcW w:w="1729" w:type="dxa"/>
            <w:tcBorders>
              <w:top w:val="single" w:color="auto" w:sz="6" w:space="0"/>
              <w:left w:val="single" w:color="auto" w:sz="6" w:space="0"/>
              <w:bottom w:val="double" w:color="auto" w:sz="4" w:space="0"/>
              <w:right w:val="single" w:color="auto" w:sz="6" w:space="0"/>
            </w:tcBorders>
            <w:vAlign w:val="center"/>
          </w:tcPr>
          <w:p>
            <w:pPr>
              <w:adjustRightInd w:val="0"/>
              <w:snapToGrid w:val="0"/>
              <w:jc w:val="center"/>
              <w:rPr>
                <w:rFonts w:ascii="宋体" w:hAnsi="宋体" w:cs="宋体"/>
                <w:b/>
                <w:color w:val="auto"/>
                <w:sz w:val="24"/>
                <w:highlight w:val="none"/>
              </w:rPr>
            </w:pPr>
            <w:r>
              <w:rPr>
                <w:rFonts w:hint="eastAsia" w:ascii="宋体" w:hAnsi="宋体" w:cs="宋体"/>
                <w:snapToGrid w:val="0"/>
                <w:color w:val="auto"/>
                <w:kern w:val="0"/>
                <w:highlight w:val="none"/>
              </w:rPr>
              <w:t>其他</w:t>
            </w:r>
          </w:p>
        </w:tc>
        <w:tc>
          <w:tcPr>
            <w:tcW w:w="6809" w:type="dxa"/>
            <w:tcBorders>
              <w:top w:val="single" w:color="auto" w:sz="6" w:space="0"/>
              <w:left w:val="single" w:color="auto" w:sz="6" w:space="0"/>
              <w:bottom w:val="double" w:color="auto" w:sz="4" w:space="0"/>
              <w:right w:val="double" w:color="auto" w:sz="4" w:space="0"/>
            </w:tcBorders>
            <w:vAlign w:val="center"/>
          </w:tcPr>
          <w:p>
            <w:pPr>
              <w:adjustRightInd w:val="0"/>
              <w:snapToGrid w:val="0"/>
              <w:jc w:val="left"/>
              <w:rPr>
                <w:rFonts w:ascii="宋体" w:hAnsi="宋体" w:cs="宋体"/>
                <w:snapToGrid w:val="0"/>
                <w:color w:val="auto"/>
                <w:kern w:val="0"/>
                <w:highlight w:val="none"/>
              </w:rPr>
            </w:pPr>
            <w:r>
              <w:rPr>
                <w:rFonts w:hint="eastAsia" w:ascii="宋体" w:hAnsi="宋体" w:cs="宋体"/>
                <w:snapToGrid w:val="0"/>
                <w:color w:val="auto"/>
                <w:kern w:val="0"/>
                <w:highlight w:val="none"/>
                <w:lang w:val="en-US" w:eastAsia="zh-CN"/>
              </w:rPr>
              <w:t>1.</w:t>
            </w:r>
            <w:r>
              <w:rPr>
                <w:rFonts w:hint="eastAsia" w:ascii="宋体" w:hAnsi="宋体" w:cs="宋体"/>
                <w:snapToGrid w:val="0"/>
                <w:color w:val="auto"/>
                <w:kern w:val="0"/>
                <w:highlight w:val="none"/>
              </w:rPr>
              <w:t>采购文件中凡标注“▲”的条款均为实质性要求，不响应的投标文件将作无效标处理。</w:t>
            </w:r>
          </w:p>
          <w:p>
            <w:pPr>
              <w:adjustRightInd w:val="0"/>
              <w:snapToGrid w:val="0"/>
              <w:jc w:val="left"/>
              <w:rPr>
                <w:rFonts w:ascii="宋体" w:hAnsi="宋体" w:cs="宋体"/>
                <w:snapToGrid w:val="0"/>
                <w:color w:val="auto"/>
                <w:kern w:val="0"/>
                <w:highlight w:val="none"/>
              </w:rPr>
            </w:pPr>
            <w:r>
              <w:rPr>
                <w:rFonts w:hint="eastAsia" w:ascii="宋体" w:hAnsi="宋体" w:cs="宋体"/>
                <w:snapToGrid w:val="0"/>
                <w:color w:val="auto"/>
                <w:kern w:val="0"/>
                <w:highlight w:val="none"/>
                <w:lang w:val="en-US" w:eastAsia="zh-CN"/>
              </w:rPr>
              <w:t>2.</w:t>
            </w:r>
            <w:r>
              <w:rPr>
                <w:rFonts w:hint="eastAsia" w:ascii="宋体" w:hAnsi="宋体" w:cs="宋体"/>
                <w:snapToGrid w:val="0"/>
                <w:color w:val="auto"/>
                <w:kern w:val="0"/>
                <w:highlight w:val="none"/>
              </w:rPr>
              <w:t>供应商未上传电子加密投标文件，其投标无效。</w:t>
            </w:r>
          </w:p>
          <w:p>
            <w:pPr>
              <w:adjustRightInd w:val="0"/>
              <w:snapToGrid w:val="0"/>
              <w:jc w:val="left"/>
              <w:rPr>
                <w:rFonts w:ascii="宋体" w:hAnsi="宋体" w:cs="宋体"/>
                <w:snapToGrid w:val="0"/>
                <w:color w:val="auto"/>
                <w:kern w:val="0"/>
                <w:highlight w:val="none"/>
              </w:rPr>
            </w:pPr>
            <w:r>
              <w:rPr>
                <w:rFonts w:hint="eastAsia" w:ascii="宋体" w:hAnsi="宋体" w:cs="宋体"/>
                <w:snapToGrid w:val="0"/>
                <w:color w:val="auto"/>
                <w:kern w:val="0"/>
                <w:highlight w:val="none"/>
                <w:lang w:val="en-US" w:eastAsia="zh-CN"/>
              </w:rPr>
              <w:t>3.</w:t>
            </w:r>
            <w:r>
              <w:rPr>
                <w:rFonts w:hint="eastAsia" w:ascii="宋体" w:hAnsi="宋体" w:cs="宋体"/>
                <w:snapToGrid w:val="0"/>
                <w:color w:val="auto"/>
                <w:kern w:val="0"/>
                <w:highlight w:val="none"/>
              </w:rPr>
              <w:t>供应商上传了电子加密投标文件，未提供备份投标文件，解密出现问题后，由此导致对该供应商投标无法评审的，其后果由该供应商自行承担。</w:t>
            </w:r>
          </w:p>
          <w:p>
            <w:pPr>
              <w:adjustRightInd w:val="0"/>
              <w:snapToGrid w:val="0"/>
              <w:jc w:val="left"/>
              <w:rPr>
                <w:rFonts w:ascii="宋体" w:hAnsi="宋体" w:cs="宋体"/>
                <w:snapToGrid w:val="0"/>
                <w:color w:val="auto"/>
                <w:kern w:val="0"/>
                <w:highlight w:val="none"/>
              </w:rPr>
            </w:pPr>
            <w:r>
              <w:rPr>
                <w:rFonts w:hint="eastAsia" w:ascii="宋体" w:hAnsi="宋体" w:cs="宋体"/>
                <w:snapToGrid w:val="0"/>
                <w:color w:val="auto"/>
                <w:kern w:val="0"/>
                <w:highlight w:val="none"/>
                <w:lang w:val="en-US" w:eastAsia="zh-CN"/>
              </w:rPr>
              <w:t>4.</w:t>
            </w:r>
            <w:r>
              <w:rPr>
                <w:rFonts w:hint="eastAsia" w:ascii="宋体" w:hAnsi="宋体" w:cs="宋体"/>
                <w:snapToGrid w:val="0"/>
                <w:color w:val="auto"/>
                <w:kern w:val="0"/>
                <w:highlight w:val="none"/>
              </w:rPr>
              <w:t>各供应商自行在浙江政府采购网下载或查阅采购文件和相关更正公告等，不另行通知，如有遗漏采购人、采购代理机构概不负责。</w:t>
            </w:r>
          </w:p>
          <w:p>
            <w:pPr>
              <w:adjustRightInd w:val="0"/>
              <w:snapToGrid w:val="0"/>
              <w:jc w:val="left"/>
              <w:rPr>
                <w:rFonts w:ascii="宋体" w:hAnsi="宋体" w:cs="宋体"/>
                <w:snapToGrid w:val="0"/>
                <w:color w:val="auto"/>
                <w:kern w:val="0"/>
                <w:highlight w:val="none"/>
              </w:rPr>
            </w:pP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两家或两家以上供应商提供的投标文件出自同一终端设备的，或在相同Internet主机分配地址（相同IP地址）报名或网上投标的，后果由供应商自行承担。</w:t>
            </w:r>
          </w:p>
        </w:tc>
      </w:tr>
    </w:tbl>
    <w:p>
      <w:pPr>
        <w:ind w:firstLine="420" w:firstLineChars="200"/>
        <w:rPr>
          <w:rFonts w:ascii="宋体" w:hAnsi="宋体" w:cs="宋体"/>
          <w:color w:val="auto"/>
          <w:szCs w:val="21"/>
          <w:highlight w:val="none"/>
        </w:rPr>
      </w:pPr>
      <w:r>
        <w:rPr>
          <w:rFonts w:hint="eastAsia" w:ascii="宋体" w:hAnsi="宋体" w:cs="宋体"/>
          <w:color w:val="auto"/>
          <w:szCs w:val="21"/>
          <w:highlight w:val="none"/>
        </w:rPr>
        <w:t>注：以上内容如有变化将另行公告通知。如通知其中某一内容发生变化，其余未提及的将不作变动，采购文件其他内容与本表内容要求不一致的，以本表内容为准。</w:t>
      </w:r>
    </w:p>
    <w:p>
      <w:pPr>
        <w:adjustRightInd w:val="0"/>
        <w:snapToGrid w:val="0"/>
        <w:spacing w:beforeLines="50" w:afterLines="50" w:line="360" w:lineRule="auto"/>
        <w:jc w:val="center"/>
        <w:outlineLvl w:val="0"/>
        <w:rPr>
          <w:rFonts w:ascii="宋体" w:hAnsi="宋体" w:cs="宋体"/>
          <w:color w:val="auto"/>
          <w:szCs w:val="21"/>
          <w:highlight w:val="none"/>
        </w:rPr>
      </w:pPr>
      <w:r>
        <w:rPr>
          <w:rFonts w:hint="eastAsia" w:ascii="宋体" w:hAnsi="宋体" w:cs="宋体"/>
          <w:color w:val="auto"/>
          <w:szCs w:val="21"/>
          <w:highlight w:val="none"/>
        </w:rPr>
        <w:br w:type="page"/>
      </w:r>
      <w:bookmarkStart w:id="41" w:name="_Toc25288"/>
      <w:bookmarkStart w:id="42" w:name="_Toc2654"/>
      <w:bookmarkStart w:id="43" w:name="_Toc7321"/>
      <w:bookmarkStart w:id="44" w:name="_Toc28379"/>
      <w:bookmarkStart w:id="45" w:name="_Toc2187"/>
      <w:bookmarkStart w:id="46" w:name="_Toc2059"/>
      <w:r>
        <w:rPr>
          <w:rFonts w:hint="eastAsia" w:ascii="宋体" w:hAnsi="宋体" w:cs="宋体"/>
          <w:b/>
          <w:color w:val="auto"/>
          <w:sz w:val="30"/>
          <w:szCs w:val="30"/>
          <w:highlight w:val="none"/>
        </w:rPr>
        <w:t>第二部分  投标须知</w:t>
      </w:r>
      <w:bookmarkEnd w:id="39"/>
      <w:bookmarkEnd w:id="40"/>
      <w:bookmarkEnd w:id="41"/>
      <w:bookmarkEnd w:id="42"/>
      <w:bookmarkEnd w:id="43"/>
      <w:bookmarkEnd w:id="44"/>
      <w:bookmarkEnd w:id="45"/>
      <w:bookmarkEnd w:id="46"/>
    </w:p>
    <w:p>
      <w:pPr>
        <w:pStyle w:val="3"/>
        <w:keepNext/>
        <w:keepLines/>
        <w:pageBreakBefore w:val="0"/>
        <w:widowControl w:val="0"/>
        <w:kinsoku/>
        <w:wordWrap/>
        <w:overflowPunct/>
        <w:topLinePunct w:val="0"/>
        <w:autoSpaceDE/>
        <w:autoSpaceDN/>
        <w:bidi w:val="0"/>
        <w:adjustRightInd w:val="0"/>
        <w:snapToGrid w:val="0"/>
        <w:spacing w:before="0" w:after="0" w:line="360" w:lineRule="auto"/>
        <w:textAlignment w:val="auto"/>
        <w:rPr>
          <w:rFonts w:ascii="宋体" w:hAnsi="宋体" w:eastAsia="宋体"/>
          <w:color w:val="auto"/>
          <w:sz w:val="21"/>
          <w:szCs w:val="21"/>
          <w:highlight w:val="none"/>
        </w:rPr>
      </w:pPr>
      <w:bookmarkStart w:id="47" w:name="_Toc19191"/>
      <w:bookmarkStart w:id="48" w:name="_Toc251566650"/>
      <w:bookmarkStart w:id="49" w:name="_Toc22479"/>
      <w:bookmarkStart w:id="50" w:name="_Toc240450077"/>
      <w:bookmarkStart w:id="51" w:name="_Toc12000"/>
      <w:bookmarkStart w:id="52" w:name="_Toc10432"/>
      <w:bookmarkStart w:id="53" w:name="_Toc4430"/>
      <w:bookmarkStart w:id="54" w:name="_Toc20774"/>
      <w:r>
        <w:rPr>
          <w:rFonts w:hint="eastAsia" w:ascii="宋体" w:hAnsi="宋体" w:eastAsia="宋体"/>
          <w:color w:val="auto"/>
          <w:sz w:val="21"/>
          <w:szCs w:val="21"/>
          <w:highlight w:val="none"/>
        </w:rPr>
        <w:t>一、总则</w:t>
      </w:r>
      <w:bookmarkEnd w:id="47"/>
      <w:bookmarkEnd w:id="48"/>
      <w:bookmarkEnd w:id="49"/>
      <w:bookmarkEnd w:id="50"/>
      <w:bookmarkEnd w:id="51"/>
      <w:bookmarkEnd w:id="52"/>
      <w:bookmarkEnd w:id="53"/>
      <w:bookmarkEnd w:id="54"/>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本次招标工作是按照《中华人民共和国政府采购法》、《中华人民共和国政府采购法实施条例》、《政府采购货物和服务招标投标管理办法》等相关法律法规组织和实施，并接受政府采购监督管理部门的监督。</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1．适用范围</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 本采购文件仅适用于本次招标项目。</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 本项目采购方式为公开招标。</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 投标须知为采购文件的通用条款，如通用条款与前附表、用户需求、合同条款等特定条款不一致的，请按特定条款执行。</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2．定义</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2.1“采购人”系指</w:t>
      </w:r>
      <w:r>
        <w:rPr>
          <w:rFonts w:hint="eastAsia" w:ascii="宋体" w:hAnsi="宋体" w:cs="宋体"/>
          <w:snapToGrid w:val="0"/>
          <w:color w:val="auto"/>
          <w:kern w:val="0"/>
          <w:szCs w:val="21"/>
          <w:highlight w:val="none"/>
          <w:lang w:eastAsia="zh-CN"/>
        </w:rPr>
        <w:t>浙江省药品信息宣传和发展服务中心</w:t>
      </w:r>
      <w:r>
        <w:rPr>
          <w:rFonts w:hint="eastAsia" w:ascii="宋体" w:hAnsi="宋体" w:cs="宋体"/>
          <w:color w:val="auto"/>
          <w:szCs w:val="21"/>
          <w:highlight w:val="none"/>
        </w:rPr>
        <w:t>（合同中的甲方）</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2.2“采购代理机构”系指浙江国际招投标有限公司</w:t>
      </w:r>
      <w:r>
        <w:rPr>
          <w:rFonts w:hint="eastAsia" w:ascii="宋体" w:hAnsi="宋体" w:cs="宋体"/>
          <w:color w:val="auto"/>
          <w:szCs w:val="21"/>
          <w:highlight w:val="none"/>
        </w:rPr>
        <w:t>（合同中的鉴证方）</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2.3“监督管理部门”系指浙江省财政厅政府采购监管处。</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2.4“投标人”系指响应本次招标，参加本次投标的独立法人。</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2.5“服务”系指采购文件或合同规定投标人须承担的服务以及其他类似的义务。</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2.6“实质性条款”系指采购文件条款前标注“▲”标识的条款。</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2.7“电子签章”</w:t>
      </w:r>
      <w:r>
        <w:rPr>
          <w:rFonts w:hint="eastAsia" w:ascii="宋体" w:hAnsi="宋体" w:cs="宋体"/>
          <w:snapToGrid w:val="0"/>
          <w:color w:val="auto"/>
          <w:kern w:val="0"/>
          <w:szCs w:val="21"/>
          <w:highlight w:val="none"/>
        </w:rPr>
        <w:t>系指</w:t>
      </w:r>
      <w:r>
        <w:rPr>
          <w:rFonts w:hint="eastAsia" w:ascii="宋体" w:hAnsi="宋体" w:cs="宋体"/>
          <w:color w:val="auto"/>
          <w:szCs w:val="21"/>
          <w:highlight w:val="none"/>
        </w:rPr>
        <w:t>本文件所提及电子签章系指各供应商通过CA锁对标书中对应内容进行签章，表明签名人认可其中的内容。</w:t>
      </w:r>
    </w:p>
    <w:p>
      <w:pP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2.8“公章”</w:t>
      </w:r>
      <w:r>
        <w:rPr>
          <w:rFonts w:hint="eastAsia" w:ascii="宋体" w:hAnsi="宋体" w:cs="宋体"/>
          <w:snapToGrid w:val="0"/>
          <w:color w:val="auto"/>
          <w:kern w:val="0"/>
          <w:szCs w:val="21"/>
          <w:highlight w:val="none"/>
        </w:rPr>
        <w:t>系指</w:t>
      </w:r>
      <w:r>
        <w:rPr>
          <w:rFonts w:hint="eastAsia" w:ascii="宋体" w:hAnsi="宋体" w:cs="宋体"/>
          <w:color w:val="auto"/>
          <w:szCs w:val="21"/>
          <w:highlight w:val="none"/>
        </w:rPr>
        <w:t>单位法定名称章。</w:t>
      </w:r>
    </w:p>
    <w:p>
      <w:pPr>
        <w:pStyle w:val="17"/>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2.9官方指定网站公示的内容视为书面告知。</w:t>
      </w:r>
    </w:p>
    <w:p>
      <w:pPr>
        <w:pStyle w:val="17"/>
        <w:ind w:firstLine="420" w:firstLineChars="200"/>
        <w:rPr>
          <w:rFonts w:ascii="宋体" w:hAnsi="宋体" w:cs="宋体"/>
          <w:color w:val="auto"/>
          <w:szCs w:val="21"/>
          <w:highlight w:val="none"/>
        </w:rPr>
      </w:pPr>
      <w:r>
        <w:rPr>
          <w:rFonts w:hint="eastAsia" w:ascii="宋体" w:hAnsi="宋体" w:cs="宋体"/>
          <w:snapToGrid w:val="0"/>
          <w:color w:val="auto"/>
          <w:kern w:val="0"/>
          <w:szCs w:val="21"/>
          <w:highlight w:val="none"/>
        </w:rPr>
        <w:t>2.10</w:t>
      </w:r>
      <w:r>
        <w:rPr>
          <w:rFonts w:hint="eastAsia" w:ascii="宋体" w:hAnsi="宋体" w:cs="宋体"/>
          <w:color w:val="auto"/>
          <w:szCs w:val="21"/>
          <w:highlight w:val="none"/>
        </w:rPr>
        <w:t>“</w:t>
      </w:r>
      <w:r>
        <w:rPr>
          <w:rFonts w:hint="eastAsia" w:ascii="宋体" w:hAnsi="宋体" w:cs="宋体"/>
          <w:color w:val="auto"/>
          <w:highlight w:val="none"/>
        </w:rPr>
        <w:t>√</w:t>
      </w:r>
      <w:r>
        <w:rPr>
          <w:rFonts w:hint="eastAsia" w:ascii="宋体" w:hAnsi="宋体" w:cs="宋体"/>
          <w:color w:val="auto"/>
          <w:szCs w:val="21"/>
          <w:highlight w:val="none"/>
        </w:rPr>
        <w:t>” 系指适用本项目的要求，“</w:t>
      </w:r>
      <w:r>
        <w:rPr>
          <w:rFonts w:ascii="Segoe UI Symbol" w:hAnsi="Segoe UI Symbol" w:cs="Segoe UI Symbol"/>
          <w:color w:val="auto"/>
          <w:kern w:val="0"/>
          <w:szCs w:val="21"/>
          <w:highlight w:val="none"/>
        </w:rPr>
        <w:t>☐</w:t>
      </w:r>
      <w:r>
        <w:rPr>
          <w:rFonts w:hint="eastAsia" w:ascii="宋体" w:hAnsi="宋体" w:cs="宋体"/>
          <w:color w:val="auto"/>
          <w:szCs w:val="21"/>
          <w:highlight w:val="none"/>
        </w:rPr>
        <w:t>” 系指不适用本项目的要求。</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3．合格的投标人</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3.1合格的投标人，详见采购公告第二条规定的申请人的资格要求并经采购人或采购代理机构审查通过的。</w:t>
      </w:r>
    </w:p>
    <w:p>
      <w:pPr>
        <w:adjustRightInd w:val="0"/>
        <w:snapToGrid w:val="0"/>
        <w:spacing w:line="360" w:lineRule="auto"/>
        <w:ind w:firstLine="422" w:firstLineChars="200"/>
        <w:rPr>
          <w:rFonts w:ascii="宋体" w:hAnsi="宋体" w:cs="宋体"/>
          <w:b/>
          <w:bCs/>
          <w:snapToGrid w:val="0"/>
          <w:color w:val="auto"/>
          <w:kern w:val="0"/>
          <w:highlight w:val="none"/>
        </w:rPr>
      </w:pPr>
      <w:r>
        <w:rPr>
          <w:rFonts w:hint="eastAsia" w:ascii="宋体" w:hAnsi="宋体" w:cs="宋体"/>
          <w:b/>
          <w:bCs/>
          <w:snapToGrid w:val="0"/>
          <w:color w:val="auto"/>
          <w:kern w:val="0"/>
          <w:highlight w:val="none"/>
        </w:rPr>
        <w:t>3.2对投标人的限制</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3.2.2为本项目提供过整体设计、规范编制或者项目管理、监理、检测等服务的供应商，不得再参加该采购项目的其他采购活动（其他采购活动不包括为该项目提供整体设计、规范编制或者项目管理、监理、检测等服务）；</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3.2.3以联合体形式参加政府采购活动的，联合体各方不得再单独参加或者与其他投标人另外组成联合体参加同一合同项下的政府采购活动</w:t>
      </w:r>
      <w:r>
        <w:rPr>
          <w:rFonts w:hint="eastAsia" w:ascii="宋体" w:hAnsi="宋体" w:cs="宋体"/>
          <w:color w:val="auto"/>
          <w:szCs w:val="21"/>
          <w:highlight w:val="none"/>
        </w:rPr>
        <w:t>，否则投标均无效</w:t>
      </w:r>
      <w:r>
        <w:rPr>
          <w:rFonts w:hint="eastAsia" w:ascii="宋体" w:hAnsi="宋体" w:cs="宋体"/>
          <w:snapToGrid w:val="0"/>
          <w:color w:val="auto"/>
          <w:kern w:val="0"/>
          <w:highlight w:val="none"/>
        </w:rPr>
        <w:t>；</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3.2.4为证明投标人拥有的业绩、荣誉、知识产权、项目案例等而在投标文件中提供的证明材料必须为投标人自身所有。不同法人、其他组织的资料与投标人无关。</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3.2.5在政府采购活动中，采购人员及相关人员与供应商有下列利害关系之一的，应当回避：</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（一）参加采购活动前3年内与供应商存在劳动关系；</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（二）参加采购活动前3年内担任供应商的董事、监事；</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（三）参加采购活动前3年内是供应商的控股股东或者实际控制人；</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（四）与供应商的法定代表人或者负责人有夫妻、直系血亲、三代以内旁系血亲或者近姻亲关系；</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（五）与供应商有其他可能影响政府采购活动公平、公正进行的关系。</w:t>
      </w:r>
    </w:p>
    <w:p>
      <w:pPr>
        <w:adjustRightInd w:val="0"/>
        <w:snapToGrid w:val="0"/>
        <w:spacing w:line="360" w:lineRule="auto"/>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4．相关说明</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4.1 投标费用</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投标人应承担其参加投标所涉及的一切费用，不管投标结果如何，采购人对这些费用不负任何责任。</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 投标人应仔细阅读采购文件的所有内容，按照采购文件的要求提交投标文件。投标文件应对采购文件的要求作出实质性响应，并对所提供的全部资料的真实性承担法律责任。</w:t>
      </w:r>
    </w:p>
    <w:p>
      <w:pPr>
        <w:adjustRightInd w:val="0"/>
        <w:snapToGrid w:val="0"/>
        <w:spacing w:line="360" w:lineRule="auto"/>
        <w:ind w:firstLine="422" w:firstLineChars="200"/>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4.3投标人在投标活动中提供任何虚假材料,其投标无效，并报监管部门查处；中标后发现的,按《政府采购货物和服务招标投标管理办法》（财政部令第87号）相关规定承担相应的法律责任。</w:t>
      </w:r>
    </w:p>
    <w:p>
      <w:pPr>
        <w:pStyle w:val="3"/>
        <w:snapToGrid w:val="0"/>
        <w:spacing w:before="0" w:after="0" w:line="360" w:lineRule="auto"/>
        <w:rPr>
          <w:rFonts w:ascii="宋体" w:hAnsi="宋体" w:eastAsia="宋体"/>
          <w:color w:val="auto"/>
          <w:sz w:val="21"/>
          <w:szCs w:val="21"/>
          <w:highlight w:val="none"/>
        </w:rPr>
      </w:pPr>
      <w:bookmarkStart w:id="55" w:name="_Toc240450078"/>
      <w:bookmarkStart w:id="56" w:name="_Toc251566651"/>
      <w:bookmarkStart w:id="57" w:name="_Toc31220"/>
      <w:bookmarkStart w:id="58" w:name="_Toc27862"/>
      <w:bookmarkStart w:id="59" w:name="_Toc2045"/>
      <w:bookmarkStart w:id="60" w:name="_Toc19787"/>
      <w:bookmarkStart w:id="61" w:name="_Toc15451"/>
      <w:bookmarkStart w:id="62" w:name="_Toc11669"/>
      <w:r>
        <w:rPr>
          <w:rFonts w:hint="eastAsia" w:ascii="宋体" w:hAnsi="宋体" w:eastAsia="宋体"/>
          <w:color w:val="auto"/>
          <w:sz w:val="21"/>
          <w:szCs w:val="21"/>
          <w:highlight w:val="none"/>
        </w:rPr>
        <w:t>二、</w:t>
      </w:r>
      <w:bookmarkEnd w:id="55"/>
      <w:bookmarkEnd w:id="56"/>
      <w:r>
        <w:rPr>
          <w:rFonts w:hint="eastAsia" w:ascii="宋体" w:hAnsi="宋体" w:eastAsia="宋体"/>
          <w:color w:val="auto"/>
          <w:sz w:val="21"/>
          <w:szCs w:val="21"/>
          <w:highlight w:val="none"/>
        </w:rPr>
        <w:t>采购文件</w:t>
      </w:r>
      <w:bookmarkEnd w:id="57"/>
      <w:bookmarkEnd w:id="58"/>
      <w:bookmarkEnd w:id="59"/>
      <w:bookmarkEnd w:id="60"/>
      <w:bookmarkEnd w:id="61"/>
      <w:bookmarkEnd w:id="62"/>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5．采购文件构成</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5.1 本采购文件包括目录所示内容及所有按本须知第6、7条发出的补充资料。</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5.3 采购文件是招标过程进行的有效依据，也是中标后签订合同的依据，对双方均具有约束力，凡不遵守采购文件规定或对采购文件的实质性内容不响应的，将可能被拒绝或以无效标处理。</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5.4 本采购文件由采购人或采购代理机构依据相关法律、法规、规章、省市规定及采购文件进行解释。</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6．采购文件的澄清</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 投标人在获取采购文件后，若有问题需要澄清或认为有必要与采购人进行技术交流，应于前附表规定的时间前，将问题传真至0571-88473430，同时将问题发电子邮件至</w:t>
      </w:r>
      <w:r>
        <w:rPr>
          <w:rFonts w:hint="eastAsia" w:ascii="宋体" w:hAnsi="宋体" w:cs="宋体"/>
          <w:snapToGrid w:val="0"/>
          <w:color w:val="auto"/>
          <w:kern w:val="0"/>
          <w:szCs w:val="21"/>
          <w:highlight w:val="none"/>
          <w:lang w:eastAsia="zh-CN"/>
        </w:rPr>
        <w:t>zhouqf@zmeetb.com</w:t>
      </w:r>
      <w:r>
        <w:rPr>
          <w:rFonts w:hint="eastAsia" w:ascii="宋体" w:hAnsi="宋体" w:cs="宋体"/>
          <w:snapToGrid w:val="0"/>
          <w:color w:val="auto"/>
          <w:kern w:val="0"/>
          <w:szCs w:val="21"/>
          <w:highlight w:val="none"/>
        </w:rPr>
        <w:t>（电子邮件与书面文件有不一致的，以书面文件为准）。截止期后的疑问将不予受理、答复。</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 投标人要求解释或澄清的问题应以书面形式送达，并加盖公章、写明日期。</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6.3 所有要求解释或澄清的问题都予以解答，答疑内容与补充内容以更正（澄清）公告形式告知所有购买采购文件的投标人。</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7．采购文件的修改</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7.2 采购文件的修改将以更正（澄清）公告通知所有购买采购文件的投标人，并对其具有约束力。</w:t>
      </w:r>
      <w:r>
        <w:rPr>
          <w:rFonts w:hint="eastAsia" w:ascii="宋体" w:hAnsi="宋体" w:cs="宋体"/>
          <w:color w:val="auto"/>
          <w:highlight w:val="none"/>
        </w:rPr>
        <w:t>投标人应及时关注浙江政府采购网上该项目的公告信息</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7.3 在更正（澄清）公告发布后，如果投标人认为编制投标文件的时间不充分的，必须在公告发布之日的24小时内通知采购人和采购代理机构。否则，视同投标人有充足时间编制投标文件。</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7.4采购文件澄清、答复、修改、补充的内容为采购文件的组成部分。当采购文件与采购文件的答复、澄清、修改、补充通知就同一内容的表述不一致时，以最后发出的更正（澄清）公告为准。</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7.6 采购文件的澄清、答复、修改或补充都应该通过本代理机构以法定形式发布，除此以外的发布不属于采购文件的组成部分。</w:t>
      </w:r>
    </w:p>
    <w:p>
      <w:pPr>
        <w:pStyle w:val="3"/>
        <w:snapToGrid w:val="0"/>
        <w:spacing w:before="0" w:after="0" w:line="360" w:lineRule="auto"/>
        <w:rPr>
          <w:rFonts w:ascii="宋体" w:hAnsi="宋体" w:eastAsia="宋体"/>
          <w:color w:val="auto"/>
          <w:sz w:val="21"/>
          <w:szCs w:val="21"/>
          <w:highlight w:val="none"/>
        </w:rPr>
      </w:pPr>
      <w:bookmarkStart w:id="63" w:name="_Toc31368"/>
      <w:bookmarkStart w:id="64" w:name="_Toc6975"/>
      <w:bookmarkStart w:id="65" w:name="_Toc240450079"/>
      <w:bookmarkStart w:id="66" w:name="_Toc6668"/>
      <w:bookmarkStart w:id="67" w:name="_Toc26281"/>
      <w:bookmarkStart w:id="68" w:name="_Toc18386"/>
      <w:bookmarkStart w:id="69" w:name="_Toc18829"/>
      <w:bookmarkStart w:id="70" w:name="_Toc251566652"/>
      <w:r>
        <w:rPr>
          <w:rFonts w:hint="eastAsia" w:ascii="宋体" w:hAnsi="宋体" w:eastAsia="宋体"/>
          <w:color w:val="auto"/>
          <w:sz w:val="21"/>
          <w:szCs w:val="21"/>
          <w:highlight w:val="none"/>
        </w:rPr>
        <w:t>三、投标文件的编制</w:t>
      </w:r>
      <w:bookmarkEnd w:id="63"/>
      <w:bookmarkEnd w:id="64"/>
      <w:bookmarkEnd w:id="65"/>
      <w:bookmarkEnd w:id="66"/>
      <w:bookmarkEnd w:id="67"/>
      <w:bookmarkEnd w:id="68"/>
      <w:bookmarkEnd w:id="69"/>
      <w:bookmarkEnd w:id="70"/>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8．投标文件的语言、计量单位、形式及效力</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8.1语言及计量单位</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8.1.1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8.1.2 除采购文件另有规定外，投标文件所使用的计量单位，均须采用中华人民共和国法定计量单位，否则视同未响应。</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8.2投标文件的形式和效力</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8.2.1投标文件为电子投标文件，电子投标文件按“政采云供应商项目采购-电子招投标操作指南”及本采购文件要求制作、加密传输。</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8.2.2投标文件未在投标截止时间前完成传输的，视为未按时递交投标文件；投标文件未按时解密，视为投标文件撤回。</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9．投标文件构成</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投标人向采购人递交的投标文件均由</w:t>
      </w:r>
      <w:r>
        <w:rPr>
          <w:rFonts w:hint="eastAsia" w:ascii="宋体" w:hAnsi="宋体" w:cs="宋体"/>
          <w:b/>
          <w:bCs/>
          <w:snapToGrid w:val="0"/>
          <w:color w:val="auto"/>
          <w:kern w:val="0"/>
          <w:szCs w:val="21"/>
          <w:highlight w:val="none"/>
        </w:rPr>
        <w:t>资格响应文件、商务技术响应文件、报价响应文件</w:t>
      </w:r>
      <w:r>
        <w:rPr>
          <w:rFonts w:hint="eastAsia" w:ascii="宋体" w:hAnsi="宋体" w:cs="宋体"/>
          <w:snapToGrid w:val="0"/>
          <w:color w:val="auto"/>
          <w:kern w:val="0"/>
          <w:szCs w:val="21"/>
          <w:highlight w:val="none"/>
        </w:rPr>
        <w:t>组成，具体内容如下：</w:t>
      </w:r>
    </w:p>
    <w:p>
      <w:pPr>
        <w:autoSpaceDE w:val="0"/>
        <w:autoSpaceDN w:val="0"/>
        <w:adjustRightInd w:val="0"/>
        <w:snapToGrid w:val="0"/>
        <w:spacing w:line="360" w:lineRule="auto"/>
        <w:ind w:firstLine="422" w:firstLineChars="200"/>
        <w:textAlignment w:val="bottom"/>
        <w:rPr>
          <w:rFonts w:ascii="宋体" w:hAnsi="宋体" w:cs="宋体"/>
          <w:b/>
          <w:bCs/>
          <w:color w:val="auto"/>
          <w:szCs w:val="21"/>
          <w:highlight w:val="none"/>
        </w:rPr>
      </w:pPr>
      <w:r>
        <w:rPr>
          <w:rFonts w:hint="eastAsia" w:ascii="宋体" w:hAnsi="宋体" w:cs="宋体"/>
          <w:b/>
          <w:bCs/>
          <w:color w:val="auto"/>
          <w:szCs w:val="21"/>
          <w:highlight w:val="none"/>
        </w:rPr>
        <w:t>9.1资格响应文件</w:t>
      </w:r>
    </w:p>
    <w:p>
      <w:pPr>
        <w:tabs>
          <w:tab w:val="left" w:pos="720"/>
        </w:tabs>
        <w:adjustRightInd w:val="0"/>
        <w:snapToGrid w:val="0"/>
        <w:spacing w:line="360" w:lineRule="auto"/>
        <w:ind w:left="420"/>
        <w:jc w:val="left"/>
        <w:rPr>
          <w:rFonts w:ascii="宋体" w:hAnsi="宋体" w:cs="宋体"/>
          <w:b/>
          <w:snapToGrid w:val="0"/>
          <w:color w:val="auto"/>
          <w:kern w:val="0"/>
          <w:szCs w:val="21"/>
          <w:highlight w:val="none"/>
        </w:rPr>
      </w:pPr>
      <w:r>
        <w:rPr>
          <w:rFonts w:hint="eastAsia" w:ascii="宋体" w:hAnsi="宋体" w:cs="宋体"/>
          <w:b/>
          <w:snapToGrid w:val="0"/>
          <w:color w:val="auto"/>
          <w:kern w:val="0"/>
          <w:highlight w:val="none"/>
        </w:rPr>
        <w:t>（</w:t>
      </w:r>
      <w:r>
        <w:rPr>
          <w:rFonts w:hint="eastAsia" w:ascii="宋体" w:hAnsi="宋体" w:cs="宋体"/>
          <w:b/>
          <w:snapToGrid w:val="0"/>
          <w:color w:val="auto"/>
          <w:kern w:val="0"/>
          <w:highlight w:val="none"/>
          <w:lang w:val="en-US" w:eastAsia="zh-CN"/>
        </w:rPr>
        <w:t>1</w:t>
      </w:r>
      <w:r>
        <w:rPr>
          <w:rFonts w:hint="eastAsia" w:ascii="宋体" w:hAnsi="宋体" w:cs="宋体"/>
          <w:b/>
          <w:snapToGrid w:val="0"/>
          <w:color w:val="auto"/>
          <w:kern w:val="0"/>
          <w:highlight w:val="none"/>
        </w:rPr>
        <w:t>）</w:t>
      </w:r>
      <w:r>
        <w:rPr>
          <w:rFonts w:hint="eastAsia" w:ascii="宋体" w:hAnsi="宋体" w:cs="宋体"/>
          <w:b/>
          <w:snapToGrid w:val="0"/>
          <w:color w:val="auto"/>
          <w:kern w:val="0"/>
          <w:szCs w:val="21"/>
          <w:highlight w:val="none"/>
        </w:rPr>
        <w:t>基本资格条件：符合《中华人民共和国政府采购法》第二十二条的规定；</w:t>
      </w:r>
    </w:p>
    <w:p>
      <w:pPr>
        <w:tabs>
          <w:tab w:val="left" w:pos="720"/>
        </w:tabs>
        <w:adjustRightInd w:val="0"/>
        <w:snapToGrid w:val="0"/>
        <w:spacing w:line="360" w:lineRule="auto"/>
        <w:ind w:firstLine="422" w:firstLineChars="20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各投标人须在投标文件中出具对应证明材料（商业信誉可提前自查，投标文件中可不提供）。</w:t>
      </w:r>
    </w:p>
    <w:p>
      <w:pPr>
        <w:pStyle w:val="33"/>
        <w:numPr>
          <w:ilvl w:val="0"/>
          <w:numId w:val="4"/>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color w:val="auto"/>
          <w:sz w:val="21"/>
          <w:szCs w:val="21"/>
          <w:highlight w:val="none"/>
        </w:rPr>
      </w:pPr>
      <w:r>
        <w:rPr>
          <w:rFonts w:hint="eastAsia" w:ascii="宋体" w:hAnsi="宋体" w:cs="宋体"/>
          <w:b/>
          <w:bCs/>
          <w:color w:val="auto"/>
          <w:sz w:val="21"/>
          <w:szCs w:val="21"/>
          <w:highlight w:val="none"/>
        </w:rPr>
        <w:t>具有独立承担民事责任的能力（如为联合体投标人的，联合体各方均须提供）</w:t>
      </w:r>
    </w:p>
    <w:p>
      <w:pPr>
        <w:pStyle w:val="33"/>
        <w:tabs>
          <w:tab w:val="left" w:pos="630"/>
          <w:tab w:val="left" w:pos="840"/>
          <w:tab w:val="left" w:pos="1050"/>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投标人须在投标文件中出具符合以下情况的证明材料复印件（五选一）：</w:t>
      </w:r>
    </w:p>
    <w:p>
      <w:pPr>
        <w:pStyle w:val="33"/>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如投标人是企业（包括合伙企业），提供在工商部门注册的有效“企业法人营业执照”或“营业执照”；</w:t>
      </w:r>
    </w:p>
    <w:p>
      <w:pPr>
        <w:pStyle w:val="33"/>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如投标人是事业单位，提供有效的“事业单位法人证书”；</w:t>
      </w:r>
    </w:p>
    <w:p>
      <w:pPr>
        <w:pStyle w:val="33"/>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如投标人是非企业专业服务机构的，提供执业许可证等证明文件；</w:t>
      </w:r>
    </w:p>
    <w:p>
      <w:pPr>
        <w:pStyle w:val="33"/>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如投标人是个体工商户，提供有效的“个体工商户营业执照”；</w:t>
      </w:r>
    </w:p>
    <w:p>
      <w:pPr>
        <w:pStyle w:val="33"/>
        <w:numPr>
          <w:ilvl w:val="0"/>
          <w:numId w:val="5"/>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如投标人是自然人，提供有效的自然人身份证明（居民身份证正反面或公安机关出具的临时居民身份证正反面或港澳台胞证或护照）。</w:t>
      </w:r>
    </w:p>
    <w:p>
      <w:pPr>
        <w:pStyle w:val="33"/>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u w:val="single"/>
        </w:rPr>
      </w:pPr>
      <w:r>
        <w:rPr>
          <w:rFonts w:hint="eastAsia" w:ascii="宋体" w:hAnsi="宋体" w:cs="宋体"/>
          <w:b/>
          <w:bCs/>
          <w:color w:val="auto"/>
          <w:sz w:val="21"/>
          <w:szCs w:val="21"/>
          <w:highlight w:val="none"/>
          <w:u w:val="single"/>
        </w:rPr>
        <w:t>分公司经总公司授权后，可以以分公司的名义参加政府采购活动，可以提供总公司或分公司的营业执照、财务报表、纳税证明等材料，可以使用总公司的相关业绩和资质，但其民事责任由总公司承担。同一总公司下的两家分公司不能同时参与一个采购项目投标。中标后，应当和总公司签订政府采购合同。</w:t>
      </w:r>
    </w:p>
    <w:p>
      <w:pPr>
        <w:pStyle w:val="33"/>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u w:val="single"/>
        </w:rPr>
      </w:pPr>
      <w:r>
        <w:rPr>
          <w:rFonts w:hint="eastAsia" w:ascii="宋体" w:hAnsi="宋体" w:cs="宋体"/>
          <w:b/>
          <w:bCs/>
          <w:color w:val="auto"/>
          <w:sz w:val="21"/>
          <w:szCs w:val="21"/>
          <w:highlight w:val="none"/>
          <w:u w:val="single"/>
        </w:rPr>
        <w:t>对于某些具有垄断性质的特殊行业或企业，例如银行、保险、电信、邮政、铁路等行业，其总公司为了方便分公司在全国开展业务，采用公司文件或公司制度的形式授权其分公司独立开展业务，其民事责任由总公司承担。在此情况下，不要求分公司出具总公司的授权，出具总公司的有关文件或制度等能够证明总公司授权其独立开展业务的证明即可。投标文件中法定代表人身份证明书及授权书可以为分支机构负责人身份证明书及授权书。</w:t>
      </w:r>
    </w:p>
    <w:p>
      <w:pPr>
        <w:pStyle w:val="33"/>
        <w:numPr>
          <w:ilvl w:val="0"/>
          <w:numId w:val="4"/>
        </w:numPr>
        <w:tabs>
          <w:tab w:val="left" w:pos="630"/>
          <w:tab w:val="left" w:pos="840"/>
          <w:tab w:val="left" w:pos="1050"/>
        </w:tabs>
        <w:adjustRightInd w:val="0"/>
        <w:snapToGrid w:val="0"/>
        <w:spacing w:before="0" w:beforeAutospacing="0" w:after="0" w:afterAutospacing="0" w:line="360" w:lineRule="auto"/>
        <w:ind w:left="5" w:firstLine="415"/>
        <w:rPr>
          <w:rFonts w:ascii="宋体" w:hAnsi="宋体" w:cs="宋体"/>
          <w:b/>
          <w:bCs/>
          <w:color w:val="auto"/>
          <w:sz w:val="21"/>
          <w:szCs w:val="21"/>
          <w:highlight w:val="none"/>
        </w:rPr>
      </w:pPr>
      <w:r>
        <w:rPr>
          <w:rFonts w:hint="eastAsia" w:ascii="宋体" w:hAnsi="宋体" w:cs="宋体"/>
          <w:b/>
          <w:bCs/>
          <w:color w:val="auto"/>
          <w:sz w:val="21"/>
          <w:szCs w:val="21"/>
          <w:highlight w:val="none"/>
        </w:rPr>
        <w:t>符合参与政府采购活动资格条件（如为联合体投标人的，联合体各方均须提供）</w:t>
      </w:r>
    </w:p>
    <w:p>
      <w:pPr>
        <w:pStyle w:val="33"/>
        <w:tabs>
          <w:tab w:val="left" w:pos="630"/>
          <w:tab w:val="left" w:pos="840"/>
          <w:tab w:val="left" w:pos="1050"/>
        </w:tabs>
        <w:adjustRightInd w:val="0"/>
        <w:snapToGrid w:val="0"/>
        <w:spacing w:before="0" w:beforeAutospacing="0" w:after="0" w:afterAutospacing="0" w:line="360" w:lineRule="auto"/>
        <w:ind w:left="420"/>
        <w:rPr>
          <w:rFonts w:ascii="宋体" w:hAnsi="宋体" w:cs="宋体"/>
          <w:color w:val="auto"/>
          <w:sz w:val="21"/>
          <w:szCs w:val="21"/>
          <w:highlight w:val="none"/>
        </w:rPr>
      </w:pPr>
      <w:r>
        <w:rPr>
          <w:rFonts w:hint="eastAsia" w:ascii="宋体" w:hAnsi="宋体" w:cs="宋体"/>
          <w:color w:val="auto"/>
          <w:sz w:val="21"/>
          <w:szCs w:val="21"/>
          <w:highlight w:val="none"/>
        </w:rPr>
        <w:t>投标人须出具符合参与政府采购活动资格条件的承诺函（参考格式见本文件第六部分）；</w:t>
      </w:r>
    </w:p>
    <w:p>
      <w:pPr>
        <w:pStyle w:val="33"/>
        <w:tabs>
          <w:tab w:val="left" w:pos="630"/>
          <w:tab w:val="left" w:pos="840"/>
          <w:tab w:val="left" w:pos="1050"/>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特别说明：已完成信用修复的“缴纳税收和社会保障等方面的失信记录”不包含在《承诺函》第3点所述情形内（属于重大违法记录情形的除外）。</w:t>
      </w:r>
    </w:p>
    <w:p>
      <w:pPr>
        <w:keepNext w:val="0"/>
        <w:keepLines w:val="0"/>
        <w:pageBreakBefore w:val="0"/>
        <w:tabs>
          <w:tab w:val="left" w:pos="840"/>
          <w:tab w:val="left" w:pos="1050"/>
        </w:tabs>
        <w:kinsoku/>
        <w:wordWrap/>
        <w:overflowPunct/>
        <w:topLinePunct w:val="0"/>
        <w:bidi w:val="0"/>
        <w:adjustRightInd w:val="0"/>
        <w:snapToGrid w:val="0"/>
        <w:spacing w:line="360" w:lineRule="auto"/>
        <w:ind w:left="13" w:leftChars="6" w:firstLine="409" w:firstLineChars="194"/>
        <w:jc w:val="left"/>
        <w:rPr>
          <w:rFonts w:ascii="宋体" w:hAnsi="宋体" w:cs="宋体"/>
          <w:snapToGrid w:val="0"/>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）落实政府采购政策需满足的资格要求（如为联合体投标人的，联合体各方均须提供）：标项1：供应商为中小企业。</w:t>
      </w:r>
    </w:p>
    <w:p>
      <w:pPr>
        <w:keepNext w:val="0"/>
        <w:keepLines w:val="0"/>
        <w:pageBreakBefore w:val="0"/>
        <w:kinsoku/>
        <w:wordWrap/>
        <w:overflowPunct/>
        <w:topLinePunct w:val="0"/>
        <w:bidi w:val="0"/>
        <w:adjustRightInd w:val="0"/>
        <w:snapToGrid w:val="0"/>
        <w:spacing w:line="360" w:lineRule="auto"/>
        <w:ind w:firstLine="422" w:firstLineChars="200"/>
        <w:jc w:val="left"/>
        <w:rPr>
          <w:rFonts w:ascii="宋体" w:hAnsi="宋体" w:cs="宋体"/>
          <w:b/>
          <w:snapToGrid w:val="0"/>
          <w:color w:val="auto"/>
          <w:kern w:val="0"/>
          <w:szCs w:val="21"/>
          <w:highlight w:val="none"/>
        </w:rPr>
      </w:pPr>
      <w:r>
        <w:rPr>
          <w:rFonts w:hint="eastAsia" w:ascii="宋体" w:hAnsi="宋体" w:cs="宋体"/>
          <w:b/>
          <w:bCs/>
          <w:snapToGrid w:val="0"/>
          <w:color w:val="auto"/>
          <w:kern w:val="0"/>
          <w:szCs w:val="21"/>
          <w:highlight w:val="none"/>
        </w:rPr>
        <w:t>投标人按要求出具下列声明函，否则投标资格审查不合格</w:t>
      </w:r>
      <w:r>
        <w:rPr>
          <w:rFonts w:hint="eastAsia" w:ascii="宋体" w:hAnsi="宋体" w:cs="宋体"/>
          <w:b/>
          <w:snapToGrid w:val="0"/>
          <w:color w:val="auto"/>
          <w:kern w:val="0"/>
          <w:szCs w:val="21"/>
          <w:highlight w:val="none"/>
        </w:rPr>
        <w:t>：</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1）中小企业声明函（服务）； </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中小企业应当按照《政府采购促进中小企业发展管理办法》规定和《中小企业划型标准规定》（工信部联企业〔2011〕300号）规定，如实填写并提交《中小企业声明函》。</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供应商在填写声明函前，须先自查本企业是否满足小微企业认定标准（可通过国务院客户端和工业和信息化部网站上的自测小程序进行自查）。</w:t>
      </w:r>
    </w:p>
    <w:p>
      <w:pPr>
        <w:keepNext w:val="0"/>
        <w:keepLines w:val="0"/>
        <w:pageBreakBefore w:val="0"/>
        <w:kinsoku/>
        <w:wordWrap/>
        <w:overflowPunct/>
        <w:topLinePunct w:val="0"/>
        <w:bidi w:val="0"/>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中小企业对其声明内容的真实性负责，声明函内容不实的，属于提供虚假材料谋取中标、成交，依照《中华人民共和国政府采购法》等国家有关规定追究相应责任。</w:t>
      </w:r>
    </w:p>
    <w:p>
      <w:pPr>
        <w:widowControl/>
        <w:spacing w:line="360" w:lineRule="auto"/>
        <w:ind w:firstLine="422" w:firstLineChars="200"/>
        <w:jc w:val="left"/>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）特定资格条件证明材料</w:t>
      </w:r>
      <w:r>
        <w:rPr>
          <w:rFonts w:hint="eastAsia" w:ascii="宋体" w:hAnsi="宋体" w:cs="宋体"/>
          <w:b/>
          <w:bCs/>
          <w:color w:val="auto"/>
          <w:kern w:val="0"/>
          <w:szCs w:val="21"/>
          <w:highlight w:val="none"/>
        </w:rPr>
        <w:t>（如为联合体投标人的，联合体各方均须提供）</w:t>
      </w:r>
      <w:r>
        <w:rPr>
          <w:rFonts w:hint="eastAsia" w:ascii="宋体" w:hAnsi="宋体" w:cs="宋体"/>
          <w:b/>
          <w:bCs/>
          <w:color w:val="auto"/>
          <w:szCs w:val="21"/>
          <w:highlight w:val="none"/>
        </w:rPr>
        <w:t>：无</w:t>
      </w:r>
      <w:r>
        <w:rPr>
          <w:rFonts w:hint="eastAsia" w:ascii="宋体" w:hAnsi="宋体" w:cs="宋体"/>
          <w:b/>
          <w:bCs/>
          <w:color w:val="auto"/>
          <w:szCs w:val="21"/>
          <w:highlight w:val="none"/>
          <w:lang w:eastAsia="zh-CN"/>
        </w:rPr>
        <w:t>。</w:t>
      </w:r>
    </w:p>
    <w:p>
      <w:pPr>
        <w:autoSpaceDE w:val="0"/>
        <w:autoSpaceDN w:val="0"/>
        <w:adjustRightInd w:val="0"/>
        <w:snapToGrid w:val="0"/>
        <w:spacing w:line="360" w:lineRule="auto"/>
        <w:ind w:firstLine="422" w:firstLineChars="200"/>
        <w:textAlignment w:val="bottom"/>
        <w:rPr>
          <w:rFonts w:ascii="宋体" w:hAnsi="宋体" w:cs="宋体"/>
          <w:bCs/>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）联合体协议（如为联合体投标的必须提供）</w:t>
      </w:r>
      <w:r>
        <w:rPr>
          <w:rFonts w:hint="eastAsia" w:ascii="宋体" w:hAnsi="宋体" w:cs="宋体"/>
          <w:color w:val="auto"/>
          <w:szCs w:val="21"/>
          <w:highlight w:val="none"/>
        </w:rPr>
        <w:t>（参考格式见本文件第六部分）</w:t>
      </w:r>
      <w:r>
        <w:rPr>
          <w:rFonts w:hint="eastAsia" w:ascii="宋体" w:hAnsi="宋体" w:cs="宋体"/>
          <w:bCs/>
          <w:color w:val="auto"/>
          <w:szCs w:val="21"/>
          <w:highlight w:val="none"/>
        </w:rPr>
        <w:t>；</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联合体投标的，联合体各方均应满足资格条件的要求并提供相应证明材料，否则无效。</w:t>
      </w:r>
    </w:p>
    <w:p>
      <w:pPr>
        <w:tabs>
          <w:tab w:val="left" w:pos="720"/>
        </w:tabs>
        <w:adjustRightInd w:val="0"/>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5</w:t>
      </w:r>
      <w:r>
        <w:rPr>
          <w:rFonts w:hint="eastAsia" w:ascii="宋体" w:hAnsi="宋体" w:cs="宋体"/>
          <w:b/>
          <w:color w:val="auto"/>
          <w:szCs w:val="21"/>
          <w:highlight w:val="none"/>
        </w:rPr>
        <w:t>）投标人认为需要提供的其它资格响应相关文件及资料（如有）。</w:t>
      </w:r>
    </w:p>
    <w:p>
      <w:pPr>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上述资格证明文件是采购人、采购代理机构对投标人资格进行合格性审查的评审依据，投标人应上传上述资料。未按要求出具上述证明材料或出具的证明材料不完整的，资格性审查均不予通过。</w:t>
      </w:r>
    </w:p>
    <w:p>
      <w:pPr>
        <w:autoSpaceDE w:val="0"/>
        <w:autoSpaceDN w:val="0"/>
        <w:adjustRightInd w:val="0"/>
        <w:snapToGrid w:val="0"/>
        <w:spacing w:line="360" w:lineRule="auto"/>
        <w:ind w:firstLine="422" w:firstLineChars="200"/>
        <w:textAlignment w:val="bottom"/>
        <w:rPr>
          <w:rFonts w:ascii="宋体" w:hAnsi="宋体" w:cs="宋体"/>
          <w:b/>
          <w:bCs/>
          <w:color w:val="auto"/>
          <w:szCs w:val="21"/>
          <w:highlight w:val="none"/>
        </w:rPr>
      </w:pPr>
    </w:p>
    <w:p>
      <w:pPr>
        <w:autoSpaceDE w:val="0"/>
        <w:autoSpaceDN w:val="0"/>
        <w:adjustRightInd w:val="0"/>
        <w:snapToGrid w:val="0"/>
        <w:spacing w:line="360" w:lineRule="auto"/>
        <w:ind w:firstLine="422" w:firstLineChars="200"/>
        <w:textAlignment w:val="bottom"/>
        <w:rPr>
          <w:rFonts w:ascii="宋体" w:hAnsi="宋体" w:cs="宋体"/>
          <w:b/>
          <w:bCs/>
          <w:color w:val="auto"/>
          <w:szCs w:val="21"/>
          <w:highlight w:val="none"/>
        </w:rPr>
      </w:pPr>
      <w:r>
        <w:rPr>
          <w:rFonts w:hint="eastAsia" w:ascii="宋体" w:hAnsi="宋体" w:cs="宋体"/>
          <w:b/>
          <w:bCs/>
          <w:color w:val="auto"/>
          <w:szCs w:val="21"/>
          <w:highlight w:val="none"/>
        </w:rPr>
        <w:t>9.2 商务技术响应文件</w:t>
      </w:r>
    </w:p>
    <w:p>
      <w:pPr>
        <w:tabs>
          <w:tab w:val="left" w:pos="720"/>
        </w:tabs>
        <w:adjustRightInd w:val="0"/>
        <w:snapToGrid w:val="0"/>
        <w:spacing w:line="360" w:lineRule="auto"/>
        <w:ind w:left="42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9.2.1</w:t>
      </w:r>
      <w:r>
        <w:rPr>
          <w:rFonts w:hint="eastAsia" w:ascii="宋体" w:hAnsi="宋体" w:cs="宋体"/>
          <w:b/>
          <w:bCs/>
          <w:color w:val="auto"/>
          <w:szCs w:val="21"/>
          <w:highlight w:val="none"/>
        </w:rPr>
        <w:t>商务技术响应文件封面；</w:t>
      </w:r>
    </w:p>
    <w:p>
      <w:pPr>
        <w:tabs>
          <w:tab w:val="left" w:pos="720"/>
        </w:tabs>
        <w:adjustRightInd w:val="0"/>
        <w:snapToGrid w:val="0"/>
        <w:spacing w:line="360" w:lineRule="auto"/>
        <w:ind w:left="42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9.2.2</w:t>
      </w:r>
      <w:r>
        <w:rPr>
          <w:rFonts w:hint="eastAsia" w:ascii="宋体" w:hAnsi="宋体" w:cs="宋体"/>
          <w:b/>
          <w:bCs/>
          <w:color w:val="auto"/>
          <w:szCs w:val="21"/>
          <w:highlight w:val="none"/>
        </w:rPr>
        <w:t>商务技术响应文件目录；</w:t>
      </w:r>
    </w:p>
    <w:p>
      <w:pPr>
        <w:pStyle w:val="17"/>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9.2.3评分索引表；</w:t>
      </w:r>
    </w:p>
    <w:p>
      <w:pPr>
        <w:pStyle w:val="17"/>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9.2.4商务部分</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投标函；</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投标一览表；</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针对本项目的服务清单（不含价格）；</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投标人基本情况表；</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授权委托书，同时须附授权委托人的有效身份证复印件；</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政府采购供应商廉洁自律承诺书；</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snapToGrid w:val="0"/>
          <w:color w:val="auto"/>
          <w:kern w:val="0"/>
          <w:szCs w:val="21"/>
          <w:highlight w:val="none"/>
        </w:rPr>
        <w:t>廉政承诺书；</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投标人拥有的其它资质、荣誉证书（如有，出具复印件加盖公章）；</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color w:val="auto"/>
          <w:szCs w:val="21"/>
          <w:highlight w:val="none"/>
        </w:rPr>
        <w:t>投标人业绩一览表（由投标人根据自身情况提供，如评标细则及标准中有业绩评分对应要求，请按照评标细则及标准中业绩评分对应要求提供相应业绩情况和对应证明材料）</w:t>
      </w:r>
      <w:r>
        <w:rPr>
          <w:rFonts w:hint="eastAsia" w:ascii="宋体" w:hAnsi="宋体" w:cs="宋体"/>
          <w:bCs/>
          <w:color w:val="auto"/>
          <w:szCs w:val="21"/>
          <w:highlight w:val="none"/>
        </w:rPr>
        <w:t>；</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商务条款偏离表；</w:t>
      </w:r>
    </w:p>
    <w:p>
      <w:pPr>
        <w:numPr>
          <w:ilvl w:val="0"/>
          <w:numId w:val="6"/>
        </w:numPr>
        <w:tabs>
          <w:tab w:val="left" w:pos="851"/>
          <w:tab w:val="left" w:pos="900"/>
          <w:tab w:val="left" w:pos="1080"/>
        </w:tabs>
        <w:adjustRightInd w:val="0"/>
        <w:snapToGrid w:val="0"/>
        <w:spacing w:line="360" w:lineRule="auto"/>
        <w:ind w:left="0" w:firstLine="340"/>
        <w:jc w:val="left"/>
        <w:rPr>
          <w:rFonts w:ascii="宋体" w:hAnsi="宋体" w:cs="宋体"/>
          <w:bCs/>
          <w:color w:val="auto"/>
          <w:szCs w:val="21"/>
          <w:highlight w:val="none"/>
        </w:rPr>
      </w:pPr>
      <w:r>
        <w:rPr>
          <w:rFonts w:hint="eastAsia" w:ascii="宋体" w:hAnsi="宋体" w:cs="宋体"/>
          <w:bCs/>
          <w:color w:val="auto"/>
          <w:szCs w:val="21"/>
          <w:highlight w:val="none"/>
        </w:rPr>
        <w:t>投标人认为需要提供的其它商务文件及资料（如有）。</w:t>
      </w:r>
    </w:p>
    <w:p>
      <w:pPr>
        <w:pStyle w:val="17"/>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9.2.5技术部分</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对本项目现状及需求分析；</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投标人针对本项目投标的总体方案</w:t>
      </w:r>
      <w:r>
        <w:rPr>
          <w:rFonts w:hint="eastAsia" w:ascii="宋体" w:hAnsi="宋体" w:cs="宋体"/>
          <w:color w:val="auto"/>
          <w:szCs w:val="21"/>
          <w:highlight w:val="none"/>
        </w:rPr>
        <w:t>；</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投标人针对本项目的</w:t>
      </w:r>
      <w:r>
        <w:rPr>
          <w:rFonts w:hint="eastAsia" w:ascii="宋体" w:hAnsi="宋体" w:cs="宋体"/>
          <w:color w:val="auto"/>
          <w:szCs w:val="21"/>
          <w:highlight w:val="none"/>
        </w:rPr>
        <w:t>详细的</w:t>
      </w:r>
      <w:r>
        <w:rPr>
          <w:rFonts w:hint="eastAsia" w:ascii="宋体" w:hAnsi="宋体" w:cs="宋体"/>
          <w:color w:val="auto"/>
          <w:szCs w:val="21"/>
          <w:highlight w:val="none"/>
          <w:lang w:val="en-US" w:eastAsia="zh-CN"/>
        </w:rPr>
        <w:t>建设方案</w:t>
      </w:r>
      <w:r>
        <w:rPr>
          <w:rFonts w:hint="eastAsia" w:ascii="宋体" w:hAnsi="宋体" w:cs="宋体"/>
          <w:color w:val="auto"/>
          <w:szCs w:val="21"/>
          <w:highlight w:val="none"/>
        </w:rPr>
        <w:t>；</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投标人针对本项目的组织实施方案</w:t>
      </w:r>
      <w:r>
        <w:rPr>
          <w:rFonts w:hint="eastAsia" w:ascii="宋体" w:hAnsi="宋体" w:cs="宋体"/>
          <w:color w:val="auto"/>
          <w:szCs w:val="21"/>
          <w:highlight w:val="none"/>
        </w:rPr>
        <w:t xml:space="preserve">； </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投标人针对本项目的</w:t>
      </w:r>
      <w:r>
        <w:rPr>
          <w:rFonts w:hint="eastAsia" w:ascii="宋体" w:hAnsi="宋体" w:cs="宋体"/>
          <w:color w:val="auto"/>
          <w:szCs w:val="21"/>
          <w:highlight w:val="none"/>
        </w:rPr>
        <w:t>项目</w:t>
      </w:r>
      <w:r>
        <w:rPr>
          <w:rFonts w:hint="eastAsia" w:ascii="宋体" w:hAnsi="宋体" w:cs="宋体"/>
          <w:color w:val="auto"/>
          <w:szCs w:val="21"/>
          <w:highlight w:val="none"/>
          <w:lang w:val="en-US" w:eastAsia="zh-CN"/>
        </w:rPr>
        <w:t>服务团队</w:t>
      </w:r>
      <w:r>
        <w:rPr>
          <w:rFonts w:hint="eastAsia" w:ascii="宋体" w:hAnsi="宋体" w:cs="宋体"/>
          <w:color w:val="auto"/>
          <w:szCs w:val="21"/>
          <w:highlight w:val="none"/>
        </w:rPr>
        <w:t>；</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投标人针对本项目的</w:t>
      </w:r>
      <w:r>
        <w:rPr>
          <w:rFonts w:hint="eastAsia" w:ascii="宋体" w:hAnsi="宋体" w:cs="宋体"/>
          <w:color w:val="auto"/>
          <w:szCs w:val="21"/>
          <w:highlight w:val="none"/>
        </w:rPr>
        <w:t>项目</w:t>
      </w:r>
      <w:r>
        <w:rPr>
          <w:rFonts w:hint="eastAsia" w:ascii="宋体" w:hAnsi="宋体" w:cs="宋体"/>
          <w:color w:val="auto"/>
          <w:szCs w:val="21"/>
          <w:highlight w:val="none"/>
          <w:lang w:val="en-US" w:eastAsia="zh-CN"/>
        </w:rPr>
        <w:t>质量保障措施</w:t>
      </w:r>
      <w:r>
        <w:rPr>
          <w:rFonts w:hint="eastAsia" w:ascii="宋体" w:hAnsi="宋体" w:cs="宋体"/>
          <w:color w:val="auto"/>
          <w:szCs w:val="21"/>
          <w:highlight w:val="none"/>
        </w:rPr>
        <w:t>；</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投标人针对本项目的验收实施方案</w:t>
      </w:r>
      <w:r>
        <w:rPr>
          <w:rFonts w:hint="eastAsia" w:ascii="宋体" w:hAnsi="宋体" w:cs="宋体"/>
          <w:color w:val="auto"/>
          <w:szCs w:val="21"/>
          <w:highlight w:val="none"/>
          <w:lang w:val="zh-CN"/>
        </w:rPr>
        <w:t>（中标后须提请采购人确认）</w:t>
      </w:r>
      <w:r>
        <w:rPr>
          <w:rFonts w:hint="eastAsia" w:ascii="宋体" w:hAnsi="宋体" w:cs="宋体"/>
          <w:color w:val="auto"/>
          <w:szCs w:val="21"/>
          <w:highlight w:val="none"/>
        </w:rPr>
        <w:t>；</w:t>
      </w:r>
    </w:p>
    <w:p>
      <w:pPr>
        <w:numPr>
          <w:ilvl w:val="0"/>
          <w:numId w:val="7"/>
        </w:numPr>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val="en-US" w:eastAsia="zh-CN"/>
        </w:rPr>
        <w:t>投标人针对本项目的培训实施方案</w:t>
      </w:r>
      <w:r>
        <w:rPr>
          <w:rFonts w:hint="eastAsia" w:ascii="宋体" w:hAnsi="宋体" w:cs="宋体"/>
          <w:color w:val="auto"/>
          <w:szCs w:val="21"/>
          <w:highlight w:val="none"/>
        </w:rPr>
        <w:t>；</w:t>
      </w:r>
    </w:p>
    <w:p>
      <w:pPr>
        <w:numPr>
          <w:ilvl w:val="0"/>
          <w:numId w:val="7"/>
        </w:numPr>
        <w:adjustRightInd w:val="0"/>
        <w:snapToGrid w:val="0"/>
        <w:spacing w:line="360" w:lineRule="auto"/>
        <w:ind w:left="5" w:firstLine="415"/>
        <w:rPr>
          <w:rFonts w:ascii="宋体" w:hAnsi="宋体" w:cs="宋体"/>
          <w:color w:val="auto"/>
          <w:szCs w:val="21"/>
          <w:highlight w:val="none"/>
          <w:lang w:val="zh-CN"/>
        </w:rPr>
      </w:pPr>
      <w:r>
        <w:rPr>
          <w:rFonts w:hint="eastAsia" w:ascii="宋体" w:hAnsi="宋体" w:cs="宋体"/>
          <w:color w:val="auto"/>
          <w:szCs w:val="21"/>
          <w:highlight w:val="none"/>
          <w:lang w:val="en-US" w:eastAsia="zh-CN"/>
        </w:rPr>
        <w:t>投标人针对本项目的</w:t>
      </w:r>
      <w:r>
        <w:rPr>
          <w:rFonts w:hint="eastAsia" w:ascii="宋体" w:hAnsi="宋体" w:cs="宋体"/>
          <w:color w:val="auto"/>
          <w:szCs w:val="21"/>
          <w:highlight w:val="none"/>
        </w:rPr>
        <w:t>售后服务方案及售后服务情况表；</w:t>
      </w:r>
    </w:p>
    <w:p>
      <w:pPr>
        <w:numPr>
          <w:ilvl w:val="0"/>
          <w:numId w:val="7"/>
        </w:numPr>
        <w:tabs>
          <w:tab w:val="left" w:pos="840"/>
        </w:tabs>
        <w:adjustRightInd w:val="0"/>
        <w:snapToGrid w:val="0"/>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rPr>
        <w:t>投标人对本项目的合理化建议和改进措施；</w:t>
      </w:r>
    </w:p>
    <w:p>
      <w:pPr>
        <w:numPr>
          <w:ilvl w:val="0"/>
          <w:numId w:val="7"/>
        </w:numPr>
        <w:tabs>
          <w:tab w:val="left" w:pos="840"/>
        </w:tabs>
        <w:adjustRightInd w:val="0"/>
        <w:snapToGrid w:val="0"/>
        <w:spacing w:line="360" w:lineRule="auto"/>
        <w:ind w:left="5" w:firstLine="415"/>
        <w:rPr>
          <w:rFonts w:ascii="宋体" w:hAnsi="宋体" w:cs="宋体"/>
          <w:color w:val="auto"/>
          <w:szCs w:val="21"/>
          <w:highlight w:val="none"/>
          <w:lang w:val="zh-CN"/>
        </w:rPr>
      </w:pPr>
      <w:r>
        <w:rPr>
          <w:rFonts w:hint="eastAsia" w:ascii="宋体" w:hAnsi="宋体" w:cs="宋体"/>
          <w:color w:val="auto"/>
          <w:szCs w:val="21"/>
          <w:highlight w:val="none"/>
          <w:lang w:val="zh-CN"/>
        </w:rPr>
        <w:t>关于对技术文件中有关条款的拒绝声明（如果有）；</w:t>
      </w:r>
    </w:p>
    <w:p>
      <w:pPr>
        <w:numPr>
          <w:ilvl w:val="0"/>
          <w:numId w:val="7"/>
        </w:numPr>
        <w:tabs>
          <w:tab w:val="left" w:pos="840"/>
        </w:tabs>
        <w:adjustRightInd w:val="0"/>
        <w:snapToGrid w:val="0"/>
        <w:spacing w:line="360" w:lineRule="auto"/>
        <w:ind w:left="5" w:firstLine="415"/>
        <w:rPr>
          <w:rFonts w:ascii="宋体" w:hAnsi="宋体" w:cs="宋体"/>
          <w:color w:val="auto"/>
          <w:szCs w:val="21"/>
          <w:highlight w:val="none"/>
          <w:lang w:val="zh-CN"/>
        </w:rPr>
      </w:pPr>
      <w:r>
        <w:rPr>
          <w:rFonts w:hint="eastAsia" w:ascii="宋体" w:hAnsi="宋体" w:cs="宋体"/>
          <w:color w:val="auto"/>
          <w:szCs w:val="21"/>
          <w:highlight w:val="none"/>
        </w:rPr>
        <w:t>投标人对本项目的</w:t>
      </w:r>
      <w:r>
        <w:rPr>
          <w:rFonts w:hint="eastAsia" w:ascii="宋体" w:hAnsi="宋体" w:cs="宋体"/>
          <w:color w:val="auto"/>
          <w:szCs w:val="21"/>
          <w:highlight w:val="none"/>
          <w:lang w:val="zh-CN"/>
        </w:rPr>
        <w:t>技术响应表；</w:t>
      </w:r>
    </w:p>
    <w:p>
      <w:pPr>
        <w:numPr>
          <w:ilvl w:val="0"/>
          <w:numId w:val="7"/>
        </w:numPr>
        <w:tabs>
          <w:tab w:val="left" w:pos="840"/>
        </w:tabs>
        <w:adjustRightInd w:val="0"/>
        <w:snapToGrid w:val="0"/>
        <w:spacing w:line="360" w:lineRule="auto"/>
        <w:ind w:left="5" w:firstLine="415"/>
        <w:rPr>
          <w:rFonts w:ascii="宋体" w:hAnsi="宋体" w:cs="宋体"/>
          <w:color w:val="auto"/>
          <w:szCs w:val="21"/>
          <w:highlight w:val="none"/>
          <w:lang w:val="zh-CN"/>
        </w:rPr>
      </w:pPr>
      <w:r>
        <w:rPr>
          <w:rFonts w:hint="eastAsia" w:ascii="宋体" w:hAnsi="宋体" w:cs="宋体"/>
          <w:color w:val="auto"/>
          <w:szCs w:val="21"/>
          <w:highlight w:val="none"/>
        </w:rPr>
        <w:t>投标人对本项目的</w:t>
      </w:r>
      <w:r>
        <w:rPr>
          <w:rFonts w:hint="eastAsia" w:ascii="宋体" w:hAnsi="宋体" w:cs="宋体"/>
          <w:color w:val="auto"/>
          <w:szCs w:val="21"/>
          <w:highlight w:val="none"/>
          <w:lang w:val="en-US" w:eastAsia="zh-CN"/>
        </w:rPr>
        <w:t>评标细则要求的其他材料</w:t>
      </w:r>
      <w:r>
        <w:rPr>
          <w:rFonts w:hint="eastAsia" w:ascii="宋体" w:hAnsi="宋体" w:cs="宋体"/>
          <w:color w:val="auto"/>
          <w:szCs w:val="21"/>
          <w:highlight w:val="none"/>
          <w:lang w:val="zh-CN"/>
        </w:rPr>
        <w:t>；</w:t>
      </w:r>
    </w:p>
    <w:p>
      <w:pPr>
        <w:numPr>
          <w:ilvl w:val="0"/>
          <w:numId w:val="7"/>
        </w:numPr>
        <w:tabs>
          <w:tab w:val="left" w:pos="840"/>
        </w:tabs>
        <w:adjustRightInd w:val="0"/>
        <w:snapToGrid w:val="0"/>
        <w:spacing w:line="360" w:lineRule="auto"/>
        <w:ind w:left="5" w:firstLine="415"/>
        <w:rPr>
          <w:rFonts w:ascii="宋体" w:hAnsi="宋体" w:cs="宋体"/>
          <w:color w:val="auto"/>
          <w:szCs w:val="21"/>
          <w:highlight w:val="none"/>
          <w:lang w:val="zh-CN"/>
        </w:rPr>
      </w:pPr>
      <w:r>
        <w:rPr>
          <w:rFonts w:hint="eastAsia" w:ascii="宋体" w:hAnsi="宋体" w:cs="宋体"/>
          <w:color w:val="auto"/>
          <w:szCs w:val="21"/>
          <w:highlight w:val="none"/>
          <w:lang w:val="zh-CN"/>
        </w:rPr>
        <w:t>投标人认为需要的其他技术相关文件或说明。</w:t>
      </w:r>
    </w:p>
    <w:p>
      <w:pPr>
        <w:adjustRightInd w:val="0"/>
        <w:snapToGrid w:val="0"/>
        <w:spacing w:line="360" w:lineRule="auto"/>
        <w:ind w:firstLine="422" w:firstLineChars="200"/>
        <w:jc w:val="left"/>
        <w:rPr>
          <w:rFonts w:ascii="宋体" w:hAnsi="宋体" w:cs="宋体"/>
          <w:snapToGrid w:val="0"/>
          <w:color w:val="auto"/>
          <w:kern w:val="0"/>
          <w:szCs w:val="21"/>
          <w:highlight w:val="none"/>
        </w:rPr>
      </w:pPr>
      <w:r>
        <w:rPr>
          <w:rFonts w:hint="eastAsia" w:ascii="宋体" w:hAnsi="宋体" w:cs="宋体"/>
          <w:b/>
          <w:snapToGrid w:val="0"/>
          <w:color w:val="auto"/>
          <w:kern w:val="0"/>
          <w:szCs w:val="21"/>
          <w:highlight w:val="none"/>
        </w:rPr>
        <w:t>9.3报价响应文件</w:t>
      </w:r>
    </w:p>
    <w:p>
      <w:pPr>
        <w:numPr>
          <w:ilvl w:val="0"/>
          <w:numId w:val="8"/>
        </w:numPr>
        <w:adjustRightInd w:val="0"/>
        <w:snapToGrid w:val="0"/>
        <w:spacing w:line="360" w:lineRule="auto"/>
        <w:ind w:left="991"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报价响应文件封面；</w:t>
      </w:r>
    </w:p>
    <w:p>
      <w:pPr>
        <w:numPr>
          <w:ilvl w:val="0"/>
          <w:numId w:val="8"/>
        </w:numPr>
        <w:adjustRightInd w:val="0"/>
        <w:snapToGrid w:val="0"/>
        <w:spacing w:line="360" w:lineRule="auto"/>
        <w:ind w:left="991"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报价响应文件目录；</w:t>
      </w:r>
    </w:p>
    <w:p>
      <w:pPr>
        <w:numPr>
          <w:ilvl w:val="0"/>
          <w:numId w:val="8"/>
        </w:numPr>
        <w:adjustRightInd w:val="0"/>
        <w:snapToGrid w:val="0"/>
        <w:spacing w:line="360" w:lineRule="auto"/>
        <w:ind w:left="991"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开标一览表；</w:t>
      </w:r>
    </w:p>
    <w:p>
      <w:pPr>
        <w:numPr>
          <w:ilvl w:val="0"/>
          <w:numId w:val="8"/>
        </w:numPr>
        <w:adjustRightInd w:val="0"/>
        <w:snapToGrid w:val="0"/>
        <w:spacing w:line="360" w:lineRule="auto"/>
        <w:ind w:left="991" w:hanging="571"/>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投标报价明细表；</w:t>
      </w:r>
    </w:p>
    <w:p>
      <w:pPr>
        <w:numPr>
          <w:ilvl w:val="0"/>
          <w:numId w:val="8"/>
        </w:numPr>
        <w:tabs>
          <w:tab w:val="left" w:pos="840"/>
          <w:tab w:val="left" w:pos="1050"/>
        </w:tabs>
        <w:adjustRightInd w:val="0"/>
        <w:snapToGrid w:val="0"/>
        <w:spacing w:line="360" w:lineRule="auto"/>
        <w:ind w:left="11" w:firstLine="407"/>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分包意向协议（需明确分包的金额比重、中小企业声明函中需体现分包商的信息）（如有）</w:t>
      </w:r>
      <w:r>
        <w:rPr>
          <w:rFonts w:hint="eastAsia" w:ascii="宋体" w:hAnsi="宋体" w:cs="宋体"/>
          <w:color w:val="auto"/>
          <w:szCs w:val="21"/>
          <w:highlight w:val="none"/>
        </w:rPr>
        <w:t>（参考格式见本文件第六部分）</w:t>
      </w:r>
      <w:r>
        <w:rPr>
          <w:rFonts w:hint="eastAsia" w:ascii="宋体" w:hAnsi="宋体" w:cs="宋体"/>
          <w:bCs/>
          <w:snapToGrid w:val="0"/>
          <w:color w:val="auto"/>
          <w:kern w:val="0"/>
          <w:szCs w:val="21"/>
          <w:highlight w:val="none"/>
        </w:rPr>
        <w:t>；</w:t>
      </w:r>
    </w:p>
    <w:p>
      <w:pPr>
        <w:numPr>
          <w:ilvl w:val="0"/>
          <w:numId w:val="8"/>
        </w:numPr>
        <w:tabs>
          <w:tab w:val="left" w:pos="840"/>
          <w:tab w:val="left" w:pos="1050"/>
        </w:tabs>
        <w:adjustRightInd w:val="0"/>
        <w:snapToGrid w:val="0"/>
        <w:spacing w:line="360" w:lineRule="auto"/>
        <w:ind w:left="11" w:firstLine="407"/>
        <w:jc w:val="left"/>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投标人认为需要的其他报价相关文件或说明。</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10．投标函</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10.1 投标人应完整地填写采购文件中提供的投标函和投标相关附件。</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10.2 投标文件应当对采购文件中有关投标有效期、采购需求等实质性内容作出响应。投标人在满足采购文件实质性要求的基础上，可以提出比采购文件要求更有利于采购人的承诺。</w:t>
      </w:r>
    </w:p>
    <w:p>
      <w:pPr>
        <w:pStyle w:val="20"/>
        <w:keepNext w:val="0"/>
        <w:keepLines w:val="0"/>
        <w:pageBreakBefore w:val="0"/>
        <w:widowControl w:val="0"/>
        <w:kinsoku/>
        <w:wordWrap/>
        <w:overflowPunct/>
        <w:topLinePunct w:val="0"/>
        <w:bidi w:val="0"/>
        <w:snapToGrid w:val="0"/>
        <w:spacing w:line="360" w:lineRule="auto"/>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11．投标报价</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11.1 本项目采用总价包干，投标人应充分了解影响投标报价的其他要素。由于方案不完善而造成合同价格不准确的风险由投标人自行承担。因方案不完善而调整的内容，不因采购人要求做价款调整。</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11.2 除非合同中另有规定，投标人的报价应包括完成本项目的全部费用，还含有关本项目所需相关技术支持服务费用、税金及采购代理服务费等所有费用。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11.3  投标人应对采购文件内所要招标的全部内容进行报价，只投其中部分内容者，其投标将被拒绝。</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11.4  投标内容只允许一个报价，采购人不接受任何有选择性的投标报价。</w:t>
      </w:r>
    </w:p>
    <w:p>
      <w:pPr>
        <w:pStyle w:val="20"/>
        <w:keepNext w:val="0"/>
        <w:keepLines w:val="0"/>
        <w:pageBreakBefore w:val="0"/>
        <w:widowControl w:val="0"/>
        <w:kinsoku/>
        <w:wordWrap/>
        <w:overflowPunct/>
        <w:topLinePunct w:val="0"/>
        <w:bidi w:val="0"/>
        <w:snapToGrid w:val="0"/>
        <w:spacing w:line="360" w:lineRule="auto"/>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12．投标货币</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投标人用人民币报价。</w:t>
      </w:r>
    </w:p>
    <w:p>
      <w:pPr>
        <w:pStyle w:val="20"/>
        <w:keepNext w:val="0"/>
        <w:keepLines w:val="0"/>
        <w:pageBreakBefore w:val="0"/>
        <w:widowControl w:val="0"/>
        <w:numPr>
          <w:ilvl w:val="0"/>
          <w:numId w:val="9"/>
        </w:numPr>
        <w:kinsoku/>
        <w:wordWrap/>
        <w:overflowPunct/>
        <w:topLinePunct w:val="0"/>
        <w:bidi w:val="0"/>
        <w:snapToGrid w:val="0"/>
        <w:spacing w:line="360" w:lineRule="auto"/>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投标保证金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13.1 本项目不收取投标保证金。但违反政府采购相关规定给采购人造成损失的，投标人应当承担赔偿责任。</w:t>
      </w:r>
    </w:p>
    <w:p>
      <w:pPr>
        <w:pStyle w:val="20"/>
        <w:snapToGrid w:val="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14．投标有效期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14.1 投标文件在</w:t>
      </w:r>
      <w:r>
        <w:rPr>
          <w:rFonts w:hint="eastAsia"/>
          <w:color w:val="auto"/>
          <w:highlight w:val="none"/>
        </w:rPr>
        <w:t>提交投标文件的截止之日起算</w:t>
      </w:r>
      <w:r>
        <w:rPr>
          <w:rFonts w:hint="eastAsia" w:ascii="宋体" w:hAnsi="宋体" w:cs="宋体"/>
          <w:snapToGrid w:val="0"/>
          <w:color w:val="auto"/>
          <w:kern w:val="0"/>
          <w:szCs w:val="21"/>
          <w:highlight w:val="none"/>
        </w:rPr>
        <w:t>90个日历天内有效</w:t>
      </w:r>
      <w:r>
        <w:rPr>
          <w:rFonts w:hint="eastAsia" w:ascii="宋体" w:hAnsi="宋体" w:cs="宋体"/>
          <w:color w:val="auto"/>
          <w:szCs w:val="21"/>
          <w:highlight w:val="none"/>
        </w:rPr>
        <w:t>，不足有效期的，其投标视为无效标</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14.3 中标供应商的投标文件自开标之日起至合同履行完毕止均应保持有效。</w:t>
      </w:r>
    </w:p>
    <w:p>
      <w:pPr>
        <w:pStyle w:val="20"/>
        <w:snapToGrid w:val="0"/>
        <w:ind w:firstLine="422" w:firstLineChars="200"/>
        <w:rPr>
          <w:rFonts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15．投标文件的式样</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15.1 投标人通过“政采云”平台制作电子投标文件，投标文件制作详见“供应商-政府采购项目电子交易操作指南”。</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15.2 投标文件是电子投标文件，电子投标文件形式包括“电子加密投标文件”和“备份投标文件”，在投标文件编制完成后同时生成。</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（1）“电子加密投标文件”是指通过“政采云电子交易客户端”完成投标文件编制后生成并加密的数据电文形式的投标文件。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（2）“备份投标文件”是指与“电子加密投标文件”同时生成的数据电文形式的电子文件（备份标书，用于供应商标书解密异常时应急使用），其他方式编制的备份投标文件视为无效备份投标文件。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（3）电子投标文件应包括资格响应文件、商务技术响应文件、报价响应文件三部分内容。</w:t>
      </w:r>
    </w:p>
    <w:p>
      <w:pPr>
        <w:adjustRightInd w:val="0"/>
        <w:snapToGrid w:val="0"/>
        <w:spacing w:line="360" w:lineRule="auto"/>
        <w:ind w:firstLine="422" w:firstLineChars="200"/>
        <w:jc w:val="left"/>
        <w:rPr>
          <w:rFonts w:hint="eastAsia"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15.3 投标文件中投标函、授权委托书的格式、签字、盖章及内容均应符合采购文件格式要求，否则投标文件无效。</w:t>
      </w:r>
    </w:p>
    <w:p>
      <w:pPr>
        <w:adjustRightInd w:val="0"/>
        <w:snapToGrid w:val="0"/>
        <w:spacing w:line="360" w:lineRule="auto"/>
        <w:ind w:firstLine="422" w:firstLineChars="200"/>
        <w:jc w:val="left"/>
        <w:rPr>
          <w:rFonts w:hint="eastAsia"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说明：凡采购文件要求投标人盖公章的部分，采用电子签章或加盖投标人公章后扫描上传的，均视为符合要求。</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15.4投标人应根据“政采云供应商项目采购-电子招投标操作指南”及本采购文件规定编制电子投标文件并进行关联定位，以便评标委员会在评标时，点击评分项，可直接定位到该评分项内容。</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如对采购文件的某项要求，投标人的投标文件未能提供相应的内容与其对应，则评标委员会在评审时会提示投标人未对此项招标要求提供相应内容。由此产生的评分影响由投标人自行承担。</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投标文件内容不完整、编排混乱导致投标文件被误读、漏读，或者在按采购文件规定的部分查找不到相关内容的，是投标人的责任。</w:t>
      </w:r>
    </w:p>
    <w:p>
      <w:pPr>
        <w:pStyle w:val="3"/>
        <w:snapToGrid w:val="0"/>
        <w:spacing w:before="0" w:after="0" w:line="360" w:lineRule="auto"/>
        <w:rPr>
          <w:rFonts w:ascii="宋体" w:hAnsi="宋体" w:eastAsia="宋体"/>
          <w:color w:val="auto"/>
          <w:sz w:val="21"/>
          <w:szCs w:val="21"/>
          <w:highlight w:val="none"/>
        </w:rPr>
      </w:pPr>
      <w:bookmarkStart w:id="71" w:name="_Toc251566653"/>
      <w:bookmarkStart w:id="72" w:name="_Toc1575"/>
      <w:bookmarkStart w:id="73" w:name="_Toc10757"/>
      <w:bookmarkStart w:id="74" w:name="_Toc27241"/>
      <w:bookmarkStart w:id="75" w:name="_Toc12133"/>
      <w:bookmarkStart w:id="76" w:name="_Toc11108"/>
      <w:bookmarkStart w:id="77" w:name="_Toc240450080"/>
      <w:bookmarkStart w:id="78" w:name="_Toc19334"/>
      <w:bookmarkStart w:id="79" w:name="_Toc4343"/>
      <w:r>
        <w:rPr>
          <w:rFonts w:hint="eastAsia" w:ascii="宋体" w:hAnsi="宋体" w:eastAsia="宋体"/>
          <w:color w:val="auto"/>
          <w:sz w:val="21"/>
          <w:szCs w:val="21"/>
          <w:highlight w:val="none"/>
        </w:rPr>
        <w:t>四、投标文件的递交</w:t>
      </w:r>
      <w:bookmarkEnd w:id="71"/>
      <w:bookmarkEnd w:id="72"/>
      <w:bookmarkEnd w:id="73"/>
      <w:bookmarkEnd w:id="74"/>
      <w:bookmarkEnd w:id="75"/>
      <w:bookmarkEnd w:id="76"/>
      <w:bookmarkEnd w:id="77"/>
      <w:bookmarkEnd w:id="78"/>
      <w:bookmarkEnd w:id="79"/>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16．投标文件的递交</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16.1 电子加密投标文件：投标文件制作完成并生成加密标书，在投标截止时间前，投标人需将加密的投标文件上传至政采云平台，到达开标时间后，解密投标文件。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16.1.1投标人未能在投标截止时间前成功上传电子加密投标文件的投标无效。</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16.1.2投标人成功上传电子加密投标文件后，可自行打印投标文件接收回执。</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16.2备份投标文件：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16.2.1投标人在电子交易平台传输递交投标文件后，还可以在投标文件上传截止时间前直接提交或者以快递方式递交备份投标文件1份，但采购人、采购代理机构不强制或变相强制投标人提交备份投标文件。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16.2.2备份投标文件须在“政采云投标客户端”制作生成，并储存在光盘或U盘中。备份投标文件应当密封包装并在包装上加盖公章并注明投标项目名称，投标人名称(联合体投标的，包装物封面需注明联合体投标，并注明联合体成员各方的名称和联合体协议中约定的牵头人的名称)。不符合上述制作、存储、密封规定的备份投标文件将被视为无效或者被拒绝接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16.2.3直接提交备份投标文件的，投标人应于投标文件上传截止时间前将备份投标文件提交给采购代理机构，采购代理机构将拒绝接受逾期送达的备份投标文件。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16.2.4以快递方式递交备份投标文件的，投标人应先将备份投标文件按要求密封和标记，再进行快递包装后邮寄。备份投标文件须在投标文件上传截止时间之前送达采购文件本前附表本条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16.2.5投标人仅提交备份投标文件，没有在电子交易平台传输递交投标文件的，投标无效。通过“政府采购云平台”上传递交的投标文件无法按时解密，投标供应商递交了备份投标文件的，以备份投标文件为依据，否则按照《浙江省政府采购项目电子交易管理暂行办法》二十四条规定视为投标（响应）文件撤回</w:t>
      </w:r>
      <w:r>
        <w:rPr>
          <w:rFonts w:hint="eastAsia" w:ascii="宋体" w:hAnsi="宋体" w:cs="宋体"/>
          <w:color w:val="auto"/>
          <w:highlight w:val="none"/>
        </w:rPr>
        <w:t>。</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17．投标截止期</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17.1 投标人应按前附表规定的日期、时间和方式上传、递交投标文件。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17.2 采购人可以按本须知第7条规定，通过修改采购文件适当延长投标截止日期。在此情况下，采购人与投标人受投标截止期制约的所有权利和义务均应延长至新的截止期。</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18．迟交的投标文件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在本须知第17条规定的截止期后提交（上传）的任何投标文件，采购人将不予接收。</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19．投标文件的修改与撤回</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19.1 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19.2 在投标截止期之后，投标人不得对其投标作任何修改。</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19.3 从投标截止期至投标人在投标函格式中确定的投标有效期期满这段时间内，投标人不得撤回其投标。</w:t>
      </w:r>
    </w:p>
    <w:p>
      <w:pPr>
        <w:pStyle w:val="3"/>
        <w:snapToGrid w:val="0"/>
        <w:spacing w:before="0" w:after="0" w:line="360" w:lineRule="auto"/>
        <w:rPr>
          <w:rFonts w:ascii="宋体" w:hAnsi="宋体" w:eastAsia="宋体"/>
          <w:color w:val="auto"/>
          <w:sz w:val="21"/>
          <w:szCs w:val="21"/>
          <w:highlight w:val="none"/>
        </w:rPr>
      </w:pPr>
      <w:bookmarkStart w:id="80" w:name="_Toc11102"/>
      <w:bookmarkStart w:id="81" w:name="_Toc22843"/>
      <w:bookmarkStart w:id="82" w:name="_Toc29187"/>
      <w:bookmarkStart w:id="83" w:name="_Toc13980"/>
      <w:bookmarkStart w:id="84" w:name="_Toc8191"/>
      <w:bookmarkStart w:id="85" w:name="_Toc240450081"/>
      <w:bookmarkStart w:id="86" w:name="_Toc14566"/>
      <w:bookmarkStart w:id="87" w:name="_Toc13578"/>
      <w:bookmarkStart w:id="88" w:name="_Toc251566654"/>
      <w:r>
        <w:rPr>
          <w:rFonts w:hint="eastAsia" w:ascii="宋体" w:hAnsi="宋体" w:eastAsia="宋体"/>
          <w:color w:val="auto"/>
          <w:sz w:val="21"/>
          <w:szCs w:val="21"/>
          <w:highlight w:val="none"/>
        </w:rPr>
        <w:t>五、开标与评标</w:t>
      </w:r>
      <w:bookmarkEnd w:id="80"/>
      <w:bookmarkEnd w:id="81"/>
      <w:bookmarkEnd w:id="82"/>
      <w:bookmarkEnd w:id="83"/>
      <w:bookmarkEnd w:id="84"/>
      <w:bookmarkEnd w:id="85"/>
      <w:bookmarkEnd w:id="86"/>
      <w:bookmarkEnd w:id="87"/>
      <w:bookmarkEnd w:id="88"/>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20．开标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20.1 采购人将于采购公告规定的时间和地点公开开标。若采购人按本须知第7条规定，通过修改采购文件更改了开标时间和地点的，以后者为准。</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20.2开评标期间，投标人代表应在线操作，并关注政采云有关信息公布、澄清等情况。投标人代表不参加开标程序的，事后不得对采购相关人员、开标过程和开标结果提出异议。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20.3 开标程序</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详见前附表序号第</w:t>
      </w:r>
      <w:r>
        <w:rPr>
          <w:rFonts w:hint="eastAsia" w:ascii="宋体" w:hAnsi="宋体" w:cs="宋体"/>
          <w:color w:val="auto"/>
          <w:szCs w:val="21"/>
          <w:highlight w:val="none"/>
          <w:lang w:val="en-US" w:eastAsia="zh-CN"/>
        </w:rPr>
        <w:t>22</w:t>
      </w:r>
      <w:r>
        <w:rPr>
          <w:rFonts w:hint="eastAsia" w:ascii="宋体" w:hAnsi="宋体" w:cs="宋体"/>
          <w:color w:val="auto"/>
          <w:szCs w:val="21"/>
          <w:highlight w:val="none"/>
        </w:rPr>
        <w:t>项。</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21．评标</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详见采购文件第五部分“评标办法”。</w:t>
      </w:r>
    </w:p>
    <w:p>
      <w:pPr>
        <w:tabs>
          <w:tab w:val="left" w:pos="900"/>
          <w:tab w:val="left" w:pos="1080"/>
        </w:tabs>
        <w:adjustRightInd w:val="0"/>
        <w:snapToGrid w:val="0"/>
        <w:spacing w:line="360" w:lineRule="auto"/>
        <w:ind w:firstLine="422" w:firstLineChars="200"/>
        <w:jc w:val="left"/>
        <w:rPr>
          <w:rFonts w:ascii="宋体" w:hAnsi="宋体" w:cs="宋体"/>
          <w:snapToGrid w:val="0"/>
          <w:color w:val="auto"/>
          <w:kern w:val="0"/>
          <w:szCs w:val="21"/>
          <w:highlight w:val="none"/>
        </w:rPr>
      </w:pPr>
      <w:r>
        <w:rPr>
          <w:rFonts w:hint="eastAsia" w:ascii="宋体" w:hAnsi="宋体" w:cs="宋体"/>
          <w:b/>
          <w:color w:val="auto"/>
          <w:szCs w:val="21"/>
          <w:highlight w:val="none"/>
        </w:rPr>
        <w:t>22．串通投标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有下列情形之一的，视为供应商串通投标，其投标无效：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（1）不同供应商的投标文件由同一单位或者个人编制；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（2）不同供应商委托同一单位或者个人办理投标事宜；</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（3）不同供应商的投标文件载明的项目管理成员或者联系人员为同一人；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（4）不同供应商的投标文件异常一致或者投标报价呈规律性差异；</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（5）不同供应商的投标文件相互混装。</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23．废标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23.1根据《中华人民共和国政府采购法》第三十六条，出现下列情形之一的，应予以废标：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（1）符合专业条件的供应商或者对采购文件作实质响应的供应商不足三家的；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（2）出现影响采购公正的违法、违规行为的；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（3）所有投标人的报价均超过了采购预算，采购人不能支付的；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（4）因重大变故，采购任务取消的。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23.2 废标后，采购人应当将废标理由通知所有投标人并重新组织招标；或者经主管部门批准，采取其他方式组织采购。</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24．电子交易活动中止</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24.1采购过程中出现以下情形，导致电子交易平台无法正常运行，或者无法保证电子交易的公平、公正和安全时，采购组织机构可中止电子交易活动：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（1）电子交易平台发生故障而无法登录访问的； </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（2）电子交易平台应用或数据库出现错误，不能进行正常操作的；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（3）电子交易平台发现严重安全漏洞，有潜在泄密危险的；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（4）病毒发作导致不能进行正常操作的； </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（5）其他无法保证电子交易的公平、公正和安全的情况。</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24.2出现前款规定情形，不影响采购公平、公正性的，采购组织机构可以待上述情形消除后继续组织电子交易活动，也可以决定某些环节以纸质形式进行；影响或可能影响采购公平、公正性的，应当重新采购。</w:t>
      </w:r>
    </w:p>
    <w:p>
      <w:pPr>
        <w:pStyle w:val="3"/>
        <w:snapToGrid w:val="0"/>
        <w:spacing w:before="0" w:after="0" w:line="360" w:lineRule="auto"/>
        <w:rPr>
          <w:rFonts w:ascii="宋体" w:hAnsi="宋体" w:eastAsia="宋体"/>
          <w:color w:val="auto"/>
          <w:sz w:val="21"/>
          <w:szCs w:val="21"/>
          <w:highlight w:val="none"/>
        </w:rPr>
      </w:pPr>
      <w:bookmarkStart w:id="89" w:name="_Toc251566655"/>
      <w:bookmarkStart w:id="90" w:name="_Toc30618"/>
      <w:bookmarkStart w:id="91" w:name="_Toc13028"/>
      <w:bookmarkStart w:id="92" w:name="_Toc240450082"/>
      <w:bookmarkStart w:id="93" w:name="_Toc26186"/>
      <w:bookmarkStart w:id="94" w:name="_Toc28617"/>
      <w:r>
        <w:rPr>
          <w:rFonts w:hint="eastAsia" w:ascii="宋体" w:hAnsi="宋体" w:eastAsia="宋体"/>
          <w:color w:val="auto"/>
          <w:sz w:val="21"/>
          <w:szCs w:val="21"/>
          <w:highlight w:val="none"/>
        </w:rPr>
        <w:t>六、确定中标供应商及授予合同</w:t>
      </w:r>
      <w:bookmarkEnd w:id="89"/>
      <w:bookmarkEnd w:id="90"/>
      <w:bookmarkEnd w:id="91"/>
      <w:bookmarkEnd w:id="92"/>
      <w:bookmarkEnd w:id="93"/>
      <w:bookmarkEnd w:id="94"/>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25．中标供应商的确定</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25.1 采购代理机构应当自评审结束之日起2个工作日内将评审报告送交采购人。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应当自收到评标报告之日起5个工作日内，在评标报告确定的中标候选人名单中按顺序确定1名中标供应商。中标候选人并列的，由采购人或者采购人委托评标委员会按照采购文件规定的方式确定中标供应商；采购文件未规定的，采取随机抽取的方式确定。</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采购人在收到评标报告5个工作日内未按评标报告推荐的中标候选人顺序确定中标供应商，又不能说明合法理由的，视同按评标报告推荐的顺序确定排名第一的中标候选人为中标供应商。</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采购人或者采购代理机构应当自中标供应商确定之日起2个工作日内，在省级以上财政部门指定的媒体上公告中标结果，</w:t>
      </w:r>
      <w:r>
        <w:rPr>
          <w:rFonts w:hint="eastAsia" w:ascii="宋体" w:hAnsi="宋体" w:cs="宋体"/>
          <w:b/>
          <w:bCs/>
          <w:snapToGrid w:val="0"/>
          <w:color w:val="auto"/>
          <w:kern w:val="0"/>
          <w:szCs w:val="21"/>
          <w:highlight w:val="none"/>
          <w:u w:val="single"/>
        </w:rPr>
        <w:t>同时在政采云系统中发出中标通知书，中标供应商应自行下载获取。</w:t>
      </w:r>
      <w:r>
        <w:rPr>
          <w:rFonts w:hint="eastAsia" w:ascii="宋体" w:hAnsi="宋体" w:cs="宋体"/>
          <w:snapToGrid w:val="0"/>
          <w:color w:val="auto"/>
          <w:kern w:val="0"/>
          <w:szCs w:val="21"/>
          <w:highlight w:val="none"/>
        </w:rPr>
        <w:t>中标供应商享受中小企业扶持政策的，采购人、采购代理机构应当随中标结果公开中标供应商的《中小企业声明函》等。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公告期限为1个工作日。</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25.2 除国务院财政部门规定的情形外，采购人、采购代理机构不得以任何理由组织重新评审。采购人、采购代理机构按照国务院财政部门的规定组织重新评审的，应当书面报告本级人民政府财政部门。</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25.3中标通知书发出后，采购人不得违法改变中标结果，中标供应商无正当理由不得放弃中标。 </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26．合同授予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26.1 本项目的合同将授予按本须知第25.1款所确定的中标供应商。</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26.2 中标或者中标供应商拒绝与采购人签订合同的，采购人可以按照评审报告推荐的中标或者成交候选人名单排序，确定下一候选人为中标或者中标供应商，也可以重新开展政府采购活动。</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27．签订合同</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27.1 中标供应商应按中标通知书规定的时间与采购人签订合同。如中标供应商为联合体的，由联合体成员各方法定代表人或其授权代表与采购人代表签订合同。中标供应商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27.2 中标供应商如不遵守采购文件或投标文件各项条款的邀约与要约，或在接到中标通知书后借故拖延，拒签合同的，采购人将依据国家和采购文件有关规定要求中标供应商予以赔偿，同时采购人可根据26.2的原则另行选择中标供应商。</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27.3 采购文件、中标供应商的投标文件及投标修改文件、评标过程中有关澄清文件及经投标人法定代表人或授权代表签字确认或加盖公章的询标回复和承诺及中标通知书均作为合同组成部分。</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28．履约保证金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见投标人须知前附表。</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29.采购代理服务费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snapToGrid w:val="0"/>
          <w:color w:val="auto"/>
          <w:kern w:val="0"/>
          <w:szCs w:val="21"/>
          <w:highlight w:val="none"/>
        </w:rPr>
        <w:t>本项目的采购代理费由中标供应商支付，</w:t>
      </w:r>
      <w:r>
        <w:rPr>
          <w:rFonts w:hint="eastAsia" w:ascii="宋体" w:hAnsi="宋体" w:cs="宋体"/>
          <w:color w:val="auto"/>
          <w:szCs w:val="21"/>
          <w:highlight w:val="none"/>
        </w:rPr>
        <w:t>收费标准详见前附表。</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30.质疑与投诉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质疑函范本、投诉书范本详见本文件第七部分。</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30.1供应商询问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供应商对政府采购活动事项有疑问的，可以向采购机构提出询问，采购人或者采购代理机构应当在3个工作日内对供应商依法提出的询问作出答复，但答复的内容不得涉及商业秘密。</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30.2供应商质疑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30.2.1投标人认为采购文件、采购过程、中标或者成交结果使自己的权益受到损害的，可以在知道或者应知其权益受到损害之日起7个工作日内，以书面形式向采购人、采购代理机构提出质疑。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本项目要求投标人在法定质疑期内一次性提出针对同一采购程序环节的质疑。</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30.2.2提出质疑的投标人（以下简称质疑人）应当是参与所质疑项目采购活动的投标人。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潜在投标人已依法获取其可质疑的采购文件的，可以对该文件提出质疑。对采购文件提出质疑的，应当在获取采购文件或者采购文件公告期限届满之日起7个工作日内提出。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30.2.3投标人提出质疑应当提交质疑函和必要的证明材料。质疑函应当包括下列内容：</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（一）投标人的姓名或者名称、地址、邮编、联系人及联系电话；</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（二）质疑项目的名称、编号；</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（三）具体、明确的质疑事项和与质疑事项相关的请求；</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（四）事实依据；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（五）必要的法律依据；</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（六）提出质疑的日期。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30.3.4采购人、采购代理机构在收到法定质疑期内发出的质疑函后7个工作日内作出答复，并以书面形式通知质疑人和其他有关投标人。质疑答复的内容不得涉及商业秘密。</w:t>
      </w:r>
    </w:p>
    <w:p>
      <w:pPr>
        <w:adjustRightInd w:val="0"/>
        <w:snapToGrid w:val="0"/>
        <w:spacing w:line="360" w:lineRule="auto"/>
        <w:ind w:firstLine="420" w:firstLineChars="200"/>
        <w:jc w:val="left"/>
        <w:rPr>
          <w:rFonts w:ascii="宋体" w:hAnsi="宋体" w:cs="宋体"/>
          <w:i/>
          <w:iCs/>
          <w:snapToGrid w:val="0"/>
          <w:color w:val="auto"/>
          <w:kern w:val="0"/>
          <w:szCs w:val="21"/>
          <w:highlight w:val="none"/>
        </w:rPr>
      </w:pPr>
      <w:r>
        <w:rPr>
          <w:rFonts w:hint="eastAsia" w:ascii="宋体" w:hAnsi="宋体" w:cs="宋体"/>
          <w:snapToGrid w:val="0"/>
          <w:color w:val="auto"/>
          <w:kern w:val="0"/>
          <w:szCs w:val="21"/>
          <w:highlight w:val="none"/>
        </w:rPr>
        <w:t>30.3.5质疑答复内容应全面完整，质疑答复人应将质疑答复内容及时在浙江政府采购网公开，涉及国家秘密、个人隐私、商业秘密以及法律、法规规定应予保密的信息内容除外。</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30.3供应商投诉</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质疑供应商对采购机构的答复不满意或者采购机构未在规定的时间内作出答复的，可以在答复期满后十五个工作日内向同级政府采购监督管理部门提出投诉。</w:t>
      </w:r>
    </w:p>
    <w:p>
      <w:pPr>
        <w:adjustRightInd w:val="0"/>
        <w:snapToGrid w:val="0"/>
        <w:spacing w:line="360" w:lineRule="auto"/>
        <w:ind w:firstLine="422" w:firstLineChars="20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31．采购结束</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31.1中标供应商与采购人签订合同生效后即为采购结束。</w:t>
      </w:r>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31.2本项目的投标文件不予退回。</w:t>
      </w:r>
    </w:p>
    <w:p>
      <w:pPr>
        <w:adjustRightInd w:val="0"/>
        <w:snapToGrid w:val="0"/>
        <w:spacing w:line="360" w:lineRule="auto"/>
        <w:jc w:val="center"/>
        <w:outlineLvl w:val="0"/>
        <w:rPr>
          <w:rFonts w:ascii="宋体" w:hAnsi="宋体" w:cs="宋体"/>
          <w:color w:val="auto"/>
          <w:sz w:val="36"/>
          <w:highlight w:val="none"/>
        </w:rPr>
      </w:pPr>
      <w:r>
        <w:rPr>
          <w:rFonts w:hint="eastAsia" w:ascii="宋体" w:hAnsi="宋体" w:cs="宋体"/>
          <w:b/>
          <w:bCs/>
          <w:color w:val="auto"/>
          <w:sz w:val="28"/>
          <w:szCs w:val="21"/>
          <w:highlight w:val="none"/>
        </w:rPr>
        <w:br w:type="page"/>
      </w:r>
      <w:bookmarkStart w:id="95" w:name="_Toc83616202"/>
      <w:bookmarkStart w:id="96" w:name="_Toc242012796"/>
      <w:bookmarkStart w:id="97" w:name="_Toc22644"/>
      <w:bookmarkStart w:id="98" w:name="_Toc31190"/>
      <w:bookmarkStart w:id="99" w:name="_Toc15185"/>
      <w:bookmarkStart w:id="100" w:name="_Toc22348"/>
      <w:bookmarkStart w:id="101" w:name="_Toc7411"/>
      <w:bookmarkStart w:id="102" w:name="_Toc20315"/>
      <w:r>
        <w:rPr>
          <w:rFonts w:hint="eastAsia" w:ascii="宋体" w:hAnsi="宋体" w:cs="宋体"/>
          <w:b/>
          <w:color w:val="auto"/>
          <w:sz w:val="30"/>
          <w:szCs w:val="30"/>
          <w:highlight w:val="none"/>
        </w:rPr>
        <w:t>第三部分</w:t>
      </w:r>
      <w:bookmarkEnd w:id="95"/>
      <w:r>
        <w:rPr>
          <w:rFonts w:hint="eastAsia" w:ascii="宋体" w:hAnsi="宋体" w:cs="宋体"/>
          <w:b/>
          <w:color w:val="auto"/>
          <w:sz w:val="30"/>
          <w:szCs w:val="30"/>
          <w:highlight w:val="none"/>
        </w:rPr>
        <w:t xml:space="preserve"> </w:t>
      </w:r>
      <w:bookmarkEnd w:id="96"/>
      <w:bookmarkEnd w:id="97"/>
      <w:bookmarkEnd w:id="98"/>
      <w:bookmarkEnd w:id="99"/>
      <w:bookmarkEnd w:id="100"/>
      <w:bookmarkEnd w:id="101"/>
      <w:r>
        <w:rPr>
          <w:rFonts w:hint="eastAsia" w:ascii="宋体" w:hAnsi="宋体" w:cs="宋体"/>
          <w:b/>
          <w:color w:val="auto"/>
          <w:sz w:val="30"/>
          <w:szCs w:val="30"/>
          <w:highlight w:val="none"/>
        </w:rPr>
        <w:t>采购需求</w:t>
      </w:r>
      <w:bookmarkEnd w:id="102"/>
    </w:p>
    <w:p>
      <w:pPr>
        <w:pStyle w:val="3"/>
        <w:snapToGrid w:val="0"/>
        <w:spacing w:before="0" w:after="0" w:line="360" w:lineRule="auto"/>
        <w:rPr>
          <w:rFonts w:hint="eastAsia" w:ascii="宋体" w:hAnsi="宋体" w:eastAsia="宋体" w:cs="宋体"/>
          <w:color w:val="auto"/>
          <w:sz w:val="21"/>
          <w:szCs w:val="21"/>
          <w:highlight w:val="none"/>
        </w:rPr>
      </w:pPr>
      <w:bookmarkStart w:id="103" w:name="_Toc8774"/>
      <w:bookmarkStart w:id="104" w:name="_Toc26785"/>
      <w:bookmarkStart w:id="105" w:name="_Toc18142"/>
      <w:bookmarkStart w:id="106" w:name="_Toc9568"/>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项目背景</w:t>
      </w:r>
      <w:bookmarkEnd w:id="103"/>
      <w:bookmarkEnd w:id="104"/>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浙江省药品监督管理局建设“数字药监”，实现智慧监管，推进药品安全治理现代化，根据全省全面推进数字化改革大会精神及《浙江省“数字药监”建设方案》《省药监局党政机关整体智治系统建设实施方案》等整体战略部署，浙江省药品监督管理局以列入国家药监局药品智慧监管一体化平台试点为契机，实施重点药品安全智慧监管“黑匣子”应用，不断提升企业信息化管理水平，提高日常监管效率，进一步强化药品风险管控，保证药品质量安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一年出成果、两年大变样、五年新飞跃”的要求，聚焦“应用成果+理论成果+制度成果”，全面推进核心业务数字化，实现年度重大任务流程再造、协同高效，在一期药品生产企业监管功能基础上增加优化风险分析、预警模型等功能。此外还把药品流通企业、化妆品生产企业及医疗器械生产企业的生产、流通环节等纳入“黑匣子”监管体系。以药品安全智慧监管为核心，通过对原有项目的升级和新建项目开发，集成整合并重构智慧监管体系，加快实现省域药品安全治理现代化。</w:t>
      </w:r>
    </w:p>
    <w:p>
      <w:pPr>
        <w:pStyle w:val="3"/>
        <w:snapToGrid w:val="0"/>
        <w:spacing w:before="0" w:after="0" w:line="360" w:lineRule="auto"/>
        <w:rPr>
          <w:rFonts w:hint="eastAsia" w:ascii="宋体" w:hAnsi="宋体" w:eastAsia="宋体" w:cs="宋体"/>
          <w:color w:val="auto"/>
          <w:sz w:val="21"/>
          <w:szCs w:val="21"/>
          <w:highlight w:val="none"/>
          <w:lang w:val="en-US" w:eastAsia="zh-CN"/>
        </w:rPr>
      </w:pPr>
      <w:bookmarkStart w:id="107" w:name="_Toc20433"/>
      <w:bookmarkStart w:id="108" w:name="_Toc22788"/>
      <w:r>
        <w:rPr>
          <w:rFonts w:hint="eastAsia" w:ascii="宋体" w:hAnsi="宋体" w:eastAsia="宋体" w:cs="宋体"/>
          <w:color w:val="auto"/>
          <w:sz w:val="21"/>
          <w:szCs w:val="21"/>
          <w:highlight w:val="none"/>
          <w:lang w:val="en-US" w:eastAsia="zh-CN"/>
        </w:rPr>
        <w:t>二、建设目标及内容</w:t>
      </w:r>
      <w:bookmarkEnd w:id="107"/>
      <w:bookmarkEnd w:id="108"/>
    </w:p>
    <w:p>
      <w:pPr>
        <w:pStyle w:val="3"/>
        <w:snapToGrid w:val="0"/>
        <w:spacing w:before="0" w:after="0" w:line="360" w:lineRule="auto"/>
        <w:rPr>
          <w:rFonts w:hint="eastAsia" w:ascii="宋体" w:hAnsi="宋体" w:eastAsia="宋体" w:cs="宋体"/>
          <w:b/>
          <w:bCs/>
          <w:color w:val="auto"/>
          <w:kern w:val="2"/>
          <w:sz w:val="21"/>
          <w:szCs w:val="21"/>
          <w:highlight w:val="none"/>
          <w:lang w:val="en-US" w:eastAsia="zh-CN" w:bidi="ar-SA"/>
        </w:rPr>
      </w:pPr>
      <w:bookmarkStart w:id="109" w:name="_Toc12394"/>
      <w:r>
        <w:rPr>
          <w:rFonts w:hint="eastAsia" w:ascii="宋体" w:hAnsi="宋体" w:eastAsia="宋体" w:cs="宋体"/>
          <w:b/>
          <w:bCs/>
          <w:color w:val="auto"/>
          <w:kern w:val="2"/>
          <w:sz w:val="21"/>
          <w:szCs w:val="21"/>
          <w:highlight w:val="none"/>
          <w:lang w:val="en-US" w:eastAsia="zh-CN" w:bidi="ar-SA"/>
        </w:rPr>
        <w:t>（一）建设目标</w:t>
      </w:r>
      <w:bookmarkEnd w:id="109"/>
    </w:p>
    <w:p>
      <w:pPr>
        <w:pStyle w:val="20"/>
        <w:spacing w:after="0" w:line="360" w:lineRule="auto"/>
        <w:ind w:left="0" w:leftChars="0"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项目将充分应用区块链、人工智能、边缘计算等技术融合，汇集源头数据，进行AI智能化模型算法校验，让周期性抽检和现场纸质性人工检查转变为线上自动化的智能监管，达到对药品生产质量的风险预警及智能管控的目标。</w:t>
      </w:r>
    </w:p>
    <w:p>
      <w:pPr>
        <w:pStyle w:val="3"/>
        <w:snapToGrid w:val="0"/>
        <w:spacing w:before="0" w:after="0" w:line="360" w:lineRule="auto"/>
        <w:rPr>
          <w:rFonts w:hint="eastAsia" w:ascii="宋体" w:hAnsi="宋体" w:eastAsia="宋体" w:cs="宋体"/>
          <w:b/>
          <w:bCs/>
          <w:color w:val="auto"/>
          <w:kern w:val="2"/>
          <w:sz w:val="21"/>
          <w:szCs w:val="21"/>
          <w:highlight w:val="none"/>
          <w:lang w:val="en-US" w:eastAsia="zh-CN" w:bidi="ar-SA"/>
        </w:rPr>
      </w:pPr>
      <w:bookmarkStart w:id="110" w:name="_Toc32402"/>
      <w:r>
        <w:rPr>
          <w:rFonts w:hint="eastAsia" w:ascii="宋体" w:hAnsi="宋体" w:eastAsia="宋体" w:cs="宋体"/>
          <w:b/>
          <w:bCs/>
          <w:color w:val="auto"/>
          <w:kern w:val="2"/>
          <w:sz w:val="21"/>
          <w:szCs w:val="21"/>
          <w:highlight w:val="none"/>
          <w:lang w:val="en-US" w:eastAsia="zh-CN" w:bidi="ar-SA"/>
        </w:rPr>
        <w:t>（二）建设清单</w:t>
      </w:r>
      <w:bookmarkEnd w:id="110"/>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341"/>
        <w:gridCol w:w="4847"/>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shd w:val="clear" w:color="auto" w:fill="auto"/>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序号</w:t>
            </w:r>
          </w:p>
        </w:tc>
        <w:tc>
          <w:tcPr>
            <w:tcW w:w="742" w:type="pct"/>
            <w:shd w:val="clear" w:color="auto" w:fill="auto"/>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建设内容</w:t>
            </w:r>
          </w:p>
        </w:tc>
        <w:tc>
          <w:tcPr>
            <w:tcW w:w="2682" w:type="pct"/>
            <w:shd w:val="clear" w:color="auto" w:fill="auto"/>
            <w:vAlign w:val="center"/>
          </w:tcPr>
          <w:p>
            <w:pPr>
              <w:widowControl/>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详细信息</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b/>
                <w:bCs/>
                <w:color w:val="auto"/>
                <w:kern w:val="0"/>
                <w:sz w:val="21"/>
                <w:szCs w:val="21"/>
                <w:highlight w:val="none"/>
                <w:lang w:eastAsia="zh-Hans" w:bidi="ar"/>
              </w:rPr>
            </w:pPr>
            <w:r>
              <w:rPr>
                <w:rFonts w:hint="eastAsia" w:ascii="宋体" w:hAnsi="宋体" w:eastAsia="宋体" w:cs="宋体"/>
                <w:b/>
                <w:bCs/>
                <w:color w:val="auto"/>
                <w:kern w:val="0"/>
                <w:sz w:val="21"/>
                <w:szCs w:val="21"/>
                <w:highlight w:val="none"/>
                <w:lang w:eastAsia="zh-Hans"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restart"/>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742" w:type="pct"/>
            <w:vMerge w:val="restart"/>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专属云</w:t>
            </w:r>
            <w:r>
              <w:rPr>
                <w:rFonts w:hint="eastAsia" w:ascii="宋体" w:hAnsi="宋体" w:eastAsia="宋体" w:cs="宋体"/>
                <w:color w:val="auto"/>
                <w:kern w:val="0"/>
                <w:sz w:val="21"/>
                <w:szCs w:val="21"/>
                <w:highlight w:val="none"/>
                <w:lang w:eastAsia="zh-Hans" w:bidi="ar"/>
              </w:rPr>
              <w:t>服务</w:t>
            </w: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专属云服务</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区块链技术服务</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边界安全服务</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计算环境安全服务</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安全运营管理服务</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集成建设服务</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restart"/>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742" w:type="pct"/>
            <w:vMerge w:val="restart"/>
            <w:shd w:val="clear" w:color="auto" w:fill="auto"/>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安全设备</w:t>
            </w: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核心交换机</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eastAsia="zh-Hans"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2682" w:type="pct"/>
            <w:shd w:val="clear" w:color="auto" w:fill="auto"/>
            <w:noWrap/>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楼层交换机</w:t>
            </w:r>
          </w:p>
        </w:tc>
        <w:tc>
          <w:tcPr>
            <w:tcW w:w="1166" w:type="pct"/>
            <w:shd w:val="clear" w:color="auto" w:fill="auto"/>
            <w:noWrap/>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bidi="ar"/>
              </w:rPr>
              <w:t>7</w:t>
            </w:r>
            <w:r>
              <w:rPr>
                <w:rFonts w:hint="eastAsia" w:ascii="宋体" w:hAnsi="宋体" w:eastAsia="宋体" w:cs="宋体"/>
                <w:color w:val="auto"/>
                <w:kern w:val="0"/>
                <w:sz w:val="21"/>
                <w:szCs w:val="21"/>
                <w:highlight w:val="none"/>
                <w:lang w:eastAsia="zh-Hans"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2682" w:type="pct"/>
            <w:shd w:val="clear" w:color="auto" w:fill="auto"/>
            <w:noWrap/>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APT设备</w:t>
            </w:r>
          </w:p>
        </w:tc>
        <w:tc>
          <w:tcPr>
            <w:tcW w:w="1166" w:type="pct"/>
            <w:shd w:val="clear" w:color="auto" w:fill="auto"/>
            <w:noWrap/>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742" w:type="pct"/>
            <w:vMerge w:val="continue"/>
            <w:shd w:val="clear" w:color="auto" w:fill="auto"/>
            <w:vAlign w:val="center"/>
          </w:tcPr>
          <w:p>
            <w:pPr>
              <w:spacing w:line="360" w:lineRule="auto"/>
              <w:jc w:val="center"/>
              <w:rPr>
                <w:rFonts w:hint="eastAsia" w:ascii="宋体" w:hAnsi="宋体" w:eastAsia="宋体" w:cs="宋体"/>
                <w:color w:val="auto"/>
                <w:sz w:val="21"/>
                <w:szCs w:val="21"/>
                <w:highlight w:val="none"/>
              </w:rPr>
            </w:pPr>
          </w:p>
        </w:tc>
        <w:tc>
          <w:tcPr>
            <w:tcW w:w="2682" w:type="pct"/>
            <w:shd w:val="clear" w:color="auto" w:fill="auto"/>
            <w:noWrap/>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数据库审计</w:t>
            </w:r>
          </w:p>
        </w:tc>
        <w:tc>
          <w:tcPr>
            <w:tcW w:w="1166" w:type="pct"/>
            <w:shd w:val="clear" w:color="auto" w:fill="auto"/>
            <w:noWrap/>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bidi="ar"/>
              </w:rPr>
              <w:t>1</w:t>
            </w:r>
            <w:r>
              <w:rPr>
                <w:rFonts w:hint="eastAsia" w:ascii="宋体" w:hAnsi="宋体" w:eastAsia="宋体" w:cs="宋体"/>
                <w:color w:val="auto"/>
                <w:kern w:val="0"/>
                <w:sz w:val="21"/>
                <w:szCs w:val="21"/>
                <w:highlight w:val="none"/>
                <w:lang w:eastAsia="zh-Hans"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07" w:type="pct"/>
            <w:shd w:val="clear" w:color="auto" w:fill="auto"/>
            <w:noWrap/>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742" w:type="pct"/>
            <w:shd w:val="clear" w:color="auto" w:fill="auto"/>
            <w:noWrap/>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数据记录仪</w:t>
            </w:r>
          </w:p>
        </w:tc>
        <w:tc>
          <w:tcPr>
            <w:tcW w:w="2682" w:type="pct"/>
            <w:shd w:val="clear" w:color="auto" w:fill="auto"/>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药品生产关键数据记录仪</w:t>
            </w:r>
          </w:p>
        </w:tc>
        <w:tc>
          <w:tcPr>
            <w:tcW w:w="1166" w:type="pct"/>
            <w:shd w:val="clear" w:color="auto" w:fill="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bidi="ar"/>
              </w:rPr>
              <w:t>70</w:t>
            </w:r>
            <w:r>
              <w:rPr>
                <w:rFonts w:hint="eastAsia" w:ascii="宋体" w:hAnsi="宋体" w:eastAsia="宋体" w:cs="宋体"/>
                <w:color w:val="auto"/>
                <w:kern w:val="0"/>
                <w:sz w:val="21"/>
                <w:szCs w:val="21"/>
                <w:highlight w:val="none"/>
                <w:lang w:eastAsia="zh-Hans" w:bidi="ar"/>
              </w:rPr>
              <w:t>台</w:t>
            </w:r>
          </w:p>
        </w:tc>
      </w:tr>
    </w:tbl>
    <w:p>
      <w:pPr>
        <w:pStyle w:val="3"/>
        <w:snapToGrid w:val="0"/>
        <w:spacing w:before="0" w:after="0" w:line="360" w:lineRule="auto"/>
        <w:rPr>
          <w:rFonts w:hint="eastAsia" w:ascii="宋体" w:hAnsi="宋体" w:eastAsia="宋体" w:cs="宋体"/>
          <w:b/>
          <w:bCs/>
          <w:color w:val="auto"/>
          <w:kern w:val="2"/>
          <w:sz w:val="21"/>
          <w:szCs w:val="21"/>
          <w:highlight w:val="none"/>
          <w:lang w:val="en-US" w:eastAsia="zh-CN" w:bidi="ar-SA"/>
        </w:rPr>
      </w:pPr>
      <w:bookmarkStart w:id="111" w:name="_Toc27889"/>
      <w:r>
        <w:rPr>
          <w:rFonts w:hint="eastAsia" w:ascii="宋体" w:hAnsi="宋体" w:eastAsia="宋体" w:cs="宋体"/>
          <w:b/>
          <w:bCs/>
          <w:color w:val="auto"/>
          <w:kern w:val="2"/>
          <w:sz w:val="21"/>
          <w:szCs w:val="21"/>
          <w:highlight w:val="none"/>
          <w:lang w:val="en-US" w:eastAsia="zh-CN" w:bidi="ar-SA"/>
        </w:rPr>
        <w:t>（三）技术参数要求</w:t>
      </w:r>
      <w:bookmarkEnd w:id="111"/>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需要对“两品一械”生产流通企业的关键参数采集及存储，涉及企业核心机密数据，比如：工艺数据、供应商数据等，数据安全意义重大，为加强数据安全防护，打消企业数据安全顾虑，需加强药监行业监管</w:t>
      </w:r>
      <w:r>
        <w:rPr>
          <w:rFonts w:hint="eastAsia" w:ascii="宋体" w:hAnsi="宋体" w:eastAsia="宋体" w:cs="宋体"/>
          <w:color w:val="auto"/>
          <w:sz w:val="21"/>
          <w:szCs w:val="21"/>
          <w:highlight w:val="none"/>
          <w:lang w:eastAsia="zh-Hans"/>
        </w:rPr>
        <w:t>专属云</w:t>
      </w:r>
      <w:r>
        <w:rPr>
          <w:rFonts w:hint="eastAsia" w:ascii="宋体" w:hAnsi="宋体" w:eastAsia="宋体" w:cs="宋体"/>
          <w:color w:val="auto"/>
          <w:sz w:val="21"/>
          <w:szCs w:val="21"/>
          <w:highlight w:val="none"/>
        </w:rPr>
        <w:t>安全防护能力，因此此次规划采购</w:t>
      </w:r>
      <w:r>
        <w:rPr>
          <w:rFonts w:hint="eastAsia" w:ascii="宋体" w:hAnsi="宋体" w:eastAsia="宋体" w:cs="宋体"/>
          <w:color w:val="auto"/>
          <w:sz w:val="21"/>
          <w:szCs w:val="21"/>
          <w:highlight w:val="none"/>
          <w:lang w:eastAsia="zh-Hans"/>
        </w:rPr>
        <w:t>为期一年的</w:t>
      </w:r>
      <w:r>
        <w:rPr>
          <w:rFonts w:hint="eastAsia" w:ascii="宋体" w:hAnsi="宋体" w:eastAsia="宋体" w:cs="宋体"/>
          <w:color w:val="auto"/>
          <w:sz w:val="21"/>
          <w:szCs w:val="21"/>
          <w:highlight w:val="none"/>
        </w:rPr>
        <w:t>专属云服务并新增网络安全设备，如核心交换机、楼层交换机、APT设备、数据库审计以及配套的安全组件、安全服务，确保能够满足药监数据安全防护需求。相关系统严格按照《中华人民共和国网络安全法》《中华人民共和国数据安全法》《贯彻落实网络安全等级保护制度和关键信息基础设施安全保护制度的指导意见》《网络安全等级保护基本要求》等进行设计与开发，确保建设过程符合网络安全等级保护及测评要求。</w:t>
      </w:r>
    </w:p>
    <w:p>
      <w:pPr>
        <w:pStyle w:val="3"/>
        <w:snapToGrid w:val="0"/>
        <w:spacing w:before="0" w:after="0" w:line="360" w:lineRule="auto"/>
        <w:rPr>
          <w:rFonts w:hint="eastAsia" w:ascii="宋体" w:hAnsi="宋体" w:eastAsia="宋体" w:cs="宋体"/>
          <w:b/>
          <w:bCs/>
          <w:color w:val="auto"/>
          <w:kern w:val="2"/>
          <w:sz w:val="21"/>
          <w:szCs w:val="21"/>
          <w:highlight w:val="none"/>
          <w:lang w:val="en-US" w:eastAsia="zh-CN" w:bidi="ar-SA"/>
        </w:rPr>
      </w:pPr>
      <w:bookmarkStart w:id="112" w:name="_Toc23866"/>
      <w:r>
        <w:rPr>
          <w:rFonts w:hint="eastAsia" w:ascii="宋体" w:hAnsi="宋体" w:eastAsia="宋体" w:cs="宋体"/>
          <w:b/>
          <w:bCs/>
          <w:color w:val="auto"/>
          <w:kern w:val="2"/>
          <w:sz w:val="21"/>
          <w:szCs w:val="21"/>
          <w:highlight w:val="none"/>
          <w:lang w:val="en-US" w:eastAsia="zh-CN" w:bidi="ar-SA"/>
        </w:rPr>
        <w:t>1.</w:t>
      </w:r>
      <w:r>
        <w:rPr>
          <w:rFonts w:hint="eastAsia" w:ascii="宋体" w:hAnsi="宋体" w:eastAsia="宋体" w:cs="宋体"/>
          <w:b/>
          <w:bCs/>
          <w:color w:val="auto"/>
          <w:kern w:val="2"/>
          <w:sz w:val="21"/>
          <w:szCs w:val="21"/>
          <w:highlight w:val="none"/>
          <w:lang w:val="en-US" w:eastAsia="zh-Hans" w:bidi="ar-SA"/>
        </w:rPr>
        <w:t>专属云</w:t>
      </w:r>
      <w:r>
        <w:rPr>
          <w:rFonts w:hint="eastAsia" w:ascii="宋体" w:hAnsi="宋体" w:eastAsia="宋体" w:cs="宋体"/>
          <w:b/>
          <w:bCs/>
          <w:color w:val="auto"/>
          <w:kern w:val="2"/>
          <w:sz w:val="21"/>
          <w:szCs w:val="21"/>
          <w:highlight w:val="none"/>
          <w:lang w:val="en-US" w:eastAsia="zh-CN" w:bidi="ar-SA"/>
        </w:rPr>
        <w:t>服务</w:t>
      </w:r>
      <w:bookmarkEnd w:id="112"/>
    </w:p>
    <w:tbl>
      <w:tblPr>
        <w:tblStyle w:val="37"/>
        <w:tblW w:w="4906" w:type="pct"/>
        <w:tblInd w:w="0" w:type="dxa"/>
        <w:tblLayout w:type="autofit"/>
        <w:tblCellMar>
          <w:top w:w="0" w:type="dxa"/>
          <w:left w:w="108" w:type="dxa"/>
          <w:bottom w:w="0" w:type="dxa"/>
          <w:right w:w="108" w:type="dxa"/>
        </w:tblCellMar>
      </w:tblPr>
      <w:tblGrid>
        <w:gridCol w:w="1695"/>
        <w:gridCol w:w="7171"/>
      </w:tblGrid>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分项</w:t>
            </w:r>
          </w:p>
        </w:tc>
      </w:tr>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Cs/>
                <w:color w:val="auto"/>
                <w:kern w:val="0"/>
                <w:sz w:val="21"/>
                <w:szCs w:val="21"/>
                <w:highlight w:val="none"/>
                <w:lang w:eastAsia="zh-Hans"/>
              </w:rPr>
            </w:pPr>
            <w:r>
              <w:rPr>
                <w:rFonts w:hint="eastAsia" w:ascii="宋体" w:hAnsi="宋体" w:eastAsia="宋体" w:cs="宋体"/>
                <w:bCs/>
                <w:color w:val="auto"/>
                <w:kern w:val="0"/>
                <w:sz w:val="21"/>
                <w:szCs w:val="21"/>
                <w:highlight w:val="none"/>
              </w:rPr>
              <w:t>专属云</w:t>
            </w:r>
            <w:r>
              <w:rPr>
                <w:rFonts w:hint="eastAsia" w:ascii="宋体" w:hAnsi="宋体" w:eastAsia="宋体" w:cs="宋体"/>
                <w:bCs/>
                <w:color w:val="auto"/>
                <w:kern w:val="0"/>
                <w:sz w:val="21"/>
                <w:szCs w:val="21"/>
                <w:highlight w:val="none"/>
                <w:lang w:eastAsia="zh-Hans"/>
              </w:rPr>
              <w:t>服务</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lang w:eastAsia="zh-Hans"/>
              </w:rPr>
            </w:pPr>
            <w:r>
              <w:rPr>
                <w:rFonts w:hint="eastAsia" w:ascii="宋体" w:hAnsi="宋体" w:eastAsia="宋体" w:cs="宋体"/>
                <w:bCs/>
                <w:color w:val="auto"/>
                <w:kern w:val="0"/>
                <w:sz w:val="21"/>
                <w:szCs w:val="21"/>
                <w:highlight w:val="none"/>
              </w:rPr>
              <w:t>混合云弹性云服务器-通用计算增强型，混合存储等</w:t>
            </w:r>
            <w:r>
              <w:rPr>
                <w:rFonts w:hint="eastAsia" w:ascii="宋体" w:hAnsi="宋体" w:eastAsia="宋体" w:cs="宋体"/>
                <w:bCs/>
                <w:color w:val="auto"/>
                <w:kern w:val="0"/>
                <w:sz w:val="21"/>
                <w:szCs w:val="21"/>
                <w:highlight w:val="none"/>
                <w:lang w:eastAsia="zh-Hans"/>
              </w:rPr>
              <w:t>。提供硬件资源、网络资源、存储资源等基础设施服务，确保云服务的稳定运行。</w:t>
            </w:r>
          </w:p>
          <w:p>
            <w:pPr>
              <w:widowControl/>
              <w:snapToGrid w:val="0"/>
              <w:spacing w:line="360" w:lineRule="auto"/>
              <w:ind w:firstLine="422"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
                <w:color w:val="auto"/>
                <w:kern w:val="0"/>
                <w:sz w:val="21"/>
                <w:szCs w:val="21"/>
                <w:highlight w:val="none"/>
              </w:rPr>
              <w:t>DaaS平台：</w:t>
            </w:r>
            <w:r>
              <w:rPr>
                <w:rFonts w:hint="eastAsia" w:ascii="宋体" w:hAnsi="宋体" w:eastAsia="宋体" w:cs="宋体"/>
                <w:bCs/>
                <w:color w:val="auto"/>
                <w:kern w:val="0"/>
                <w:sz w:val="21"/>
                <w:szCs w:val="21"/>
                <w:highlight w:val="none"/>
              </w:rPr>
              <w:t>提供丰富的大数据存储、计算框架，业界领先的计算存储分离；面向应用场景的数据传输、数据整合和数据治理能力。</w:t>
            </w:r>
          </w:p>
          <w:p>
            <w:pPr>
              <w:widowControl/>
              <w:snapToGrid w:val="0"/>
              <w:spacing w:line="360" w:lineRule="auto"/>
              <w:ind w:firstLine="422" w:firstLineChars="200"/>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b/>
                <w:color w:val="auto"/>
                <w:kern w:val="0"/>
                <w:sz w:val="21"/>
                <w:szCs w:val="21"/>
                <w:highlight w:val="none"/>
              </w:rPr>
              <w:t>IaaS平台：</w:t>
            </w:r>
            <w:r>
              <w:rPr>
                <w:rFonts w:hint="eastAsia" w:ascii="宋体" w:hAnsi="宋体" w:eastAsia="宋体" w:cs="宋体"/>
                <w:bCs/>
                <w:color w:val="auto"/>
                <w:kern w:val="0"/>
                <w:sz w:val="21"/>
                <w:szCs w:val="21"/>
                <w:highlight w:val="none"/>
              </w:rPr>
              <w:t>虚拟化技术采用KVM虚拟化技术，IaaS云平台采用基于OpenStack架构的云平台技术，整合计算、存储、网络能力，采用成熟的KVM和OpenStack商用产品。</w:t>
            </w:r>
          </w:p>
        </w:tc>
      </w:tr>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Cs/>
                <w:color w:val="auto"/>
                <w:kern w:val="0"/>
                <w:sz w:val="21"/>
                <w:szCs w:val="21"/>
                <w:highlight w:val="none"/>
                <w:lang w:eastAsia="zh-Hans"/>
              </w:rPr>
            </w:pPr>
            <w:r>
              <w:rPr>
                <w:rFonts w:hint="eastAsia" w:ascii="宋体" w:hAnsi="宋体" w:eastAsia="宋体" w:cs="宋体"/>
                <w:bCs/>
                <w:color w:val="auto"/>
                <w:kern w:val="0"/>
                <w:sz w:val="21"/>
                <w:szCs w:val="21"/>
                <w:highlight w:val="none"/>
              </w:rPr>
              <w:t>区块链</w:t>
            </w:r>
            <w:r>
              <w:rPr>
                <w:rFonts w:hint="eastAsia" w:ascii="宋体" w:hAnsi="宋体" w:eastAsia="宋体" w:cs="宋体"/>
                <w:bCs/>
                <w:color w:val="auto"/>
                <w:kern w:val="0"/>
                <w:sz w:val="21"/>
                <w:szCs w:val="21"/>
                <w:highlight w:val="none"/>
                <w:lang w:eastAsia="zh-Hans"/>
              </w:rPr>
              <w:t>服务</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区块链服务平台</w:t>
            </w:r>
            <w:r>
              <w:rPr>
                <w:rFonts w:hint="eastAsia" w:ascii="宋体" w:hAnsi="宋体" w:eastAsia="宋体" w:cs="宋体"/>
                <w:bCs/>
                <w:color w:val="auto"/>
                <w:kern w:val="0"/>
                <w:sz w:val="21"/>
                <w:szCs w:val="21"/>
                <w:highlight w:val="none"/>
                <w:lang w:eastAsia="zh-Hans"/>
              </w:rPr>
              <w:t>，</w:t>
            </w:r>
            <w:r>
              <w:rPr>
                <w:rFonts w:hint="eastAsia" w:ascii="宋体" w:hAnsi="宋体" w:eastAsia="宋体" w:cs="宋体"/>
                <w:bCs/>
                <w:color w:val="auto"/>
                <w:kern w:val="0"/>
                <w:sz w:val="21"/>
                <w:szCs w:val="21"/>
                <w:highlight w:val="none"/>
              </w:rPr>
              <w:t>涉及企业核心机密数据，比如：工艺数据、供应商数据等</w:t>
            </w:r>
            <w:r>
              <w:rPr>
                <w:rFonts w:hint="eastAsia" w:ascii="宋体" w:hAnsi="宋体" w:eastAsia="宋体" w:cs="宋体"/>
                <w:bCs/>
                <w:color w:val="auto"/>
                <w:kern w:val="0"/>
                <w:sz w:val="21"/>
                <w:szCs w:val="21"/>
                <w:highlight w:val="none"/>
                <w:lang w:eastAsia="zh-Hans"/>
              </w:rPr>
              <w:t>，进行上链存储，确保数据不可篡改，保证数据安全性。</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bCs/>
                <w:color w:val="auto"/>
                <w:kern w:val="0"/>
                <w:sz w:val="21"/>
                <w:szCs w:val="21"/>
                <w:highlight w:val="none"/>
              </w:rPr>
              <w:t>区块链服务平台是一站式区块链PaaS服务平台。平台资质齐全，提供丰富的行业应用支撑能力，降低用户上链门槛。</w:t>
            </w:r>
          </w:p>
        </w:tc>
      </w:tr>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边界安全服务</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提供药监局“黑匣子”工程核心集群算力服务平台的边界安全服务能力，包含抗拒绝服务、边界安全策略与防护、抗入侵、WEB防篡改等。</w:t>
            </w:r>
          </w:p>
          <w:p>
            <w:pPr>
              <w:widowControl/>
              <w:snapToGrid w:val="0"/>
              <w:spacing w:line="360" w:lineRule="auto"/>
              <w:jc w:val="left"/>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lang w:eastAsia="zh-Hans"/>
              </w:rPr>
              <w:t>、</w:t>
            </w:r>
            <w:r>
              <w:rPr>
                <w:rFonts w:hint="eastAsia" w:ascii="宋体" w:hAnsi="宋体" w:eastAsia="宋体" w:cs="宋体"/>
                <w:b/>
                <w:color w:val="auto"/>
                <w:kern w:val="0"/>
                <w:sz w:val="21"/>
                <w:szCs w:val="21"/>
                <w:highlight w:val="none"/>
              </w:rPr>
              <w:t>边界DDOS防护</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在网络出口部署抗拒绝服务系统，针对目前流行的DDoS攻击以及未知的攻击形式，通过ADS及时发现背景流量中的攻击行为，迅速对攻击流量进行过滤，确保正常业务的可用性。</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通过流量清洗系统的异常流量分析功能，实现对流入单位内部网络的流量分析，能够识别其中的各类攻击流量；</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通过流量清洗系统的攻击防护功能，实现对流量型DDoS攻击（如SYN Flood、UDP Flood、ICMP Flood、ACK Flood等）的有效过滤，保护通信链路带宽及内网设备不受攻击影响；</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通过流量清洗系统的攻击防护功能，实现对应用层的DoS攻击（如Http Get Flood、连接耗尽、CC等）的有效过滤，保证服务器或主机性能不受攻击影响。</w:t>
            </w:r>
          </w:p>
          <w:p>
            <w:pPr>
              <w:widowControl/>
              <w:snapToGrid w:val="0"/>
              <w:spacing w:line="360" w:lineRule="auto"/>
              <w:jc w:val="left"/>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w:t>
            </w:r>
            <w:r>
              <w:rPr>
                <w:rFonts w:hint="eastAsia" w:ascii="宋体" w:hAnsi="宋体" w:eastAsia="宋体" w:cs="宋体"/>
                <w:b/>
                <w:color w:val="auto"/>
                <w:kern w:val="0"/>
                <w:sz w:val="21"/>
                <w:szCs w:val="21"/>
                <w:highlight w:val="none"/>
                <w:lang w:eastAsia="zh-Hans"/>
              </w:rPr>
              <w:t>、</w:t>
            </w:r>
            <w:r>
              <w:rPr>
                <w:rFonts w:hint="eastAsia" w:ascii="宋体" w:hAnsi="宋体" w:eastAsia="宋体" w:cs="宋体"/>
                <w:b/>
                <w:color w:val="auto"/>
                <w:kern w:val="0"/>
                <w:sz w:val="21"/>
                <w:szCs w:val="21"/>
                <w:highlight w:val="none"/>
              </w:rPr>
              <w:t>访问控制</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互联网出口和区域边界部署防火墙系统实现基于应用/用户识别的访问控制、流量控制、服务器负载均衡、安全威胁阻断等功能，同时防火墙系统具有带宽管理及控制能力、连接完整性检测能力、重要网段保护能力，满足信息安全等级保护技术要求。</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互联网出口部署上网行为管理对内网员工的网络社区、P2P/IM带宽滥用、网络游戏、炒股、网络多媒体、非法网站访问等行为进行精细化识别和控制，并利用智能流控、智能阻断、智能路由等技术，配合创新的社交网络行为管理功能、清晰易用的管理日志功能等，提供全面、完善的上网行为管控方案。</w:t>
            </w:r>
          </w:p>
          <w:p>
            <w:pPr>
              <w:widowControl/>
              <w:snapToGrid w:val="0"/>
              <w:spacing w:line="360" w:lineRule="auto"/>
              <w:jc w:val="left"/>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w:t>
            </w:r>
            <w:r>
              <w:rPr>
                <w:rFonts w:hint="eastAsia" w:ascii="宋体" w:hAnsi="宋体" w:eastAsia="宋体" w:cs="宋体"/>
                <w:b/>
                <w:color w:val="auto"/>
                <w:kern w:val="0"/>
                <w:sz w:val="21"/>
                <w:szCs w:val="21"/>
                <w:highlight w:val="none"/>
                <w:lang w:eastAsia="zh-Hans"/>
              </w:rPr>
              <w:t>、</w:t>
            </w:r>
            <w:r>
              <w:rPr>
                <w:rFonts w:hint="eastAsia" w:ascii="宋体" w:hAnsi="宋体" w:eastAsia="宋体" w:cs="宋体"/>
                <w:b/>
                <w:color w:val="auto"/>
                <w:kern w:val="0"/>
                <w:sz w:val="21"/>
                <w:szCs w:val="21"/>
                <w:highlight w:val="none"/>
              </w:rPr>
              <w:t>入侵防范</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为了检测、防止或限制从外部和内部发起的网络攻击行为;同时对新型网络攻击行为能够进行检测分析；当检测到攻击行为时,记录攻击源 IP 、攻击类型、攻击目标、攻击时间，在发生严重入侵事件时提供报警的安全需求，设计部署入侵防御，实现对信息网的全面威胁检测和防护。</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入侵防御系统以全面深入的协议分析为基础，融合权威专家系统、智能协议识别、协议异常检测、流量异常检测、会话关联分析，以及状态防火墙等多种技术，提供从网络层、应用层到内容层的深度安全防护，可以主动防御已知和未知攻击，实时阻断各种黑客攻击，如缓冲区溢出、暴力猜测、扫描探测、非授权访问、蠕虫病毒、僵尸网络等，同时具备全面阻止木马后门、广告软件、间谍软件等恶意程序下载和扩散的功能，在紧急漏洞出现而系统仍不具备有效补丁解决方案时，提供“虚拟补丁”功能，从而提供实时防御，增强应对突发威胁的能力，保障业务系统的运行连续性和完整性。</w:t>
            </w:r>
          </w:p>
          <w:p>
            <w:pPr>
              <w:widowControl/>
              <w:snapToGrid w:val="0"/>
              <w:spacing w:line="360" w:lineRule="auto"/>
              <w:jc w:val="left"/>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w:t>
            </w:r>
            <w:r>
              <w:rPr>
                <w:rFonts w:hint="eastAsia" w:ascii="宋体" w:hAnsi="宋体" w:eastAsia="宋体" w:cs="宋体"/>
                <w:b/>
                <w:color w:val="auto"/>
                <w:kern w:val="0"/>
                <w:sz w:val="21"/>
                <w:szCs w:val="21"/>
                <w:highlight w:val="none"/>
                <w:lang w:eastAsia="zh-Hans"/>
              </w:rPr>
              <w:t>、</w:t>
            </w:r>
            <w:r>
              <w:rPr>
                <w:rFonts w:hint="eastAsia" w:ascii="宋体" w:hAnsi="宋体" w:eastAsia="宋体" w:cs="宋体"/>
                <w:b/>
                <w:color w:val="auto"/>
                <w:kern w:val="0"/>
                <w:sz w:val="21"/>
                <w:szCs w:val="21"/>
                <w:highlight w:val="none"/>
              </w:rPr>
              <w:t>WEB应用安全</w:t>
            </w:r>
          </w:p>
          <w:p>
            <w:pPr>
              <w:widowControl/>
              <w:snapToGrid w:val="0"/>
              <w:spacing w:line="360" w:lineRule="auto"/>
              <w:ind w:firstLine="420" w:firstLineChars="200"/>
              <w:jc w:val="left"/>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设计在DMZ区部署WEB应用防护产品，除了基本的访问控制能力外，还可以实时发现和阻断针对数据中心区业务系统的SQL注入、XSS跨站脚本、WEB漏洞利用等攻击；还可有效限制针对WEB应用URL的恶意访问，文件非法下载和上传、盗链、爬虫等进行有效防护。</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bCs/>
                <w:color w:val="auto"/>
                <w:kern w:val="0"/>
                <w:sz w:val="21"/>
                <w:szCs w:val="21"/>
                <w:highlight w:val="none"/>
              </w:rPr>
              <w:t>WEB应用防护以资产为视角，直观展示单资产的安全策略、安全告警，实现精准防护，有效防护针对WEB应用的特点的攻击方式，通过部署WEB应用防护产品，保障业务系统免受各种针对系统注入、权限利用、漏洞利用等的攻击，同时内置的防篡改功能可以实时监测业务系统的完整性，防止系统被篡改，带来信誉影响等的重大影响。</w:t>
            </w:r>
          </w:p>
        </w:tc>
      </w:tr>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计算环境安全服务</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提供药监局“黑匣子”工程核心集群算力服务平台的计算环境安全服务与数据安全能力，包含终端安全管理、数据库管理与备份、数据库安全审计、集中运维管控、全流量数据分析、日志管理审计等</w:t>
            </w:r>
          </w:p>
          <w:p>
            <w:pPr>
              <w:widowControl/>
              <w:snapToGrid w:val="0"/>
              <w:spacing w:line="360" w:lineRule="auto"/>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rPr>
              <w:t>集中运维管控</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第三方人员、政府内部运维人员的运维行为进行全运维周期的安全管控，设计在安全管理区部署堡垒机产品，通过堡垒机去访问网络目标设备；堡垒机采用“物理旁路，逻辑串联”的部署方式，通过配置路由器或目标设备的访问控制策略，只允许堡垒机的IP访问目标设备的运维、管理服务，建立基于唯一身份标识的实名制管理，统一账号管理策略，通过集中访问控制与授权，实现从登录到退出的全程操作行为审计，满足合规管理和审计要求。</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部署堡垒机建立基于唯一身份标识的实名制管理，统一账号管理策略，实现跨平台管理，消灭管理孤岛。通过集中访问控制与授权，实现单点登录(SSO)和细粒度的命令级访问授权。基于用户的审计，审计到人，实现从登录到退出的全程操作行为审计，满足合规管理和审计要求。</w:t>
            </w:r>
          </w:p>
          <w:p>
            <w:pPr>
              <w:widowControl/>
              <w:numPr>
                <w:ilvl w:val="-1"/>
                <w:numId w:val="0"/>
              </w:numPr>
              <w:snapToGrid w:val="0"/>
              <w:spacing w:line="360" w:lineRule="auto"/>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数据库安全审计</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数据库的安全管理、安全检测、安全审计的需求，设计在数据中心区部署数据库审计产品，旁路连接到数据库服务器前端交换机上，通过交换机配置双方向端口镜像的方式，实时获取网络中的数据库访问数据包，并进行分析。</w:t>
            </w:r>
          </w:p>
          <w:p>
            <w:pPr>
              <w:widowControl/>
              <w:numPr>
                <w:ilvl w:val="0"/>
                <w:numId w:val="0"/>
              </w:numPr>
              <w:snapToGrid w:val="0"/>
              <w:spacing w:line="360" w:lineRule="auto"/>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2"/>
                <w:sz w:val="21"/>
                <w:szCs w:val="21"/>
                <w:highlight w:val="none"/>
                <w:lang w:val="en-US" w:eastAsia="zh-CN" w:bidi="ar-SA"/>
              </w:rPr>
              <w:t>3、</w:t>
            </w:r>
            <w:r>
              <w:rPr>
                <w:rFonts w:hint="eastAsia" w:ascii="宋体" w:hAnsi="宋体" w:eastAsia="宋体" w:cs="宋体"/>
                <w:b/>
                <w:bCs/>
                <w:color w:val="auto"/>
                <w:sz w:val="21"/>
                <w:szCs w:val="21"/>
                <w:highlight w:val="none"/>
              </w:rPr>
              <w:t>集中日志审计</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rPr>
              <w:t>针对全网的安全设备、网络设备、主机系统等各类设备产生大量日志数据和安全信息，安全员对分散的日志数据和安全信息无法实现安全分析，发现安全事件时无法第一时间提供对应日志数据进行事件溯源等问题，设计在安全管理区部署日志审计产品，通过对网络设备、安全设备、主机和应用系统日志进行全面的标准化处理，及时发现各种安全威胁、异常行为事件，为管理人员提供全局的视角，确保业务的不间断运行安全</w:t>
            </w:r>
            <w:r>
              <w:rPr>
                <w:rFonts w:hint="eastAsia" w:ascii="宋体" w:hAnsi="宋体" w:eastAsia="宋体" w:cs="宋体"/>
                <w:color w:val="auto"/>
                <w:sz w:val="21"/>
                <w:szCs w:val="21"/>
                <w:highlight w:val="none"/>
                <w:lang w:eastAsia="zh-Hans"/>
              </w:rPr>
              <w:t>。</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通过部署日志审计产品，协助政府解决日志分散存储、数据量大、格式不统一带来的日志分析困难的问题，协助政府提升日常运维效率，变被动审计为主动告警，为事后取证提供依据，同时满足安全合规的要求。</w:t>
            </w:r>
          </w:p>
          <w:p>
            <w:pPr>
              <w:widowControl/>
              <w:numPr>
                <w:ilvl w:val="0"/>
                <w:numId w:val="0"/>
              </w:numPr>
              <w:snapToGrid w:val="0"/>
              <w:spacing w:line="360" w:lineRule="auto"/>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2"/>
                <w:sz w:val="21"/>
                <w:szCs w:val="21"/>
                <w:highlight w:val="none"/>
                <w:lang w:val="en-US" w:eastAsia="zh-CN" w:bidi="ar-SA"/>
              </w:rPr>
              <w:t>4、</w:t>
            </w:r>
            <w:r>
              <w:rPr>
                <w:rFonts w:hint="eastAsia" w:ascii="宋体" w:hAnsi="宋体" w:eastAsia="宋体" w:cs="宋体"/>
                <w:b/>
                <w:bCs/>
                <w:color w:val="auto"/>
                <w:sz w:val="21"/>
                <w:szCs w:val="21"/>
                <w:highlight w:val="none"/>
                <w:lang w:eastAsia="zh-Hans"/>
              </w:rPr>
              <w:t>终端安全</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内网安全建设薄弱，终端无法管控等问题，设计在内网部署终端安全管理系统，通过软件形式部署，终端安全管理系统分为Agent软件客户端和Center管理服务器端，Agent以软件的形式部署在办公网的内网主机上，检测黑客对内网的渗透攻击行为。Center管理服务器端以软件形式部署在内网服务器上，进行Agent行为日志的统一收集和分析。Centerg管理平台可对内网中所安装的agent进行注册，控制，卸载等。在管理平台中，包含众多能力组件，以提供安全运维支撑与安全响应。其中包含资产指纹管理，威胁情报管理，自动持续化组件，资产脆弱性与漏洞库等。客户端Agent肩负着多项终端任务，包括主机入侵检测数据收集的任务，主机防护响应任务调度，及主机环境陷阱设置等。安全技术的应用与插件化的结构，让Agent更适应于更多的攻防场景。主机入侵检测的集成，不仅实时监控并收集可用数据，使Agent加大行为监控并大量收集可疑性数据，提供溯源依据，检测入侵威胁。诱饵技术应用包括服务蜜罐及诱饵，服务蜜罐本质上是一种对攻击方进行欺骗的技术，通过布置一些作为诱饵的主机、网络服务或者信息，诱使攻击方对它们实施攻击，从而可以对攻击行为进行捕获和分析，了解攻击方所使用的工具与方法，推测攻击意图和动机，能够让防御方清晰地了解他们所面对的安全威胁，并通过技术和管理手段来增强实际系统的安全防护能力。</w:t>
            </w:r>
          </w:p>
          <w:p>
            <w:pPr>
              <w:widowControl/>
              <w:snapToGrid w:val="0"/>
              <w:spacing w:line="360" w:lineRule="auto"/>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lang w:eastAsia="zh-Hans"/>
              </w:rPr>
              <w:t>、</w:t>
            </w:r>
            <w:r>
              <w:rPr>
                <w:rFonts w:hint="eastAsia" w:ascii="宋体" w:hAnsi="宋体" w:eastAsia="宋体" w:cs="宋体"/>
                <w:b/>
                <w:bCs/>
                <w:color w:val="auto"/>
                <w:sz w:val="21"/>
                <w:szCs w:val="21"/>
                <w:highlight w:val="none"/>
              </w:rPr>
              <w:t>数据库管理与备份</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应采用数据备份和恢复产品，保障数据的可用性和完整性，一旦发生数据丢失或破坏，可以利用备份数据恢复数据。产品的选用应支持一下功能：</w:t>
            </w:r>
          </w:p>
          <w:p>
            <w:pPr>
              <w:widowControl/>
              <w:snapToGrid w:val="0"/>
              <w:spacing w:line="360" w:lineRule="auto"/>
              <w:ind w:left="42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Hans"/>
              </w:rPr>
              <w:t>（1）</w:t>
            </w:r>
            <w:r>
              <w:rPr>
                <w:rFonts w:hint="eastAsia" w:ascii="宋体" w:hAnsi="宋体" w:eastAsia="宋体" w:cs="宋体"/>
                <w:color w:val="auto"/>
                <w:sz w:val="21"/>
                <w:szCs w:val="21"/>
                <w:highlight w:val="none"/>
              </w:rPr>
              <w:t>应支持重要数据的本地备份与恢复。</w:t>
            </w:r>
          </w:p>
          <w:p>
            <w:pPr>
              <w:widowControl/>
              <w:snapToGrid w:val="0"/>
              <w:spacing w:line="360" w:lineRule="auto"/>
              <w:ind w:left="42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Hans"/>
              </w:rPr>
              <w:t>（2）</w:t>
            </w:r>
            <w:r>
              <w:rPr>
                <w:rFonts w:hint="eastAsia" w:ascii="宋体" w:hAnsi="宋体" w:eastAsia="宋体" w:cs="宋体"/>
                <w:color w:val="auto"/>
                <w:sz w:val="21"/>
                <w:szCs w:val="21"/>
                <w:highlight w:val="none"/>
              </w:rPr>
              <w:t>应支持定时数据保护：</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使用备份软件定时对数据进行备份保护。通过完全备份、增量备份、差异备份，永久增量备份等手段，定时将数据中心的数据备份到外置介质进行存储，在必要时刻可以将指定时间点数据恢复到生产中心。</w:t>
            </w:r>
          </w:p>
          <w:p>
            <w:pPr>
              <w:widowControl/>
              <w:snapToGrid w:val="0"/>
              <w:spacing w:line="360" w:lineRule="auto"/>
              <w:ind w:left="42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Hans"/>
              </w:rPr>
              <w:t>（3）</w:t>
            </w:r>
            <w:r>
              <w:rPr>
                <w:rFonts w:hint="eastAsia" w:ascii="宋体" w:hAnsi="宋体" w:eastAsia="宋体" w:cs="宋体"/>
                <w:color w:val="auto"/>
                <w:sz w:val="21"/>
                <w:szCs w:val="21"/>
                <w:highlight w:val="none"/>
              </w:rPr>
              <w:t>宜支持持续数据保护：</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持续数据保护（Continuous Data Protection，CDP）是一套方法，它可以捕获或跟踪数据的变化，并将其在生产数据之外独立存放，以确保数据可以恢复到过去的任意时间点。持续数据保护系统可以基于块、文件或应用实现，可以为恢复对象提供足够细的恢复粒度，实现几乎无限多的恢复时间点。</w:t>
            </w:r>
          </w:p>
          <w:p>
            <w:pPr>
              <w:widowControl/>
              <w:snapToGrid w:val="0"/>
              <w:spacing w:line="360" w:lineRule="auto"/>
              <w:ind w:left="42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Hans"/>
              </w:rPr>
              <w:t>（4）</w:t>
            </w:r>
            <w:r>
              <w:rPr>
                <w:rFonts w:hint="eastAsia" w:ascii="宋体" w:hAnsi="宋体" w:eastAsia="宋体" w:cs="宋体"/>
                <w:color w:val="auto"/>
                <w:sz w:val="21"/>
                <w:szCs w:val="21"/>
                <w:highlight w:val="none"/>
              </w:rPr>
              <w:t>宜支持副本数据管理：</w:t>
            </w:r>
          </w:p>
          <w:p>
            <w:pPr>
              <w:widowControl/>
              <w:snapToGrid w:val="0"/>
              <w:spacing w:line="360" w:lineRule="auto"/>
              <w:ind w:firstLine="420" w:firstLineChars="200"/>
              <w:jc w:val="left"/>
              <w:textAlignment w:val="center"/>
              <w:rPr>
                <w:rFonts w:hint="eastAsia" w:ascii="宋体" w:hAnsi="宋体" w:eastAsia="宋体" w:cs="宋体"/>
                <w:b/>
                <w:bCs/>
                <w:color w:val="auto"/>
                <w:sz w:val="21"/>
                <w:szCs w:val="21"/>
                <w:highlight w:val="none"/>
                <w:lang w:eastAsia="zh-Hans"/>
              </w:rPr>
            </w:pPr>
            <w:r>
              <w:rPr>
                <w:rFonts w:hint="eastAsia" w:ascii="宋体" w:hAnsi="宋体" w:eastAsia="宋体" w:cs="宋体"/>
                <w:color w:val="auto"/>
                <w:sz w:val="21"/>
                <w:szCs w:val="21"/>
                <w:highlight w:val="none"/>
              </w:rPr>
              <w:t>副本数据管理（Copy data management ，CDM）从生产环境通过快照技术获取有应用一致性保证的数据，在非生产存储上生成“黄金副本”，这个“黄金副本 ”数据格式是原始的磁盘格式，可再虚拟化成多个副本直接挂载给服务器，分别用于备份恢复、容灾或者开发测试等。</w:t>
            </w:r>
          </w:p>
        </w:tc>
      </w:tr>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安全运营管理服务</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次药监局“黑匣子”工程建设中，除了建设核心算力、存储、区块链平台外，还有大量外部单位的安全接入，为保证外部接入单位的安全可管、可控、可运维，并实时反映安全风险与威胁、对安全事件进行实时处置，需要引入安全运营平台，对各下级接入单位进行统一纳管。</w:t>
            </w:r>
          </w:p>
          <w:p>
            <w:pPr>
              <w:widowControl/>
              <w:snapToGrid w:val="0"/>
              <w:spacing w:line="360" w:lineRule="auto"/>
              <w:ind w:firstLine="420" w:firstLineChars="200"/>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面向药监局“黑匣子”工程核心集群算力服务平台与药企安全接入环境的全场景智能安全运营服务，包含异常行为分析管理、全流量威胁管理等功能，实现安全闭环管理。</w:t>
            </w:r>
          </w:p>
        </w:tc>
      </w:tr>
      <w:tr>
        <w:tblPrEx>
          <w:tblCellMar>
            <w:top w:w="0" w:type="dxa"/>
            <w:left w:w="108" w:type="dxa"/>
            <w:bottom w:w="0" w:type="dxa"/>
            <w:right w:w="108" w:type="dxa"/>
          </w:tblCellMar>
        </w:tblPrEx>
        <w:trPr>
          <w:trHeight w:val="20" w:hRule="atLeast"/>
        </w:trPr>
        <w:tc>
          <w:tcPr>
            <w:tcW w:w="9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集成建设服务</w:t>
            </w:r>
          </w:p>
        </w:tc>
        <w:tc>
          <w:tcPr>
            <w:tcW w:w="40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left"/>
              <w:textAlignment w:val="center"/>
              <w:rPr>
                <w:rFonts w:hint="eastAsia" w:ascii="宋体" w:hAnsi="宋体" w:eastAsia="宋体" w:cs="宋体"/>
                <w:bCs/>
                <w:color w:val="auto"/>
                <w:kern w:val="0"/>
                <w:sz w:val="21"/>
                <w:szCs w:val="21"/>
                <w:highlight w:val="none"/>
                <w:lang w:eastAsia="zh-Hans"/>
              </w:rPr>
            </w:pPr>
            <w:r>
              <w:rPr>
                <w:rFonts w:hint="eastAsia" w:ascii="宋体" w:hAnsi="宋体" w:eastAsia="宋体" w:cs="宋体"/>
                <w:bCs/>
                <w:color w:val="auto"/>
                <w:kern w:val="0"/>
                <w:sz w:val="21"/>
                <w:szCs w:val="21"/>
                <w:highlight w:val="none"/>
              </w:rPr>
              <w:t>ECSO（H）合营云+区块链技术服务调试测试，安全产品配套部署调试服务</w:t>
            </w:r>
            <w:r>
              <w:rPr>
                <w:rFonts w:hint="eastAsia" w:ascii="宋体" w:hAnsi="宋体" w:eastAsia="宋体" w:cs="宋体"/>
                <w:bCs/>
                <w:color w:val="auto"/>
                <w:kern w:val="0"/>
                <w:sz w:val="21"/>
                <w:szCs w:val="21"/>
                <w:highlight w:val="none"/>
                <w:lang w:eastAsia="zh-Hans"/>
              </w:rPr>
              <w:t>，</w:t>
            </w:r>
            <w:r>
              <w:rPr>
                <w:rFonts w:hint="eastAsia" w:ascii="宋体" w:hAnsi="宋体" w:eastAsia="宋体" w:cs="宋体"/>
                <w:color w:val="auto"/>
                <w:sz w:val="21"/>
                <w:szCs w:val="21"/>
                <w:highlight w:val="none"/>
                <w:lang w:eastAsia="zh-Hans"/>
              </w:rPr>
              <w:t>确保云服务的稳定运行，满足业务软件的计算及存储需求。</w:t>
            </w:r>
          </w:p>
        </w:tc>
      </w:tr>
    </w:tbl>
    <w:p>
      <w:pPr>
        <w:pStyle w:val="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网络安全设备</w:t>
      </w:r>
    </w:p>
    <w:tbl>
      <w:tblPr>
        <w:tblStyle w:val="37"/>
        <w:tblW w:w="4998" w:type="pct"/>
        <w:tblInd w:w="0" w:type="dxa"/>
        <w:tblLayout w:type="autofit"/>
        <w:tblCellMar>
          <w:top w:w="0" w:type="dxa"/>
          <w:left w:w="108" w:type="dxa"/>
          <w:bottom w:w="0" w:type="dxa"/>
          <w:right w:w="108" w:type="dxa"/>
        </w:tblCellMar>
      </w:tblPr>
      <w:tblGrid>
        <w:gridCol w:w="591"/>
        <w:gridCol w:w="1107"/>
        <w:gridCol w:w="7334"/>
      </w:tblGrid>
      <w:tr>
        <w:tblPrEx>
          <w:tblCellMar>
            <w:top w:w="0" w:type="dxa"/>
            <w:left w:w="108" w:type="dxa"/>
            <w:bottom w:w="0" w:type="dxa"/>
            <w:right w:w="108" w:type="dxa"/>
          </w:tblCellMar>
        </w:tblPrEx>
        <w:trPr>
          <w:trHeight w:val="336"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名称</w:t>
            </w:r>
          </w:p>
        </w:tc>
        <w:tc>
          <w:tcPr>
            <w:tcW w:w="46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功能或配置</w:t>
            </w:r>
          </w:p>
        </w:tc>
      </w:tr>
      <w:tr>
        <w:tblPrEx>
          <w:tblCellMar>
            <w:top w:w="0" w:type="dxa"/>
            <w:left w:w="108" w:type="dxa"/>
            <w:bottom w:w="0" w:type="dxa"/>
            <w:right w:w="108" w:type="dxa"/>
          </w:tblCellMar>
        </w:tblPrEx>
        <w:trPr>
          <w:trHeight w:val="336"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核心交换机</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交换容量</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交换容量：76.8/336Tbps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包转发率</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包转发率：8640/57600Mpps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业务槽位</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主控引擎≥2；整机业务板槽位数≥6，配置48千兆电+24万兆光+24千兆光+2*4口万兆堆叠板卡+4*SFP-10G-CU3M +配置IPv6授权</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机柜要求</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适用 600mm 深度机柜</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可控</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优先国产化</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IPV6</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IPv6 过渡技术，   IPv4/IPv6 双栈、  6over4 隧道、  4over6 隧道</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IPv6 DHCP SERVER, IPv6 DHCP Relay, DHCP Snooping，支持 IPv6 Souce Guard</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端口</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整机万兆端口密度≥288 个</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硬件要求</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为保证设备散热效果和可靠性，要求设备支持模主控、电源、监控板、风扇框（前后及左后风道）等关键器件冗余设计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支持颗粒化电源，  整机电源槽位数&gt;2</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配置堆叠相关组件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VXLAN</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VxLAN 功能，支持 VxLAN 二层网关、三层网关，</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BGP EVPN，支持分布式  Anycast  网关</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VxLAN Fabric  的自动化部署</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MAC</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支持整机 MAC 地址≥128K；</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ARP</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支持整机 ARP 表项≥16K；</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VLAN</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4K VLAN；支持 1： 1 ，N： 1 VLAN mapping</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支持端口 VLAN，协议 VLAN ，IP 子网 VLAN；</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Super VLAN；支持 Voice VLAN;</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二层功能</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IEEE 802.1d(STP)、  802.w(RSTP)、802.1s(MSTP)</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VLAN 内端口隔离；支持 1:1, N:1 端口镜像；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支持流镜像；支持远程端口镜像（RSPAN）；</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ERSPAN,  通过 GRE 隧道实现跨域远程镜像；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DHCP Client, DHCP Server ，DHCP Relay；</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ERSPAN,  通过 GRE 隧道实现跨域远程镜像；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IP 路由</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IPv4 路由转发 FIB 表项≥128K</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支持静态路由、  RIP、 RIPng、OSPF、OSPFv3、BGP、 BGP4+、 ISIS、ISISv6；支持路由协议多实例；</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组播协议</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IGMP Snooping V1,V2,V3；支持 PIM-SM/DM/SSM；支持 MLD V1 ，V2；</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MPLS</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MPLS L3VPN、 MPLS L2VPN(VPLS ，VLL)、MPLS-TE、 MPLS QoS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访问控制</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支持基于第二层、第三层和第四层的 ACL</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支持双向 ACL；</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VLAN ACL 和 IPv6 ACL；</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IP/Port/MAC 的绑定功能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QoS</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PQ、WRR、 DRR、PQ+WRR 调度方式；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GE/10GE 端口 200ms 大缓存</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管理运维</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SNMP V1/V2/V3、Telnet、 RMON、SSHV2</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支持通过命令行、中文图形化配置软件等方式进行配置和管理</w:t>
            </w:r>
          </w:p>
        </w:tc>
      </w:tr>
      <w:tr>
        <w:tblPrEx>
          <w:tblCellMar>
            <w:top w:w="0" w:type="dxa"/>
            <w:left w:w="108" w:type="dxa"/>
            <w:bottom w:w="0" w:type="dxa"/>
            <w:right w:w="108" w:type="dxa"/>
          </w:tblCellMar>
        </w:tblPrEx>
        <w:trPr>
          <w:trHeight w:val="1179"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Telemetry 技术，实时采集设备数据并上送至网络分析组件平台，通过智能故障识别算法对网络数据进行分析，精准展现网络实时状态，及时定界故障以及故障发生原因，精准保障用户体验</w:t>
            </w:r>
          </w:p>
        </w:tc>
      </w:tr>
      <w:tr>
        <w:tblPrEx>
          <w:tblCellMar>
            <w:top w:w="0" w:type="dxa"/>
            <w:left w:w="108" w:type="dxa"/>
            <w:bottom w:w="0" w:type="dxa"/>
            <w:right w:w="108" w:type="dxa"/>
          </w:tblCellMar>
        </w:tblPrEx>
        <w:trPr>
          <w:trHeight w:val="112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大数据安全协防</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交换机支持通过 Netstream 采集网络数据，上报给 网络安全智能系统，进行网络的安全威胁事件信息检测 和全网的安全态势感知， 同时网络安全智能系统和SDN 控制器联动，以实现全网安全协防。</w:t>
            </w:r>
          </w:p>
        </w:tc>
      </w:tr>
      <w:tr>
        <w:tblPrEx>
          <w:tblCellMar>
            <w:top w:w="0" w:type="dxa"/>
            <w:left w:w="108" w:type="dxa"/>
            <w:bottom w:w="0" w:type="dxa"/>
            <w:right w:w="108" w:type="dxa"/>
          </w:tblCellMar>
        </w:tblPrEx>
        <w:trPr>
          <w:trHeight w:val="592"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支持能效以太网功能， IEEE 802.3az</w:t>
            </w:r>
          </w:p>
        </w:tc>
      </w:tr>
      <w:tr>
        <w:tblPrEx>
          <w:tblCellMar>
            <w:top w:w="0" w:type="dxa"/>
            <w:left w:w="108" w:type="dxa"/>
            <w:bottom w:w="0" w:type="dxa"/>
            <w:right w:w="108" w:type="dxa"/>
          </w:tblCellMar>
        </w:tblPrEx>
        <w:trPr>
          <w:trHeight w:val="336"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楼层交换机</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交换容量</w:t>
            </w: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交换容量：144/166Mpps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包转发率</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包转发率432Gbps/4.32Tbps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端口类型</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固定端口：48个千兆电口 ，4个万兆SFP+</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IPv6</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配置IPv6授权，支持IPv6 dhcp</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冗余设计</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主控、电源、监控板、风扇框（前后及左后风道）</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可控</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优先国产化</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二层功能</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支持 MAC 地址≥16K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支持 ARP 表项≥4K </w:t>
            </w:r>
          </w:p>
        </w:tc>
      </w:tr>
      <w:tr>
        <w:tblPrEx>
          <w:tblCellMar>
            <w:top w:w="0" w:type="dxa"/>
            <w:left w:w="108" w:type="dxa"/>
            <w:bottom w:w="0" w:type="dxa"/>
            <w:right w:w="108" w:type="dxa"/>
          </w:tblCellMar>
        </w:tblPrEx>
        <w:trPr>
          <w:trHeight w:val="9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支持4K个VLAN ，支持Voice VLAN，基于端口的VLAN，</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基于MAC的VLAN，基于协议的VLAN</w:t>
            </w:r>
            <w:r>
              <w:rPr>
                <w:rFonts w:hint="eastAsia" w:ascii="宋体" w:hAnsi="宋体" w:eastAsia="宋体" w:cs="宋体"/>
                <w:color w:val="auto"/>
                <w:kern w:val="0"/>
                <w:sz w:val="21"/>
                <w:szCs w:val="21"/>
                <w:highlight w:val="none"/>
                <w:lang w:bidi="ar"/>
              </w:rPr>
              <w:br w:type="textWrapping"/>
            </w:r>
            <w:r>
              <w:rPr>
                <w:rFonts w:hint="eastAsia" w:ascii="宋体" w:hAnsi="宋体" w:eastAsia="宋体" w:cs="宋体"/>
                <w:color w:val="auto"/>
                <w:kern w:val="0"/>
                <w:sz w:val="21"/>
                <w:szCs w:val="21"/>
                <w:highlight w:val="none"/>
                <w:lang w:bidi="ar"/>
              </w:rPr>
              <w:t xml:space="preserve">支持Smart link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1:1 和  N:1 VLAN Mapping  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三层功能</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支持 RIP、 RIPng、OSPF、OSPFv3 路由协议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IPv4 FIB 表项≥4K</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堆叠</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配置堆叠相关组件，支持智能 iStack 堆叠，将多台支持堆叠特性的交换机组合 在一起，从逻辑上虚拟为一台交换机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组播</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IGMP v1/v2/v3 Snooping</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支持VLAN内组播转发和组播多VLAN复制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支持捆绑端口的组播负载分担</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支持可控组播</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基于端口的组播流量统计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安全</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支持防止DOS、ARP攻击功能、  ICMP防攻击</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支持端口隔离、端口安全、Sticky MAC</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IP、 MAC、端口、 VLAN的组合绑定</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支持DHCPv6 Snooping ，DAI ，SAVI等安全特性</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MTBF</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MTBF（平均无故障时间） 超过 50 年</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可用度</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可用度满足 99.999%的电信级可靠性要求</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可靠性</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支持以太网环网保护协议 ERPS ，故障倒换时间小于 50ms，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虚拟化</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支持纵向虚拟化，作为纵向子节点零配置即插即用</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QOS</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支持对端口接收报文速率和发送报文速率进行限制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支持SP、WRR、SP+WRR等队列调度算法</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支持报文的802.1p和DSCP优先级重新标记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管理维护</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SNMP v1/v2/v3、Telnet、 RMON</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支持通过命令行、  Web、中文图形化配置软件等方式进行配置和管理</w:t>
            </w:r>
          </w:p>
        </w:tc>
      </w:tr>
      <w:tr>
        <w:tblPrEx>
          <w:tblCellMar>
            <w:top w:w="0" w:type="dxa"/>
            <w:left w:w="108" w:type="dxa"/>
            <w:bottom w:w="0" w:type="dxa"/>
            <w:right w:w="108" w:type="dxa"/>
          </w:tblCellMar>
        </w:tblPrEx>
        <w:trPr>
          <w:trHeight w:val="1113"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Telemetry 技术，配合网络分析组件通过智能故障识 别算法对网络数据进行分析，精准展现网络实时状态，并能 及时有效地定界故障以及定位故障发生原因，发现影响用户体验的网络问题，  精准保障用户体验</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云管理</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支持本地管理和云盒两种方式，  可以通过云管理平台对交换 机进行云端配置、监控、巡检等，减少部署和运维的投入，</w:t>
            </w:r>
          </w:p>
        </w:tc>
      </w:tr>
      <w:tr>
        <w:tblPrEx>
          <w:tblCellMar>
            <w:top w:w="0" w:type="dxa"/>
            <w:left w:w="108" w:type="dxa"/>
            <w:bottom w:w="0" w:type="dxa"/>
            <w:right w:w="108" w:type="dxa"/>
          </w:tblCellMar>
        </w:tblPrEx>
        <w:trPr>
          <w:trHeight w:val="459"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降低网络的 OPEX</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业务口防雷</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业务口防雷可达10KV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长期工作温度</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使用非工业级光模块情况下的长期工作环境温度范围：5℃~50℃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长期工作湿度</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长期工作环境相对湿度为 5%~95% ，非凝露 </w:t>
            </w:r>
          </w:p>
        </w:tc>
      </w:tr>
      <w:tr>
        <w:tblPrEx>
          <w:tblCellMar>
            <w:top w:w="0" w:type="dxa"/>
            <w:left w:w="108" w:type="dxa"/>
            <w:bottom w:w="0" w:type="dxa"/>
            <w:right w:w="108" w:type="dxa"/>
          </w:tblCellMar>
        </w:tblPrEx>
        <w:trPr>
          <w:trHeight w:val="336"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数据库审计</w:t>
            </w: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硬件要求</w:t>
            </w: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支持的数据库实例个数：12；</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审计性能：峰值SQL处理能力≥20000条/秒；</w:t>
            </w:r>
          </w:p>
        </w:tc>
      </w:tr>
      <w:tr>
        <w:tblPrEx>
          <w:tblCellMar>
            <w:top w:w="0" w:type="dxa"/>
            <w:left w:w="108" w:type="dxa"/>
            <w:bottom w:w="0" w:type="dxa"/>
            <w:right w:w="108" w:type="dxa"/>
          </w:tblCellMar>
        </w:tblPrEx>
        <w:trPr>
          <w:trHeight w:val="393"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总网络吞吐量2000Mbps；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双向审计数据库流量200Mbps；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标配日志存储数20亿条；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审计日志检索能力≥1500万条/秒。</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2U机架式；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内置交流双电源；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产品采用专用工控机硬件架构，非普通PC服务器，MTBF(平均故障间隔时间)≥65000小时；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处理器采用Intel高性能4核CPU，内存≥2*8GB，硬盘≥4TB（2T*2），支持RAID1，最大支持扩展到4T*4硬盘；</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网络端口：</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支持监听接口扩展；</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配备至少2个千兆电口管理口（admin口1个、HA口1个）；</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支持千兆网络环境下的监听能力；</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标配至少4个千兆电口和4个千兆光口；（多模，标配2个SFP模块、3米 LC-LC跳线2根）</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空余拓展板卡位：2个，支持最大扩展至8电8光或16电或16光共16个千兆以太网口</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部署方式</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旁路部署模式下无须在被审计数据库系统上安装任何代理，仅通过镜像流量即可实现审计；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可在云环境操作系统中安装软件代理，要求提供国家权威检测机构（公安部安全与警用电子产品质量检测中心）的检测报告；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在目标数据库安装Agent解决云环境、虚拟化环境内部流量无法镜像场景下数据库的审计；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支持分布式部署，管理中心可实现统一配置、一键批量升级所有节点、统一报表生成、统一查询；</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在分布式部署模式下，管理节点和探测器节点都可存储审计数据，实现大数据环境下磁盘空间的有效利用和扩展；</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支持IPv4/IPv6双栈审计；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支持和ES平台对接，将审计日志和告警日志存储在ES系统中，并支持通过页面查询日志;</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协议支持</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支持Oracle（包括21C及其他版本）、MySQL、SQL Server、Sybase ASE、DB2、Informix、Cache、 PostgreSQL（14及其他版本）、Teradata、MariaDB、Hana、LibrA、Sybase IQ、TiDB、Vertica、PolarDB、PolarDB-X等主流数据库的审计；</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支持MongoDB、HBase、Hive、Redis、Elasticsearch、Cassandra、HDFS、Impala、Graphbase、Greenplum、Spark SQL、SSDB、ArangoDB、Neo4j、OrientDB 等数据库的审计；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支持主流业务协议HTTP、Telnet、FTP的审计；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可以通过导入证书的方式实现SQL Server 2005及其他版本采用了加密协议通讯的审计；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可以通过导入证书的方式实现MySQL 5.7及其他版本采用了加密协议通讯的审计；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支持对各种协议自动识别编码及在web界面手工配置特定编码如GB13000、UTF-8、UTF-16等;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审计功能</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"_支持各种对象的SQL审计_1" </w:instrText>
            </w:r>
            <w:r>
              <w:rPr>
                <w:rFonts w:hint="eastAsia" w:ascii="宋体" w:hAnsi="宋体" w:eastAsia="宋体" w:cs="宋体"/>
                <w:color w:val="auto"/>
                <w:sz w:val="21"/>
                <w:szCs w:val="21"/>
                <w:highlight w:val="none"/>
              </w:rPr>
              <w:fldChar w:fldCharType="separate"/>
            </w:r>
            <w:r>
              <w:rPr>
                <w:rStyle w:val="41"/>
                <w:rFonts w:hint="eastAsia" w:ascii="宋体" w:hAnsi="宋体" w:eastAsia="宋体" w:cs="宋体"/>
                <w:color w:val="auto"/>
                <w:sz w:val="21"/>
                <w:szCs w:val="21"/>
                <w:highlight w:val="none"/>
                <w:u w:val="none"/>
              </w:rPr>
              <w:t>支持数据库操作表、视图、索引、存储过程等各种对象的所有SQL操作审计；</w:t>
            </w:r>
            <w:r>
              <w:rPr>
                <w:rStyle w:val="41"/>
                <w:rFonts w:hint="eastAsia" w:ascii="宋体" w:hAnsi="宋体" w:eastAsia="宋体" w:cs="宋体"/>
                <w:color w:val="auto"/>
                <w:sz w:val="21"/>
                <w:szCs w:val="21"/>
                <w:highlight w:val="none"/>
                <w:u w:val="none"/>
              </w:rPr>
              <w:fldChar w:fldCharType="end"/>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审计信息能够记录执行时长、影响行数、执行结果描述、返回结果集，提供功能截图，提供功能截图，并提供国家权威检测机构（公安部安全与警用电子产品质量检测中心）的检测报告；</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支持数据库请求和返回的双向审计，特别是返回结果集和返回字段、执行状态、影响行数、执行时长、客户端工具、主机名等内容，支持通过设置保存行数、最大保存长度来控制返回结果集的大小；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支持在双向审计场景下根据以往审计命中情况设置结果集存储策略，支持设置保存行数与最大保存长度;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支持跨语句、跨多包的绑定变量名及绑定变量值审计；</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支持本地直连数据库场景下的审计，通过本地Agent捕获本地数据库客户端程序中实际响应的SQL指令，实现对本地运维人员的数据库操作行为的审计，支持主流数据库如Oracle、PostgreSQL、MySQL、SQLServer等；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支持HDFS、HIVE、PostgreSQL、Spark SQL(Thrift)等场景下的kerberos认证加密流量的解析与审计；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支持超长SQL语句（最长4M）审计；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智能发现</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支持自动发现、自动添加流量中的数据库信息，并支持自定义自动发现截止时间；</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安全审计</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支持审计记录中敏感数据的脱敏处理，内置常见敏感数据脱敏规则，并支持脱敏规则自定义；</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产品具有内置规则，规则类型有SQL注入、账号安全、数据泄露和违规操作等，并可依据规则进行邮件告警，要求提供产品功能截图，并提供国家权威检测机构（公安部安全与警用电子产品质量检测中心）的检测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内置安全规则不少于900条，如SQL注入、缓冲区溢出等；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可自定义审计规则，审计规则至少支持18个条件；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支持旁路阻断；</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"_支持与或非逻辑关联" </w:instrText>
            </w:r>
            <w:r>
              <w:rPr>
                <w:rFonts w:hint="eastAsia" w:ascii="宋体" w:hAnsi="宋体" w:eastAsia="宋体" w:cs="宋体"/>
                <w:color w:val="auto"/>
                <w:sz w:val="21"/>
                <w:szCs w:val="21"/>
                <w:highlight w:val="none"/>
              </w:rPr>
              <w:fldChar w:fldCharType="separate"/>
            </w:r>
            <w:r>
              <w:rPr>
                <w:rStyle w:val="41"/>
                <w:rFonts w:hint="eastAsia" w:ascii="宋体" w:hAnsi="宋体" w:eastAsia="宋体" w:cs="宋体"/>
                <w:color w:val="auto"/>
                <w:sz w:val="21"/>
                <w:szCs w:val="21"/>
                <w:highlight w:val="none"/>
                <w:u w:val="none"/>
              </w:rPr>
              <w:t>规则各条件之间支持与或非逻辑关系；</w:t>
            </w:r>
            <w:r>
              <w:rPr>
                <w:rStyle w:val="41"/>
                <w:rFonts w:hint="eastAsia" w:ascii="宋体" w:hAnsi="宋体" w:eastAsia="宋体" w:cs="宋体"/>
                <w:color w:val="auto"/>
                <w:sz w:val="21"/>
                <w:szCs w:val="21"/>
                <w:highlight w:val="none"/>
                <w:u w:val="none"/>
              </w:rPr>
              <w:fldChar w:fldCharType="end"/>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支持安全规则遍历匹配，针对某个操作，将全部安全规则进行匹配，并返回所有匹配的告警结果；</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支持安全规则优先级设置，在匹配规则时支持按照优先级顺序进行匹配并返回唯一匹配结果；</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支持内置安全规则通过规则包进行单独升级，需提供产品功能截图，并提供国家权威检测机构（公安部安全与警用电子产品质量检测中心）的检测报告；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支持信任规则，信任规则至少支持27个匹配条件；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查询分析</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为保障高效的查询性能，要求产品后台采用全文检索引擎检索，具体体现为：可通过检索报文进行审计记录的查询；</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"_查询条件" </w:instrText>
            </w:r>
            <w:r>
              <w:rPr>
                <w:rFonts w:hint="eastAsia" w:ascii="宋体" w:hAnsi="宋体" w:eastAsia="宋体" w:cs="宋体"/>
                <w:color w:val="auto"/>
                <w:sz w:val="21"/>
                <w:szCs w:val="21"/>
                <w:highlight w:val="none"/>
              </w:rPr>
              <w:fldChar w:fldCharType="separate"/>
            </w:r>
            <w:r>
              <w:rPr>
                <w:rStyle w:val="41"/>
                <w:rFonts w:hint="eastAsia" w:ascii="宋体" w:hAnsi="宋体" w:eastAsia="宋体" w:cs="宋体"/>
                <w:color w:val="auto"/>
                <w:sz w:val="21"/>
                <w:szCs w:val="21"/>
                <w:highlight w:val="none"/>
                <w:u w:val="none"/>
              </w:rPr>
              <w:t>查询条件易于使用，审计查询条件均为非正则表达式形式进行；</w:t>
            </w:r>
            <w:r>
              <w:rPr>
                <w:rStyle w:val="41"/>
                <w:rFonts w:hint="eastAsia" w:ascii="宋体" w:hAnsi="宋体" w:eastAsia="宋体" w:cs="宋体"/>
                <w:color w:val="auto"/>
                <w:sz w:val="21"/>
                <w:szCs w:val="21"/>
                <w:highlight w:val="none"/>
                <w:u w:val="none"/>
              </w:rPr>
              <w:fldChar w:fldCharType="end"/>
            </w:r>
          </w:p>
        </w:tc>
      </w:tr>
      <w:tr>
        <w:tblPrEx>
          <w:tblCellMar>
            <w:top w:w="0" w:type="dxa"/>
            <w:left w:w="108" w:type="dxa"/>
            <w:bottom w:w="0" w:type="dxa"/>
            <w:right w:w="108" w:type="dxa"/>
          </w:tblCellMar>
        </w:tblPrEx>
        <w:trPr>
          <w:trHeight w:val="9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基于日期、时间、报文、审计ID、会话ID、SQL模板ID、资产、数据库账号、客户端IP、服务端IP、客户端端口、服务端端口、客户端MAC、服务端MAC、数据库名/实例名、数据库对象（库、表、字段等）、客户端工具、主机名、操作系统用户名、影响行数、执行时长、执行结果描述、返回结果集、关联IP、关联账号、操作类型、数据库类型、执行状态等条件的审计查询；</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支持在审计日志中一键添加过滤规则，支持在告警规则中一键添加信任规则或规则白名单；</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设置日志检索条件时，检索条件可根据历史信息自动弹出，即输入检索条件时支持智能联想；</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支持告警分析功能，告警分析支持按照“客户端IP+数据库账号”的组合对SQL模板维度进行排行，支持在页面一键添加到白名单、一键添加到信任规则</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日志查询时分析筛选能力，根据查询条件自动分析出存在的数据库账号、客户端IP、客户端工具、操作系统用户名、服务端IP、操作类型、数据库名/实例名、表名、主机名、执行状态、执行时长、影响行数等，并支持在以上各个维度中灵活筛选分析；（提供产品功能截图)</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历史会话中的审计记录支持直接导出，支持通过“查询分析”按钮跳转至审计日志页面进行进一步的分析筛选；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统计报表</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"_内置多种报表模板" </w:instrText>
            </w:r>
            <w:r>
              <w:rPr>
                <w:rFonts w:hint="eastAsia" w:ascii="宋体" w:hAnsi="宋体" w:eastAsia="宋体" w:cs="宋体"/>
                <w:color w:val="auto"/>
                <w:sz w:val="21"/>
                <w:szCs w:val="21"/>
                <w:highlight w:val="none"/>
              </w:rPr>
              <w:fldChar w:fldCharType="separate"/>
            </w:r>
            <w:r>
              <w:rPr>
                <w:rStyle w:val="41"/>
                <w:rFonts w:hint="eastAsia" w:ascii="宋体" w:hAnsi="宋体" w:eastAsia="宋体" w:cs="宋体"/>
                <w:color w:val="auto"/>
                <w:sz w:val="21"/>
                <w:szCs w:val="21"/>
                <w:highlight w:val="none"/>
                <w:u w:val="none"/>
              </w:rPr>
              <w:t>系统内置多种报表模板库，报表不少于23种；</w:t>
            </w:r>
            <w:r>
              <w:rPr>
                <w:rStyle w:val="41"/>
                <w:rFonts w:hint="eastAsia" w:ascii="宋体" w:hAnsi="宋体" w:eastAsia="宋体" w:cs="宋体"/>
                <w:color w:val="auto"/>
                <w:sz w:val="21"/>
                <w:szCs w:val="21"/>
                <w:highlight w:val="none"/>
                <w:u w:val="none"/>
              </w:rPr>
              <w:fldChar w:fldCharType="end"/>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"_SOX、等级保护合规多维度" </w:instrText>
            </w:r>
            <w:r>
              <w:rPr>
                <w:rFonts w:hint="eastAsia" w:ascii="宋体" w:hAnsi="宋体" w:eastAsia="宋体" w:cs="宋体"/>
                <w:color w:val="auto"/>
                <w:sz w:val="21"/>
                <w:szCs w:val="21"/>
                <w:highlight w:val="none"/>
              </w:rPr>
              <w:fldChar w:fldCharType="separate"/>
            </w:r>
            <w:r>
              <w:rPr>
                <w:rStyle w:val="41"/>
                <w:rFonts w:hint="eastAsia" w:ascii="宋体" w:hAnsi="宋体" w:eastAsia="宋体" w:cs="宋体"/>
                <w:color w:val="auto"/>
                <w:sz w:val="21"/>
                <w:szCs w:val="21"/>
                <w:highlight w:val="none"/>
                <w:u w:val="none"/>
              </w:rPr>
              <w:t>报表支持严格按照塞班斯（SOX）法案、等级保护标准要求生成多维度综合报告；</w:t>
            </w:r>
            <w:r>
              <w:rPr>
                <w:rStyle w:val="41"/>
                <w:rFonts w:hint="eastAsia" w:ascii="宋体" w:hAnsi="宋体" w:eastAsia="宋体" w:cs="宋体"/>
                <w:color w:val="auto"/>
                <w:sz w:val="21"/>
                <w:szCs w:val="21"/>
                <w:highlight w:val="none"/>
                <w:u w:val="none"/>
              </w:rPr>
              <w:fldChar w:fldCharType="end"/>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按照时间曲线统计SQL语句执行情况分析（包括SQL语句总量、DDL操作数量、DML操作数量、执行失败数量）、会话连接分析（包括新增会话、最大并发会话、失败会话）、风险事件分析（包括告警总数、高风险、中风险、低风险）、SQL性能分析（包括平均执行时长、1秒以上语句数量）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支持性能分析，统计性能变化趋势，并且准确提炼出SQL语句中耗时最久、性能最差和执行量最多的SQL模板；</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支持基于表维度的报表分析，表分析报表支持通过桑基图展示各表的访问关系图；（提供产品功能截图)</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支持HTML、PDF、PNG、WORD、EXCEL、CSV等格式的报表导出（提供产品功能截图)</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支持报表页面信息钻取；</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报表，自定义报表支持告警名称、告警等级、操作类型、操作系统用户名、数据库名/实例名、主机名、数据库账号、客户端IP、客户端工具、数据库类型、客户端端口11种统计维度，支持来自审计日志、告警日志、会话日志的29种统计指标，根据以上条件进行灵活选择后生成报表；（提供产品功能截图)</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模型分析</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依据客户端工具名、数据库用户名、客户端IP、操作系统用户名、客户端主机名、数据库名、操作类型、服务器IP等配置行为模型，并可查看相应告警日志，提供产品功能截图，并提供国家权威检测机构（公安部安全与警用电子产品质量检测中心）的检测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可通过桑基图展示访问数据库的路径，路径包括数据库IP端口、数据库账号、操作类型、数据库/SID、表名等；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数据管理</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支持根据在线日志留存天数、在线数据最大占用空间百分比、备份数据最大占用空间百分比自动清理早期数据；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支持对在线数据的备份，支持调整备份压缩等级，支持展示数据备份进度；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支持将审计日志通过FTP/SFTP的方式外送，支持自定义在线数据备份时间周期，支持恢复数据并展示恢复进度；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提供系统配置信息的单独备份和上传恢复功能，并支持自定义备份周期和备份文件上限；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系统管理</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支持在界面查看告警日志，同时支持邮件、短信、企业微信、钉钉、SNMP、SYSLOG等方式告警；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采用B/S架构管理；</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支持用户安全配置，包括登录超时、用户锁定（密码尝试次数、锁定时长，以及自定义设置登录尝试密码失败之后，将登录尝试失败计数器重置为0次所需要的时间）、密码策略（密码强度、密码使用期限）等；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支持将同步设备时间与浏览器时间进行同步，支持页面修改时间同步配置例如同步服务器、是否自动同步等；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支持对CPU、内存、硬盘的告警阈值进行设置，支持分布式部署时在各个探测器节点分别设置不同的阈值；</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支持系统资源使用率超阈值（CPU、内存、磁盘）、流量代理异常时触发系统告警，告警支持通过页面展示，支持通过邮件、短信、企业微信、钉钉、Syslog、Snmp等方式外送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Agent管理</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支持在页面批量安装、配置、删除、挂起、唤醒、启动、停止、升级、回退所有的Agent；</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支持在审计页面直接升级或回退已安装在数据库服务器上的Agent，显示相应的升级/回退进度和结果，且升级或回退不需要输入数据库服务器的账号、密码；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Agent支持设置CPU亲和性、最大资源使用率限制（CPU、内存）；</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监控Agent的转发速率，以及Agent所在数据库服务器的CPU、内存利用率，并可设置CPU、内存利用率的上限阈值，超阈值时Agent将自动停止转发数据，需提供功能截图并盖原厂公章，提供国家权威检测机构（公安部安全与警用电子产品质量检测中心）的检测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Agent支持设置抓包网口和抓包过滤串，且支持按照客户端工具、数据库账号过滤；</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Agent支持配置回环网口、回环抓包过滤串、回环网口替换IP，支持远程登录审计（远程登录审计开启后，本地流量中的IP端口会被远程连接的IP端口替换）；</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支持Agent和审计服务端数据传输加密；</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API化</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功能全面API化，支持第三方调用；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分布式</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支持在管理节点上管理数据库资产、规则配置（包括安全规则、信任规则、过滤规则、规则维护和关联数据等）、报表订阅、告警通知等；</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在分布式部署模式下，支持在管理中心（管理节点）查询所有审计节点的日志信息，支持自由选择是否统一查询，在各个探测器节点仅能查询自身节点产生的审计日志；</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支持在管理节点上监控所有探测器节点的状态信息，包括CPU使用、内存使用、数据库流量、数据分区、审计总数、在线数据、告警总数和会话总数等信息，并支持自定义信息刷新频率；</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支持管理中心和审计节点手工同步配置信息；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支持在管理中心直接升级探测器节点，支持批量选择和单独选择需要升级的探测器节点；</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在分布式部署模式下，管理中心和探测器节点统一license，在管理中心的许可处进行统一显示，各个探测器节点不再显示license具体数量；</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三层关联</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可提供客户端访问Web服务器的URL和应用服务器访问数据库的SQL语句关联功能，需提供功能截图并盖原厂公章，提供国家权威检测机构（公安部安全与警用电子产品质量检测中心）的检测报告；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支持通过部署Agent实现java web环境100%准确关联；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易用性</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支持对SQL语句进行业务化翻译，为用户提供SQL语句概述，便于用户理解；</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支持资产组管理；</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对于与产品相关的关联数据，支持分组管理，分组管理包含IP组、数据库账号组、应用用户组、时间组、对象组；</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支持在日志页面一键取证；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支持区分历史会话和在线会话；</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支持LADP认证配置；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支持配置过滤规则，过滤规则包含IP过滤、SQL模板过滤和按规则过滤，其中按规则过滤的自定义过滤条件不少于26个；</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在页面支持ping、nc、traceroute命令进行连通性测试； </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支持中英文界面；</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可维护性</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内置一键检测功能，可检测设备状态，包括流量、服务状态、设备状态、配置、许可和日志等；</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内置运维终端，可实现日志查看与下载、监控日志、设备状态检测、查看系统资源使用、查看共享内存使用、查看Ka**a消费情况、执行SQL语句、执行常用命令、特权运维等；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支持系统引擎管理，支持查看引擎运行状态，并支持调整引擎运行参数；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租户化管理</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支持租户化管理，针对某几个用户可授权查看指定的几个数据库产生的审计日志和告警信息等。</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防统方功能具备</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产品需要有医疗防统方专版，且支持与通用版本的切换；</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内置HIS系统</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内置的HIS系统厂商信息包括方正国际、天津天健、东联、联众、创业、军卫、联想、金仕达卫宁、东软、东华等；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IP关联</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支持通过IP地址关联人员的工号、姓名、手机、科室、房间、主机名、Mac地址等信息（需提供产品功能截图证明，并加盖公章）</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统方告警统计</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首页支持通过曲线图方式直观展示每小时统方告警数量，支持首页显示统方告警名称的TOP5和BOTTOM5；</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告警语句SQL模板统计</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支持首页展示TOP20的统方告警语句的SQL模板 </w:t>
            </w:r>
          </w:p>
        </w:tc>
      </w:tr>
      <w:tr>
        <w:tblPrEx>
          <w:tblCellMar>
            <w:top w:w="0" w:type="dxa"/>
            <w:left w:w="108" w:type="dxa"/>
            <w:bottom w:w="0" w:type="dxa"/>
            <w:right w:w="108" w:type="dxa"/>
          </w:tblCellMar>
        </w:tblPrEx>
        <w:trPr>
          <w:trHeight w:val="336"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bookmarkStart w:id="231" w:name="_GoBack"/>
            <w:r>
              <w:rPr>
                <w:rFonts w:hint="eastAsia" w:ascii="宋体" w:hAnsi="宋体" w:eastAsia="宋体" w:cs="宋体"/>
                <w:color w:val="auto"/>
                <w:kern w:val="0"/>
                <w:sz w:val="21"/>
                <w:szCs w:val="21"/>
                <w:highlight w:val="none"/>
                <w:lang w:bidi="ar"/>
              </w:rPr>
              <w:t>APT设备</w:t>
            </w:r>
            <w:bookmarkEnd w:id="231"/>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硬件要求</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MTBF 大于65000小时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吞吐率：网络层：2Gbps，应用层：1Gbps，</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WEB检测：HTTP最大并发数8万/秒</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邮件检测：邮件处理数: 150万封/24小时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文件检测：5万个/24小时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支持分布式管理节点10个</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硬件外形：软硬一体化2U标准机架式设备；</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电源：1+1冗余电源（额定功率：300W）</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CPU：4核8线程*1</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内存：32G</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硬盘容量：2T*2，带RAID1，可用磁盘空间不小于2T；</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接口数量：标配10个；</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接口类型：千兆RJ45网口*2(管理口*2)、千兆RJ45网口*4、千兆业务SFP光口*4（标配千兆多模光模块*2）</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具备3个扩展槽，可扩展4千兆光、4千兆电4千兆光、2万兆光、4万兆光（扩展光口另配模块）</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综合能力</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支持双向流量审计，可对请求和响应内容进行审计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支持IPv4和IPv6网络环境下的部署，可同时对IPv4和IPv6网络流量分析检测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支持风险数据包保存功能，可存留会话的请求和相应数据包，帮助用户还原攻击过程，进行取证和关联分析；并支持系统内置工具一键在线预览风险数据包</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支持数据包去重功能，在原始流量存在重复包的情况下能够自动剔除重复的数据包，确保分析结果的准确性，数据包去重功能不影响设备的处理性能</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支持解析HTTP、FTP、SMTP、POP3、SMB、IMAP、DNS、HTTPS、SMTPS、POP3S、IMAPS、RADIUS、KRB5、SNMP、NETFLOW V9、TFTP、NNTP等协议报文（HTTPS、SMTPS、POP3S、IMAPS加密协议解析需要导入服务器私钥证书），并提供审计协议类型的端口号配置，可根据需要变更端口号；</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支持COAP、MQTT等物联网协议解析和审计</w:t>
            </w:r>
          </w:p>
        </w:tc>
      </w:tr>
      <w:tr>
        <w:tblPrEx>
          <w:tblCellMar>
            <w:top w:w="0" w:type="dxa"/>
            <w:left w:w="108" w:type="dxa"/>
            <w:bottom w:w="0" w:type="dxa"/>
            <w:right w:w="108" w:type="dxa"/>
          </w:tblCellMar>
        </w:tblPrEx>
        <w:trPr>
          <w:trHeight w:val="36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支持GOOSE、MODBUS等工控协议解析和审计</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支持GTP、PFCP、NGAP等5G协议解析和审计</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支持识别QQ、WEB、LDAP、FTP、TELNET、SMTP、POP3、SMB、RADMIN、ORACLE、MSSQL、SYBASE、MYSQL、DB2、PostgreSQL、REDIS、MQTT等登录行为；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支持多层 VLAN、VXLAN、MPLS、GRE等网络流量的解析检测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支持非标端口下的常规协议自动识别、解析和威胁检测功能，包括HTTP/FTP/IMAP/SMTP/POP3/SSL/SMB/RDP等；</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检测WEB攻击、恶意文件攻击、远程控制、WEB后门访问、WEB行为分析、DGA域名请求、SMB远程溢出攻击、弱口令、拒绝服务攻击、隧道通信、暴力破解、挖矿、扫描行为、漏洞利用、邮件社工攻击、ARP欺骗、密码明文形式传输等行为</w:t>
            </w:r>
          </w:p>
        </w:tc>
      </w:tr>
      <w:tr>
        <w:tblPrEx>
          <w:tblCellMar>
            <w:top w:w="0" w:type="dxa"/>
            <w:left w:w="108" w:type="dxa"/>
            <w:bottom w:w="0" w:type="dxa"/>
            <w:right w:w="108" w:type="dxa"/>
          </w:tblCellMar>
        </w:tblPrEx>
        <w:trPr>
          <w:trHeight w:val="9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动对系统告警事件降噪收敛处理，以基于实体的事件分类方式，将TOP30异常客户端IP、安全事件发生次数用不同颜色柱状图排序展示，可一键下钻查看原始告警数量及攻击状态；导出报表支持的枚举信息至少包含客户端IP、服务端IP、成功次数、风险次数、事件次数、事件名称、风险级别、攻击状态、首次发生时间、最近发生时间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支持告警抑制功能，在重复攻击手段下能够减少相同告警数量，提高用户分析效率，可自行设置告警抑制周期、告警上限、抑制阈值、持续时间、启用维度等</w:t>
            </w:r>
          </w:p>
        </w:tc>
      </w:tr>
      <w:tr>
        <w:tblPrEx>
          <w:tblCellMar>
            <w:top w:w="0" w:type="dxa"/>
            <w:left w:w="108" w:type="dxa"/>
            <w:bottom w:w="0" w:type="dxa"/>
            <w:right w:w="108" w:type="dxa"/>
          </w:tblCellMar>
        </w:tblPrEx>
        <w:trPr>
          <w:trHeight w:val="36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支持文件白名单、发件人邮箱白名单、发件人域名白名单、域名白名单、情报白名单、IP白名单、WEB特征白名单、IDS规则白名单的配置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支持灵活添加组合白名单，细化白名单影响面，包括IP和检测引擎大类、检测引擎大类子类、规则ID等颗粒度的组合白名单，支持至少8种白名单类型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支持私网IP地址或网段的地理位置配置，在风险信息中按实际配置数据，展示对应IP地址的地理位置信息</w:t>
            </w:r>
          </w:p>
        </w:tc>
      </w:tr>
      <w:tr>
        <w:tblPrEx>
          <w:tblCellMar>
            <w:top w:w="0" w:type="dxa"/>
            <w:left w:w="108" w:type="dxa"/>
            <w:bottom w:w="0" w:type="dxa"/>
            <w:right w:w="108" w:type="dxa"/>
          </w:tblCellMar>
        </w:tblPrEx>
        <w:trPr>
          <w:trHeight w:val="36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支持对HTTP、IMAP、SMTP、POP3、Redis、Telnet、FTP、PostgreSQL、MQTT、DMDB、GBASE、KINGBASE等协议的弱口令检测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支持自定义弱口令规则配置（最短口令长度、最少字符类型数），自定义新增弱密码及其检测类型</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支持对HTTP协议请求头中用户认证弱口令、对JSON格式(逗号分割和冒号区分键值)的用户信息提取和弱口令、明文口令和MD5加密口令碰撞的弱口令、BASE64加密口令的弱口令等进行检测</w:t>
            </w:r>
          </w:p>
        </w:tc>
      </w:tr>
      <w:tr>
        <w:tblPrEx>
          <w:tblCellMar>
            <w:top w:w="0" w:type="dxa"/>
            <w:left w:w="108" w:type="dxa"/>
            <w:bottom w:w="0" w:type="dxa"/>
            <w:right w:w="108" w:type="dxa"/>
          </w:tblCellMar>
        </w:tblPrEx>
        <w:trPr>
          <w:trHeight w:val="36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支持自定义HTTP登录行为关键字，包括用户名和密码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支持自定义HTTP登录行为的用户名获取来源，包括但不限于请求头、URL、Cookie、POST-body；支持自定义配置状态码、返回内容与登录成功/失败状态的绑定关系</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支持HTTP、SMB、SMTP、IMAP、POP3、FTP、TELNET、RADMIN、SSH、RDP、ORACLE、MSSQL、SYBASE、MYSQL、DB2、PostgreSQL、LDAP、MQTT、DMDB、GBASE、KINGBASE、OSCAR等协议的暴力破解，能识别出登录次数、账户信息、爆破成功与否的攻击状态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支持自定义启用/禁用暴力破解模型；并支持自定义配置模型统计周期、登录次数、聚合维度、检测机制等参数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支持IP、端口、SMB、Radmin、ICMP、ARP、传输层协议和漏洞扫描行为检测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支持自定义启用/禁用扫描行为模型；并支持自定义配置模型统计周期、访问次数等参数</w:t>
            </w:r>
          </w:p>
        </w:tc>
      </w:tr>
      <w:tr>
        <w:tblPrEx>
          <w:tblCellMar>
            <w:top w:w="0" w:type="dxa"/>
            <w:left w:w="108" w:type="dxa"/>
            <w:bottom w:w="0" w:type="dxa"/>
            <w:right w:w="108" w:type="dxa"/>
          </w:tblCellMar>
        </w:tblPrEx>
        <w:trPr>
          <w:trHeight w:val="308"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支持UDP FLOOD、DNS FLOOD、NTP FLOOD、Chargen FLOOD、SNMP FLOOD、SSDP FLOOD、 Memcached FLOOD、SYN FLOOD、RST FLOOD、FIN FLOOD、ACK FLOOD、HTTP FLOOD、ICMP FLOOD、SEANET_FLOOD检测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支持自定义启用/禁用拒绝服务攻击模型；并支持自定义配置模型统计周期、单包长度阈值、统计周期内包数量阈值等参数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支持HTTP密码明文传输和HTTP 密码Base64传输检测，能识别出登录页面URL、账户和明文密码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支持根据MAC与IP地址的绑定关系，分析网络中的ARP流量，判断ARP应答包中的IP和MAC地址是否匹配</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支持自定义开启跨三层MAC地址获取，开启后将定时从交换机获取ARP地址表，能够获取IP和MAC地址之间的真实关联关系</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支持真实MAC地址可自行替换风险告警中的MAC地址，并支持外送至大数据平台。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支持IP过滤配置，可配置IP、端口、IP对和端口或IP和协议的方式对网络流量进行过滤；可通过新增、批量导入等方式完成IP过滤的配置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支持对指定IP进行流量检测，可通过新增、批量导入等方式完成指定IP检测的配置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支持UDP端口过滤配置，可配置指定端口的网络流量过滤，或指定端口的网络流量采集</w:t>
            </w:r>
          </w:p>
        </w:tc>
      </w:tr>
      <w:tr>
        <w:tblPrEx>
          <w:tblCellMar>
            <w:top w:w="0" w:type="dxa"/>
            <w:left w:w="108" w:type="dxa"/>
            <w:bottom w:w="0" w:type="dxa"/>
            <w:right w:w="108" w:type="dxa"/>
          </w:tblCellMar>
        </w:tblPrEx>
        <w:trPr>
          <w:trHeight w:val="9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详细展现风险等级、时间、威胁名称、攻击状态、攻击方向、客户端IP、客户端IP所在地理位置、服务端IP、服务端IP所在地理位置、端口、报文、操作等信息，包含请求URL、请求类型、请求内容、请求头、Host、User-Agent、Accept、Accept-Language、Accept-Encoding、Accept-Charset、Keep-Alive、Connection、Cookie、请求参数、响应码、返回长度、ATT&amp;CK矩阵等信息，并提供相应的数据包下载链接</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支持从多个维度统计风险告警数量，包括但不限于告警类型、客户端IP、服务端IP、威胁情报、告警规则ID，支持导出excel表格，帮助用户进行告警研判</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风险查询支持一键切换运营模式和专业模式，满足不同场景的研判需求。</w:t>
            </w:r>
          </w:p>
        </w:tc>
      </w:tr>
      <w:tr>
        <w:tblPrEx>
          <w:tblCellMar>
            <w:top w:w="0" w:type="dxa"/>
            <w:left w:w="108" w:type="dxa"/>
            <w:bottom w:w="0" w:type="dxa"/>
            <w:right w:w="108" w:type="dxa"/>
          </w:tblCellMar>
        </w:tblPrEx>
        <w:trPr>
          <w:trHeight w:val="9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运营模式可自由选择常用条件，如事件类型、风险级别、攻击状态、规则ID、回放包ID、报文、CVE/CNNVD编号等；专业模式支持多语法组合查询，包含但不限于AND、OR、NOTIN、IN、==、!=，专业模式包含数据窃取、恶意文件投递、内部横向扩散等7种常用查询模版外，支持通过历史筛选条件新增自定义模版，方便后续查询使用</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支持对内网主机进行主机威胁分析，详细展示具体的威胁等级、威胁次数、攻击开始时间、攻击结束时间、威胁性指数统计等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可按攻击链阶段（弱点探测、渗透入侵、获取权限、命令与控制、数据盗取）详细展示主机相关事件数量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可根据不同威胁指数的主机实现攻击溯源和攻击过程的可视化分析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支持攻击路径可视化，直观展示攻击过程和扩散过程，可呈现从外向内、从内向外和内部之间的攻击事件</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通过挖矿专项分析场景，可快速获悉矿机外联通信行为TOP10、矿池访问次数TOP10、挖矿软件受害者TOP10，并可支持域名、多IP快速检索，可根据回连次数、矿机IP、首次发生时间、最近发生时间、回连状态等信息回溯相关挖矿行为的全生命周期活动；</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支持攻击者视角分析，能够快速获悉攻击者、被攻击者、成功事件数量。支持枚举攻击者的目标数量、攻击手段、攻击次数、攻击状态等信息，支持对任意攻击目标列表的展开查看详细信息。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支持受害者视角分析，能够快速获悉攻击者、被攻击者、成功事件数量。支持枚举受害者数量、攻击手段、攻击次数等，快速获悉受攻击资产的详细信息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从脆弱性角度，详细展示资产存在的弱口令、密码明文形式传输风险，以及自定义配置的特权账户是否存在弱口令风险</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支持导出资产IP、首次发生时间、最近一次发生时间等信息，便于威胁分析人员快速统计和上报资产脆弱性风险</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支持识别流量中的个人敏感信息，包括身份证、银行卡、手机号、港澳通行证等，并展示传输信息的协议、网站域名、URL、客户端IP、服务端IP，便于用户发现敏感信息的传输安全隐患和处置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可通过攻击源和目的的地理位置信息，以世界地图和中国地图的形式展示，并可切换世界地图和中国地图以直观展示攻击路径</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支持上传PCAP包进行回放分析，可查看每个数据包产生的告警数量和告警详细信息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支持将分析到的WEBSHELL攻击、木马回连和恶意攻击行为同步到WAF，实现APT深度威胁分析与WAF联动阻断</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支持集群模式线性扩展，无需安装额外的工具或软件，通过页面配置可快速完成分布式环境部署</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支持将分析到的恶意文件攻击行为同步到EDR，实现APT深度威胁分析与EDR联动查杀</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支持自定义与EDR联动的等待扫描时长，并将联动状态、样本执行结果、样本路径、EDR病毒木马扫描结果等同步到APT设备</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支持将分析到的SMB远程溢出攻击、扫描行为、Web后门访问、隧道通信、暴力破解、挖矿、远控工具利用等攻击成功事件同步到防火墙，实现APT深度威胁分析与防火墙联动阻断</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支持自定义防火墙阻断的风险告警类型，时长，并展示最新联动状态、状态更新时间</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支持查看阻断信息，阻断信息包括阻断IP、阻断开始时间、阻断结束时间、阻断状态等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支持自定义添加防火墙阻断IP白名单</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支持联动多台防火墙</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支持对流量大小进行监控，接入流量超过物理网络带宽上限时报警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支持对流量中的数据包、会话连接、重传包、网络报文等状态进行检测，可对业务网络流量传输异常告警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支持异常行为模型，可对流量中的各类数据包进行统计，并通过图表形式展示，便于用户分析网络流量健康状态，支持的数据包类型不少于5种</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Web攻击检测</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支持Websocket通信的HTTP、HTTPS（需要导入服务器私钥证书）协议解析，检测WEB攻击</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支持SQL注入、命令注入、跨站脚本、代码注入、WEB扫描或爬虫、网页篡改、系统/服务配置不当、SSRF攻击检测、XXE注入检测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支持通过智能语义分析引擎，对XSS跨站脚本、SQL注入攻击和OGNL注入攻击进行检测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支持通过智能语义分析引擎，检测JSP脚本文件上传和PHP脚本文件上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支持针对智能语义分析 SQL 注入和 XSS 注入产生的告警信息进行识别业务数据并进行过滤或告警</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包含30种以上的深度检测模块，可支持shiro反序列化、蚁剑、哥斯拉、冰蝎3.0、冰蝎4.0等检测能力，且能识别如shootback、TunnaProxy、dnscat2、reGeorg、reDuh、CobaltStrike等隧道通信工具</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支持WEBSHELL检测，可检测访问webshell的行为，包含具体对应的URL、返回码、返回数据包内容等，可显示一句话类webshell后门是否植入成功</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支持根据规则类型、协议、源IP/端口、目的IP/端口、流量方向、流量状态、风险类别、风险等级、风险阶段、攻击者、攻击状态、阈值、Flowbits、规则内容等自定义审计规则</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支持自定义配置旁路阻断规则，对于阻断效果较优的告警规则支持一键开启，实现阻断对应会话信息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自动关联行为分析的详细展现，包含SQL注入取数据、表单破解、XSS测试、目录穿越读取文件、多人访问Webshell、APT攻击等。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mail攻击检测</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支持解析webmail、SMTP、POP3、IMAP、SMTPS、POP3S、IMAPS（加密协议需要导入服务器私钥证书）类型报文</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对社工类攻击进行检测，检测内容包括：邮件头欺骗、邮件发件人欺骗、邮件钓鱼、邮件恶意链接</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支持邮件恶意附件行为检测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文件攻击检测</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 HTTP、FTP、SMB、SMTP、POP3、IMAP、NFS、TFTP、HTTPS、SMTPS、POP3S、IMAPS（加密协议需要导入服务器私钥证书）等协议传输文件检测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支持doc, xls, ppt, swf, pdf, rar, zip, rar, exe, vbs, scr、ps1、elf、mach-O、EML、MHT等多种文件解析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可添加或删除指定分离的文件类型，并可选择适用的协议类型（HTTP可进一步按GET、POST来配置）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支持自定义新增或批量导入恶意文件MD5值进行文件威胁检测，可配置内容包括文件MD5、恶意信息描述和参考链接</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支持手动上传文件样本进行威胁分析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支持批量上传文件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对文件进行特征匹配，利用已知的特征库发现恶意的可执行文件及非可执行文件。</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通过分析文件中的二进制代码，找到文件溢出攻击的代码，并能找到APT攻击中的0day攻击</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与国际领先的反病毒引擎深度结合，支持对文件的MD5值进行多引擎在线检测，检测结果中包括MD5、扫描时间、病毒引擎总数、引擎检出数、SHA1、SHA256和引擎检出列表</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病毒引擎总数多达75种</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对存在恶意行为的文件输出完整的二进制动态分析报告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动态执行可疑文件，分析代码的注册表、进程、网络、文件等行为，分析其安全风险</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对文件关键行为进行截图</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可展示文件中版本信息、段信息、资源信息、导入表、字符串信息、删除文件信息等内容</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可展示具体文件的行为，包括所有的注册表行为、进程行为、互斥量等信息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可显示文件运行过程中企图访问的IP、域名，以及域名及对应的IP</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支持沙箱逃逸检测，当恶意文件进行逃逸尝试，在沙箱报告中进行体现</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采用多并发沙箱检测技术，集成主流的操作系统winXP、win7、win10、linux等多种检测环境，拥有多项自主研发技术和专利。结合平台内置反病毒引擎和静态分析技术对恶意特征文件、文件漏洞、未知威胁等深度关联分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对文件内部嵌入的子文件可进行二次扫描，分析安全性</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文件MD5值相同时，支持自定义配置检测结果是否复用</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支持自定义配置是否识别压缩文件中子文件的真实格式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支持导入自定义YARA规则，可从静态文件和运行内存中检测文件威胁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支持单个规则或多个规则累加告警</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支持从规则状态、类型、等级、描述等方面进行自定义配置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支持自定义配置不同沙箱操作系统的超时时间和检测文件类型</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可以提取出攻击的完整样本文件，并提供对该文件下载的能力</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可展示威胁程度最高的文件样本MD5、威胁指数、传播次数，病毒检测、静态检测和动态检测结果等内容</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根据文件传播情况分析受感染主机、接受云端威胁情报、关键威胁行为可视化、回连主机host和完整沙箱分析报告</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根据云端威胁情报展示云端是否确认、传播协议类型、传播次数、云端确认结果等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支持提取恶意文件在沙箱虚拟机中运行时回连的域名和IP，并支持将回连域名和IP添加进威胁情报</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失陷主机检测</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具备DNS协议分析能力，发现受感染主机、危害程度、被感染病毒类型、回连C&amp;C域名、DNS返回详情、恶意主机明细等行为。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具备DNS重绑定攻击检测能力，分析域名与IP地址间的获取关系，并记录DNS解析返回的多个IP与时间</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支持根据威胁情报、DGA域名请求、IDS规则、用户配置数据，发现被远程控制的内部主机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具备DNS协议解析功能，发现发起DGA域名请求的失陷主机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可发现利用失陷主机挖矿的行为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可发现隐蔽信道搭建、通信连接建立、敏感数据内容传输、通讯应答等可疑行为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支持以失陷主机维度进行分析，分析内容包括失陷主机IP、MAC地址、攻击类型、访问次数、攻击开始时间、攻击结束时间</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威胁情报与APT云端</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设备集成离线的高可用威胁情报库，支持离线环境下，根据威胁情报进行检测，增量威胁情报随策略升级包升级</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支持在告警详情页面直接查询与告警IP、域名相关的威胁情报，获取样本通信记录、情报画像等信息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支持自动从APT云端获取最新的威胁情报</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支持域名白名单同步云端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支持将本地恶意文件攻击的病毒类型等信息上传到APT云端，提升协同防御能力</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支持自动从APT云端更新软件版本和策略库</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支持从第三方FTP/SFTP等服务器进行软件版本和策略库更新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支持使用代理服务器访问云端；支持代理服务器认证</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抓包检测功能</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同时支持至少16个抓包任务抓包，每个抓包任务可配置抓包规则，按照IP、端口、协议等信息进行抓包，将抓取的原始流量包保存于本地以供后续分析和取证使用，</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每个抓包任务最大抓包500MB</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管理功能</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流量中的IP地址、端口等进行统计，快速识别未登记资产。可基于特定应用或服务对内部资产进行梳理（系统类型、IP、域名、端口等），查看资产端口暴露情况，特别是以非标端口提供的服务情况；可深入识别运行在资产上的设备类型、应用、服务信息详细情况（类型、版本、服务名称等）</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资产风险及健康度评估，支持对资产活跃程度分类，支持对资产分组，可配置资产IP所属的组织和网段，以展示资产层级关系。可自定义配置资产分组属性，包括但不限于资产等级、所属地理位置、内外网属性、单位地址、责任人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提供三权分立的用户管理能力：配置员、用户管理员、审计员相互独立，支持自定义管理用户权限和角色</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支持飞天诚信动态口令登录认证和管理功能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支持第三方Radius服务器认证登录和管理功能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支持配置可信IP和账号密码用于单点登录功能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支持自定义弱密码、暴力破解和密码明文形式传输等告警的密码查看权限</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支持根据需要对风险状态进行处理，包括处理中、处理完成、延迟处理、拒绝处理等至少四种选择模式，并支持对处理情况进行备注</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支持自定义NAT转换前的IP字段名和字段位置，最多支持5个，并支持对字段名进行优先级排序；可配置不会被NAT转换的代理服务器资产IP</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支持导入和导出代理IP/IP段的过滤串配置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产品内置的排错平台可对系统进行深度配置和排错，支持一键检测故障、配置核对、表分区检查、表检测、信息收集等功能。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支持在页面实时查看物理内存、共享内存、硬盘分区、硬盘I/O、监听端口、内存占用TOP10进程、CPU占用TOP10进程，无需登录后台，提高设备安全性</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支持自定义时间查询和导出设备内存、CPU、磁盘空间的使用状态日志</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支持对设备的CPU、内存等状态进行监控，可查看1个月内的系统资源数据，并通过折线图在界面中展示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根据不同的风险信息，提供风险分析和处置建议知识库；</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具备风险数据外送至第三方平台的能力，支持以KA**A、FTP、SFTP、SYSLOG数据接口输出风险信息</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具备元数据外送至第三方平台的能力，支持以KA**A、FTP、SFTP、SYSLOG数据接口输出审计信息、会话应用识别信息、会话应用流量统计信息、传输层流量统计、应用层统计信息、登录行为统计信息和文件检测信息</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元数据可按照服务器配置、发送配置、发送情况进行设置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KA**A外送方式中，可配置发送状态、主题、服务器列表、服务器响应、服务器版本、加密认证方式、是否需要压缩、字段名称禁用和启用等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支持自定义KA**A外送字段名称和启用状态，可灵活对接各类第三方平台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支持分离流量中的原始文件并通过KA**A方式发送原始文件和文件审计数据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支持根据流量方向选择发送的元数据，包括外网到外网、外网到内网，内网到外网、内网到内网流量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支持根据流量属性选择发送的元数据，包括是否发送白名单IP流量数据、非告警流量数据等</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支持自定义外送字段名称和值</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支持通过SNMP协议对设备的系统资源进行监控、通过SNMP-TRAP外发系统相关资源信息，至少包括内存、交换空间、CPU、系统分区、数据分区、探测器分区和入库缓冲分区等</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导航：支持大屏展示网络攻击态势，包括攻击地图、紧急事件数/总数、恶意文件数/扫描总数、风险趋势（高、中、低风险）、流量分析（吞吐量、HTTP流量、DNS流量）、高危风险类别排名、攻击源区域排名、紧急事件/高危事件，并支持全球地图、中国地图切换展示</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失陷主机：支持大屏展示失陷主机风险态势，包括失陷主机视角/横向攻击视角、失陷主机/黑客组织TOP5、风险类别排名、回连区域排名、失陷主机事件统计柱状图、最新事件、失陷主机数，支持实时数据自动刷新</w:t>
            </w:r>
          </w:p>
        </w:tc>
      </w:tr>
      <w:tr>
        <w:tblPrEx>
          <w:tblCellMar>
            <w:top w:w="0" w:type="dxa"/>
            <w:left w:w="108" w:type="dxa"/>
            <w:bottom w:w="0" w:type="dxa"/>
            <w:right w:w="108" w:type="dxa"/>
          </w:tblCellMar>
        </w:tblPrEx>
        <w:trPr>
          <w:trHeight w:val="9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攻击溯源：支持大屏展示风险较为严重的事件，并进行攻击溯源，包括攻击主机个数最多的情报事件TOP10、威胁情报告警类型分布、3D攻击关系图、威胁活动（弱点探测、渗透入侵、获取权限、命令与控制、数据盗取）；支持按IP搜索关联的攻击事件，包括攻击拓扑图、攻击者基本信息、被攻击者信息、攻击过程（攻击过程列表内容包括时间、攻击者、被攻击者、攻击链阶段、风险标签、攻击次数）</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日志报表</w:t>
            </w: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告警可详细展示风险级别、发生时间、告警名称、客户端IP、服务器IP、ATT&amp;CK矩阵、报文内容（URL、请求头、请求参数、请求内容）</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支持告警管理功能，可通过告警来源、IP分类等维度统计误报和漏报告警数据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支持语音告警播报功能，可自定义播报告警的风险类别、风险级别、攻击状态等，当发生对应风险信息时，联动导航页面弹出告警提示框并播报语音</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支持KA**A、短信、邮件、syslog、ftp、sftp、钉钉、企业微信等数据外送方式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KA**A、syslog、sftp和ftp外送方式支持配置多个服务器，分别发送不同业务数据</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支持对KA**A、syslog发送的风险信息进行AES、SM4加密传输</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KA**A服务器配置支持SASL认证和Kerberos认证；KA**A数据传输支持明文或SSL加密</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支持同时发送多人、单条发送、发送统计等高级告警功能；</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支持在线预览报表，以及WORD、PDF、HTML等格式导出</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设备内置多种维度的报表模版，可从外部攻击、内部主机、样本投递等维度生成报表，并支持自定义选择报表生成的时间范围、报表类型、报表格式</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支持批量导出报表及报表订阅功能，可自定义单位名称和Logo，报表订阅的时间纬度包括日报、周报、月报</w:t>
            </w:r>
          </w:p>
        </w:tc>
      </w:tr>
      <w:tr>
        <w:tblPrEx>
          <w:tblCellMar>
            <w:top w:w="0" w:type="dxa"/>
            <w:left w:w="108" w:type="dxa"/>
            <w:bottom w:w="0" w:type="dxa"/>
            <w:right w:w="108" w:type="dxa"/>
          </w:tblCellMar>
        </w:tblPrEx>
        <w:trPr>
          <w:trHeight w:val="62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审计数据保留策略应至少满足天数和百分比两个控制参数，支持web界面可配置，且恢复数据不影响正常的审计功能。对审计日志可自动备份并加密，无法通过撞库、混淆还原等方式解密，必须导入设备才能进行恢复查看，并可自动释放磁盘空间。</w:t>
            </w:r>
          </w:p>
        </w:tc>
      </w:tr>
      <w:tr>
        <w:tblPrEx>
          <w:tblCellMar>
            <w:top w:w="0" w:type="dxa"/>
            <w:left w:w="108" w:type="dxa"/>
            <w:bottom w:w="0" w:type="dxa"/>
            <w:right w:w="108" w:type="dxa"/>
          </w:tblCellMar>
        </w:tblPrEx>
        <w:trPr>
          <w:trHeight w:val="336"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1"/>
                <w:szCs w:val="21"/>
                <w:highlight w:val="none"/>
              </w:rPr>
            </w:pPr>
          </w:p>
        </w:tc>
        <w:tc>
          <w:tcPr>
            <w:tcW w:w="4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设备产生的数据重要程度至少分为3级，可自定义配置不同级别数据的清理比重</w:t>
            </w:r>
          </w:p>
        </w:tc>
      </w:tr>
    </w:tbl>
    <w:p>
      <w:pPr>
        <w:rPr>
          <w:rFonts w:hint="eastAsia" w:ascii="宋体" w:hAnsi="宋体" w:eastAsia="宋体" w:cs="宋体"/>
          <w:color w:val="auto"/>
          <w:sz w:val="21"/>
          <w:szCs w:val="21"/>
          <w:highlight w:val="none"/>
        </w:rPr>
      </w:pPr>
    </w:p>
    <w:p>
      <w:pPr>
        <w:pStyle w:val="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药品生产关键数据记录仪</w:t>
      </w:r>
    </w:p>
    <w:p>
      <w:pPr>
        <w:spacing w:line="360" w:lineRule="auto"/>
        <w:ind w:firstLine="420" w:firstLineChars="200"/>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药品安全智慧监管“黑匣子”是药品/医疗器械安全生产管理平台的配套一体化硬件设备，产品集节点温湿度采集、定位、震动告警、低电压告警、开锁告警（声音告警、短信告警）等功能，产品配置有节点温湿度传感器、触控显示屏、内外网连接网口、HDMI及USB接口，操作便利。通过本产品，授权相关人员可进行数据采集、开锁（开箱）、设备信息查询等交互操作。本项目中，药品生产关键数据记录仪将配套“黑匣子”基础软件，并结合实际业务需要对接药品生产企业“黑匣子”软件、药品流通企业“黑匣子”软件、化妆品生产企业“黑匣子”软件和医疗器械生产企业“黑匣子”软件。</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pct"/>
            <w:shd w:val="clear" w:color="auto" w:fill="BEBEBE"/>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功能名称</w:t>
            </w:r>
          </w:p>
        </w:tc>
        <w:tc>
          <w:tcPr>
            <w:tcW w:w="4032" w:type="pct"/>
            <w:shd w:val="clear" w:color="auto" w:fill="BEBEBE"/>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Hans"/>
              </w:rPr>
              <w:t>硬件</w:t>
            </w:r>
            <w:r>
              <w:rPr>
                <w:rFonts w:hint="eastAsia" w:ascii="宋体" w:hAnsi="宋体" w:eastAsia="宋体" w:cs="宋体"/>
                <w:b/>
                <w:color w:val="auto"/>
                <w:sz w:val="21"/>
                <w:szCs w:val="21"/>
                <w:highlight w:val="none"/>
              </w:rPr>
              <w:t>需求说明</w:t>
            </w:r>
            <w:r>
              <w:rPr>
                <w:rFonts w:hint="eastAsia" w:ascii="宋体" w:hAnsi="宋体" w:eastAsia="宋体" w:cs="宋体"/>
                <w:b/>
                <w:color w:val="auto"/>
                <w:sz w:val="21"/>
                <w:szCs w:val="21"/>
                <w:highlight w:val="none"/>
                <w:lang w:eastAsia="zh-Hans"/>
              </w:rPr>
              <w:t>及</w:t>
            </w:r>
            <w:r>
              <w:rPr>
                <w:rFonts w:hint="eastAsia" w:ascii="宋体" w:hAnsi="宋体" w:eastAsia="宋体" w:cs="宋体"/>
                <w:b/>
                <w:color w:val="auto"/>
                <w:sz w:val="21"/>
                <w:szCs w:val="21"/>
                <w:highlight w:val="none"/>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67" w:type="pct"/>
            <w:vMerge w:val="restart"/>
            <w:vAlign w:val="center"/>
          </w:tcPr>
          <w:p>
            <w:pPr>
              <w:spacing w:line="360" w:lineRule="auto"/>
              <w:jc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药品生产关键数据记录仪</w:t>
            </w: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处理器：≥ i7 9700（3.0～4.7GHz）12M缓存 8核8线程；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内存：≥  64GB DDR4 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Style w:val="155"/>
                <w:rFonts w:hint="eastAsia" w:ascii="宋体" w:hAnsi="宋体" w:eastAsia="宋体" w:cs="宋体"/>
                <w:color w:val="auto"/>
                <w:sz w:val="21"/>
                <w:szCs w:val="21"/>
                <w:highlight w:val="none"/>
                <w:lang w:bidi="ar"/>
              </w:rPr>
              <w:t>硬盘：</w:t>
            </w:r>
            <w:r>
              <w:rPr>
                <w:rFonts w:hint="eastAsia" w:ascii="宋体" w:hAnsi="宋体" w:eastAsia="宋体" w:cs="宋体"/>
                <w:color w:val="auto"/>
                <w:kern w:val="0"/>
                <w:sz w:val="21"/>
                <w:szCs w:val="21"/>
                <w:highlight w:val="none"/>
                <w:lang w:bidi="ar"/>
              </w:rPr>
              <w:t xml:space="preserve">≥  </w:t>
            </w:r>
            <w:r>
              <w:rPr>
                <w:rStyle w:val="155"/>
                <w:rFonts w:hint="eastAsia" w:ascii="宋体" w:hAnsi="宋体" w:eastAsia="宋体" w:cs="宋体"/>
                <w:color w:val="auto"/>
                <w:sz w:val="21"/>
                <w:szCs w:val="21"/>
                <w:highlight w:val="none"/>
                <w:lang w:bidi="ar"/>
              </w:rPr>
              <w:t>512GB 固态硬盘、2TB机械防振硬盘；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Style w:val="155"/>
                <w:rFonts w:hint="eastAsia" w:ascii="宋体" w:hAnsi="宋体" w:eastAsia="宋体" w:cs="宋体"/>
                <w:color w:val="auto"/>
                <w:sz w:val="21"/>
                <w:szCs w:val="21"/>
                <w:highlight w:val="none"/>
                <w:lang w:bidi="ar"/>
              </w:rPr>
              <w:t>声卡：5.1 环绕声；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Style w:val="155"/>
                <w:rFonts w:hint="eastAsia" w:ascii="宋体" w:hAnsi="宋体" w:eastAsia="宋体" w:cs="宋体"/>
                <w:color w:val="auto"/>
                <w:sz w:val="21"/>
                <w:szCs w:val="21"/>
                <w:highlight w:val="none"/>
                <w:lang w:bidi="ar"/>
              </w:rPr>
              <w:t>网络：双千兆有线 + 1.73G双频无线 + 蓝牙5.1；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Style w:val="155"/>
                <w:rFonts w:hint="eastAsia" w:ascii="宋体" w:hAnsi="宋体" w:eastAsia="宋体" w:cs="宋体"/>
                <w:color w:val="auto"/>
                <w:sz w:val="21"/>
                <w:szCs w:val="21"/>
                <w:highlight w:val="none"/>
                <w:lang w:bidi="ar"/>
              </w:rPr>
              <w:t>接入电网：AC 200V～240V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硬件主体</w:t>
            </w:r>
            <w:r>
              <w:rPr>
                <w:rFonts w:hint="eastAsia" w:ascii="宋体" w:hAnsi="宋体" w:eastAsia="宋体" w:cs="宋体"/>
                <w:color w:val="auto"/>
                <w:kern w:val="0"/>
                <w:sz w:val="21"/>
                <w:szCs w:val="21"/>
                <w:highlight w:val="none"/>
                <w:lang w:bidi="ar"/>
              </w:rPr>
              <w:t>尺寸：340*430*180mm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w:t>
            </w:r>
            <w:r>
              <w:rPr>
                <w:rStyle w:val="42"/>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bidi="ar"/>
              </w:rPr>
              <w:t>≥ 1个 USB接口输出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 xml:space="preserve">▲ </w:t>
            </w:r>
            <w:r>
              <w:rPr>
                <w:rFonts w:hint="eastAsia" w:ascii="宋体" w:hAnsi="宋体" w:eastAsia="宋体" w:cs="宋体"/>
                <w:color w:val="auto"/>
                <w:kern w:val="0"/>
                <w:sz w:val="21"/>
                <w:szCs w:val="21"/>
                <w:highlight w:val="none"/>
                <w:lang w:bidi="ar"/>
              </w:rPr>
              <w:t>≥ 2个千兆网口输出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 xml:space="preserve">▲ </w:t>
            </w:r>
            <w:r>
              <w:rPr>
                <w:rFonts w:hint="eastAsia" w:ascii="宋体" w:hAnsi="宋体" w:eastAsia="宋体" w:cs="宋体"/>
                <w:color w:val="auto"/>
                <w:kern w:val="0"/>
                <w:sz w:val="21"/>
                <w:szCs w:val="21"/>
                <w:highlight w:val="none"/>
                <w:lang w:bidi="ar"/>
              </w:rPr>
              <w:t>≥ 1个HDMI接口输出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eastAsia="zh-Hans" w:bidi="ar"/>
              </w:rPr>
              <w:t>硬件设备的</w:t>
            </w:r>
            <w:r>
              <w:rPr>
                <w:rFonts w:hint="eastAsia" w:ascii="宋体" w:hAnsi="宋体" w:eastAsia="宋体" w:cs="宋体"/>
                <w:color w:val="auto"/>
                <w:kern w:val="0"/>
                <w:sz w:val="21"/>
                <w:szCs w:val="21"/>
                <w:highlight w:val="none"/>
                <w:lang w:bidi="ar"/>
              </w:rPr>
              <w:t>工作温度：-20～70℃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eastAsia="zh-Hans" w:bidi="ar"/>
              </w:rPr>
              <w:t>硬件设备的工</w:t>
            </w:r>
            <w:r>
              <w:rPr>
                <w:rFonts w:hint="eastAsia" w:ascii="宋体" w:hAnsi="宋体" w:eastAsia="宋体" w:cs="宋体"/>
                <w:color w:val="auto"/>
                <w:kern w:val="0"/>
                <w:sz w:val="21"/>
                <w:szCs w:val="21"/>
                <w:highlight w:val="none"/>
                <w:lang w:bidi="ar"/>
              </w:rPr>
              <w:t>作湿度：10～90%RH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TFT液晶屏：触摸、翻页菜单和开机动画等功能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TFT液晶屏分辨率：1024 x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TFT液晶屏颜色：24位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TFT液晶屏大小：7英寸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时间显示：万年历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工作小时计：0～999999.9小时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异常故障记录：≥ 500条（时间、地点和事件）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GPS定位功能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Hans" w:bidi="ar"/>
              </w:rPr>
              <w:t>支</w:t>
            </w:r>
            <w:r>
              <w:rPr>
                <w:rFonts w:hint="eastAsia" w:ascii="宋体" w:hAnsi="宋体" w:eastAsia="宋体" w:cs="宋体"/>
                <w:color w:val="auto"/>
                <w:kern w:val="0"/>
                <w:sz w:val="21"/>
                <w:szCs w:val="21"/>
                <w:highlight w:val="none"/>
                <w:lang w:bidi="ar"/>
              </w:rPr>
              <w:t>持通过电脑软件控制调试设备输入增益等参数，支持调试参数保存，前面板无任何物理旋钮，有效防止人为误操作；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支持断电自动保护记忆功能；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67" w:type="pct"/>
            <w:vMerge w:val="restart"/>
            <w:vAlign w:val="center"/>
          </w:tcPr>
          <w:p>
            <w:pPr>
              <w:spacing w:line="360" w:lineRule="auto"/>
              <w:jc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物联网模块参数</w:t>
            </w: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传感器节点：最多可以达100个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传感器节点温度误差：+/-0.5℃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传感器节点湿度误差：+/-2%RH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传感器节点温度显示分辨率：0.1℃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传感器节点湿度显示分辨率：0.1%RH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kern w:val="0"/>
                <w:sz w:val="21"/>
                <w:szCs w:val="21"/>
                <w:highlight w:val="none"/>
                <w:lang w:bidi="ar"/>
              </w:rPr>
              <w:t>传感器节点和黑匣子无线传输最远距离：5000米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967" w:type="pct"/>
            <w:vMerge w:val="restart"/>
            <w:vAlign w:val="center"/>
          </w:tcPr>
          <w:p>
            <w:pPr>
              <w:spacing w:line="360" w:lineRule="auto"/>
              <w:jc w:val="center"/>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lang w:eastAsia="zh-Hans"/>
              </w:rPr>
              <w:t>功能参数</w:t>
            </w: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节点通过温度传感器采集，通过无线传输，把温度传输到主控显示。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主控自带GPS定位传感器，出现设备异常保存日志的时候会把当时的经纬度保存。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当设备被异常震动的时候，会蜂鸣器发出鸣叫的声音。</w:t>
            </w:r>
            <w:r>
              <w:rPr>
                <w:rFonts w:hint="eastAsia" w:ascii="宋体" w:hAnsi="宋体" w:eastAsia="宋体" w:cs="宋体"/>
                <w:color w:val="auto"/>
                <w:kern w:val="0"/>
                <w:sz w:val="21"/>
                <w:szCs w:val="21"/>
                <w:highlight w:val="none"/>
                <w:lang w:eastAsia="zh-Hans" w:bidi="ar"/>
              </w:rPr>
              <w:t>（</w:t>
            </w:r>
            <w:r>
              <w:rPr>
                <w:rStyle w:val="145"/>
                <w:rFonts w:hint="eastAsia" w:ascii="宋体" w:hAnsi="宋体" w:eastAsia="宋体" w:cs="宋体"/>
                <w:color w:val="auto"/>
                <w:sz w:val="21"/>
                <w:szCs w:val="21"/>
                <w:highlight w:val="none"/>
                <w:lang w:bidi="ar"/>
              </w:rPr>
              <w:t>投标人需提供权威检测机构出具的检测报告复印件，检测报告中需体现此功能</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设备内部装有温度传感器，实时检测设备内部温度，并显示</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设备上电开始计时，并实时保存数据，掉电</w:t>
            </w:r>
            <w:r>
              <w:rPr>
                <w:rFonts w:hint="eastAsia" w:ascii="宋体" w:hAnsi="宋体" w:eastAsia="宋体" w:cs="宋体"/>
                <w:color w:val="auto"/>
                <w:kern w:val="0"/>
                <w:sz w:val="21"/>
                <w:szCs w:val="21"/>
                <w:highlight w:val="none"/>
                <w:lang w:eastAsia="zh-Hans" w:bidi="ar"/>
              </w:rPr>
              <w:t>及时</w:t>
            </w:r>
            <w:r>
              <w:rPr>
                <w:rFonts w:hint="eastAsia" w:ascii="宋体" w:hAnsi="宋体" w:eastAsia="宋体" w:cs="宋体"/>
                <w:color w:val="auto"/>
                <w:kern w:val="0"/>
                <w:sz w:val="21"/>
                <w:szCs w:val="21"/>
                <w:highlight w:val="none"/>
                <w:lang w:bidi="ar"/>
              </w:rPr>
              <w:t>保存数据,单位小时。</w:t>
            </w:r>
            <w:r>
              <w:rPr>
                <w:rFonts w:hint="eastAsia" w:ascii="宋体" w:hAnsi="宋体" w:eastAsia="宋体" w:cs="宋体"/>
                <w:color w:val="auto"/>
                <w:kern w:val="0"/>
                <w:sz w:val="21"/>
                <w:szCs w:val="21"/>
                <w:highlight w:val="none"/>
                <w:lang w:eastAsia="zh-Hans" w:bidi="ar"/>
              </w:rPr>
              <w:t>（</w:t>
            </w:r>
            <w:r>
              <w:rPr>
                <w:rStyle w:val="145"/>
                <w:rFonts w:hint="eastAsia" w:ascii="宋体" w:hAnsi="宋体" w:eastAsia="宋体" w:cs="宋体"/>
                <w:color w:val="auto"/>
                <w:sz w:val="21"/>
                <w:szCs w:val="21"/>
                <w:highlight w:val="none"/>
                <w:lang w:bidi="ar"/>
              </w:rPr>
              <w:t>投标人需提供权威检测机构出具的检测报告复印件，检测报告中需体现此功能</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设备被移动，或者电压低，人行为异常等异常情况会被记录保存，包含时间、经纬度和事件，可以再液晶屏上查看。</w:t>
            </w:r>
            <w:r>
              <w:rPr>
                <w:rFonts w:hint="eastAsia" w:ascii="宋体" w:hAnsi="宋体" w:eastAsia="宋体" w:cs="宋体"/>
                <w:color w:val="auto"/>
                <w:kern w:val="0"/>
                <w:sz w:val="21"/>
                <w:szCs w:val="21"/>
                <w:highlight w:val="none"/>
                <w:lang w:eastAsia="zh-Hans" w:bidi="ar"/>
              </w:rPr>
              <w:t>（</w:t>
            </w:r>
            <w:r>
              <w:rPr>
                <w:rStyle w:val="145"/>
                <w:rFonts w:hint="eastAsia" w:ascii="宋体" w:hAnsi="宋体" w:eastAsia="宋体" w:cs="宋体"/>
                <w:color w:val="auto"/>
                <w:sz w:val="21"/>
                <w:szCs w:val="21"/>
                <w:highlight w:val="none"/>
                <w:lang w:bidi="ar"/>
              </w:rPr>
              <w:t>投标人需提供权威检测机构出具的检测报告复印件，检测报告中需体现此功能</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检测穿白色，红色，绿色，黑色上衣的为合格，否则会被异常记录，并把信息传给主控</w:t>
            </w:r>
            <w:r>
              <w:rPr>
                <w:rFonts w:hint="eastAsia" w:ascii="宋体" w:hAnsi="宋体" w:eastAsia="宋体" w:cs="宋体"/>
                <w:color w:val="auto"/>
                <w:kern w:val="0"/>
                <w:sz w:val="21"/>
                <w:szCs w:val="21"/>
                <w:highlight w:val="none"/>
                <w:lang w:eastAsia="zh-Hans" w:bidi="ar"/>
              </w:rPr>
              <w:t>。（</w:t>
            </w:r>
            <w:r>
              <w:rPr>
                <w:rStyle w:val="145"/>
                <w:rFonts w:hint="eastAsia" w:ascii="宋体" w:hAnsi="宋体" w:eastAsia="宋体" w:cs="宋体"/>
                <w:color w:val="auto"/>
                <w:sz w:val="21"/>
                <w:szCs w:val="21"/>
                <w:highlight w:val="none"/>
                <w:lang w:bidi="ar"/>
              </w:rPr>
              <w:t>投标人需提供权威检测机构出具的检测报告复印件，检测报告中需体现此功能</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戴帽</w:t>
            </w:r>
            <w:r>
              <w:rPr>
                <w:rFonts w:hint="eastAsia" w:ascii="宋体" w:hAnsi="宋体" w:eastAsia="宋体" w:cs="宋体"/>
                <w:color w:val="auto"/>
                <w:kern w:val="0"/>
                <w:sz w:val="21"/>
                <w:szCs w:val="21"/>
                <w:highlight w:val="none"/>
                <w:lang w:eastAsia="zh-Hans" w:bidi="ar"/>
              </w:rPr>
              <w:t>行为检测</w:t>
            </w:r>
            <w:r>
              <w:rPr>
                <w:rFonts w:hint="eastAsia" w:ascii="宋体" w:hAnsi="宋体" w:eastAsia="宋体" w:cs="宋体"/>
                <w:color w:val="auto"/>
                <w:kern w:val="0"/>
                <w:sz w:val="21"/>
                <w:szCs w:val="21"/>
                <w:highlight w:val="none"/>
                <w:lang w:bidi="ar"/>
              </w:rPr>
              <w:t>，蓝色的帽子为合格，没有戴或者戴不同颜色帽子，会被异常记录，并把信息传给主控</w:t>
            </w:r>
            <w:r>
              <w:rPr>
                <w:rFonts w:hint="eastAsia" w:ascii="宋体" w:hAnsi="宋体" w:eastAsia="宋体" w:cs="宋体"/>
                <w:color w:val="auto"/>
                <w:kern w:val="0"/>
                <w:sz w:val="21"/>
                <w:szCs w:val="21"/>
                <w:highlight w:val="none"/>
                <w:lang w:eastAsia="zh-Hans" w:bidi="ar"/>
              </w:rPr>
              <w:t>。（</w:t>
            </w:r>
            <w:r>
              <w:rPr>
                <w:rStyle w:val="145"/>
                <w:rFonts w:hint="eastAsia" w:ascii="宋体" w:hAnsi="宋体" w:eastAsia="宋体" w:cs="宋体"/>
                <w:color w:val="auto"/>
                <w:sz w:val="21"/>
                <w:szCs w:val="21"/>
                <w:highlight w:val="none"/>
                <w:lang w:bidi="ar"/>
              </w:rPr>
              <w:t>投标人需提供权威检测机构出具的检测报告复印件，检测报告中需体现此功能</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主控和传感器节点之间数据传输采用lora无线技术，实现无线布点</w:t>
            </w:r>
            <w:r>
              <w:rPr>
                <w:rFonts w:hint="eastAsia" w:ascii="宋体" w:hAnsi="宋体" w:eastAsia="宋体" w:cs="宋体"/>
                <w:color w:val="auto"/>
                <w:kern w:val="0"/>
                <w:sz w:val="21"/>
                <w:szCs w:val="21"/>
                <w:highlight w:val="none"/>
                <w:lang w:eastAsia="zh-Hans" w:bidi="ar"/>
              </w:rPr>
              <w:t>。（</w:t>
            </w:r>
            <w:r>
              <w:rPr>
                <w:rStyle w:val="145"/>
                <w:rFonts w:hint="eastAsia" w:ascii="宋体" w:hAnsi="宋体" w:eastAsia="宋体" w:cs="宋体"/>
                <w:color w:val="auto"/>
                <w:sz w:val="21"/>
                <w:szCs w:val="21"/>
                <w:highlight w:val="none"/>
                <w:lang w:bidi="ar"/>
              </w:rPr>
              <w:t>投标人需提供权威检测机构出具的检测报告复印件，检测报告中需体现此功能</w:t>
            </w:r>
            <w:r>
              <w:rPr>
                <w:rFonts w:hint="eastAsia" w:ascii="宋体" w:hAnsi="宋体" w:eastAsia="宋体" w:cs="宋体"/>
                <w:color w:val="auto"/>
                <w:kern w:val="0"/>
                <w:sz w:val="21"/>
                <w:szCs w:val="21"/>
                <w:highlight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967" w:type="pct"/>
            <w:vMerge w:val="continue"/>
          </w:tcPr>
          <w:p>
            <w:pPr>
              <w:spacing w:line="360" w:lineRule="auto"/>
              <w:jc w:val="center"/>
              <w:rPr>
                <w:rFonts w:hint="eastAsia" w:ascii="宋体" w:hAnsi="宋体" w:eastAsia="宋体" w:cs="宋体"/>
                <w:color w:val="auto"/>
                <w:sz w:val="21"/>
                <w:szCs w:val="21"/>
                <w:highlight w:val="none"/>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TFT液晶显示时钟，工作小时计，日志，LOGO和指示灯等，可以实现触摸选择菜单页面和滑动选择菜单页面。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exact"/>
        </w:trPr>
        <w:tc>
          <w:tcPr>
            <w:tcW w:w="967" w:type="pct"/>
            <w:vMerge w:val="restart"/>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eastAsia="zh-Hans" w:bidi="ar"/>
              </w:rPr>
              <w:t>关键过程汇集服务</w:t>
            </w:r>
          </w:p>
        </w:tc>
        <w:tc>
          <w:tcPr>
            <w:tcW w:w="4032" w:type="pct"/>
            <w:vAlign w:val="center"/>
          </w:tcPr>
          <w:p>
            <w:pPr>
              <w:pStyle w:val="18"/>
              <w:spacing w:line="240" w:lineRule="auto"/>
              <w:ind w:firstLine="0"/>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bidi="ar"/>
              </w:rPr>
              <w:t>建设</w:t>
            </w:r>
            <w:r>
              <w:rPr>
                <w:rFonts w:hint="eastAsia" w:ascii="宋体" w:hAnsi="宋体" w:eastAsia="宋体" w:cs="宋体"/>
                <w:color w:val="auto"/>
                <w:kern w:val="0"/>
                <w:sz w:val="21"/>
                <w:szCs w:val="21"/>
                <w:highlight w:val="none"/>
                <w:lang w:val="en-US" w:eastAsia="zh-Hans" w:bidi="ar"/>
              </w:rPr>
              <w:t>“两品一械”生产流通过程中的关键节点数据的动态采集及接入</w:t>
            </w:r>
            <w:r>
              <w:rPr>
                <w:rFonts w:hint="eastAsia" w:ascii="宋体" w:hAnsi="宋体" w:eastAsia="宋体" w:cs="宋体"/>
                <w:color w:val="auto"/>
                <w:kern w:val="0"/>
                <w:sz w:val="21"/>
                <w:szCs w:val="21"/>
                <w:highlight w:val="none"/>
                <w:lang w:val="en-US" w:bidi="ar"/>
              </w:rPr>
              <w:t>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967" w:type="pct"/>
            <w:vMerge w:val="continue"/>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p>
        </w:tc>
        <w:tc>
          <w:tcPr>
            <w:tcW w:w="4032" w:type="pct"/>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使用大数据工具汇聚已有的数据，并且针对已有的数据进行清洗，为各业务提供业务指标数据。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trPr>
        <w:tc>
          <w:tcPr>
            <w:tcW w:w="967" w:type="pct"/>
            <w:vMerge w:val="continue"/>
          </w:tcPr>
          <w:p>
            <w:pPr>
              <w:widowControl/>
              <w:spacing w:line="360" w:lineRule="auto"/>
              <w:jc w:val="center"/>
              <w:textAlignment w:val="center"/>
              <w:rPr>
                <w:rFonts w:hint="eastAsia" w:ascii="宋体" w:hAnsi="宋体" w:eastAsia="宋体" w:cs="宋体"/>
                <w:color w:val="auto"/>
                <w:kern w:val="0"/>
                <w:sz w:val="21"/>
                <w:szCs w:val="21"/>
                <w:highlight w:val="none"/>
                <w:lang w:bidi="ar"/>
              </w:rPr>
            </w:pPr>
          </w:p>
        </w:tc>
        <w:tc>
          <w:tcPr>
            <w:tcW w:w="0" w:type="auto"/>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实现对</w:t>
            </w:r>
            <w:r>
              <w:rPr>
                <w:rFonts w:hint="eastAsia" w:ascii="宋体" w:hAnsi="宋体" w:eastAsia="宋体" w:cs="宋体"/>
                <w:color w:val="auto"/>
                <w:kern w:val="0"/>
                <w:sz w:val="21"/>
                <w:szCs w:val="21"/>
                <w:highlight w:val="none"/>
                <w:lang w:eastAsia="zh-Hans" w:bidi="ar"/>
              </w:rPr>
              <w:t>“两品一械”生产流通</w:t>
            </w:r>
            <w:r>
              <w:rPr>
                <w:rFonts w:hint="eastAsia" w:ascii="宋体" w:hAnsi="宋体" w:eastAsia="宋体" w:cs="宋体"/>
                <w:color w:val="auto"/>
                <w:kern w:val="0"/>
                <w:sz w:val="21"/>
                <w:szCs w:val="21"/>
                <w:highlight w:val="none"/>
                <w:lang w:bidi="ar"/>
              </w:rPr>
              <w:t>企业监管中所涉及到的种类繁多的数据、设备数据以及状态进行数据归集。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trPr>
        <w:tc>
          <w:tcPr>
            <w:tcW w:w="967" w:type="pct"/>
            <w:vMerge w:val="continue"/>
          </w:tcPr>
          <w:p>
            <w:pPr>
              <w:widowControl/>
              <w:spacing w:line="360" w:lineRule="auto"/>
              <w:jc w:val="center"/>
              <w:textAlignment w:val="center"/>
              <w:rPr>
                <w:rFonts w:hint="eastAsia" w:ascii="宋体" w:hAnsi="宋体" w:eastAsia="宋体" w:cs="宋体"/>
                <w:color w:val="auto"/>
                <w:kern w:val="0"/>
                <w:sz w:val="21"/>
                <w:szCs w:val="21"/>
                <w:highlight w:val="none"/>
                <w:lang w:bidi="ar"/>
              </w:rPr>
            </w:pPr>
          </w:p>
        </w:tc>
        <w:tc>
          <w:tcPr>
            <w:tcW w:w="0" w:type="auto"/>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Hans" w:bidi="ar"/>
              </w:rPr>
              <w:t>并根据国家政策为监管员提供真实可靠的检验检测风险记录，避免抽检过程中的片面和过于主观的问题出现</w:t>
            </w:r>
            <w:r>
              <w:rPr>
                <w:rFonts w:hint="eastAsia" w:ascii="宋体" w:hAnsi="宋体" w:eastAsia="宋体" w:cs="宋体"/>
                <w:color w:val="auto"/>
                <w:kern w:val="0"/>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67" w:type="pct"/>
            <w:vMerge w:val="restart"/>
            <w:vAlign w:val="center"/>
          </w:tcPr>
          <w:p>
            <w:pPr>
              <w:widowControl/>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基础能力平台</w:t>
            </w:r>
          </w:p>
        </w:tc>
        <w:tc>
          <w:tcPr>
            <w:tcW w:w="0" w:type="auto"/>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提供</w:t>
            </w:r>
            <w:r>
              <w:rPr>
                <w:rFonts w:hint="eastAsia" w:ascii="宋体" w:hAnsi="宋体" w:eastAsia="宋体" w:cs="宋体"/>
                <w:color w:val="auto"/>
                <w:kern w:val="0"/>
                <w:sz w:val="21"/>
                <w:szCs w:val="21"/>
                <w:highlight w:val="none"/>
                <w:lang w:eastAsia="zh-Hans" w:bidi="ar"/>
              </w:rPr>
              <w:t>区块链对接、算法能力等为核心的能力集合</w:t>
            </w:r>
            <w:r>
              <w:rPr>
                <w:rFonts w:hint="eastAsia" w:ascii="宋体" w:hAnsi="宋体" w:eastAsia="宋体" w:cs="宋体"/>
                <w:color w:val="auto"/>
                <w:kern w:val="0"/>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967" w:type="pct"/>
            <w:vMerge w:val="continue"/>
          </w:tcPr>
          <w:p>
            <w:pPr>
              <w:widowControl/>
              <w:spacing w:line="360" w:lineRule="auto"/>
              <w:jc w:val="center"/>
              <w:textAlignment w:val="center"/>
              <w:rPr>
                <w:rFonts w:hint="eastAsia" w:ascii="宋体" w:hAnsi="宋体" w:eastAsia="宋体" w:cs="宋体"/>
                <w:color w:val="auto"/>
                <w:kern w:val="0"/>
                <w:sz w:val="21"/>
                <w:szCs w:val="21"/>
                <w:highlight w:val="none"/>
                <w:lang w:bidi="ar"/>
              </w:rPr>
            </w:pPr>
          </w:p>
        </w:tc>
        <w:tc>
          <w:tcPr>
            <w:tcW w:w="0" w:type="auto"/>
            <w:vAlign w:val="center"/>
          </w:tcPr>
          <w:p>
            <w:pPr>
              <w:widowControl/>
              <w:spacing w:line="360" w:lineRule="auto"/>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Hans" w:bidi="ar"/>
              </w:rPr>
              <w:t>通过对</w:t>
            </w:r>
            <w:r>
              <w:rPr>
                <w:rFonts w:hint="eastAsia" w:ascii="宋体" w:hAnsi="宋体" w:eastAsia="宋体" w:cs="宋体"/>
                <w:color w:val="auto"/>
                <w:kern w:val="0"/>
                <w:sz w:val="21"/>
                <w:szCs w:val="21"/>
                <w:highlight w:val="none"/>
                <w:lang w:bidi="ar"/>
              </w:rPr>
              <w:t>数据</w:t>
            </w:r>
            <w:r>
              <w:rPr>
                <w:rFonts w:hint="eastAsia" w:ascii="宋体" w:hAnsi="宋体" w:eastAsia="宋体" w:cs="宋体"/>
                <w:color w:val="auto"/>
                <w:kern w:val="0"/>
                <w:sz w:val="21"/>
                <w:szCs w:val="21"/>
                <w:highlight w:val="none"/>
                <w:lang w:eastAsia="zh-Hans" w:bidi="ar"/>
              </w:rPr>
              <w:t>校验算法、关键数据上链等能力的提炼</w:t>
            </w:r>
            <w:r>
              <w:rPr>
                <w:rFonts w:hint="eastAsia" w:ascii="宋体" w:hAnsi="宋体" w:eastAsia="宋体" w:cs="宋体"/>
                <w:color w:val="auto"/>
                <w:kern w:val="0"/>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967" w:type="pct"/>
            <w:vMerge w:val="continue"/>
          </w:tcPr>
          <w:p>
            <w:pPr>
              <w:widowControl/>
              <w:spacing w:line="360" w:lineRule="auto"/>
              <w:jc w:val="center"/>
              <w:textAlignment w:val="center"/>
              <w:rPr>
                <w:rFonts w:hint="eastAsia" w:ascii="宋体" w:hAnsi="宋体" w:eastAsia="宋体" w:cs="宋体"/>
                <w:color w:val="auto"/>
                <w:kern w:val="0"/>
                <w:sz w:val="21"/>
                <w:szCs w:val="21"/>
                <w:highlight w:val="none"/>
                <w:lang w:bidi="ar"/>
              </w:rPr>
            </w:pPr>
          </w:p>
        </w:tc>
        <w:tc>
          <w:tcPr>
            <w:tcW w:w="0" w:type="auto"/>
            <w:vAlign w:val="center"/>
          </w:tcPr>
          <w:p>
            <w:pPr>
              <w:widowControl/>
              <w:spacing w:line="360" w:lineRule="auto"/>
              <w:jc w:val="left"/>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bidi="ar"/>
              </w:rPr>
              <w:t>采集“黑匣子”白区数据，并且针对算法模型数据生成的预警以及违规记录进行展示。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0" w:type="auto"/>
            <w:vAlign w:val="center"/>
          </w:tcPr>
          <w:p>
            <w:pPr>
              <w:widowControl/>
              <w:spacing w:line="360" w:lineRule="auto"/>
              <w:jc w:val="center"/>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eastAsia="zh-Hans" w:bidi="ar"/>
              </w:rPr>
              <w:t>安全监管链上链服务</w:t>
            </w:r>
          </w:p>
        </w:tc>
        <w:tc>
          <w:tcPr>
            <w:tcW w:w="0" w:type="auto"/>
            <w:vAlign w:val="center"/>
          </w:tcPr>
          <w:p>
            <w:pPr>
              <w:widowControl/>
              <w:spacing w:line="360" w:lineRule="auto"/>
              <w:jc w:val="left"/>
              <w:textAlignment w:val="center"/>
              <w:rPr>
                <w:rFonts w:hint="eastAsia" w:ascii="宋体" w:hAnsi="宋体" w:eastAsia="宋体" w:cs="宋体"/>
                <w:color w:val="auto"/>
                <w:kern w:val="0"/>
                <w:sz w:val="21"/>
                <w:szCs w:val="21"/>
                <w:highlight w:val="none"/>
                <w:lang w:eastAsia="zh-Hans" w:bidi="ar"/>
              </w:rPr>
            </w:pPr>
            <w:r>
              <w:rPr>
                <w:rFonts w:hint="eastAsia" w:ascii="宋体" w:hAnsi="宋体" w:eastAsia="宋体" w:cs="宋体"/>
                <w:color w:val="auto"/>
                <w:kern w:val="0"/>
                <w:sz w:val="21"/>
                <w:szCs w:val="21"/>
                <w:highlight w:val="none"/>
                <w:lang w:eastAsia="zh-Hans" w:bidi="ar"/>
              </w:rPr>
              <w:t>将企业白区数据定时自动上链 ，确保数据安全、不可篡改、可进行溯源。</w:t>
            </w:r>
          </w:p>
        </w:tc>
      </w:tr>
    </w:tbl>
    <w:p>
      <w:pPr>
        <w:pStyle w:val="20"/>
        <w:spacing w:after="0" w:line="360" w:lineRule="auto"/>
        <w:ind w:left="0" w:leftChars="0" w:firstLine="420" w:firstLineChars="200"/>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highlight w:val="none"/>
          <w:lang w:eastAsia="zh-Hans"/>
        </w:rPr>
        <w:t>文件中带</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sz w:val="21"/>
          <w:szCs w:val="21"/>
          <w:highlight w:val="none"/>
          <w:lang w:eastAsia="zh-Hans"/>
        </w:rPr>
        <w:t>为实质性要求，投标人未响应或响应负偏离的为无效投标；</w:t>
      </w:r>
    </w:p>
    <w:p>
      <w:pPr>
        <w:pStyle w:val="3"/>
        <w:bidi w:val="0"/>
        <w:rPr>
          <w:rFonts w:hint="eastAsia" w:ascii="宋体" w:hAnsi="宋体" w:eastAsia="宋体" w:cs="宋体"/>
          <w:color w:val="auto"/>
          <w:sz w:val="21"/>
          <w:szCs w:val="21"/>
          <w:highlight w:val="none"/>
        </w:rPr>
      </w:pPr>
      <w:bookmarkStart w:id="113" w:name="_Toc18527"/>
      <w:bookmarkStart w:id="114" w:name="_Toc27527"/>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lang w:eastAsia="zh-Hans"/>
        </w:rPr>
        <w:t>实施要求</w:t>
      </w:r>
      <w:bookmarkEnd w:id="113"/>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bookmarkStart w:id="115" w:name="_Toc12162"/>
      <w:bookmarkStart w:id="116" w:name="_Toc354134913"/>
      <w:bookmarkStart w:id="117" w:name="_Toc352440398"/>
      <w:bookmarkStart w:id="118" w:name="_Toc354734618"/>
      <w:bookmarkStart w:id="119" w:name="_Toc353288193"/>
      <w:bookmarkStart w:id="120" w:name="_Toc238842624"/>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zh-CN"/>
        </w:rPr>
        <w:t>、提供7×24小时免费电话响应服务。</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中标方接到用户技术支持请求后，必须立即做出实质性响应。对于设备故障，必须在1小时内提出故障解决方案，2小时内恢复设备正常运行，若因设备故障不能在2小时内修复的，中标方需在4小时内提供相同型号（或高于该设备性能）的备机供用户方使用，从响应时间开始计算，软件故障12小时内恢复业务应用，硬件故障24小时内恢复业务应用。</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zh-CN"/>
        </w:rPr>
        <w:t>、服务期内，设备与系统故障必须由设备原厂商专业技术人员进行免费现场维修或更换，更换的设备或部件必须是来自设备原厂商的全新的不低于原设备档次的备件</w:t>
      </w:r>
      <w:bookmarkStart w:id="121" w:name="_Toc238842625"/>
      <w:r>
        <w:rPr>
          <w:rFonts w:hint="eastAsia" w:ascii="宋体" w:hAnsi="宋体" w:eastAsia="宋体" w:cs="宋体"/>
          <w:color w:val="auto"/>
          <w:sz w:val="21"/>
          <w:szCs w:val="21"/>
          <w:highlight w:val="none"/>
          <w:lang w:val="zh-CN"/>
        </w:rPr>
        <w:t>。</w:t>
      </w:r>
      <w:bookmarkEnd w:id="115"/>
      <w:bookmarkEnd w:id="116"/>
      <w:bookmarkEnd w:id="117"/>
      <w:bookmarkEnd w:id="118"/>
      <w:bookmarkEnd w:id="119"/>
      <w:bookmarkEnd w:id="120"/>
      <w:bookmarkEnd w:id="121"/>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投标人应提供远程技术支持和现场技术支持两种方式，技术服务包括故障排除、性能调优、技术咨询等，未尽售后服务内容包括服务响应时间、免费升级时限、服务优惠条件。</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zh-CN"/>
        </w:rPr>
        <w:t>为了保证本项目能按时高质的顺利完成，规避项目风险或将风险降至最低程度，应采取如下质量管理措施：</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.1建立强有力的项目领导小组和实施小组</w:t>
      </w:r>
      <w:r>
        <w:rPr>
          <w:rFonts w:hint="eastAsia" w:ascii="宋体" w:hAnsi="宋体" w:eastAsia="宋体" w:cs="宋体"/>
          <w:color w:val="auto"/>
          <w:sz w:val="21"/>
          <w:szCs w:val="21"/>
          <w:highlight w:val="none"/>
          <w:lang w:val="zh-CN" w:eastAsia="zh-Hans"/>
        </w:rPr>
        <w:t>负责对试点企业进行布点和安装</w:t>
      </w:r>
      <w:r>
        <w:rPr>
          <w:rFonts w:hint="eastAsia" w:ascii="宋体" w:hAnsi="宋体" w:eastAsia="宋体" w:cs="宋体"/>
          <w:color w:val="auto"/>
          <w:sz w:val="21"/>
          <w:szCs w:val="21"/>
          <w:highlight w:val="none"/>
          <w:lang w:val="zh-CN"/>
        </w:rPr>
        <w:t>，是确保本系统质量和成功实施的关键措施。</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2认真做好项目前期工作和实施计划。详尽全面的用户需求调研分析是系统实施的基础，先进实用的系统设计方案是系统实施的依据，一定要扎实做好需求调研分析以及系统设计工作，周密做好系统各阶段实施计划。</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.3确保</w:t>
      </w:r>
      <w:r>
        <w:rPr>
          <w:rFonts w:hint="eastAsia" w:ascii="宋体" w:hAnsi="宋体" w:eastAsia="宋体" w:cs="宋体"/>
          <w:color w:val="auto"/>
          <w:sz w:val="21"/>
          <w:szCs w:val="21"/>
          <w:highlight w:val="none"/>
          <w:lang w:val="zh-CN" w:eastAsia="zh-Hans"/>
        </w:rPr>
        <w:t>硬件设备中的</w:t>
      </w:r>
      <w:r>
        <w:rPr>
          <w:rFonts w:hint="eastAsia" w:ascii="宋体" w:hAnsi="宋体" w:eastAsia="宋体" w:cs="宋体"/>
          <w:color w:val="auto"/>
          <w:sz w:val="21"/>
          <w:szCs w:val="21"/>
          <w:highlight w:val="none"/>
          <w:lang w:val="zh-CN"/>
        </w:rPr>
        <w:t>数据的正确性与全面性。</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.4强化成果审查、测试工作。对系统各实施阶段产生的成果严格进行校审，对系统各功能模块进行严格测试，严把各阶段质量关，从而确保整个系统的高质量。</w:t>
      </w:r>
    </w:p>
    <w:p>
      <w:pPr>
        <w:autoSpaceDE w:val="0"/>
        <w:autoSpaceDN w:val="0"/>
        <w:adjustRightIn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.5建立项目质量管理体系，包括但不限于质量目标、质量指标、岗位责任、问题处理计划、质量评价、整改完善等内容。</w:t>
      </w:r>
    </w:p>
    <w:p>
      <w:pPr>
        <w:pStyle w:val="3"/>
        <w:snapToGrid w:val="0"/>
        <w:spacing w:before="0" w:after="0" w:line="360" w:lineRule="auto"/>
        <w:rPr>
          <w:rFonts w:hint="eastAsia" w:ascii="宋体" w:hAnsi="宋体" w:eastAsia="宋体" w:cs="宋体"/>
          <w:color w:val="auto"/>
          <w:sz w:val="21"/>
          <w:szCs w:val="21"/>
          <w:highlight w:val="none"/>
          <w:lang w:val="en-US" w:eastAsia="zh-CN"/>
        </w:rPr>
      </w:pPr>
      <w:bookmarkStart w:id="122" w:name="_Toc18531"/>
      <w:r>
        <w:rPr>
          <w:rFonts w:hint="eastAsia" w:ascii="宋体" w:hAnsi="宋体" w:eastAsia="宋体" w:cs="宋体"/>
          <w:color w:val="auto"/>
          <w:sz w:val="21"/>
          <w:szCs w:val="21"/>
          <w:highlight w:val="none"/>
          <w:lang w:val="en-US" w:eastAsia="zh-CN"/>
        </w:rPr>
        <w:t>四、其他要求</w:t>
      </w:r>
      <w:bookmarkEnd w:id="122"/>
    </w:p>
    <w:p>
      <w:pPr>
        <w:bidi w:val="0"/>
        <w:rPr>
          <w:rFonts w:hint="eastAsia"/>
          <w:b/>
          <w:bCs/>
          <w:color w:val="auto"/>
          <w:highlight w:val="none"/>
        </w:rPr>
      </w:pPr>
      <w:r>
        <w:rPr>
          <w:rFonts w:hint="eastAsia"/>
          <w:b/>
          <w:bCs/>
          <w:color w:val="auto"/>
          <w:highlight w:val="none"/>
          <w:lang w:val="en-US" w:eastAsia="zh-CN"/>
        </w:rPr>
        <w:t>（一）</w:t>
      </w:r>
      <w:r>
        <w:rPr>
          <w:rFonts w:hint="eastAsia"/>
          <w:b/>
          <w:bCs/>
          <w:color w:val="auto"/>
          <w:highlight w:val="none"/>
        </w:rPr>
        <w:t>知识产权要求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项目过程中所产生的技术成果（包括工程实施文档、技术诀窍、秘密信息、技术资料、采集或产生的数据等）的知识产权包括相关权益归采购人所有，未经同意，不得将涉及知识产权的技术秘密透露给第三方。中标供应商有不可争议的义务确保采购人依据本次采购所获得的知识产权不存在任何瑕疵并且可以不受限制地行使相关权利，包括各项延伸权利。</w:t>
      </w:r>
    </w:p>
    <w:p>
      <w:pPr>
        <w:bidi w:val="0"/>
        <w:rPr>
          <w:rFonts w:hint="eastAsia"/>
          <w:b/>
          <w:bCs/>
          <w:color w:val="auto"/>
          <w:highlight w:val="none"/>
        </w:rPr>
      </w:pPr>
      <w:r>
        <w:rPr>
          <w:rFonts w:hint="eastAsia"/>
          <w:b/>
          <w:bCs/>
          <w:color w:val="auto"/>
          <w:highlight w:val="none"/>
          <w:lang w:eastAsia="zh-CN"/>
        </w:rPr>
        <w:t>（</w:t>
      </w:r>
      <w:r>
        <w:rPr>
          <w:rFonts w:hint="eastAsia"/>
          <w:b/>
          <w:bCs/>
          <w:color w:val="auto"/>
          <w:highlight w:val="none"/>
          <w:lang w:val="en-US" w:eastAsia="zh-CN"/>
        </w:rPr>
        <w:t>二</w:t>
      </w:r>
      <w:r>
        <w:rPr>
          <w:rFonts w:hint="eastAsia"/>
          <w:b/>
          <w:bCs/>
          <w:color w:val="auto"/>
          <w:highlight w:val="none"/>
          <w:lang w:eastAsia="zh-CN"/>
        </w:rPr>
        <w:t>）</w:t>
      </w:r>
      <w:r>
        <w:rPr>
          <w:rFonts w:hint="eastAsia"/>
          <w:b/>
          <w:bCs/>
          <w:color w:val="auto"/>
          <w:highlight w:val="none"/>
        </w:rPr>
        <w:t>网络安全要求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供应商必须具备确保招标方信息系统网络和数据安全的技术能力和安全防护措施。中标供应商需做好项目关键数据岗位人员的背景预审，并按要求提交相关材料，进行背景审查，审查通过后签署相关保密协议或承诺，确保关键数据岗位人员的安全可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供应商在项目实施过程中必须按照《浙江省大数据发展管理局关于印发对政务信息系统建设运维企业开展网络和数据安全专项检查方案的通知》（浙数局发﹝2021﹞14号）的文件精神，严格落实网络和数据安全责任，遵守网络和数据安全管理各项要求和操作规范，确保采购人网络和数据安全。项目实施期间，如因中标供应商原因造成网络和数据安全事件的，采购人将追责问责，并按项目考核条款进行处罚。</w:t>
      </w:r>
    </w:p>
    <w:p>
      <w:pPr>
        <w:pStyle w:val="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具体要求如下：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(1)中标方应服从采购人的网络安全管理，配合采购人做好安全检测、安全防护、应急演练、漏洞修复等工作。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方建设过程中必须采用多层次的安全措施，包括身份认证、权限控制、数据加密等方面，具体采用的安全措施包括但不限于：应使用可信的平台/框架代码或第三方组件开发应用程序；应用程序访问数据库和服务器时应尽量使用最低权限；应用程序的输入输出需符合规范要求避免恶意字符的带入；应用程序需加强访问控制，严格校验相关权限，并对口令的配置进行复杂度校验；有文件上传功能的应用系统必须采用白名单进行文件类型的限制；使用HTTPS协议传输数据等各类安全防范机制和措施。中标方应在投标文件中专章对拟采取的安全措施进行说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系统上线试运行及免费运维期，若发现安全隐患，中标方须立即开展相关安全修复工作，如未在规定时间内完成修复或消除隐患或作出暂不修复说明的，逾期时间未超过1天，采购人可按照隐患数量，每个隐患扣除合同总金额的万分之一；逾期时间超过1天且未超过3天，采购人可按照隐患数量，每个隐患扣除合同总金额的万分之三；逾期时间超过3天，采购人可按照隐患数量，每个隐患扣除合同总金额的万分之十。若被发现其开发、维护的信息系统存在安全隐患和发生运维事故（网络安全、数据安全、运维安全等）造成服务质量下降或造成采购人被网络安全监管部门或上级部门通报批评，但系统运行总体正常的，采购人可扣除合同总金额的千分之五；被网络安全监管部门或上级部门通报批评的，且影响系统正常运行的，采购人可扣除合同总金额的千分之十；对系统运行造成严重影响的，如数据库数据丢失且无法恢复，采购人可扣除合同总金额的千分之十五，并保留进一步追究中标方相关责任的权利。</w:t>
      </w:r>
    </w:p>
    <w:p>
      <w:pPr>
        <w:bidi w:val="0"/>
        <w:rPr>
          <w:rFonts w:hint="eastAsia"/>
          <w:b/>
          <w:bCs/>
          <w:color w:val="auto"/>
          <w:highlight w:val="none"/>
        </w:rPr>
      </w:pPr>
      <w:r>
        <w:rPr>
          <w:rFonts w:hint="eastAsia"/>
          <w:b/>
          <w:bCs/>
          <w:color w:val="auto"/>
          <w:highlight w:val="none"/>
          <w:lang w:eastAsia="zh-CN"/>
        </w:rPr>
        <w:t>（</w:t>
      </w:r>
      <w:r>
        <w:rPr>
          <w:rFonts w:hint="eastAsia"/>
          <w:b/>
          <w:bCs/>
          <w:color w:val="auto"/>
          <w:highlight w:val="none"/>
          <w:lang w:val="en-US" w:eastAsia="zh-CN"/>
        </w:rPr>
        <w:t>三</w:t>
      </w:r>
      <w:r>
        <w:rPr>
          <w:rFonts w:hint="eastAsia"/>
          <w:b/>
          <w:bCs/>
          <w:color w:val="auto"/>
          <w:highlight w:val="none"/>
          <w:lang w:eastAsia="zh-CN"/>
        </w:rPr>
        <w:t>）</w:t>
      </w:r>
      <w:r>
        <w:rPr>
          <w:rFonts w:hint="eastAsia"/>
          <w:b/>
          <w:bCs/>
          <w:color w:val="auto"/>
          <w:highlight w:val="none"/>
        </w:rPr>
        <w:t>验收要求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1、项目分为初验和终验，中标人完成网络安全设备、数据记录仪的到货、安装和集成，通过测试后，采购人组织初步验收，初步验收通过并在系统试运行后无重大故障，整体项目内容完成后方可进行</w:t>
      </w:r>
      <w:r>
        <w:rPr>
          <w:rFonts w:hint="eastAsia" w:ascii="宋体" w:hAnsi="宋体" w:eastAsia="宋体" w:cs="宋体"/>
          <w:color w:val="auto"/>
          <w:sz w:val="21"/>
          <w:szCs w:val="21"/>
          <w:highlight w:val="none"/>
          <w:lang w:eastAsia="zh-Hans"/>
        </w:rPr>
        <w:t>项目</w:t>
      </w:r>
      <w:r>
        <w:rPr>
          <w:rFonts w:hint="eastAsia" w:ascii="宋体" w:hAnsi="宋体" w:eastAsia="宋体" w:cs="宋体"/>
          <w:color w:val="auto"/>
          <w:sz w:val="21"/>
          <w:szCs w:val="21"/>
          <w:highlight w:val="none"/>
        </w:rPr>
        <w:t>整体验收。</w:t>
      </w:r>
    </w:p>
    <w:p>
      <w:pPr>
        <w:widowControl/>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2、项目终验前，中标人必须提交包含不限于服务方案、服务报告、集成实施方案、集成实施报告、设备报审材料</w:t>
      </w:r>
      <w:r>
        <w:rPr>
          <w:rFonts w:hint="eastAsia" w:ascii="宋体" w:hAnsi="宋体" w:eastAsia="宋体" w:cs="宋体"/>
          <w:color w:val="auto"/>
          <w:sz w:val="21"/>
          <w:szCs w:val="21"/>
          <w:highlight w:val="none"/>
          <w:lang w:eastAsia="zh-Hans" w:bidi="ar"/>
        </w:rPr>
        <w:t>、硬件签收回执单</w:t>
      </w:r>
      <w:r>
        <w:rPr>
          <w:rFonts w:hint="eastAsia" w:ascii="宋体" w:hAnsi="宋体" w:eastAsia="宋体" w:cs="宋体"/>
          <w:color w:val="auto"/>
          <w:sz w:val="21"/>
          <w:szCs w:val="21"/>
          <w:highlight w:val="none"/>
        </w:rPr>
        <w:t>等</w:t>
      </w:r>
      <w:r>
        <w:rPr>
          <w:rFonts w:hint="eastAsia" w:ascii="宋体" w:hAnsi="宋体" w:eastAsia="宋体" w:cs="宋体"/>
          <w:color w:val="auto"/>
          <w:sz w:val="21"/>
          <w:szCs w:val="21"/>
          <w:highlight w:val="none"/>
          <w:lang w:eastAsia="zh-Hans"/>
        </w:rPr>
        <w:t>验收材料</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3、中标人对项目内的数据没有任何处置权和使用权。</w:t>
      </w:r>
    </w:p>
    <w:p>
      <w:pPr>
        <w:bidi w:val="0"/>
        <w:rPr>
          <w:rFonts w:hint="eastAsia" w:eastAsia="宋体" w:cs="Times New Roman"/>
          <w:b/>
          <w:bCs/>
          <w:color w:val="auto"/>
          <w:highlight w:val="none"/>
          <w:lang w:val="en-US" w:eastAsia="zh-CN"/>
        </w:rPr>
      </w:pPr>
      <w:r>
        <w:rPr>
          <w:rFonts w:hint="eastAsia" w:eastAsia="宋体" w:cs="Times New Roman"/>
          <w:b/>
          <w:bCs/>
          <w:color w:val="auto"/>
          <w:highlight w:val="none"/>
          <w:lang w:eastAsia="zh-CN"/>
        </w:rPr>
        <w:t>（</w:t>
      </w:r>
      <w:r>
        <w:rPr>
          <w:rFonts w:hint="eastAsia" w:eastAsia="宋体" w:cs="Times New Roman"/>
          <w:b/>
          <w:bCs/>
          <w:color w:val="auto"/>
          <w:highlight w:val="none"/>
          <w:lang w:val="en-US" w:eastAsia="zh-CN"/>
        </w:rPr>
        <w:t>四）其他服务要求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lang w:val="en-US" w:eastAsia="zh-CN"/>
        </w:rPr>
      </w:pPr>
      <w:bookmarkStart w:id="123" w:name="_Toc25516"/>
      <w:r>
        <w:rPr>
          <w:rFonts w:hint="eastAsia" w:ascii="宋体" w:hAnsi="宋体" w:eastAsia="宋体" w:cs="宋体"/>
          <w:color w:val="auto"/>
          <w:highlight w:val="none"/>
          <w:lang w:val="en-US" w:eastAsia="zh-CN"/>
        </w:rPr>
        <w:t>1.投标人拟派本项目服务团队应为投标人本单位在职人员；项目负责人应具有人社部门颁发的信息系统项目管理师(高级)、计算机或信息化相关专业副高及以上技术职称；项目技术负责人具有人社部门颁发系统分析师证书(高级)、人社部门颁发软件设计师证书(中级)；服务团队成员中核心工作人员不少于十名,在项目周期内提供设计、开发、测试、运营、培训、技术支持。项目组成员应具有人社部门颁发软件评测师(中级)、信息化相关专业副高及以上技术职称书的、人社部门颁发网络工程师(中级)、人社部门颁发系统集成项目管理工程师（中级），人社部门颁发信息系统项目管理师（高级）。</w:t>
      </w:r>
      <w:bookmarkEnd w:id="123"/>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lang w:val="en-US" w:eastAsia="zh-CN"/>
        </w:rPr>
      </w:pPr>
      <w:bookmarkStart w:id="124" w:name="_Toc24774"/>
      <w:r>
        <w:rPr>
          <w:rFonts w:hint="eastAsia" w:ascii="宋体" w:hAnsi="宋体" w:eastAsia="宋体" w:cs="宋体"/>
          <w:color w:val="auto"/>
          <w:highlight w:val="none"/>
          <w:lang w:val="en-US" w:eastAsia="zh-CN"/>
        </w:rPr>
        <w:t>2.投标人应提供针对建设质量目标、质量保证措施等内容的质量保障方案。</w:t>
      </w:r>
      <w:bookmarkEnd w:id="124"/>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lang w:val="en-US" w:eastAsia="zh-CN"/>
        </w:rPr>
      </w:pPr>
      <w:bookmarkStart w:id="125" w:name="_Toc22984"/>
      <w:r>
        <w:rPr>
          <w:rFonts w:hint="eastAsia" w:ascii="宋体" w:hAnsi="宋体" w:eastAsia="宋体" w:cs="宋体"/>
          <w:color w:val="auto"/>
          <w:highlight w:val="none"/>
          <w:lang w:val="en-US" w:eastAsia="zh-CN"/>
        </w:rPr>
        <w:t>3.投标人应提供对本项目背景、业务现状及分析、建设目标、内容的理解；</w:t>
      </w:r>
      <w:bookmarkEnd w:id="125"/>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color w:val="auto"/>
          <w:highlight w:val="none"/>
          <w:lang w:val="en-US" w:eastAsia="zh-CN"/>
        </w:rPr>
      </w:pPr>
      <w:bookmarkStart w:id="126" w:name="_Toc17987"/>
      <w:r>
        <w:rPr>
          <w:rFonts w:hint="eastAsia" w:ascii="宋体" w:hAnsi="宋体" w:eastAsia="宋体" w:cs="宋体"/>
          <w:color w:val="auto"/>
          <w:highlight w:val="none"/>
          <w:lang w:val="en-US" w:eastAsia="zh-CN"/>
        </w:rPr>
        <w:t>4.投标人应提供针对本标项建设目标、系统功能、总体功能设计、网络安全要求的总体方案。</w:t>
      </w:r>
      <w:bookmarkEnd w:id="126"/>
    </w:p>
    <w:p>
      <w:pPr>
        <w:pStyle w:val="3"/>
        <w:snapToGrid w:val="0"/>
        <w:spacing w:before="0" w:after="0" w:line="360" w:lineRule="auto"/>
        <w:rPr>
          <w:rFonts w:hint="eastAsia" w:ascii="宋体" w:hAnsi="宋体" w:eastAsia="宋体" w:cs="宋体"/>
          <w:color w:val="auto"/>
          <w:sz w:val="21"/>
          <w:szCs w:val="21"/>
          <w:highlight w:val="none"/>
          <w:lang w:val="en-US" w:eastAsia="zh-CN"/>
        </w:rPr>
      </w:pPr>
      <w:bookmarkStart w:id="127" w:name="_Toc16636"/>
      <w:r>
        <w:rPr>
          <w:rFonts w:hint="eastAsia" w:ascii="宋体" w:hAnsi="宋体" w:eastAsia="宋体" w:cs="宋体"/>
          <w:color w:val="auto"/>
          <w:sz w:val="21"/>
          <w:szCs w:val="21"/>
          <w:highlight w:val="none"/>
          <w:lang w:val="en-US" w:eastAsia="zh-CN"/>
        </w:rPr>
        <w:t>五、商务要求表</w:t>
      </w:r>
      <w:bookmarkEnd w:id="114"/>
      <w:bookmarkEnd w:id="127"/>
    </w:p>
    <w:bookmarkEnd w:id="105"/>
    <w:bookmarkEnd w:id="106"/>
    <w:tbl>
      <w:tblPr>
        <w:tblStyle w:val="37"/>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980" w:type="dxa"/>
            <w:gridSpan w:val="2"/>
            <w:vAlign w:val="center"/>
          </w:tcPr>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项目工期（交货期）及地点</w:t>
            </w:r>
          </w:p>
        </w:tc>
        <w:tc>
          <w:tcPr>
            <w:tcW w:w="6775"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服务地点：用户指定地点。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项目工期：合同签订后12个月</w:t>
            </w:r>
            <w:r>
              <w:rPr>
                <w:rFonts w:hint="eastAsia" w:ascii="宋体" w:hAnsi="宋体" w:eastAsia="宋体" w:cs="宋体"/>
                <w:color w:val="auto"/>
                <w:sz w:val="21"/>
                <w:szCs w:val="21"/>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980" w:type="dxa"/>
            <w:gridSpan w:val="2"/>
            <w:vAlign w:val="center"/>
          </w:tcPr>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付款条件</w:t>
            </w:r>
          </w:p>
        </w:tc>
        <w:tc>
          <w:tcPr>
            <w:tcW w:w="6775"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合同签订后7天内支付合同总额的50%，项目初验通过后支付合同总额的40%，项目验收通过后支付合同总额的10%。</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履约保证金：合同签订后7个工作日缴纳合同总额的1%。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75" w:type="dxa"/>
            <w:vMerge w:val="restart"/>
            <w:vAlign w:val="center"/>
          </w:tcPr>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售</w:t>
            </w:r>
          </w:p>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后</w:t>
            </w:r>
          </w:p>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w:t>
            </w:r>
          </w:p>
        </w:tc>
        <w:tc>
          <w:tcPr>
            <w:tcW w:w="1305" w:type="dxa"/>
            <w:vAlign w:val="center"/>
          </w:tcPr>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项目维护计划</w:t>
            </w:r>
          </w:p>
        </w:tc>
        <w:tc>
          <w:tcPr>
            <w:tcW w:w="6775"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w:t>
            </w:r>
            <w:r>
              <w:rPr>
                <w:rFonts w:hint="eastAsia" w:ascii="宋体" w:hAnsi="宋体" w:eastAsia="宋体" w:cs="宋体"/>
                <w:color w:val="auto"/>
                <w:sz w:val="21"/>
                <w:szCs w:val="21"/>
                <w:highlight w:val="none"/>
                <w:lang w:eastAsia="zh-Hans"/>
              </w:rPr>
              <w:t>硬件设备</w:t>
            </w:r>
            <w:r>
              <w:rPr>
                <w:rFonts w:hint="eastAsia" w:ascii="宋体" w:hAnsi="宋体" w:eastAsia="宋体" w:cs="宋体"/>
                <w:color w:val="auto"/>
                <w:sz w:val="21"/>
                <w:szCs w:val="21"/>
                <w:highlight w:val="none"/>
              </w:rPr>
              <w:t>免费质保期为3年，时间自项目验收合格并交付使用之日起计算；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（2）投标人应按其投标文件中的承诺，进行其他售后服务工作；（售后服务内容、要求和质保期限，对发生问题的处理意见，培训服务等要求）。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75" w:type="dxa"/>
            <w:vMerge w:val="continue"/>
            <w:vAlign w:val="center"/>
          </w:tcPr>
          <w:p>
            <w:pPr>
              <w:snapToGrid w:val="0"/>
              <w:spacing w:line="360" w:lineRule="auto"/>
              <w:jc w:val="left"/>
              <w:rPr>
                <w:rFonts w:hint="eastAsia" w:ascii="宋体" w:hAnsi="宋体" w:eastAsia="宋体" w:cs="宋体"/>
                <w:b/>
                <w:color w:val="auto"/>
                <w:sz w:val="21"/>
                <w:szCs w:val="21"/>
                <w:highlight w:val="none"/>
              </w:rPr>
            </w:pPr>
          </w:p>
        </w:tc>
        <w:tc>
          <w:tcPr>
            <w:tcW w:w="1305" w:type="dxa"/>
            <w:vAlign w:val="center"/>
          </w:tcPr>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c>
          <w:tcPr>
            <w:tcW w:w="6775"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为了确保采购人系统的不间断运行，中标人负责7×24小时系统维护服务（包含国家法定节假日），紧急故障问题中标人工程师要在15分钟内响应，1小时内到达现场解决，一般故障在2小时内解决。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5" w:type="dxa"/>
            <w:vMerge w:val="continue"/>
            <w:vAlign w:val="center"/>
          </w:tcPr>
          <w:p>
            <w:pPr>
              <w:snapToGrid w:val="0"/>
              <w:spacing w:line="360" w:lineRule="auto"/>
              <w:jc w:val="left"/>
              <w:rPr>
                <w:rFonts w:hint="eastAsia" w:ascii="宋体" w:hAnsi="宋体" w:eastAsia="宋体" w:cs="宋体"/>
                <w:b/>
                <w:color w:val="auto"/>
                <w:sz w:val="21"/>
                <w:szCs w:val="21"/>
                <w:highlight w:val="none"/>
              </w:rPr>
            </w:pPr>
          </w:p>
        </w:tc>
        <w:tc>
          <w:tcPr>
            <w:tcW w:w="1305" w:type="dxa"/>
            <w:vAlign w:val="center"/>
          </w:tcPr>
          <w:p>
            <w:pPr>
              <w:snapToGrid w:val="0"/>
              <w:spacing w:line="360" w:lineRule="auto"/>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技术培训</w:t>
            </w:r>
          </w:p>
        </w:tc>
        <w:tc>
          <w:tcPr>
            <w:tcW w:w="6775"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中标人提供现场培训，培训对象包括系统管理人员及维护人员。确保受训人员可以全面、熟练掌握</w:t>
            </w:r>
            <w:r>
              <w:rPr>
                <w:rFonts w:hint="eastAsia" w:ascii="宋体" w:hAnsi="宋体" w:eastAsia="宋体" w:cs="宋体"/>
                <w:color w:val="auto"/>
                <w:sz w:val="21"/>
                <w:szCs w:val="21"/>
                <w:highlight w:val="none"/>
                <w:lang w:eastAsia="zh-Hans"/>
              </w:rPr>
              <w:t>硬件</w:t>
            </w:r>
            <w:r>
              <w:rPr>
                <w:rFonts w:hint="eastAsia" w:ascii="宋体" w:hAnsi="宋体" w:eastAsia="宋体" w:cs="宋体"/>
                <w:color w:val="auto"/>
                <w:sz w:val="21"/>
                <w:szCs w:val="21"/>
                <w:highlight w:val="none"/>
              </w:rPr>
              <w:t>的使用方法和功能。</w:t>
            </w:r>
          </w:p>
        </w:tc>
      </w:tr>
    </w:tbl>
    <w:p>
      <w:pPr>
        <w:spacing w:line="360" w:lineRule="auto"/>
        <w:ind w:firstLine="420" w:firstLineChars="200"/>
        <w:rPr>
          <w:rFonts w:ascii="宋体" w:hAnsi="宋体"/>
          <w:color w:val="auto"/>
          <w:szCs w:val="21"/>
          <w:highlight w:val="none"/>
        </w:rPr>
      </w:pPr>
    </w:p>
    <w:p>
      <w:pPr>
        <w:rPr>
          <w:color w:val="auto"/>
          <w:szCs w:val="21"/>
          <w:highlight w:val="none"/>
        </w:rPr>
      </w:pPr>
    </w:p>
    <w:p>
      <w:pPr>
        <w:adjustRightInd w:val="0"/>
        <w:snapToGrid w:val="0"/>
        <w:spacing w:line="360" w:lineRule="auto"/>
        <w:ind w:firstLine="602" w:firstLineChars="200"/>
        <w:jc w:val="center"/>
        <w:outlineLvl w:val="0"/>
        <w:rPr>
          <w:rFonts w:hint="eastAsia" w:ascii="宋体" w:hAnsi="宋体" w:cs="宋体"/>
          <w:b/>
          <w:color w:val="auto"/>
          <w:sz w:val="30"/>
          <w:szCs w:val="30"/>
          <w:highlight w:val="none"/>
        </w:rPr>
        <w:sectPr>
          <w:pgSz w:w="11906" w:h="16838"/>
          <w:pgMar w:top="1440" w:right="1483" w:bottom="1440" w:left="1603" w:header="851" w:footer="992" w:gutter="0"/>
          <w:cols w:space="720" w:num="1"/>
          <w:formProt w:val="1"/>
          <w:docGrid w:type="lines" w:linePitch="332" w:charSpace="0"/>
        </w:sectPr>
      </w:pPr>
      <w:bookmarkStart w:id="128" w:name="_Toc19650"/>
      <w:bookmarkStart w:id="129" w:name="_Toc28188"/>
      <w:bookmarkStart w:id="130" w:name="_Toc23376"/>
      <w:bookmarkStart w:id="131" w:name="_Toc18058"/>
      <w:bookmarkStart w:id="132" w:name="_Toc242012824"/>
      <w:bookmarkStart w:id="133" w:name="_Toc17123"/>
    </w:p>
    <w:p>
      <w:pPr>
        <w:adjustRightInd w:val="0"/>
        <w:snapToGrid w:val="0"/>
        <w:spacing w:line="360" w:lineRule="auto"/>
        <w:ind w:firstLine="602" w:firstLineChars="200"/>
        <w:jc w:val="center"/>
        <w:outlineLvl w:val="0"/>
        <w:rPr>
          <w:rFonts w:ascii="宋体" w:hAnsi="宋体" w:cs="宋体"/>
          <w:color w:val="auto"/>
          <w:sz w:val="36"/>
          <w:highlight w:val="none"/>
        </w:rPr>
      </w:pPr>
      <w:bookmarkStart w:id="134" w:name="_Toc31811"/>
      <w:r>
        <w:rPr>
          <w:rFonts w:hint="eastAsia" w:ascii="宋体" w:hAnsi="宋体" w:cs="宋体"/>
          <w:b/>
          <w:color w:val="auto"/>
          <w:sz w:val="30"/>
          <w:szCs w:val="30"/>
          <w:highlight w:val="none"/>
        </w:rPr>
        <w:t>第四部分  合同主要条款</w:t>
      </w:r>
      <w:bookmarkEnd w:id="128"/>
      <w:bookmarkEnd w:id="129"/>
      <w:bookmarkEnd w:id="130"/>
      <w:bookmarkEnd w:id="131"/>
      <w:bookmarkEnd w:id="132"/>
      <w:bookmarkEnd w:id="133"/>
      <w:bookmarkEnd w:id="134"/>
    </w:p>
    <w:p>
      <w:pPr>
        <w:autoSpaceDE w:val="0"/>
        <w:autoSpaceDN w:val="0"/>
        <w:adjustRightInd w:val="0"/>
        <w:spacing w:line="360" w:lineRule="auto"/>
        <w:jc w:val="center"/>
        <w:rPr>
          <w:rFonts w:ascii="宋体" w:hAnsi="宋体" w:cs="宋体"/>
          <w:b/>
          <w:color w:val="auto"/>
          <w:szCs w:val="21"/>
          <w:highlight w:val="none"/>
        </w:rPr>
      </w:pPr>
      <w:bookmarkStart w:id="135" w:name="_Toc13754"/>
      <w:bookmarkStart w:id="136" w:name="_Toc249760790"/>
      <w:bookmarkStart w:id="137" w:name="_Toc3071"/>
      <w:bookmarkStart w:id="138" w:name="_Toc20497"/>
      <w:bookmarkStart w:id="139" w:name="_Toc2298"/>
      <w:bookmarkStart w:id="140" w:name="_Toc14349"/>
      <w:bookmarkStart w:id="141" w:name="_Toc251566661"/>
      <w:r>
        <w:rPr>
          <w:rFonts w:hint="eastAsia" w:ascii="宋体" w:hAnsi="宋体" w:cs="宋体"/>
          <w:b/>
          <w:color w:val="auto"/>
          <w:szCs w:val="21"/>
          <w:highlight w:val="none"/>
        </w:rPr>
        <w:t>（备注：以下仅提供合同主要条款，合同格式和具体条款在买卖双方签订合同时根据实际需求确定，正式合同文本以双方签字盖章的为准。）</w:t>
      </w:r>
    </w:p>
    <w:p>
      <w:pPr>
        <w:spacing w:line="360" w:lineRule="auto"/>
        <w:ind w:right="-185" w:rightChars="-88"/>
        <w:rPr>
          <w:rFonts w:ascii="宋体" w:hAnsi="宋体" w:cs="宋体"/>
          <w:color w:val="auto"/>
          <w:szCs w:val="21"/>
          <w:highlight w:val="none"/>
        </w:rPr>
      </w:pPr>
      <w:bookmarkStart w:id="142" w:name="_Hlk534720381"/>
      <w:bookmarkStart w:id="143" w:name="_Toc177870558"/>
      <w:r>
        <w:rPr>
          <w:rFonts w:hint="eastAsia" w:ascii="宋体" w:hAnsi="宋体" w:cs="宋体"/>
          <w:color w:val="auto"/>
          <w:szCs w:val="21"/>
          <w:highlight w:val="none"/>
        </w:rPr>
        <w:t xml:space="preserve">    </w:t>
      </w:r>
    </w:p>
    <w:bookmarkEnd w:id="142"/>
    <w:bookmarkEnd w:id="143"/>
    <w:p>
      <w:pPr>
        <w:spacing w:line="360" w:lineRule="auto"/>
        <w:ind w:right="-185" w:rightChars="-88"/>
        <w:rPr>
          <w:rFonts w:ascii="宋体" w:hAnsi="宋体" w:cs="宋体"/>
          <w:color w:val="auto"/>
          <w:szCs w:val="21"/>
          <w:highlight w:val="none"/>
        </w:rPr>
      </w:pPr>
      <w:r>
        <w:rPr>
          <w:rFonts w:hint="eastAsia" w:ascii="宋体" w:hAnsi="宋体" w:cs="宋体"/>
          <w:color w:val="auto"/>
          <w:szCs w:val="21"/>
          <w:highlight w:val="none"/>
        </w:rPr>
        <w:t xml:space="preserve">    </w:t>
      </w:r>
    </w:p>
    <w:p>
      <w:pPr>
        <w:pStyle w:val="17"/>
        <w:rPr>
          <w:rFonts w:ascii="宋体" w:hAnsi="宋体" w:cs="宋体"/>
          <w:color w:val="auto"/>
          <w:highlight w:val="none"/>
        </w:rPr>
      </w:pPr>
    </w:p>
    <w:p>
      <w:pPr>
        <w:adjustRightInd w:val="0"/>
        <w:snapToGrid w:val="0"/>
        <w:spacing w:line="360" w:lineRule="auto"/>
        <w:jc w:val="center"/>
        <w:rPr>
          <w:rFonts w:ascii="宋体" w:hAnsi="宋体" w:cs="宋体"/>
          <w:color w:val="auto"/>
          <w:sz w:val="56"/>
          <w:szCs w:val="56"/>
          <w:highlight w:val="none"/>
        </w:rPr>
      </w:pPr>
      <w:r>
        <w:rPr>
          <w:rFonts w:hint="eastAsia" w:ascii="宋体" w:hAnsi="宋体" w:cs="宋体"/>
          <w:color w:val="auto"/>
          <w:sz w:val="56"/>
          <w:szCs w:val="56"/>
          <w:highlight w:val="none"/>
        </w:rPr>
        <w:t>技术服务合同</w:t>
      </w:r>
    </w:p>
    <w:p>
      <w:pPr>
        <w:adjustRightInd w:val="0"/>
        <w:snapToGrid w:val="0"/>
        <w:spacing w:line="360" w:lineRule="auto"/>
        <w:jc w:val="center"/>
        <w:rPr>
          <w:rFonts w:ascii="宋体" w:hAnsi="宋体" w:cs="宋体"/>
          <w:color w:val="auto"/>
          <w:sz w:val="56"/>
          <w:szCs w:val="56"/>
          <w:highlight w:val="none"/>
        </w:rPr>
      </w:pPr>
    </w:p>
    <w:p>
      <w:pPr>
        <w:spacing w:line="360" w:lineRule="auto"/>
        <w:ind w:firstLine="1260" w:firstLineChars="450"/>
        <w:rPr>
          <w:rFonts w:ascii="宋体" w:hAnsi="宋体" w:cs="宋体"/>
          <w:color w:val="auto"/>
          <w:sz w:val="28"/>
          <w:szCs w:val="28"/>
          <w:highlight w:val="none"/>
          <w:u w:val="single"/>
        </w:rPr>
      </w:pPr>
      <w:r>
        <w:rPr>
          <w:rFonts w:hint="eastAsia" w:ascii="宋体" w:hAnsi="宋体" w:cs="宋体"/>
          <w:color w:val="auto"/>
          <w:sz w:val="28"/>
          <w:szCs w:val="28"/>
          <w:highlight w:val="none"/>
        </w:rPr>
        <w:t>项 目 名 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360" w:lineRule="auto"/>
        <w:ind w:firstLine="1260" w:firstLineChars="45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标项号：</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360" w:lineRule="auto"/>
        <w:ind w:firstLine="1260" w:firstLineChars="450"/>
        <w:rPr>
          <w:rFonts w:ascii="宋体" w:hAnsi="宋体" w:cs="宋体"/>
          <w:color w:val="auto"/>
          <w:sz w:val="28"/>
          <w:szCs w:val="28"/>
          <w:highlight w:val="none"/>
        </w:rPr>
      </w:pPr>
      <w:r>
        <w:rPr>
          <w:rFonts w:hint="eastAsia" w:ascii="宋体" w:hAnsi="宋体" w:cs="宋体"/>
          <w:color w:val="auto"/>
          <w:sz w:val="28"/>
          <w:szCs w:val="28"/>
          <w:highlight w:val="none"/>
        </w:rPr>
        <w:t>甲方（采购人）：</w:t>
      </w:r>
      <w:r>
        <w:rPr>
          <w:rFonts w:hint="eastAsia" w:ascii="宋体" w:hAnsi="宋体" w:cs="宋体"/>
          <w:color w:val="auto"/>
          <w:sz w:val="28"/>
          <w:szCs w:val="28"/>
          <w:highlight w:val="none"/>
          <w:u w:val="single"/>
          <w:lang w:eastAsia="zh-CN"/>
        </w:rPr>
        <w:t>浙江省药品信息宣传和发展服务中心</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360" w:lineRule="auto"/>
        <w:ind w:firstLine="1260" w:firstLineChars="450"/>
        <w:rPr>
          <w:rFonts w:ascii="宋体" w:hAnsi="宋体" w:cs="宋体"/>
          <w:color w:val="auto"/>
          <w:sz w:val="28"/>
          <w:szCs w:val="28"/>
          <w:highlight w:val="none"/>
        </w:rPr>
      </w:pPr>
      <w:r>
        <w:rPr>
          <w:rFonts w:hint="eastAsia" w:ascii="宋体" w:hAnsi="宋体" w:cs="宋体"/>
          <w:color w:val="auto"/>
          <w:sz w:val="28"/>
          <w:szCs w:val="28"/>
          <w:highlight w:val="none"/>
        </w:rPr>
        <w:t xml:space="preserve">乙方（中标供应商）：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360" w:lineRule="auto"/>
        <w:ind w:firstLine="1260" w:firstLineChars="450"/>
        <w:rPr>
          <w:rFonts w:ascii="宋体" w:hAnsi="宋体" w:cs="宋体"/>
          <w:color w:val="auto"/>
          <w:sz w:val="28"/>
          <w:szCs w:val="28"/>
          <w:highlight w:val="none"/>
        </w:rPr>
      </w:pPr>
      <w:r>
        <w:rPr>
          <w:rFonts w:hint="eastAsia" w:ascii="宋体" w:hAnsi="宋体" w:cs="宋体"/>
          <w:color w:val="auto"/>
          <w:sz w:val="28"/>
          <w:szCs w:val="28"/>
          <w:highlight w:val="none"/>
        </w:rPr>
        <w:t>鉴证方（采购代理机构）：</w:t>
      </w:r>
      <w:r>
        <w:rPr>
          <w:rFonts w:hint="eastAsia" w:ascii="宋体" w:hAnsi="宋体" w:cs="宋体"/>
          <w:color w:val="auto"/>
          <w:sz w:val="28"/>
          <w:szCs w:val="28"/>
          <w:highlight w:val="none"/>
          <w:u w:val="single"/>
        </w:rPr>
        <w:t>浙江国际招投标有限公司</w:t>
      </w:r>
    </w:p>
    <w:p>
      <w:pPr>
        <w:spacing w:line="360" w:lineRule="auto"/>
        <w:ind w:firstLine="1260" w:firstLineChars="450"/>
        <w:rPr>
          <w:rFonts w:ascii="宋体" w:hAnsi="宋体" w:cs="宋体"/>
          <w:color w:val="auto"/>
          <w:sz w:val="28"/>
          <w:szCs w:val="28"/>
          <w:highlight w:val="none"/>
        </w:rPr>
      </w:pPr>
      <w:r>
        <w:rPr>
          <w:rFonts w:hint="eastAsia" w:ascii="宋体" w:hAnsi="宋体" w:cs="宋体"/>
          <w:color w:val="auto"/>
          <w:sz w:val="28"/>
          <w:szCs w:val="28"/>
          <w:highlight w:val="none"/>
        </w:rPr>
        <w:t>签 订 地 点：</w:t>
      </w:r>
      <w:r>
        <w:rPr>
          <w:rFonts w:hint="eastAsia" w:ascii="宋体" w:hAnsi="宋体" w:cs="宋体"/>
          <w:color w:val="auto"/>
          <w:sz w:val="28"/>
          <w:szCs w:val="28"/>
          <w:highlight w:val="none"/>
          <w:u w:val="single"/>
        </w:rPr>
        <w:t xml:space="preserve">杭州                            </w:t>
      </w:r>
    </w:p>
    <w:p>
      <w:pPr>
        <w:adjustRightInd w:val="0"/>
        <w:snapToGrid w:val="0"/>
        <w:spacing w:line="360" w:lineRule="auto"/>
        <w:ind w:firstLine="1260" w:firstLineChars="450"/>
        <w:rPr>
          <w:rFonts w:ascii="宋体" w:hAnsi="宋体" w:cs="宋体"/>
          <w:color w:val="auto"/>
          <w:sz w:val="56"/>
          <w:szCs w:val="56"/>
          <w:highlight w:val="none"/>
        </w:rPr>
      </w:pPr>
      <w:r>
        <w:rPr>
          <w:rFonts w:hint="eastAsia" w:ascii="宋体" w:hAnsi="宋体" w:cs="宋体"/>
          <w:color w:val="auto"/>
          <w:sz w:val="28"/>
          <w:szCs w:val="28"/>
          <w:highlight w:val="none"/>
        </w:rPr>
        <w:t>签 订 日 期：</w:t>
      </w:r>
      <w:r>
        <w:rPr>
          <w:rFonts w:hint="eastAsia" w:ascii="宋体" w:hAnsi="宋体" w:cs="宋体"/>
          <w:color w:val="auto"/>
          <w:sz w:val="28"/>
          <w:szCs w:val="28"/>
          <w:highlight w:val="none"/>
          <w:u w:val="single"/>
        </w:rPr>
        <w:t xml:space="preserve">2023年  月                      </w:t>
      </w:r>
    </w:p>
    <w:p>
      <w:pPr>
        <w:adjustRightInd w:val="0"/>
        <w:snapToGrid w:val="0"/>
        <w:spacing w:line="360" w:lineRule="auto"/>
        <w:jc w:val="center"/>
        <w:rPr>
          <w:rFonts w:ascii="宋体" w:hAnsi="宋体" w:cs="宋体"/>
          <w:color w:val="auto"/>
          <w:sz w:val="56"/>
          <w:szCs w:val="56"/>
          <w:highlight w:val="none"/>
        </w:rPr>
      </w:pPr>
      <w:r>
        <w:rPr>
          <w:rFonts w:hint="eastAsia" w:ascii="宋体" w:hAnsi="宋体" w:cs="宋体"/>
          <w:color w:val="auto"/>
          <w:sz w:val="56"/>
          <w:szCs w:val="56"/>
          <w:highlight w:val="none"/>
        </w:rPr>
        <w:t xml:space="preserve"> </w:t>
      </w:r>
    </w:p>
    <w:p>
      <w:pPr>
        <w:adjustRightInd w:val="0"/>
        <w:snapToGrid w:val="0"/>
        <w:spacing w:line="360" w:lineRule="auto"/>
        <w:rPr>
          <w:rFonts w:ascii="宋体" w:hAnsi="宋体" w:cs="宋体"/>
          <w:color w:val="auto"/>
          <w:sz w:val="24"/>
          <w:highlight w:val="none"/>
        </w:rPr>
      </w:pPr>
    </w:p>
    <w:p>
      <w:pPr>
        <w:adjustRightInd w:val="0"/>
        <w:snapToGrid w:val="0"/>
        <w:spacing w:line="360" w:lineRule="auto"/>
        <w:jc w:val="center"/>
        <w:rPr>
          <w:rFonts w:ascii="宋体" w:hAnsi="宋体" w:cs="宋体"/>
          <w:color w:val="auto"/>
          <w:sz w:val="56"/>
          <w:szCs w:val="56"/>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技术服务合同</w:t>
      </w:r>
    </w:p>
    <w:p>
      <w:pPr>
        <w:adjustRightInd w:val="0"/>
        <w:snapToGrid w:val="0"/>
        <w:spacing w:line="360" w:lineRule="auto"/>
        <w:rPr>
          <w:rFonts w:ascii="宋体" w:hAnsi="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甲方（采购人）：</w:t>
      </w:r>
      <w:r>
        <w:rPr>
          <w:rFonts w:hint="eastAsia" w:ascii="宋体" w:hAnsi="宋体" w:cs="宋体"/>
          <w:color w:val="auto"/>
          <w:szCs w:val="21"/>
          <w:highlight w:val="none"/>
          <w:u w:val="single"/>
          <w:lang w:eastAsia="zh-CN"/>
        </w:rPr>
        <w:t>浙江省药品信息宣传和发展服务中心</w:t>
      </w:r>
    </w:p>
    <w:p>
      <w:pPr>
        <w:adjustRightInd w:val="0"/>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乙方（中标供应商）：</w:t>
      </w:r>
      <w:r>
        <w:rPr>
          <w:rFonts w:hint="eastAsia" w:ascii="宋体" w:hAnsi="宋体" w:cs="宋体"/>
          <w:color w:val="auto"/>
          <w:szCs w:val="21"/>
          <w:highlight w:val="none"/>
          <w:u w:val="single"/>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鉴证方（采购代理机构）：</w:t>
      </w:r>
      <w:r>
        <w:rPr>
          <w:rFonts w:hint="eastAsia" w:ascii="宋体" w:hAnsi="宋体" w:cs="宋体"/>
          <w:color w:val="auto"/>
          <w:szCs w:val="21"/>
          <w:highlight w:val="none"/>
          <w:u w:val="single"/>
        </w:rPr>
        <w:t>浙江国际招投标有限公司</w:t>
      </w:r>
    </w:p>
    <w:p>
      <w:pPr>
        <w:adjustRightInd w:val="0"/>
        <w:snapToGrid w:val="0"/>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rPr>
        <w:t>根据</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项目的采购结果和采购文件的要求，并依照《中华人民共和国民法典》等有关法律、行政法规的规定，同时在平等、公平、诚实和信用的原则下，经双方协商一致，订立本合同。</w:t>
      </w:r>
    </w:p>
    <w:p>
      <w:pPr>
        <w:adjustRightInd w:val="0"/>
        <w:snapToGrid w:val="0"/>
        <w:spacing w:line="360" w:lineRule="auto"/>
        <w:ind w:firstLine="480"/>
        <w:rPr>
          <w:rFonts w:ascii="宋体" w:hAnsi="宋体" w:cs="宋体"/>
          <w:b/>
          <w:color w:val="auto"/>
          <w:szCs w:val="21"/>
          <w:highlight w:val="none"/>
        </w:rPr>
      </w:pPr>
      <w:r>
        <w:rPr>
          <w:rFonts w:hint="eastAsia" w:ascii="宋体" w:hAnsi="宋体" w:cs="宋体"/>
          <w:b/>
          <w:color w:val="auto"/>
          <w:szCs w:val="21"/>
          <w:highlight w:val="none"/>
        </w:rPr>
        <w:t>1、项目内容及合同价格：</w:t>
      </w:r>
    </w:p>
    <w:p>
      <w:pPr>
        <w:adjustRightInd w:val="0"/>
        <w:snapToGrid w:val="0"/>
        <w:spacing w:line="360" w:lineRule="auto"/>
        <w:ind w:right="240" w:firstLine="480"/>
        <w:jc w:val="right"/>
        <w:rPr>
          <w:rFonts w:ascii="宋体" w:hAnsi="宋体" w:cs="宋体"/>
          <w:color w:val="auto"/>
          <w:szCs w:val="21"/>
          <w:highlight w:val="none"/>
        </w:rPr>
      </w:pPr>
      <w:r>
        <w:rPr>
          <w:rFonts w:hint="eastAsia" w:ascii="宋体" w:hAnsi="宋体" w:cs="宋体"/>
          <w:color w:val="auto"/>
          <w:szCs w:val="21"/>
          <w:highlight w:val="none"/>
        </w:rPr>
        <w:t>金额单位：元</w:t>
      </w:r>
    </w:p>
    <w:tbl>
      <w:tblPr>
        <w:tblStyle w:val="3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44"/>
        <w:gridCol w:w="992"/>
        <w:gridCol w:w="101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jc w:val="center"/>
              <w:rPr>
                <w:rFonts w:ascii="宋体" w:hAnsi="宋体" w:eastAsia="宋体" w:cs="宋体"/>
                <w:color w:val="auto"/>
                <w:highlight w:val="none"/>
              </w:rPr>
            </w:pPr>
            <w:r>
              <w:rPr>
                <w:rFonts w:hint="eastAsia" w:ascii="宋体" w:hAnsi="宋体" w:eastAsia="宋体" w:cs="宋体"/>
                <w:color w:val="auto"/>
                <w:highlight w:val="none"/>
              </w:rPr>
              <w:t>项目名称</w:t>
            </w:r>
          </w:p>
        </w:tc>
        <w:tc>
          <w:tcPr>
            <w:tcW w:w="3544"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jc w:val="center"/>
              <w:rPr>
                <w:rFonts w:ascii="宋体" w:hAnsi="宋体" w:eastAsia="宋体" w:cs="宋体"/>
                <w:color w:val="auto"/>
                <w:highlight w:val="none"/>
              </w:rPr>
            </w:pPr>
            <w:r>
              <w:rPr>
                <w:rFonts w:hint="eastAsia" w:ascii="宋体" w:hAnsi="宋体" w:eastAsia="宋体" w:cs="宋体"/>
                <w:color w:val="auto"/>
                <w:highlight w:val="none"/>
              </w:rPr>
              <w:t>技术需求</w:t>
            </w:r>
          </w:p>
        </w:tc>
        <w:tc>
          <w:tcPr>
            <w:tcW w:w="992"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ind w:left="-108"/>
              <w:jc w:val="center"/>
              <w:rPr>
                <w:rFonts w:ascii="宋体" w:hAnsi="宋体" w:eastAsia="宋体" w:cs="宋体"/>
                <w:color w:val="auto"/>
                <w:highlight w:val="none"/>
              </w:rPr>
            </w:pPr>
            <w:r>
              <w:rPr>
                <w:rFonts w:hint="eastAsia" w:ascii="宋体" w:hAnsi="宋体" w:eastAsia="宋体" w:cs="宋体"/>
                <w:color w:val="auto"/>
                <w:highlight w:val="none"/>
              </w:rPr>
              <w:t>数量</w:t>
            </w:r>
          </w:p>
        </w:tc>
        <w:tc>
          <w:tcPr>
            <w:tcW w:w="1013"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ind w:left="-108"/>
              <w:jc w:val="center"/>
              <w:rPr>
                <w:rFonts w:ascii="宋体" w:hAnsi="宋体" w:eastAsia="宋体" w:cs="宋体"/>
                <w:color w:val="auto"/>
                <w:highlight w:val="none"/>
              </w:rPr>
            </w:pPr>
            <w:r>
              <w:rPr>
                <w:rFonts w:hint="eastAsia" w:ascii="宋体" w:hAnsi="宋体" w:eastAsia="宋体" w:cs="宋体"/>
                <w:color w:val="auto"/>
                <w:highlight w:val="none"/>
              </w:rPr>
              <w:t>单价</w:t>
            </w:r>
          </w:p>
        </w:tc>
        <w:tc>
          <w:tcPr>
            <w:tcW w:w="1362"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jc w:val="center"/>
              <w:rPr>
                <w:rFonts w:ascii="宋体" w:hAnsi="宋体" w:eastAsia="宋体" w:cs="宋体"/>
                <w:color w:val="auto"/>
                <w:highlight w:val="none"/>
              </w:rPr>
            </w:pPr>
            <w:r>
              <w:rPr>
                <w:rFonts w:hint="eastAsia" w:ascii="宋体" w:hAnsi="宋体" w:eastAsia="宋体" w:cs="宋体"/>
                <w:color w:val="auto"/>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详见项目对应采购文件</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1项</w:t>
            </w:r>
          </w:p>
        </w:tc>
        <w:tc>
          <w:tcPr>
            <w:tcW w:w="1013" w:type="dxa"/>
            <w:tcBorders>
              <w:top w:val="single" w:color="auto" w:sz="4" w:space="0"/>
              <w:left w:val="single" w:color="auto" w:sz="4" w:space="0"/>
              <w:bottom w:val="single" w:color="auto" w:sz="4" w:space="0"/>
              <w:right w:val="single" w:color="auto" w:sz="4" w:space="0"/>
            </w:tcBorders>
            <w:vAlign w:val="center"/>
          </w:tcPr>
          <w:p>
            <w:pPr>
              <w:pStyle w:val="84"/>
              <w:rPr>
                <w:rFonts w:hAnsi="宋体" w:cs="宋体"/>
                <w:color w:val="auto"/>
                <w:kern w:val="2"/>
                <w:sz w:val="21"/>
                <w:szCs w:val="21"/>
                <w:highlight w:val="none"/>
              </w:rPr>
            </w:pPr>
          </w:p>
        </w:tc>
        <w:tc>
          <w:tcPr>
            <w:tcW w:w="1362" w:type="dxa"/>
            <w:tcBorders>
              <w:top w:val="single" w:color="auto" w:sz="4" w:space="0"/>
              <w:left w:val="single" w:color="auto" w:sz="4" w:space="0"/>
              <w:bottom w:val="single" w:color="auto" w:sz="4" w:space="0"/>
              <w:right w:val="single" w:color="auto" w:sz="4" w:space="0"/>
            </w:tcBorders>
            <w:vAlign w:val="center"/>
          </w:tcPr>
          <w:p>
            <w:pPr>
              <w:pStyle w:val="84"/>
              <w:rPr>
                <w:rFonts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353" w:type="dxa"/>
            <w:gridSpan w:val="2"/>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ind w:firstLine="447" w:firstLineChars="213"/>
              <w:jc w:val="center"/>
              <w:rPr>
                <w:rFonts w:ascii="宋体" w:hAnsi="宋体" w:eastAsia="宋体" w:cs="宋体"/>
                <w:color w:val="auto"/>
                <w:highlight w:val="none"/>
              </w:rPr>
            </w:pPr>
            <w:r>
              <w:rPr>
                <w:rFonts w:hint="eastAsia" w:ascii="宋体" w:hAnsi="宋体" w:eastAsia="宋体" w:cs="宋体"/>
                <w:color w:val="auto"/>
                <w:highlight w:val="none"/>
              </w:rPr>
              <w:t>合计</w:t>
            </w:r>
          </w:p>
        </w:tc>
        <w:tc>
          <w:tcPr>
            <w:tcW w:w="992"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jc w:val="center"/>
              <w:rPr>
                <w:rFonts w:ascii="宋体" w:hAnsi="宋体" w:eastAsia="宋体" w:cs="宋体"/>
                <w:color w:val="auto"/>
                <w:highlight w:val="none"/>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pStyle w:val="84"/>
              <w:ind w:firstLine="447" w:firstLineChars="213"/>
              <w:rPr>
                <w:rFonts w:hAnsi="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720" w:type="dxa"/>
            <w:gridSpan w:val="5"/>
            <w:tcBorders>
              <w:top w:val="single" w:color="auto" w:sz="4" w:space="0"/>
              <w:left w:val="single" w:color="auto" w:sz="4" w:space="0"/>
              <w:bottom w:val="single" w:color="auto" w:sz="4" w:space="0"/>
              <w:right w:val="single" w:color="auto" w:sz="4" w:space="0"/>
            </w:tcBorders>
            <w:vAlign w:val="center"/>
          </w:tcPr>
          <w:p>
            <w:pPr>
              <w:pStyle w:val="23"/>
              <w:snapToGrid w:val="0"/>
              <w:spacing w:before="120" w:after="120" w:line="360" w:lineRule="auto"/>
              <w:rPr>
                <w:rFonts w:ascii="宋体" w:hAnsi="宋体" w:eastAsia="宋体" w:cs="宋体"/>
                <w:color w:val="auto"/>
                <w:highlight w:val="none"/>
              </w:rPr>
            </w:pPr>
            <w:r>
              <w:rPr>
                <w:rFonts w:hint="eastAsia" w:ascii="宋体" w:hAnsi="宋体" w:eastAsia="宋体" w:cs="宋体"/>
                <w:color w:val="auto"/>
                <w:highlight w:val="none"/>
              </w:rPr>
              <w:t>合同总价大写：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，小写：￥</w:t>
            </w:r>
            <w:r>
              <w:rPr>
                <w:rFonts w:hint="eastAsia" w:ascii="宋体" w:hAnsi="宋体" w:eastAsia="宋体" w:cs="宋体"/>
                <w:color w:val="auto"/>
                <w:highlight w:val="none"/>
                <w:u w:val="single"/>
              </w:rPr>
              <w:t xml:space="preserve">                 </w:t>
            </w:r>
          </w:p>
        </w:tc>
      </w:tr>
    </w:tbl>
    <w:p>
      <w:pPr>
        <w:autoSpaceDE w:val="0"/>
        <w:autoSpaceDN w:val="0"/>
        <w:adjustRightInd w:val="0"/>
        <w:snapToGrid w:val="0"/>
        <w:spacing w:line="360" w:lineRule="auto"/>
        <w:ind w:firstLine="422" w:firstLineChars="200"/>
        <w:textAlignment w:val="bottom"/>
        <w:rPr>
          <w:rFonts w:ascii="宋体" w:hAnsi="宋体" w:cs="宋体"/>
          <w:b/>
          <w:color w:val="auto"/>
          <w:szCs w:val="21"/>
          <w:highlight w:val="none"/>
        </w:rPr>
      </w:pPr>
      <w:r>
        <w:rPr>
          <w:rFonts w:hint="eastAsia" w:ascii="宋体" w:hAnsi="宋体" w:cs="宋体"/>
          <w:b/>
          <w:color w:val="auto"/>
          <w:szCs w:val="21"/>
          <w:highlight w:val="none"/>
        </w:rPr>
        <w:t>2、服务期等要求：</w:t>
      </w:r>
    </w:p>
    <w:p>
      <w:pPr>
        <w:pStyle w:val="8"/>
        <w:spacing w:line="360" w:lineRule="auto"/>
        <w:ind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（1）服务期及服务地点</w:t>
      </w:r>
    </w:p>
    <w:p>
      <w:pPr>
        <w:pStyle w:val="8"/>
        <w:spacing w:line="360" w:lineRule="auto"/>
        <w:ind w:firstLineChars="200"/>
        <w:rPr>
          <w:rFonts w:ascii="宋体" w:hAnsi="宋体" w:cs="宋体"/>
          <w:color w:val="auto"/>
          <w:sz w:val="21"/>
          <w:szCs w:val="21"/>
          <w:highlight w:val="none"/>
        </w:rPr>
      </w:pPr>
      <w:r>
        <w:rPr>
          <w:rFonts w:hint="eastAsia" w:ascii="宋体" w:hAnsi="宋体" w:cs="宋体"/>
          <w:bCs/>
          <w:color w:val="auto"/>
          <w:sz w:val="21"/>
          <w:szCs w:val="21"/>
          <w:highlight w:val="none"/>
        </w:rPr>
        <w:t>服务期：</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w:t>
      </w:r>
    </w:p>
    <w:p>
      <w:pPr>
        <w:pStyle w:val="8"/>
        <w:spacing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服务地点：</w:t>
      </w:r>
      <w:r>
        <w:rPr>
          <w:rFonts w:hint="eastAsia" w:ascii="宋体" w:hAnsi="宋体" w:cs="宋体"/>
          <w:color w:val="auto"/>
          <w:sz w:val="21"/>
          <w:szCs w:val="21"/>
          <w:highlight w:val="none"/>
          <w:u w:val="single"/>
        </w:rPr>
        <w:t xml:space="preserve">甲方指定的地点    </w:t>
      </w:r>
      <w:r>
        <w:rPr>
          <w:rFonts w:hint="eastAsia" w:ascii="宋体" w:hAnsi="宋体" w:cs="宋体"/>
          <w:color w:val="auto"/>
          <w:sz w:val="21"/>
          <w:szCs w:val="21"/>
          <w:highlight w:val="none"/>
        </w:rPr>
        <w:t>。</w:t>
      </w:r>
    </w:p>
    <w:p>
      <w:pPr>
        <w:pStyle w:val="8"/>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（2）乙方投入本项目开发的技术人员为：</w:t>
      </w:r>
    </w:p>
    <w:p>
      <w:pPr>
        <w:pStyle w:val="8"/>
        <w:spacing w:line="360" w:lineRule="auto"/>
        <w:ind w:firstLineChars="200"/>
        <w:rPr>
          <w:rFonts w:ascii="宋体" w:hAnsi="宋体" w:cs="宋体"/>
          <w:color w:val="auto"/>
          <w:sz w:val="21"/>
          <w:szCs w:val="21"/>
          <w:highlight w:val="none"/>
        </w:rPr>
      </w:pPr>
      <w:r>
        <w:rPr>
          <w:rFonts w:hint="eastAsia" w:ascii="宋体" w:hAnsi="宋体" w:cs="宋体"/>
          <w:color w:val="auto"/>
          <w:sz w:val="21"/>
          <w:szCs w:val="21"/>
          <w:highlight w:val="none"/>
        </w:rPr>
        <w:t>详见附件一。（按投标文件中的承诺在签署合同时可作为附件之一）</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（3）乙方和甲方共同协商开发计划并通过甲方的同意后按此实施。</w:t>
      </w:r>
    </w:p>
    <w:p>
      <w:pPr>
        <w:autoSpaceDE w:val="0"/>
        <w:autoSpaceDN w:val="0"/>
        <w:adjustRightInd w:val="0"/>
        <w:snapToGrid w:val="0"/>
        <w:spacing w:line="360" w:lineRule="auto"/>
        <w:ind w:firstLine="422" w:firstLineChars="200"/>
        <w:textAlignment w:val="bottom"/>
        <w:rPr>
          <w:rFonts w:ascii="宋体" w:hAnsi="宋体" w:cs="宋体"/>
          <w:b/>
          <w:color w:val="auto"/>
          <w:szCs w:val="21"/>
          <w:highlight w:val="none"/>
        </w:rPr>
      </w:pPr>
      <w:r>
        <w:rPr>
          <w:rFonts w:hint="eastAsia" w:ascii="宋体" w:hAnsi="宋体" w:cs="宋体"/>
          <w:b/>
          <w:color w:val="auto"/>
          <w:szCs w:val="21"/>
          <w:highlight w:val="none"/>
        </w:rPr>
        <w:t>3、相关定义</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除非本合同另有特别约定，本合同所使用的术语、概念的含义如下：</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lang w:val="zh-TW" w:eastAsia="zh-TW"/>
        </w:rPr>
      </w:pPr>
      <w:r>
        <w:rPr>
          <w:rFonts w:hint="eastAsia" w:ascii="宋体" w:hAnsi="宋体" w:cs="宋体"/>
          <w:color w:val="auto"/>
          <w:szCs w:val="21"/>
          <w:highlight w:val="none"/>
        </w:rPr>
        <w:t>（1）合同：是指双方所签署的合同正文、所有附件、所有补充文件，以及双方在合同履行中所签</w:t>
      </w:r>
      <w:r>
        <w:rPr>
          <w:rFonts w:hint="eastAsia" w:ascii="宋体" w:hAnsi="宋体" w:cs="宋体"/>
          <w:color w:val="auto"/>
          <w:szCs w:val="21"/>
          <w:highlight w:val="none"/>
          <w:lang w:val="zh-TW" w:eastAsia="zh-TW"/>
        </w:rPr>
        <w:t>署、确认的其他与双方权利义务相关的所有书面材料、技术文档等文件。也称为</w:t>
      </w:r>
      <w:r>
        <w:rPr>
          <w:rFonts w:hint="eastAsia" w:ascii="宋体" w:hAnsi="宋体" w:cs="宋体"/>
          <w:color w:val="auto"/>
          <w:szCs w:val="21"/>
          <w:highlight w:val="none"/>
        </w:rPr>
        <w:t>“</w:t>
      </w:r>
      <w:r>
        <w:rPr>
          <w:rFonts w:hint="eastAsia" w:ascii="宋体" w:hAnsi="宋体" w:cs="宋体"/>
          <w:color w:val="auto"/>
          <w:szCs w:val="21"/>
          <w:highlight w:val="none"/>
          <w:lang w:val="zh-TW" w:eastAsia="zh-TW"/>
        </w:rPr>
        <w:t>技术服务合同</w:t>
      </w:r>
      <w:r>
        <w:rPr>
          <w:rFonts w:hint="eastAsia" w:ascii="宋体" w:hAnsi="宋体" w:cs="宋体"/>
          <w:color w:val="auto"/>
          <w:szCs w:val="21"/>
          <w:highlight w:val="none"/>
        </w:rPr>
        <w:t>”</w:t>
      </w:r>
      <w:r>
        <w:rPr>
          <w:rFonts w:hint="eastAsia" w:ascii="宋体" w:hAnsi="宋体" w:cs="宋体"/>
          <w:color w:val="auto"/>
          <w:szCs w:val="21"/>
          <w:highlight w:val="none"/>
          <w:lang w:val="zh-TW" w:eastAsia="zh-TW"/>
        </w:rPr>
        <w:t>或</w:t>
      </w:r>
      <w:r>
        <w:rPr>
          <w:rFonts w:hint="eastAsia" w:ascii="宋体" w:hAnsi="宋体" w:cs="宋体"/>
          <w:color w:val="auto"/>
          <w:szCs w:val="21"/>
          <w:highlight w:val="none"/>
        </w:rPr>
        <w:t>“</w:t>
      </w:r>
      <w:r>
        <w:rPr>
          <w:rFonts w:hint="eastAsia" w:ascii="宋体" w:hAnsi="宋体" w:cs="宋体"/>
          <w:color w:val="auto"/>
          <w:szCs w:val="21"/>
          <w:highlight w:val="none"/>
          <w:lang w:val="zh-TW" w:eastAsia="zh-TW"/>
        </w:rPr>
        <w:t>服务合同</w:t>
      </w:r>
      <w:r>
        <w:rPr>
          <w:rFonts w:hint="eastAsia" w:ascii="宋体" w:hAnsi="宋体" w:cs="宋体"/>
          <w:color w:val="auto"/>
          <w:szCs w:val="21"/>
          <w:highlight w:val="none"/>
        </w:rPr>
        <w:t>”</w:t>
      </w:r>
      <w:r>
        <w:rPr>
          <w:rFonts w:hint="eastAsia" w:ascii="宋体" w:hAnsi="宋体" w:cs="宋体"/>
          <w:color w:val="auto"/>
          <w:szCs w:val="21"/>
          <w:highlight w:val="none"/>
          <w:lang w:val="zh-TW" w:eastAsia="zh-TW"/>
        </w:rPr>
        <w:t>。</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lang w:val="zh-TW" w:eastAsia="zh-TW"/>
        </w:rPr>
      </w:pPr>
      <w:r>
        <w:rPr>
          <w:rFonts w:hint="eastAsia" w:ascii="宋体" w:hAnsi="宋体" w:cs="宋体"/>
          <w:color w:val="auto"/>
          <w:szCs w:val="21"/>
          <w:highlight w:val="none"/>
          <w:lang w:val="zh-TW"/>
        </w:rPr>
        <w:t>（</w:t>
      </w:r>
      <w:r>
        <w:rPr>
          <w:rFonts w:hint="eastAsia" w:ascii="宋体" w:hAnsi="宋体" w:cs="宋体"/>
          <w:color w:val="auto"/>
          <w:szCs w:val="21"/>
          <w:highlight w:val="none"/>
          <w:lang w:val="zh-TW" w:eastAsia="zh-TW"/>
        </w:rPr>
        <w:t>2</w:t>
      </w:r>
      <w:r>
        <w:rPr>
          <w:rFonts w:hint="eastAsia" w:ascii="宋体" w:hAnsi="宋体" w:cs="宋体"/>
          <w:color w:val="auto"/>
          <w:szCs w:val="21"/>
          <w:highlight w:val="none"/>
          <w:lang w:val="zh-TW"/>
        </w:rPr>
        <w:t>）</w:t>
      </w:r>
      <w:r>
        <w:rPr>
          <w:rFonts w:hint="eastAsia" w:ascii="宋体" w:hAnsi="宋体" w:cs="宋体"/>
          <w:color w:val="auto"/>
          <w:szCs w:val="21"/>
          <w:highlight w:val="none"/>
          <w:lang w:val="zh-TW" w:eastAsia="zh-TW"/>
        </w:rPr>
        <w:t>产品：指乙方根据本合同规定须向甲方提供的一切软件、硬件产品及服务。</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（3）服务价款：是指根据本合同约定，乙方在正确地完全履行合同义务后甲方应支付给乙方的全部价款。</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（4）工作说明书：是指约定服务的工作内容、范围、项目进度等特定内容的文件。</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（5）技术文档：指乙方向甲丙方提供产品过程中，使用或产生的技术资料、项目文档，文档的形式可以是纸面文件，也可以为电子文档，技术文档包括一般文档和项目专用文档。</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6）服务成果：是指乙方按照附件一的约定所完成的项目工作成果，包括以纸质、电子磁盘或其他介质体现的服务文档，乙方为履行本合同所搜集、使用、编制、创作的所有其他技术文档和解决方案，以及乙方按照合同、法律、法规及行业规范等规定应当提供的服务。</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（7）交付：是指乙方将合同约定的服务成果提交给甲方使用。</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（8）服务期：项目实施期、试运营期及免费维护期。</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（9）知识产权：指受中国法律及国际公约保护的专利权、商标权、著作权、商业秘密等及其他与之相关的权利。</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（10）不可抗力：本合同各方由于疫情、地震、台风、水灾、火灾、战争以及其它不能预见、且对其发生和后果不能防止或不能避免且不可克服的客观情况。</w:t>
      </w:r>
    </w:p>
    <w:p>
      <w:pPr>
        <w:suppressAutoHyphens/>
        <w:spacing w:line="360" w:lineRule="auto"/>
        <w:ind w:firstLine="420"/>
        <w:jc w:val="left"/>
        <w:rPr>
          <w:rFonts w:ascii="宋体" w:hAnsi="宋体" w:cs="宋体"/>
          <w:b/>
          <w:color w:val="auto"/>
          <w:szCs w:val="21"/>
          <w:highlight w:val="none"/>
        </w:rPr>
      </w:pPr>
      <w:r>
        <w:rPr>
          <w:rFonts w:hint="eastAsia" w:ascii="宋体" w:hAnsi="宋体" w:cs="宋体"/>
          <w:b/>
          <w:color w:val="auto"/>
          <w:szCs w:val="21"/>
          <w:highlight w:val="none"/>
        </w:rPr>
        <w:t>6、服务内容</w:t>
      </w:r>
    </w:p>
    <w:p>
      <w:pPr>
        <w:pStyle w:val="8"/>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本项目采购文件所述的全部采购需求；</w:t>
      </w:r>
    </w:p>
    <w:p>
      <w:pPr>
        <w:pStyle w:val="8"/>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甲方在乙方技术服务过程中，有权对开发内容根据实际情况提出适当的弹性修改需求，但需经乙方同意，乙方同意后应予以配合。</w:t>
      </w:r>
    </w:p>
    <w:p>
      <w:pPr>
        <w:suppressAutoHyphens/>
        <w:spacing w:line="360" w:lineRule="auto"/>
        <w:ind w:firstLine="420"/>
        <w:jc w:val="left"/>
        <w:rPr>
          <w:rFonts w:ascii="宋体" w:hAnsi="宋体" w:cs="宋体"/>
          <w:b/>
          <w:color w:val="auto"/>
          <w:szCs w:val="21"/>
          <w:highlight w:val="none"/>
        </w:rPr>
      </w:pPr>
      <w:r>
        <w:rPr>
          <w:rFonts w:hint="eastAsia" w:ascii="宋体" w:hAnsi="宋体" w:cs="宋体"/>
          <w:b/>
          <w:color w:val="auto"/>
          <w:szCs w:val="21"/>
          <w:highlight w:val="none"/>
        </w:rPr>
        <w:t>7、</w:t>
      </w:r>
      <w:r>
        <w:rPr>
          <w:rFonts w:hint="eastAsia" w:ascii="宋体" w:hAnsi="宋体" w:cs="宋体"/>
          <w:b/>
          <w:color w:val="auto"/>
          <w:szCs w:val="21"/>
          <w:highlight w:val="none"/>
          <w:lang w:val="en-US" w:eastAsia="zh-CN"/>
        </w:rPr>
        <w:t>履约保证金金及</w:t>
      </w:r>
      <w:r>
        <w:rPr>
          <w:rFonts w:hint="eastAsia" w:ascii="宋体" w:hAnsi="宋体" w:cs="宋体"/>
          <w:b/>
          <w:color w:val="auto"/>
          <w:szCs w:val="21"/>
          <w:highlight w:val="none"/>
        </w:rPr>
        <w:t>付款条件</w:t>
      </w:r>
    </w:p>
    <w:p>
      <w:pPr>
        <w:spacing w:line="360" w:lineRule="auto"/>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7.1履约保证金收退</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履约保证金收取：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签订合同后</w:t>
      </w:r>
      <w:r>
        <w:rPr>
          <w:rFonts w:hint="eastAsia" w:ascii="宋体" w:hAnsi="宋体" w:eastAsia="宋体" w:cs="宋体"/>
          <w:color w:val="auto"/>
          <w:sz w:val="21"/>
          <w:szCs w:val="21"/>
          <w:highlight w:val="none"/>
        </w:rPr>
        <w:t>7个工作日</w:t>
      </w:r>
      <w:r>
        <w:rPr>
          <w:rFonts w:hint="eastAsia" w:ascii="宋体" w:hAnsi="宋体" w:cs="宋体"/>
          <w:color w:val="auto"/>
          <w:sz w:val="21"/>
          <w:szCs w:val="21"/>
          <w:highlight w:val="none"/>
          <w:lang w:val="en-US" w:eastAsia="zh-CN"/>
        </w:rPr>
        <w:t>内</w:t>
      </w:r>
      <w:r>
        <w:rPr>
          <w:rFonts w:hint="eastAsia" w:ascii="宋体" w:hAnsi="宋体" w:eastAsia="宋体" w:cs="宋体"/>
          <w:color w:val="auto"/>
          <w:szCs w:val="21"/>
          <w:highlight w:val="none"/>
          <w:lang w:eastAsia="zh-CN"/>
        </w:rPr>
        <w:t>中标供应商</w:t>
      </w:r>
      <w:r>
        <w:rPr>
          <w:rFonts w:hint="eastAsia" w:ascii="宋体" w:hAnsi="宋体" w:eastAsia="宋体" w:cs="宋体"/>
          <w:color w:val="auto"/>
          <w:szCs w:val="21"/>
          <w:highlight w:val="none"/>
        </w:rPr>
        <w:t>向采购人(</w:t>
      </w:r>
      <w:r>
        <w:rPr>
          <w:rFonts w:hint="eastAsia" w:ascii="宋体" w:hAnsi="宋体" w:cs="宋体"/>
          <w:color w:val="auto"/>
          <w:szCs w:val="21"/>
          <w:highlight w:val="none"/>
          <w:lang w:eastAsia="zh-CN"/>
        </w:rPr>
        <w:t>浙江省药品信息宣传和发展服务中心</w:t>
      </w:r>
      <w:r>
        <w:rPr>
          <w:rFonts w:hint="eastAsia" w:ascii="宋体" w:hAnsi="宋体" w:eastAsia="宋体" w:cs="宋体"/>
          <w:color w:val="auto"/>
          <w:szCs w:val="21"/>
          <w:highlight w:val="none"/>
        </w:rPr>
        <w:t>)缴纳合同总金额的1%作为履约保证金。缴纳方式：</w:t>
      </w:r>
      <w:r>
        <w:rPr>
          <w:rFonts w:hint="eastAsia" w:ascii="宋体" w:hAnsi="宋体" w:eastAsia="宋体" w:cs="宋体"/>
          <w:color w:val="auto"/>
          <w:szCs w:val="21"/>
          <w:highlight w:val="none"/>
          <w:lang w:eastAsia="zh-CN"/>
        </w:rPr>
        <w:t>中标供应商</w:t>
      </w:r>
      <w:r>
        <w:rPr>
          <w:rFonts w:hint="eastAsia" w:ascii="宋体" w:hAnsi="宋体" w:eastAsia="宋体" w:cs="宋体"/>
          <w:color w:val="auto"/>
          <w:szCs w:val="21"/>
          <w:highlight w:val="none"/>
        </w:rPr>
        <w:t>应当以支票、汇票、本票或者金融机构、担保机构出具的保函等非现金形式提交。</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履约保证金退还：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采购人在验收结束之后30个工作日内无息退还履约保证金。</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办理履约保证金退还手续时，</w:t>
      </w:r>
      <w:r>
        <w:rPr>
          <w:rFonts w:hint="eastAsia" w:ascii="宋体" w:hAnsi="宋体" w:eastAsia="宋体" w:cs="宋体"/>
          <w:color w:val="auto"/>
          <w:szCs w:val="21"/>
          <w:highlight w:val="none"/>
          <w:lang w:eastAsia="zh-CN"/>
        </w:rPr>
        <w:t>中标供应商</w:t>
      </w:r>
      <w:r>
        <w:rPr>
          <w:rFonts w:hint="eastAsia" w:ascii="宋体" w:hAnsi="宋体" w:eastAsia="宋体" w:cs="宋体"/>
          <w:color w:val="auto"/>
          <w:szCs w:val="21"/>
          <w:highlight w:val="none"/>
        </w:rPr>
        <w:t>凭以下材料办理退保手续。</w:t>
      </w:r>
    </w:p>
    <w:p>
      <w:pPr>
        <w:numPr>
          <w:ilvl w:val="0"/>
          <w:numId w:val="10"/>
        </w:numPr>
        <w:spacing w:line="360" w:lineRule="auto"/>
        <w:ind w:left="0" w:leftChars="0" w:firstLine="40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由采购人开具的交入履约保证金往来款收据原件(如无法提供原件的，提供复印件及采购人开具的收据)；</w:t>
      </w:r>
    </w:p>
    <w:p>
      <w:pPr>
        <w:numPr>
          <w:ilvl w:val="0"/>
          <w:numId w:val="10"/>
        </w:numPr>
        <w:spacing w:line="360" w:lineRule="auto"/>
        <w:ind w:left="0" w:leftChars="0" w:firstLine="40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合同原件或复印件一份；</w:t>
      </w:r>
    </w:p>
    <w:p>
      <w:pPr>
        <w:numPr>
          <w:ilvl w:val="0"/>
          <w:numId w:val="10"/>
        </w:numPr>
        <w:spacing w:line="360" w:lineRule="auto"/>
        <w:ind w:left="0" w:leftChars="0" w:firstLine="40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使用单位的验收证明(需两人以上签名并盖章)；</w:t>
      </w:r>
    </w:p>
    <w:p>
      <w:pPr>
        <w:numPr>
          <w:ilvl w:val="0"/>
          <w:numId w:val="10"/>
        </w:numPr>
        <w:spacing w:line="360" w:lineRule="auto"/>
        <w:ind w:left="0" w:leftChars="0" w:firstLine="40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保证金交入时的银行回单复印件；</w:t>
      </w:r>
    </w:p>
    <w:p>
      <w:pPr>
        <w:numPr>
          <w:ilvl w:val="0"/>
          <w:numId w:val="10"/>
        </w:numPr>
        <w:spacing w:line="360" w:lineRule="auto"/>
        <w:ind w:left="0" w:leftChars="0" w:firstLine="40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如原账户发生变更，提供说明和账户变更资料。</w:t>
      </w:r>
    </w:p>
    <w:p>
      <w:pPr>
        <w:spacing w:line="360" w:lineRule="auto"/>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7.2付款方式</w:t>
      </w:r>
    </w:p>
    <w:p>
      <w:pPr>
        <w:pStyle w:val="36"/>
        <w:keepNext w:val="0"/>
        <w:pageBreakBefore w:val="0"/>
        <w:widowControl w:val="0"/>
        <w:tabs>
          <w:tab w:val="left" w:pos="0"/>
          <w:tab w:val="left" w:pos="993"/>
          <w:tab w:val="left" w:pos="1134"/>
        </w:tabs>
        <w:kinsoku/>
        <w:wordWrap/>
        <w:overflowPunct/>
        <w:topLinePunct w:val="0"/>
        <w:autoSpaceDE/>
        <w:autoSpaceDN/>
        <w:bidi w:val="0"/>
        <w:snapToGrid/>
        <w:spacing w:after="0" w:line="360" w:lineRule="auto"/>
        <w:ind w:left="0" w:leftChars="0" w:firstLine="42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 w:val="21"/>
          <w:szCs w:val="21"/>
          <w:highlight w:val="none"/>
        </w:rPr>
        <w:t xml:space="preserve">合同签订后7天内支付合同总额的50%，项目初验通过后支付合同总额的40%，项目验收通过后支付合同总额的10% </w:t>
      </w:r>
      <w:r>
        <w:rPr>
          <w:rFonts w:hint="eastAsia" w:ascii="宋体" w:hAnsi="宋体" w:eastAsia="宋体" w:cs="宋体"/>
          <w:color w:val="auto"/>
          <w:sz w:val="21"/>
          <w:szCs w:val="21"/>
          <w:highlight w:val="none"/>
          <w:lang w:eastAsia="zh-CN"/>
        </w:rPr>
        <w:t>。</w:t>
      </w:r>
    </w:p>
    <w:p>
      <w:pPr>
        <w:widowControl/>
        <w:numPr>
          <w:ilvl w:val="0"/>
          <w:numId w:val="11"/>
        </w:numPr>
        <w:autoSpaceDE w:val="0"/>
        <w:autoSpaceDN w:val="0"/>
        <w:spacing w:line="360" w:lineRule="auto"/>
        <w:ind w:firstLine="422" w:firstLineChars="200"/>
        <w:textAlignment w:val="bottom"/>
        <w:rPr>
          <w:rFonts w:hint="eastAsia" w:ascii="宋体" w:hAnsi="宋体" w:cs="宋体"/>
          <w:b/>
          <w:bCs/>
          <w:color w:val="auto"/>
          <w:szCs w:val="21"/>
          <w:highlight w:val="none"/>
        </w:rPr>
      </w:pPr>
      <w:r>
        <w:rPr>
          <w:rFonts w:hint="eastAsia" w:ascii="宋体" w:hAnsi="宋体" w:cs="宋体"/>
          <w:b/>
          <w:bCs/>
          <w:color w:val="auto"/>
          <w:szCs w:val="21"/>
          <w:highlight w:val="none"/>
        </w:rPr>
        <w:t>违约责任</w:t>
      </w:r>
    </w:p>
    <w:p>
      <w:pPr>
        <w:pStyle w:val="36"/>
        <w:numPr>
          <w:ilvl w:val="-1"/>
          <w:numId w:val="0"/>
        </w:num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8.1合同责任</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（1）乙方所提供的服务不符合合同规定及招标文件规定标准的，甲方有权要求乙方改正，乙方拒绝改正的，甲方可单方面解除合同。</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（2）乙方保证项目组人员具备完成此次服务的相关资质、经验、技术等条件，乙方更换人员必须经甲方书面同意，否则甲方有权解除合同。</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（3）因乙方原因导致出现重大安全问题，造成社会反响的，甲方可按不高于合同总额10%从未付合同款中扣除。</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（4）因乙方违约导致合同解除的，甲方有权不支付合同价款，针对已经收取价款的乙方计算届时已投入的成本，如已收取的价款有多余的应当退回甲方，同时乙方应当承担合同总金额5%的违约金。</w:t>
      </w:r>
    </w:p>
    <w:p>
      <w:pPr>
        <w:widowControl/>
        <w:autoSpaceDE w:val="0"/>
        <w:autoSpaceDN w:val="0"/>
        <w:spacing w:line="360" w:lineRule="auto"/>
        <w:ind w:firstLine="420"/>
        <w:textAlignment w:val="bottom"/>
        <w:rPr>
          <w:rFonts w:hint="eastAsia" w:ascii="宋体" w:hAnsi="宋体" w:cs="宋体"/>
          <w:color w:val="auto"/>
          <w:szCs w:val="21"/>
          <w:highlight w:val="none"/>
        </w:rPr>
      </w:pPr>
      <w:r>
        <w:rPr>
          <w:rFonts w:hint="eastAsia" w:ascii="宋体" w:hAnsi="宋体" w:cs="宋体"/>
          <w:color w:val="auto"/>
          <w:szCs w:val="21"/>
          <w:highlight w:val="none"/>
        </w:rPr>
        <w:t>（5）解除合同应按《浙江省政府采购合同暂行办法》向省财政厅备案。</w:t>
      </w:r>
    </w:p>
    <w:p>
      <w:pPr>
        <w:pStyle w:val="36"/>
        <w:ind w:firstLine="420" w:firstLineChars="2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eastAsia="zh-CN"/>
        </w:rPr>
        <w:t>8</w:t>
      </w:r>
      <w:r>
        <w:rPr>
          <w:rFonts w:hint="eastAsia" w:ascii="宋体" w:hAnsi="宋体" w:eastAsia="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安全责任</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应按照《网络安全法》、《数据安全法》的要求，履行网络和数据安全保护义务。</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项目涉及</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工作人员均需签订《保密承诺书》，且</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应对项目涉及工作人员进行背景审查。</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(3)</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应当采取技术措施和其他必要措施，确保其网络和数据安全，防止信息泄露、毁损、丢失。在发生或者可能发生信息泄露、毁损、丢失的情况时，应当立即采取补救措施，并在第一时间告知</w:t>
      </w:r>
      <w:r>
        <w:rPr>
          <w:rFonts w:hint="eastAsia" w:ascii="宋体" w:hAnsi="宋体" w:eastAsia="宋体" w:cs="宋体"/>
          <w:color w:val="auto"/>
          <w:sz w:val="21"/>
          <w:szCs w:val="21"/>
          <w:highlight w:val="none"/>
          <w:u w:val="none"/>
          <w:lang w:eastAsia="zh-CN"/>
        </w:rPr>
        <w:t>甲方</w:t>
      </w:r>
      <w:r>
        <w:rPr>
          <w:rFonts w:hint="eastAsia" w:ascii="宋体" w:hAnsi="宋体" w:eastAsia="宋体" w:cs="宋体"/>
          <w:color w:val="auto"/>
          <w:sz w:val="21"/>
          <w:szCs w:val="21"/>
          <w:highlight w:val="none"/>
          <w:u w:val="none"/>
        </w:rPr>
        <w:t>。</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应合理使用操作账号，严禁</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存在多名工作人员共用操作账号的情形，同时操作账号应采用高强度的密码、并定期更新账号密码。</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rPr>
        <w:t>未经</w:t>
      </w:r>
      <w:r>
        <w:rPr>
          <w:rFonts w:hint="eastAsia" w:ascii="宋体" w:hAnsi="宋体" w:eastAsia="宋体" w:cs="宋体"/>
          <w:color w:val="auto"/>
          <w:sz w:val="21"/>
          <w:szCs w:val="21"/>
          <w:highlight w:val="none"/>
          <w:u w:val="none"/>
          <w:lang w:eastAsia="zh-CN"/>
        </w:rPr>
        <w:t>甲方</w:t>
      </w:r>
      <w:r>
        <w:rPr>
          <w:rFonts w:hint="eastAsia" w:ascii="宋体" w:hAnsi="宋体" w:eastAsia="宋体" w:cs="宋体"/>
          <w:color w:val="auto"/>
          <w:sz w:val="21"/>
          <w:szCs w:val="21"/>
          <w:highlight w:val="none"/>
          <w:u w:val="none"/>
        </w:rPr>
        <w:t>允许，</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不得对项目资源私开端口，不得利用项目资源进行与该项目无关的工作，不得将政务网和互联网私自打通。</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(6)</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应严格按照要求使用、处理、交换、共享数据资源。做好数据落地相应的数据保护工作，严格执行数据安全技术标准和安全管理措施，避免相关数据出现泄露、窃取、篡改的风险。</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(7)</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应认真组织开展各项数据处理活动，查找项目数据安全隐患和漏洞，对薄弱环节和潜在威胁采取有力措施进行整改，避免和消除数据安全风险，履行数据安全保护义务。</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(8)</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加强网络和数据安全风险监测，制定数据安全应急预案，完善应急机制。发现数据安全缺陷、漏洞等风险时，立即采取补救措施；发生数据安全事件时，立即采取处置措施。确保第一时间检测发现，第一时间应急处置，第一时间向</w:t>
      </w:r>
      <w:r>
        <w:rPr>
          <w:rFonts w:hint="eastAsia" w:ascii="宋体" w:hAnsi="宋体" w:eastAsia="宋体" w:cs="宋体"/>
          <w:color w:val="auto"/>
          <w:sz w:val="21"/>
          <w:szCs w:val="21"/>
          <w:highlight w:val="none"/>
          <w:u w:val="none"/>
          <w:lang w:eastAsia="zh-CN"/>
        </w:rPr>
        <w:t>甲方</w:t>
      </w:r>
      <w:r>
        <w:rPr>
          <w:rFonts w:hint="eastAsia" w:ascii="宋体" w:hAnsi="宋体" w:eastAsia="宋体" w:cs="宋体"/>
          <w:color w:val="auto"/>
          <w:sz w:val="21"/>
          <w:szCs w:val="21"/>
          <w:highlight w:val="none"/>
          <w:u w:val="none"/>
        </w:rPr>
        <w:t>报告。</w:t>
      </w:r>
    </w:p>
    <w:p>
      <w:pPr>
        <w:pStyle w:val="36"/>
        <w:ind w:firstLine="630" w:firstLineChars="30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如违反以上任一条款，</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应按合同总额的5%/次承担违约责任，若</w:t>
      </w:r>
      <w:r>
        <w:rPr>
          <w:rFonts w:hint="eastAsia" w:ascii="宋体" w:hAnsi="宋体" w:eastAsia="宋体" w:cs="宋体"/>
          <w:color w:val="auto"/>
          <w:sz w:val="21"/>
          <w:szCs w:val="21"/>
          <w:highlight w:val="none"/>
          <w:u w:val="none"/>
          <w:lang w:eastAsia="zh-CN"/>
        </w:rPr>
        <w:t>甲方</w:t>
      </w:r>
      <w:r>
        <w:rPr>
          <w:rFonts w:hint="eastAsia" w:ascii="宋体" w:hAnsi="宋体" w:eastAsia="宋体" w:cs="宋体"/>
          <w:color w:val="auto"/>
          <w:sz w:val="21"/>
          <w:szCs w:val="21"/>
          <w:highlight w:val="none"/>
          <w:u w:val="none"/>
        </w:rPr>
        <w:t>实际损失超过违约金数额，超出部分由</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另行承担。若</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累计3次违反的，</w:t>
      </w:r>
      <w:r>
        <w:rPr>
          <w:rFonts w:hint="eastAsia" w:ascii="宋体" w:hAnsi="宋体" w:eastAsia="宋体" w:cs="宋体"/>
          <w:color w:val="auto"/>
          <w:sz w:val="21"/>
          <w:szCs w:val="21"/>
          <w:highlight w:val="none"/>
          <w:u w:val="none"/>
          <w:lang w:eastAsia="zh-CN"/>
        </w:rPr>
        <w:t>甲方</w:t>
      </w:r>
      <w:r>
        <w:rPr>
          <w:rFonts w:hint="eastAsia" w:ascii="宋体" w:hAnsi="宋体" w:eastAsia="宋体" w:cs="宋体"/>
          <w:color w:val="auto"/>
          <w:sz w:val="21"/>
          <w:szCs w:val="21"/>
          <w:highlight w:val="none"/>
          <w:u w:val="none"/>
        </w:rPr>
        <w:t>有权解除合同，要求</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退还已收取的全部合同款并按合同总额的20%承担违约金。若</w:t>
      </w:r>
      <w:r>
        <w:rPr>
          <w:rFonts w:hint="eastAsia" w:ascii="宋体" w:hAnsi="宋体" w:eastAsia="宋体" w:cs="宋体"/>
          <w:color w:val="auto"/>
          <w:sz w:val="21"/>
          <w:szCs w:val="21"/>
          <w:highlight w:val="none"/>
          <w:u w:val="none"/>
          <w:lang w:eastAsia="zh-CN"/>
        </w:rPr>
        <w:t>甲方</w:t>
      </w:r>
      <w:r>
        <w:rPr>
          <w:rFonts w:hint="eastAsia" w:ascii="宋体" w:hAnsi="宋体" w:eastAsia="宋体" w:cs="宋体"/>
          <w:color w:val="auto"/>
          <w:sz w:val="21"/>
          <w:szCs w:val="21"/>
          <w:highlight w:val="none"/>
          <w:u w:val="none"/>
        </w:rPr>
        <w:t>要求</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继续履行合同，不免除</w:t>
      </w:r>
      <w:r>
        <w:rPr>
          <w:rFonts w:hint="eastAsia" w:ascii="宋体" w:hAnsi="宋体" w:eastAsia="宋体" w:cs="宋体"/>
          <w:color w:val="auto"/>
          <w:sz w:val="21"/>
          <w:szCs w:val="21"/>
          <w:highlight w:val="none"/>
          <w:u w:val="none"/>
          <w:lang w:eastAsia="zh-CN"/>
        </w:rPr>
        <w:t>乙方</w:t>
      </w:r>
      <w:r>
        <w:rPr>
          <w:rFonts w:hint="eastAsia" w:ascii="宋体" w:hAnsi="宋体" w:eastAsia="宋体" w:cs="宋体"/>
          <w:color w:val="auto"/>
          <w:sz w:val="21"/>
          <w:szCs w:val="21"/>
          <w:highlight w:val="none"/>
          <w:u w:val="none"/>
        </w:rPr>
        <w:t>承担违约金的义务。</w:t>
      </w:r>
    </w:p>
    <w:p>
      <w:pPr>
        <w:widowControl/>
        <w:autoSpaceDE w:val="0"/>
        <w:autoSpaceDN w:val="0"/>
        <w:spacing w:line="360" w:lineRule="auto"/>
        <w:ind w:firstLine="422" w:firstLineChars="200"/>
        <w:textAlignment w:val="bottom"/>
        <w:rPr>
          <w:rFonts w:ascii="宋体" w:hAnsi="宋体" w:cs="宋体"/>
          <w:b/>
          <w:bCs/>
          <w:color w:val="auto"/>
          <w:szCs w:val="21"/>
          <w:highlight w:val="none"/>
        </w:rPr>
      </w:pPr>
      <w:r>
        <w:rPr>
          <w:rFonts w:hint="eastAsia" w:ascii="宋体" w:hAnsi="宋体" w:cs="宋体"/>
          <w:b/>
          <w:bCs/>
          <w:color w:val="auto"/>
          <w:szCs w:val="21"/>
          <w:highlight w:val="none"/>
        </w:rPr>
        <w:t>9、交付成果</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（1）交付地点：甲方指定地点。</w:t>
      </w:r>
    </w:p>
    <w:p>
      <w:pPr>
        <w:autoSpaceDE w:val="0"/>
        <w:autoSpaceDN w:val="0"/>
        <w:adjustRightInd w:val="0"/>
        <w:snapToGrid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（2）乙方应对甲方的相关操作和技术人员进行培训，使其能熟练掌握该系统。</w:t>
      </w:r>
    </w:p>
    <w:p>
      <w:pPr>
        <w:widowControl/>
        <w:autoSpaceDE w:val="0"/>
        <w:autoSpaceDN w:val="0"/>
        <w:spacing w:line="360" w:lineRule="auto"/>
        <w:ind w:firstLine="472" w:firstLineChars="224"/>
        <w:textAlignment w:val="bottom"/>
        <w:rPr>
          <w:rFonts w:ascii="宋体" w:hAnsi="宋体" w:cs="宋体"/>
          <w:b/>
          <w:color w:val="auto"/>
          <w:szCs w:val="21"/>
          <w:highlight w:val="none"/>
        </w:rPr>
      </w:pPr>
      <w:r>
        <w:rPr>
          <w:rFonts w:hint="eastAsia" w:ascii="宋体" w:hAnsi="宋体" w:cs="宋体"/>
          <w:b/>
          <w:color w:val="auto"/>
          <w:szCs w:val="21"/>
          <w:highlight w:val="none"/>
        </w:rPr>
        <w:t>10、验收</w:t>
      </w:r>
    </w:p>
    <w:p>
      <w:pPr>
        <w:widowControl/>
        <w:autoSpaceDE w:val="0"/>
        <w:autoSpaceDN w:val="0"/>
        <w:spacing w:line="360" w:lineRule="auto"/>
        <w:ind w:firstLine="420" w:firstLineChars="200"/>
        <w:textAlignment w:val="bottom"/>
        <w:rPr>
          <w:rFonts w:ascii="宋体" w:hAnsi="宋体" w:cs="宋体"/>
          <w:bCs/>
          <w:color w:val="auto"/>
          <w:szCs w:val="21"/>
          <w:highlight w:val="none"/>
        </w:rPr>
      </w:pPr>
      <w:r>
        <w:rPr>
          <w:rFonts w:hint="eastAsia" w:ascii="宋体" w:hAnsi="宋体" w:cs="宋体"/>
          <w:bCs/>
          <w:color w:val="auto"/>
          <w:szCs w:val="21"/>
          <w:highlight w:val="none"/>
        </w:rPr>
        <w:t>（1）验收依据</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项目验收主要依据本项目的招标文件和投标文件、签订的采购合同以及建设过程中经双方同意增加的约定文件，包括经过签署的补充合同等。</w:t>
      </w:r>
    </w:p>
    <w:p>
      <w:pPr>
        <w:widowControl/>
        <w:autoSpaceDE w:val="0"/>
        <w:autoSpaceDN w:val="0"/>
        <w:spacing w:line="360" w:lineRule="auto"/>
        <w:ind w:firstLine="420" w:firstLineChars="200"/>
        <w:textAlignment w:val="bottom"/>
        <w:rPr>
          <w:rFonts w:ascii="宋体" w:hAnsi="宋体" w:cs="宋体"/>
          <w:bCs/>
          <w:color w:val="auto"/>
          <w:szCs w:val="21"/>
          <w:highlight w:val="none"/>
        </w:rPr>
      </w:pPr>
      <w:r>
        <w:rPr>
          <w:rFonts w:hint="eastAsia" w:ascii="宋体" w:hAnsi="宋体" w:cs="宋体"/>
          <w:bCs/>
          <w:color w:val="auto"/>
          <w:szCs w:val="21"/>
          <w:highlight w:val="none"/>
        </w:rPr>
        <w:t>（2）验收流程</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项目履约完成后，对项目进行最终验收，形成终验报告。</w:t>
      </w:r>
    </w:p>
    <w:p>
      <w:pPr>
        <w:widowControl/>
        <w:autoSpaceDE w:val="0"/>
        <w:autoSpaceDN w:val="0"/>
        <w:spacing w:line="360" w:lineRule="auto"/>
        <w:ind w:firstLine="420" w:firstLineChars="200"/>
        <w:textAlignment w:val="bottom"/>
        <w:rPr>
          <w:rFonts w:ascii="宋体" w:hAnsi="宋体" w:cs="宋体"/>
          <w:bCs/>
          <w:color w:val="auto"/>
          <w:szCs w:val="21"/>
          <w:highlight w:val="none"/>
        </w:rPr>
      </w:pPr>
      <w:r>
        <w:rPr>
          <w:rFonts w:hint="eastAsia" w:ascii="宋体" w:hAnsi="宋体" w:cs="宋体"/>
          <w:bCs/>
          <w:color w:val="auto"/>
          <w:szCs w:val="21"/>
          <w:highlight w:val="none"/>
        </w:rPr>
        <w:t>（3）验收标准</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乙方应严格按照采购要求完成本项目服务内容，并在服务期满后，应当书面向甲方提出验收申请，经甲方审核同意后组织验收，乙方针对验收中提出的问题进行补充完善，验收通过后出具正式验收报告。</w:t>
      </w:r>
    </w:p>
    <w:p>
      <w:pPr>
        <w:widowControl/>
        <w:autoSpaceDE w:val="0"/>
        <w:autoSpaceDN w:val="0"/>
        <w:spacing w:line="360" w:lineRule="auto"/>
        <w:ind w:firstLine="472" w:firstLineChars="224"/>
        <w:textAlignment w:val="bottom"/>
        <w:rPr>
          <w:rFonts w:ascii="宋体" w:hAnsi="宋体" w:cs="宋体"/>
          <w:b/>
          <w:bCs/>
          <w:color w:val="auto"/>
          <w:szCs w:val="21"/>
          <w:highlight w:val="none"/>
        </w:rPr>
      </w:pPr>
      <w:r>
        <w:rPr>
          <w:rFonts w:hint="eastAsia" w:ascii="宋体" w:hAnsi="宋体" w:cs="宋体"/>
          <w:b/>
          <w:color w:val="auto"/>
          <w:szCs w:val="21"/>
          <w:highlight w:val="none"/>
        </w:rPr>
        <w:t>11、</w:t>
      </w:r>
      <w:r>
        <w:rPr>
          <w:rFonts w:hint="eastAsia" w:ascii="宋体" w:hAnsi="宋体" w:cs="宋体"/>
          <w:b/>
          <w:bCs/>
          <w:color w:val="auto"/>
          <w:szCs w:val="21"/>
          <w:highlight w:val="none"/>
        </w:rPr>
        <w:t>问题处理约定</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如果甲方发现工作成果中存在缺陷，双方应当视问题的严重性给出合适的处理措施。约定如下：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如果工作成果存在严重的缺陷，则退回给乙方。乙方应当给出纠正缺陷，双方协商第二次验收的时间。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如果工作成果存在一些轻微的缺陷，则乙方应当给出纠正缺陷的措施，双方协商是否需要第二次验收。</w:t>
      </w:r>
    </w:p>
    <w:p>
      <w:pPr>
        <w:widowControl/>
        <w:autoSpaceDE w:val="0"/>
        <w:autoSpaceDN w:val="0"/>
        <w:spacing w:line="360" w:lineRule="auto"/>
        <w:ind w:firstLine="472" w:firstLineChars="224"/>
        <w:textAlignment w:val="bottom"/>
        <w:rPr>
          <w:rFonts w:ascii="宋体" w:hAnsi="宋体" w:cs="宋体"/>
          <w:b/>
          <w:color w:val="auto"/>
          <w:szCs w:val="21"/>
          <w:highlight w:val="none"/>
        </w:rPr>
      </w:pPr>
      <w:r>
        <w:rPr>
          <w:rFonts w:hint="eastAsia" w:ascii="宋体" w:hAnsi="宋体" w:cs="宋体"/>
          <w:b/>
          <w:color w:val="auto"/>
          <w:szCs w:val="21"/>
          <w:highlight w:val="none"/>
        </w:rPr>
        <w:t>12、保密责任和义务</w:t>
      </w:r>
    </w:p>
    <w:p>
      <w:pPr>
        <w:widowControl/>
        <w:autoSpaceDE w:val="0"/>
        <w:autoSpaceDN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1）乙方应对本合同所述的数据资料、技术资料和技术秘密采取保密措施，乙方未经甲方的书面同意，不得将本项目所涉及的技术秘密和资料向与本项目无关的人员或第三方透露，也不能就有关合同内容的任何部分进行新闻的发布、公开的宣称、否认或承认。</w:t>
      </w:r>
    </w:p>
    <w:p>
      <w:pPr>
        <w:widowControl/>
        <w:autoSpaceDE w:val="0"/>
        <w:autoSpaceDN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（2）乙方承认本合同中的技术资料和技术秘密为甲方所专有，将其对乙方进行披露并不意味着任何所有权、专利权的转让。</w:t>
      </w:r>
    </w:p>
    <w:p>
      <w:pPr>
        <w:widowControl/>
        <w:autoSpaceDE w:val="0"/>
        <w:autoSpaceDN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（3）在本合同项目的研究开发结束并通过验收后，乙方应向甲方提供本合同项目的研究成果。乙方应归还甲方提供的所有技术资料或文件等，并承诺不保留任何复印件。</w:t>
      </w:r>
    </w:p>
    <w:p>
      <w:pPr>
        <w:widowControl/>
        <w:autoSpaceDE w:val="0"/>
        <w:autoSpaceDN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本条规定的义务和权利在本合同期满或终止后持续有效，而不受合同履行完毕时间的限制，除非甲方自行公开技术资料和技术秘密或向乙方出具放弃保密权利的书面声明。</w:t>
      </w:r>
    </w:p>
    <w:p>
      <w:pPr>
        <w:widowControl/>
        <w:autoSpaceDE w:val="0"/>
        <w:autoSpaceDN w:val="0"/>
        <w:spacing w:line="360" w:lineRule="auto"/>
        <w:ind w:firstLine="472" w:firstLineChars="224"/>
        <w:textAlignment w:val="bottom"/>
        <w:rPr>
          <w:rFonts w:ascii="宋体" w:hAnsi="宋体" w:cs="宋体"/>
          <w:b/>
          <w:color w:val="auto"/>
          <w:szCs w:val="21"/>
          <w:highlight w:val="none"/>
        </w:rPr>
      </w:pPr>
      <w:bookmarkStart w:id="144" w:name="_Toc377201834"/>
      <w:bookmarkStart w:id="145" w:name="_Toc760019589"/>
      <w:r>
        <w:rPr>
          <w:rFonts w:hint="eastAsia" w:ascii="宋体" w:hAnsi="宋体" w:cs="宋体"/>
          <w:b/>
          <w:color w:val="auto"/>
          <w:szCs w:val="21"/>
          <w:highlight w:val="none"/>
        </w:rPr>
        <w:t>13、</w:t>
      </w:r>
      <w:bookmarkEnd w:id="144"/>
      <w:bookmarkEnd w:id="145"/>
      <w:r>
        <w:rPr>
          <w:rFonts w:hint="eastAsia" w:ascii="宋体" w:hAnsi="宋体" w:cs="宋体"/>
          <w:b/>
          <w:color w:val="auto"/>
          <w:szCs w:val="21"/>
          <w:highlight w:val="none"/>
        </w:rPr>
        <w:t>知识产权</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（1）本项目所产生的所有成果（包括发明、发现、技术资料、文档、所有数据等）的知识产权归甲方独享。</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应保障所提供的产品、服务或其任何一部分均不会侵犯第三方的知识产权。如因乙方提供的任何一部分侵犯了第三方的合法权益，导致该第三方追究甲方责任的，乙方应承担全部法律责任，负责解决并赔偿因此给甲方造成的全部损失。</w:t>
      </w:r>
    </w:p>
    <w:p>
      <w:pPr>
        <w:suppressAutoHyphens/>
        <w:spacing w:line="360" w:lineRule="auto"/>
        <w:ind w:firstLine="422" w:firstLineChars="200"/>
        <w:jc w:val="left"/>
        <w:rPr>
          <w:rFonts w:ascii="宋体" w:hAnsi="宋体" w:cs="宋体"/>
          <w:color w:val="auto"/>
          <w:szCs w:val="21"/>
          <w:highlight w:val="none"/>
        </w:rPr>
      </w:pPr>
      <w:r>
        <w:rPr>
          <w:rFonts w:hint="eastAsia" w:ascii="宋体" w:hAnsi="宋体" w:cs="宋体"/>
          <w:b/>
          <w:color w:val="auto"/>
          <w:szCs w:val="21"/>
          <w:highlight w:val="none"/>
        </w:rPr>
        <w:t>14、</w:t>
      </w:r>
      <w:r>
        <w:rPr>
          <w:rFonts w:hint="eastAsia" w:ascii="宋体" w:hAnsi="宋体" w:cs="宋体"/>
          <w:b/>
          <w:bCs/>
          <w:color w:val="auto"/>
          <w:szCs w:val="21"/>
          <w:highlight w:val="none"/>
        </w:rPr>
        <w:t xml:space="preserve">不可抗力 </w:t>
      </w:r>
    </w:p>
    <w:p>
      <w:pPr>
        <w:widowControl/>
        <w:autoSpaceDE w:val="0"/>
        <w:autoSpaceDN w:val="0"/>
        <w:spacing w:line="360"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（1）不可抗力是指本合同生效后，发生不能预见并且对其发生和后果不能防止或避免的事件，如疫情、地震、台风、水灾、火灾、战争等，致使直接影响本合同的履行或不能按约定的条件履行。</w:t>
      </w:r>
    </w:p>
    <w:p>
      <w:pPr>
        <w:widowControl/>
        <w:autoSpaceDE w:val="0"/>
        <w:autoSpaceDN w:val="0"/>
        <w:spacing w:line="360"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（2）发生不可抗力的一方应立即通知对方，并在十五天内提供不可抗力的详情及将有关证明文件送交对方。</w:t>
      </w:r>
    </w:p>
    <w:p>
      <w:pPr>
        <w:widowControl/>
        <w:autoSpaceDE w:val="0"/>
        <w:autoSpaceDN w:val="0"/>
        <w:spacing w:line="360"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（3）发生不可抗力事件时，甲乙双方应协商以寻找一个合理的解决方法，并尽一切努力减轻不可抗力产生的后果。</w:t>
      </w:r>
    </w:p>
    <w:p>
      <w:pPr>
        <w:widowControl/>
        <w:autoSpaceDE w:val="0"/>
        <w:autoSpaceDN w:val="0"/>
        <w:spacing w:line="360"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（4）如不可抗力事件持续三十天时，甲乙双方应友好协商解决本合同是否继续履行或终止的问题。</w:t>
      </w:r>
    </w:p>
    <w:p>
      <w:pPr>
        <w:suppressAutoHyphens/>
        <w:spacing w:line="360" w:lineRule="auto"/>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 xml:space="preserve">15、解除合同 </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（1）如果满足以下条件，任一方在通知对方后，都可以解除本合同。</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2）一方严重违反本合同项下的义务，并且违约方在对方通知后三十天仍未纠正，非违约方向违约方发出解除合同的书面通知时。如果该违约无法在三十天内纠正，而违约方在此期限内已经开始着手，并将以努力诚恳继续纠正此违约行为，则守约方应为违约方合理地延长该时间的期限。</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3）当一方按正常程序停止经营业务、破产、处于付款拖欠、延期偿付、公司重组或倒闭状况，或全部转让利润与债权人、书面承认无力偿还到期债务、委派清算人清算其业务或财产，或参与或接受与破产或债权人权利有关的法律或行政诉讼程序时。</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（4）当本合同以任何原因终止时，乙方应立即停止使用并销毁包含甲方机密信息的所有物件，并证明该销毁情况；或者将这些物件归还对方。</w:t>
      </w:r>
    </w:p>
    <w:p>
      <w:pPr>
        <w:suppressAutoHyphens/>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16、争议解决</w:t>
      </w:r>
    </w:p>
    <w:p>
      <w:pPr>
        <w:suppressAutoHyphens/>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（1）合同实施或与合同有关的一切争端，买卖双方首先应通过友好协商解决，如果协商仍得不到解决，任何一方可向杭州仲裁委员会申请仲裁。</w:t>
      </w:r>
    </w:p>
    <w:p>
      <w:pPr>
        <w:suppressAutoHyphens/>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（2）仲裁裁决应为最终裁决，对双方均有约束力。</w:t>
      </w:r>
    </w:p>
    <w:p>
      <w:pPr>
        <w:suppressAutoHyphens/>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（3）仲裁费用除仲裁机构另有裁决外应由败诉方承担。</w:t>
      </w:r>
    </w:p>
    <w:p>
      <w:pPr>
        <w:suppressAutoHyphens/>
        <w:spacing w:line="360" w:lineRule="auto"/>
        <w:ind w:left="420" w:leftChars="200"/>
        <w:jc w:val="left"/>
        <w:rPr>
          <w:rFonts w:ascii="宋体" w:hAnsi="宋体" w:cs="宋体"/>
          <w:bCs/>
          <w:color w:val="auto"/>
          <w:szCs w:val="21"/>
          <w:highlight w:val="none"/>
        </w:rPr>
      </w:pPr>
      <w:r>
        <w:rPr>
          <w:rFonts w:hint="eastAsia" w:ascii="宋体" w:hAnsi="宋体" w:cs="宋体"/>
          <w:bCs/>
          <w:color w:val="auto"/>
          <w:szCs w:val="21"/>
          <w:highlight w:val="none"/>
        </w:rPr>
        <w:t>（4）在仲裁期间，除正在执行仲裁部分外，本合同的其他部分应继续执行。</w:t>
      </w:r>
    </w:p>
    <w:p>
      <w:pPr>
        <w:suppressAutoHyphens/>
        <w:spacing w:line="360" w:lineRule="auto"/>
        <w:ind w:firstLine="422" w:firstLineChars="200"/>
        <w:jc w:val="left"/>
        <w:rPr>
          <w:rFonts w:ascii="宋体" w:hAnsi="宋体" w:cs="宋体"/>
          <w:color w:val="auto"/>
          <w:szCs w:val="21"/>
          <w:highlight w:val="none"/>
        </w:rPr>
      </w:pPr>
      <w:r>
        <w:rPr>
          <w:rFonts w:hint="eastAsia" w:ascii="宋体" w:hAnsi="宋体" w:cs="宋体"/>
          <w:b/>
          <w:color w:val="auto"/>
          <w:szCs w:val="21"/>
          <w:highlight w:val="none"/>
        </w:rPr>
        <w:t>17、</w:t>
      </w:r>
      <w:r>
        <w:rPr>
          <w:rFonts w:hint="eastAsia" w:ascii="宋体" w:hAnsi="宋体" w:cs="宋体"/>
          <w:b/>
          <w:bCs/>
          <w:color w:val="auto"/>
          <w:szCs w:val="21"/>
          <w:highlight w:val="none"/>
        </w:rPr>
        <w:t xml:space="preserve">一般条款 </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（1）本合同内容与采购需求不同的部分以采购需求为准。</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2）除非本合同另有规定，任何一方对本合同提出的任何弃权、修改或更改须以书面形式提交给对方，并经对方签字认可，否则本合同的任何条款均不得视作已被弃权、修改或更改。本合同的修改或变更，须由双方友好协商并经授权代表签署书面文件方可生效。</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（3）如本合同的一条或者一条以上的条款被适用法律视为无法实施或无效，则：该无法实施的条款不会影响到本合同中其他任何条款。</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双方应本着诚信的原则商议，用一条意思最接近的条款替换该无法实施或无效的条款。</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（4）合同各方在此声明并保证：</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代表各方签署本合同的人员拥有明确的授权，其签字对签约方具有约束力；</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本合同的执行、递交与履行不会违反各方公司的章程、规定；</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本合同的执行、递交与履行已经得到全部所需合作方或公司行为的正式授权；并且本合同已对上述方形成了有效的、具有约束力的同时能按其条款执行的义务。</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（5）双方同意，本合同条款的上下文如果表示出该条款在本合同有效期后仍然有效，则该条款在本合同有效期后应继续保持有效。</w:t>
      </w:r>
    </w:p>
    <w:p>
      <w:pPr>
        <w:widowControl/>
        <w:autoSpaceDE w:val="0"/>
        <w:autoSpaceDN w:val="0"/>
        <w:spacing w:line="360" w:lineRule="auto"/>
        <w:ind w:firstLine="420"/>
        <w:textAlignment w:val="bottom"/>
        <w:rPr>
          <w:rFonts w:ascii="宋体" w:hAnsi="宋体" w:cs="宋体"/>
          <w:color w:val="auto"/>
          <w:szCs w:val="21"/>
          <w:highlight w:val="none"/>
        </w:rPr>
      </w:pPr>
      <w:r>
        <w:rPr>
          <w:rFonts w:hint="eastAsia" w:ascii="宋体" w:hAnsi="宋体" w:cs="宋体"/>
          <w:color w:val="auto"/>
          <w:szCs w:val="21"/>
          <w:highlight w:val="none"/>
        </w:rPr>
        <w:t xml:space="preserve">（6）本合同与附件构成双方间的完整的合同，并将取代之前所有的书面或口头、执行或未执行的讨论、合同或声明。未经双方授权代表再签订正式合同，本合同将不作变化、增删和修改或其他活动。 </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color w:val="auto"/>
          <w:szCs w:val="21"/>
          <w:highlight w:val="none"/>
        </w:rPr>
        <w:t>18、组成合同</w:t>
      </w:r>
      <w:r>
        <w:rPr>
          <w:rFonts w:hint="eastAsia" w:ascii="宋体" w:hAnsi="宋体" w:cs="宋体"/>
          <w:b/>
          <w:bCs/>
          <w:color w:val="auto"/>
          <w:szCs w:val="21"/>
          <w:highlight w:val="none"/>
        </w:rPr>
        <w:t>文件及优先顺序</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组成合同的各项文件应相互解释，互为说明。除合同另有规定外，其优先顺序如下：</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（1）本合同。</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（2）中标通知书。</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（3）投标文件及其附件（含询标纪要）【如有负偏离采购文件要求的内容，则无条件按采购文件要求执行】。</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（4）采购文件（含补充文件、答疑纪要）。</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（5）标准、规范及有关技术文件。</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甲乙双方有关项目实施过程中的洽商、变更等书面协议或文件作为本合同的组成部分。</w:t>
      </w:r>
    </w:p>
    <w:p>
      <w:pPr>
        <w:suppressAutoHyphens/>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（签订合同时，采购要求、投标的优惠承诺等均可作为合同条款。）</w:t>
      </w:r>
    </w:p>
    <w:p>
      <w:pPr>
        <w:suppressAutoHyphens/>
        <w:spacing w:line="360" w:lineRule="auto"/>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19、合同成立及生效</w:t>
      </w:r>
    </w:p>
    <w:p>
      <w:pPr>
        <w:widowControl/>
        <w:autoSpaceDE w:val="0"/>
        <w:autoSpaceDN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（1）本合同一式五份，甲乙双方各持二份，鉴证方持一份，自合同各方授权代表签字盖章后生效。</w:t>
      </w:r>
    </w:p>
    <w:p>
      <w:pPr>
        <w:widowControl/>
        <w:autoSpaceDE w:val="0"/>
        <w:autoSpaceDN w:val="0"/>
        <w:spacing w:line="360" w:lineRule="auto"/>
        <w:ind w:firstLine="420" w:firstLineChars="200"/>
        <w:textAlignment w:val="bottom"/>
        <w:rPr>
          <w:rFonts w:ascii="宋体" w:hAnsi="宋体" w:cs="宋体"/>
          <w:color w:val="auto"/>
          <w:szCs w:val="21"/>
          <w:highlight w:val="none"/>
        </w:rPr>
      </w:pPr>
      <w:r>
        <w:rPr>
          <w:rFonts w:hint="eastAsia" w:ascii="宋体" w:hAnsi="宋体" w:cs="宋体"/>
          <w:color w:val="auto"/>
          <w:szCs w:val="21"/>
          <w:highlight w:val="none"/>
        </w:rPr>
        <w:t>（2）</w:t>
      </w:r>
      <w:bookmarkStart w:id="146" w:name="_Hlk4733863"/>
      <w:bookmarkStart w:id="147" w:name="_Hlk4733739"/>
      <w:r>
        <w:rPr>
          <w:rFonts w:hint="eastAsia" w:ascii="宋体" w:hAnsi="宋体" w:cs="宋体"/>
          <w:color w:val="auto"/>
          <w:szCs w:val="21"/>
          <w:highlight w:val="none"/>
        </w:rPr>
        <w:t>如果由于乙方原因导致合同不生效的，</w:t>
      </w:r>
      <w:bookmarkEnd w:id="146"/>
      <w:bookmarkEnd w:id="147"/>
      <w:r>
        <w:rPr>
          <w:rFonts w:hint="eastAsia" w:ascii="宋体" w:hAnsi="宋体" w:cs="宋体"/>
          <w:color w:val="auto"/>
          <w:szCs w:val="21"/>
          <w:highlight w:val="none"/>
        </w:rPr>
        <w:t>视作乙方自动放弃中标资格，乙方向甲方支付数额为本项目预算金额的2%的违约金，并承担缔约过错给甲方造成的损失。</w:t>
      </w:r>
    </w:p>
    <w:p>
      <w:pPr>
        <w:pStyle w:val="18"/>
        <w:spacing w:after="0" w:line="360" w:lineRule="auto"/>
        <w:ind w:firstLineChars="200"/>
        <w:rPr>
          <w:color w:val="auto"/>
          <w:highlight w:val="none"/>
        </w:rPr>
      </w:pPr>
      <w:r>
        <w:rPr>
          <w:rFonts w:hint="eastAsia" w:ascii="宋体" w:hAnsi="宋体" w:cs="宋体"/>
          <w:color w:val="auto"/>
          <w:szCs w:val="21"/>
          <w:highlight w:val="none"/>
        </w:rPr>
        <w:t>（3）如需修改或补充合同内容，经协商，双方应签署书面修改或补充协议，该协议将作为本合同的一个组成部分。</w:t>
      </w:r>
    </w:p>
    <w:tbl>
      <w:tblPr>
        <w:tblStyle w:val="37"/>
        <w:tblW w:w="8280" w:type="dxa"/>
        <w:tblInd w:w="468" w:type="dxa"/>
        <w:tblLayout w:type="fixed"/>
        <w:tblCellMar>
          <w:top w:w="0" w:type="dxa"/>
          <w:left w:w="108" w:type="dxa"/>
          <w:bottom w:w="0" w:type="dxa"/>
          <w:right w:w="108" w:type="dxa"/>
        </w:tblCellMar>
      </w:tblPr>
      <w:tblGrid>
        <w:gridCol w:w="4320"/>
        <w:gridCol w:w="3960"/>
      </w:tblGrid>
      <w:tr>
        <w:tblPrEx>
          <w:tblCellMar>
            <w:top w:w="0" w:type="dxa"/>
            <w:left w:w="108" w:type="dxa"/>
            <w:bottom w:w="0" w:type="dxa"/>
            <w:right w:w="108" w:type="dxa"/>
          </w:tblCellMar>
        </w:tblPrEx>
        <w:trPr>
          <w:trHeight w:val="632" w:hRule="atLeast"/>
        </w:trPr>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甲方：</w:t>
            </w:r>
            <w:r>
              <w:rPr>
                <w:rFonts w:hint="eastAsia" w:ascii="宋体" w:hAnsi="宋体" w:cs="宋体"/>
                <w:color w:val="auto"/>
                <w:szCs w:val="21"/>
                <w:highlight w:val="none"/>
                <w:lang w:eastAsia="zh-CN"/>
              </w:rPr>
              <w:t>浙江省药品信息宣传和发展服务中心</w:t>
            </w:r>
            <w:r>
              <w:rPr>
                <w:rFonts w:hint="eastAsia" w:ascii="宋体" w:hAnsi="宋体" w:cs="宋体"/>
                <w:color w:val="auto"/>
                <w:szCs w:val="21"/>
                <w:highlight w:val="none"/>
              </w:rPr>
              <w:t>（公章）</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ind w:left="1470" w:hanging="1470"/>
              <w:rPr>
                <w:rFonts w:ascii="宋体" w:hAnsi="宋体" w:cs="宋体"/>
                <w:color w:val="auto"/>
                <w:szCs w:val="21"/>
                <w:highlight w:val="none"/>
              </w:rPr>
            </w:pPr>
            <w:r>
              <w:rPr>
                <w:rFonts w:hint="eastAsia" w:ascii="宋体" w:hAnsi="宋体" w:cs="宋体"/>
                <w:color w:val="auto"/>
                <w:szCs w:val="21"/>
                <w:highlight w:val="none"/>
              </w:rPr>
              <w:t>乙方：                    （公章）</w:t>
            </w:r>
          </w:p>
        </w:tc>
      </w:tr>
      <w:tr>
        <w:tblPrEx>
          <w:tblCellMar>
            <w:top w:w="0" w:type="dxa"/>
            <w:left w:w="108" w:type="dxa"/>
            <w:bottom w:w="0" w:type="dxa"/>
            <w:right w:w="108" w:type="dxa"/>
          </w:tblCellMar>
        </w:tblPrEx>
        <w:trPr>
          <w:trHeight w:val="717" w:hRule="atLeast"/>
        </w:trPr>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法定代表人或受委托人：</w:t>
            </w:r>
          </w:p>
          <w:p>
            <w:pPr>
              <w:spacing w:line="380" w:lineRule="exact"/>
              <w:ind w:left="194"/>
              <w:rPr>
                <w:rFonts w:ascii="宋体" w:hAnsi="宋体" w:cs="宋体"/>
                <w:color w:val="auto"/>
                <w:szCs w:val="21"/>
                <w:highlight w:val="none"/>
              </w:rPr>
            </w:pPr>
            <w:r>
              <w:rPr>
                <w:rFonts w:hint="eastAsia" w:ascii="宋体" w:hAnsi="宋体" w:cs="宋体"/>
                <w:color w:val="auto"/>
                <w:szCs w:val="21"/>
                <w:highlight w:val="none"/>
              </w:rPr>
              <w:t>（签字）</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法定代表人或受委托人：</w:t>
            </w:r>
          </w:p>
          <w:p>
            <w:pPr>
              <w:spacing w:line="380" w:lineRule="exact"/>
              <w:rPr>
                <w:rFonts w:ascii="宋体" w:hAnsi="宋体" w:cs="宋体"/>
                <w:color w:val="auto"/>
                <w:szCs w:val="21"/>
                <w:highlight w:val="none"/>
              </w:rPr>
            </w:pPr>
            <w:r>
              <w:rPr>
                <w:rFonts w:hint="eastAsia" w:ascii="宋体" w:hAnsi="宋体" w:cs="宋体"/>
                <w:color w:val="auto"/>
                <w:szCs w:val="21"/>
                <w:highlight w:val="none"/>
              </w:rPr>
              <w:t>（签字）</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地址：</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 xml:space="preserve">地址： </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电话：</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电话：</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传真：</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传真：</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 xml:space="preserve">开户银行： </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开户银行：</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帐号：</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帐号：</w:t>
            </w:r>
          </w:p>
        </w:tc>
      </w:tr>
      <w:tr>
        <w:tblPrEx>
          <w:tblCellMar>
            <w:top w:w="0" w:type="dxa"/>
            <w:left w:w="108" w:type="dxa"/>
            <w:bottom w:w="0" w:type="dxa"/>
            <w:right w:w="108" w:type="dxa"/>
          </w:tblCellMar>
        </w:tblPrEx>
        <w:tc>
          <w:tcPr>
            <w:tcW w:w="432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签约时间：    年  月   日</w:t>
            </w:r>
          </w:p>
        </w:tc>
        <w:tc>
          <w:tcPr>
            <w:tcW w:w="3960" w:type="dxa"/>
            <w:tcBorders>
              <w:top w:val="single" w:color="000000" w:sz="4" w:space="0"/>
              <w:left w:val="single" w:color="000000" w:sz="4" w:space="0"/>
              <w:bottom w:val="single" w:color="000000" w:sz="4" w:space="0"/>
              <w:right w:val="single" w:color="000000" w:sz="4" w:space="0"/>
            </w:tcBorders>
          </w:tcPr>
          <w:p>
            <w:pPr>
              <w:spacing w:line="380" w:lineRule="exact"/>
              <w:rPr>
                <w:rFonts w:ascii="宋体" w:hAnsi="宋体" w:cs="宋体"/>
                <w:color w:val="auto"/>
                <w:szCs w:val="21"/>
                <w:highlight w:val="none"/>
              </w:rPr>
            </w:pPr>
            <w:r>
              <w:rPr>
                <w:rFonts w:hint="eastAsia" w:ascii="宋体" w:hAnsi="宋体" w:cs="宋体"/>
                <w:color w:val="auto"/>
                <w:szCs w:val="21"/>
                <w:highlight w:val="none"/>
              </w:rPr>
              <w:t>签约时间：   年  月   日</w:t>
            </w:r>
          </w:p>
        </w:tc>
      </w:tr>
      <w:tr>
        <w:tblPrEx>
          <w:tblCellMar>
            <w:top w:w="0" w:type="dxa"/>
            <w:left w:w="108" w:type="dxa"/>
            <w:bottom w:w="0" w:type="dxa"/>
            <w:right w:w="108" w:type="dxa"/>
          </w:tblCellMar>
        </w:tblPrEx>
        <w:trPr>
          <w:gridAfter w:val="1"/>
          <w:wAfter w:w="3960" w:type="dxa"/>
          <w:trHeight w:val="632"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鉴证方：浙江国际招投标有限公司（公章）</w:t>
            </w:r>
          </w:p>
        </w:tc>
      </w:tr>
      <w:tr>
        <w:tblPrEx>
          <w:tblCellMar>
            <w:top w:w="0" w:type="dxa"/>
            <w:left w:w="108" w:type="dxa"/>
            <w:bottom w:w="0" w:type="dxa"/>
            <w:right w:w="108" w:type="dxa"/>
          </w:tblCellMar>
        </w:tblPrEx>
        <w:trPr>
          <w:gridAfter w:val="1"/>
          <w:wAfter w:w="3960" w:type="dxa"/>
          <w:trHeight w:val="632"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法定代表人或受委托人：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（签字）</w:t>
            </w:r>
          </w:p>
        </w:tc>
      </w:tr>
      <w:tr>
        <w:tblPrEx>
          <w:tblCellMar>
            <w:top w:w="0" w:type="dxa"/>
            <w:left w:w="108" w:type="dxa"/>
            <w:bottom w:w="0" w:type="dxa"/>
            <w:right w:w="108" w:type="dxa"/>
          </w:tblCellMar>
        </w:tblPrEx>
        <w:trPr>
          <w:gridAfter w:val="1"/>
          <w:wAfter w:w="3960" w:type="dxa"/>
          <w:trHeight w:val="576" w:hRule="atLeast"/>
        </w:trPr>
        <w:tc>
          <w:tcPr>
            <w:tcW w:w="4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地址：杭州市西湖区文三路90号1号楼3楼</w:t>
            </w:r>
          </w:p>
        </w:tc>
      </w:tr>
      <w:tr>
        <w:tblPrEx>
          <w:tblCellMar>
            <w:top w:w="0" w:type="dxa"/>
            <w:left w:w="108" w:type="dxa"/>
            <w:bottom w:w="0" w:type="dxa"/>
            <w:right w:w="108" w:type="dxa"/>
          </w:tblCellMar>
        </w:tblPrEx>
        <w:trPr>
          <w:gridAfter w:val="1"/>
          <w:wAfter w:w="3960" w:type="dxa"/>
        </w:trPr>
        <w:tc>
          <w:tcPr>
            <w:tcW w:w="4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电话：0571-81061821</w:t>
            </w:r>
            <w:r>
              <w:rPr>
                <w:rFonts w:hint="eastAsia" w:ascii="宋体" w:hAnsi="宋体" w:cs="宋体"/>
                <w:color w:val="auto"/>
                <w:szCs w:val="21"/>
                <w:highlight w:val="none"/>
              </w:rPr>
              <w:tab/>
            </w:r>
          </w:p>
        </w:tc>
      </w:tr>
      <w:tr>
        <w:tblPrEx>
          <w:tblCellMar>
            <w:top w:w="0" w:type="dxa"/>
            <w:left w:w="108" w:type="dxa"/>
            <w:bottom w:w="0" w:type="dxa"/>
            <w:right w:w="108" w:type="dxa"/>
          </w:tblCellMar>
        </w:tblPrEx>
        <w:trPr>
          <w:gridAfter w:val="1"/>
          <w:wAfter w:w="3960" w:type="dxa"/>
        </w:trPr>
        <w:tc>
          <w:tcPr>
            <w:tcW w:w="4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签约时间：   年  月   日</w:t>
            </w:r>
          </w:p>
        </w:tc>
      </w:tr>
    </w:tbl>
    <w:p>
      <w:pPr>
        <w:jc w:val="center"/>
        <w:rPr>
          <w:rFonts w:ascii="宋体" w:hAnsi="宋体" w:cs="宋体"/>
          <w:b/>
          <w:bCs/>
          <w:color w:val="auto"/>
          <w:sz w:val="28"/>
          <w:highlight w:val="none"/>
        </w:rPr>
      </w:pPr>
    </w:p>
    <w:p>
      <w:pPr>
        <w:jc w:val="center"/>
        <w:rPr>
          <w:rFonts w:ascii="宋体" w:hAnsi="宋体" w:cs="宋体"/>
          <w:b/>
          <w:color w:val="auto"/>
          <w:sz w:val="30"/>
          <w:szCs w:val="30"/>
          <w:highlight w:val="none"/>
        </w:rPr>
      </w:pPr>
      <w:r>
        <w:rPr>
          <w:rStyle w:val="46"/>
          <w:rFonts w:hint="eastAsia" w:ascii="宋体" w:hAnsi="宋体"/>
          <w:color w:val="auto"/>
          <w:sz w:val="30"/>
          <w:szCs w:val="30"/>
          <w:highlight w:val="none"/>
        </w:rPr>
        <w:br w:type="page"/>
      </w:r>
      <w:bookmarkStart w:id="148" w:name="_Toc17482"/>
      <w:r>
        <w:rPr>
          <w:rStyle w:val="46"/>
          <w:rFonts w:hint="eastAsia" w:ascii="宋体" w:hAnsi="宋体" w:eastAsia="宋体"/>
          <w:color w:val="auto"/>
          <w:sz w:val="30"/>
          <w:szCs w:val="30"/>
          <w:highlight w:val="none"/>
        </w:rPr>
        <w:t>第五部分</w:t>
      </w:r>
      <w:r>
        <w:rPr>
          <w:rStyle w:val="46"/>
          <w:rFonts w:hint="eastAsia" w:ascii="宋体" w:hAnsi="宋体"/>
          <w:color w:val="auto"/>
          <w:sz w:val="30"/>
          <w:szCs w:val="30"/>
          <w:highlight w:val="none"/>
        </w:rPr>
        <w:t xml:space="preserve">  </w:t>
      </w:r>
      <w:r>
        <w:rPr>
          <w:rStyle w:val="46"/>
          <w:rFonts w:hint="eastAsia" w:ascii="宋体" w:hAnsi="宋体" w:eastAsia="宋体"/>
          <w:color w:val="auto"/>
          <w:sz w:val="30"/>
          <w:szCs w:val="30"/>
          <w:highlight w:val="none"/>
        </w:rPr>
        <w:t>评标办法（综合评分法）</w:t>
      </w:r>
      <w:bookmarkEnd w:id="135"/>
      <w:bookmarkEnd w:id="136"/>
      <w:bookmarkEnd w:id="137"/>
      <w:bookmarkEnd w:id="138"/>
      <w:bookmarkEnd w:id="139"/>
      <w:bookmarkEnd w:id="140"/>
      <w:bookmarkEnd w:id="141"/>
      <w:bookmarkEnd w:id="148"/>
    </w:p>
    <w:p>
      <w:pPr>
        <w:tabs>
          <w:tab w:val="left" w:pos="735"/>
        </w:tabs>
        <w:adjustRightInd w:val="0"/>
        <w:snapToGrid w:val="0"/>
        <w:spacing w:line="360" w:lineRule="auto"/>
        <w:ind w:firstLine="420" w:firstLineChars="200"/>
        <w:rPr>
          <w:rFonts w:ascii="宋体" w:hAnsi="宋体" w:cs="宋体"/>
          <w:snapToGrid w:val="0"/>
          <w:color w:val="auto"/>
          <w:kern w:val="0"/>
          <w:szCs w:val="21"/>
          <w:highlight w:val="none"/>
        </w:rPr>
      </w:pPr>
    </w:p>
    <w:p>
      <w:pPr>
        <w:tabs>
          <w:tab w:val="left" w:pos="735"/>
        </w:tabs>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snapToGrid w:val="0"/>
          <w:color w:val="auto"/>
          <w:kern w:val="0"/>
          <w:szCs w:val="21"/>
          <w:highlight w:val="none"/>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int="eastAsia" w:ascii="宋体" w:hAnsi="宋体" w:cs="宋体"/>
          <w:color w:val="auto"/>
          <w:szCs w:val="21"/>
          <w:highlight w:val="none"/>
        </w:rPr>
        <w:t>。</w:t>
      </w:r>
    </w:p>
    <w:p>
      <w:pPr>
        <w:pStyle w:val="3"/>
        <w:snapToGrid w:val="0"/>
        <w:spacing w:before="0" w:after="0" w:line="360" w:lineRule="auto"/>
        <w:rPr>
          <w:rFonts w:ascii="宋体" w:hAnsi="宋体" w:eastAsia="宋体"/>
          <w:color w:val="auto"/>
          <w:sz w:val="21"/>
          <w:szCs w:val="21"/>
          <w:highlight w:val="none"/>
        </w:rPr>
      </w:pPr>
      <w:bookmarkStart w:id="149" w:name="_Toc7363"/>
      <w:bookmarkStart w:id="150" w:name="_Toc23956"/>
      <w:bookmarkStart w:id="151" w:name="_Toc18962"/>
      <w:bookmarkStart w:id="152" w:name="_Toc19840"/>
      <w:bookmarkStart w:id="153" w:name="_Toc12843"/>
      <w:r>
        <w:rPr>
          <w:rFonts w:hint="eastAsia" w:ascii="宋体" w:hAnsi="宋体" w:eastAsia="宋体"/>
          <w:color w:val="auto"/>
          <w:sz w:val="21"/>
          <w:szCs w:val="21"/>
          <w:highlight w:val="none"/>
        </w:rPr>
        <w:t>一、总则</w:t>
      </w:r>
      <w:bookmarkEnd w:id="149"/>
      <w:bookmarkEnd w:id="150"/>
      <w:bookmarkEnd w:id="151"/>
      <w:bookmarkEnd w:id="152"/>
      <w:bookmarkEnd w:id="153"/>
    </w:p>
    <w:p>
      <w:pPr>
        <w:adjustRightInd w:val="0"/>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3"/>
        <w:snapToGrid w:val="0"/>
        <w:spacing w:before="0" w:after="0" w:line="360" w:lineRule="auto"/>
        <w:rPr>
          <w:rFonts w:ascii="宋体" w:hAnsi="宋体" w:eastAsia="宋体"/>
          <w:color w:val="auto"/>
          <w:sz w:val="21"/>
          <w:szCs w:val="21"/>
          <w:highlight w:val="none"/>
        </w:rPr>
      </w:pPr>
      <w:bookmarkStart w:id="154" w:name="_Toc7677"/>
      <w:bookmarkStart w:id="155" w:name="_Toc31959"/>
      <w:bookmarkStart w:id="156" w:name="_Toc14650"/>
      <w:bookmarkStart w:id="157" w:name="_Toc18277"/>
      <w:bookmarkStart w:id="158" w:name="_Toc32306"/>
      <w:r>
        <w:rPr>
          <w:rFonts w:hint="eastAsia" w:ascii="宋体" w:hAnsi="宋体" w:eastAsia="宋体"/>
          <w:color w:val="auto"/>
          <w:sz w:val="21"/>
          <w:szCs w:val="21"/>
          <w:highlight w:val="none"/>
        </w:rPr>
        <w:t>二、评标组织</w:t>
      </w:r>
      <w:bookmarkEnd w:id="154"/>
      <w:bookmarkEnd w:id="155"/>
      <w:bookmarkEnd w:id="156"/>
      <w:bookmarkEnd w:id="157"/>
      <w:bookmarkEnd w:id="158"/>
    </w:p>
    <w:p>
      <w:pPr>
        <w:adjustRightInd w:val="0"/>
        <w:snapToGrid w:val="0"/>
        <w:spacing w:line="360" w:lineRule="auto"/>
        <w:ind w:firstLine="420" w:firstLineChars="200"/>
        <w:rPr>
          <w:rFonts w:ascii="宋体" w:hAnsi="宋体" w:cs="宋体"/>
          <w:snapToGrid w:val="0"/>
          <w:color w:val="auto"/>
          <w:kern w:val="0"/>
          <w:szCs w:val="21"/>
          <w:highlight w:val="none"/>
        </w:rPr>
      </w:pPr>
      <w:bookmarkStart w:id="159" w:name="_Toc18118"/>
      <w:r>
        <w:rPr>
          <w:rFonts w:hint="eastAsia" w:ascii="宋体" w:hAnsi="宋体" w:cs="宋体"/>
          <w:snapToGrid w:val="0"/>
          <w:color w:val="auto"/>
          <w:kern w:val="0"/>
          <w:szCs w:val="21"/>
          <w:highlight w:val="none"/>
        </w:rPr>
        <w:t>评标委员会由采购人代表和评审专家组成，成员人数应当为 5 人（含）以上单数，其中评审专家不得少于成员总数的三分之二。采购预算金额在 1000 万元以上、技术复杂、社会影响较大的项目，评标委员会成员人数应当为 7 人（含）以上单数。评标委员会负责对投标文件进行审查、质询、评审等。</w:t>
      </w:r>
    </w:p>
    <w:p>
      <w:pPr>
        <w:pStyle w:val="3"/>
        <w:snapToGrid w:val="0"/>
        <w:spacing w:before="0" w:after="0" w:line="360" w:lineRule="auto"/>
        <w:rPr>
          <w:rFonts w:ascii="宋体" w:hAnsi="宋体" w:eastAsia="宋体"/>
          <w:color w:val="auto"/>
          <w:sz w:val="21"/>
          <w:szCs w:val="21"/>
          <w:highlight w:val="none"/>
        </w:rPr>
      </w:pPr>
      <w:bookmarkStart w:id="160" w:name="_Toc31259"/>
      <w:bookmarkStart w:id="161" w:name="_Toc21085"/>
      <w:bookmarkStart w:id="162" w:name="_Toc27167"/>
      <w:bookmarkStart w:id="163" w:name="_Toc16161"/>
      <w:r>
        <w:rPr>
          <w:rFonts w:hint="eastAsia" w:ascii="宋体" w:hAnsi="宋体" w:eastAsia="宋体"/>
          <w:color w:val="auto"/>
          <w:sz w:val="21"/>
          <w:szCs w:val="21"/>
          <w:highlight w:val="none"/>
        </w:rPr>
        <w:t>三、评标纪律</w:t>
      </w:r>
      <w:bookmarkEnd w:id="159"/>
      <w:bookmarkEnd w:id="160"/>
      <w:bookmarkEnd w:id="161"/>
      <w:bookmarkEnd w:id="162"/>
      <w:bookmarkEnd w:id="163"/>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1．评标是招标工作的重要环节，评标工作在评标委员会内独立进行。评标委员会将按照评标原则的要求，公正、平等地对待所有投标人。</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2．所有评标人员应忠于职守、廉洁自律、秉公办事、不徇私情。</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3．评标人员不得接受或参加投标人或与投标有关的单位、组织或个人的有碍公务的宴请、娱乐活动等，不得以任何形式弄虚作假。</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4．评标期间，评标人员不得随意出入评标地点、与外界通讯、会客等。</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5．在投标文件的审查、澄清、评价和比较以及授予合同的过程中，投标人对采购人、采购代理机构人员及评标委员会成员施加影响的任何行为，都将导致被取消投标资格。</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8．评标结束后，各评标人员应将全部资料整理上交采购人，严禁将评标过程中的任何资料带出评标现场向投标人或其他单位提供。</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9．在中标结果公布前应对评标委员会成员名单予以保密。</w:t>
      </w:r>
    </w:p>
    <w:p>
      <w:pPr>
        <w:adjustRightInd w:val="0"/>
        <w:snapToGrid w:val="0"/>
        <w:spacing w:line="360" w:lineRule="auto"/>
        <w:ind w:firstLine="424" w:firstLineChars="202"/>
        <w:rPr>
          <w:rFonts w:ascii="宋体" w:hAnsi="宋体" w:cs="宋体"/>
          <w:color w:val="auto"/>
          <w:szCs w:val="21"/>
          <w:highlight w:val="none"/>
        </w:rPr>
      </w:pPr>
      <w:r>
        <w:rPr>
          <w:rFonts w:hint="eastAsia" w:ascii="宋体" w:hAnsi="宋体" w:cs="宋体"/>
          <w:color w:val="auto"/>
          <w:szCs w:val="21"/>
          <w:highlight w:val="none"/>
        </w:rPr>
        <w:t>10．评标委员会对各投标人的商业秘密予以保密。</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12．在整个评标过程中，投标人企图影响招标结果的任何活动，可能导致其投标失败。如有违法行为，将依法追究其法律责任。</w:t>
      </w:r>
    </w:p>
    <w:p>
      <w:pPr>
        <w:pStyle w:val="3"/>
        <w:snapToGrid w:val="0"/>
        <w:spacing w:before="0" w:after="0" w:line="360" w:lineRule="auto"/>
        <w:rPr>
          <w:rFonts w:ascii="宋体" w:hAnsi="宋体" w:eastAsia="宋体"/>
          <w:color w:val="auto"/>
          <w:sz w:val="21"/>
          <w:szCs w:val="21"/>
          <w:highlight w:val="none"/>
        </w:rPr>
      </w:pPr>
      <w:bookmarkStart w:id="164" w:name="_Toc17717"/>
      <w:bookmarkStart w:id="165" w:name="_Toc19445"/>
      <w:bookmarkStart w:id="166" w:name="_Toc13222"/>
      <w:bookmarkStart w:id="167" w:name="_Toc5927"/>
      <w:bookmarkStart w:id="168" w:name="_Toc21334"/>
      <w:bookmarkStart w:id="169" w:name="_Toc6498"/>
      <w:r>
        <w:rPr>
          <w:rFonts w:hint="eastAsia" w:ascii="宋体" w:hAnsi="宋体" w:eastAsia="宋体"/>
          <w:color w:val="auto"/>
          <w:sz w:val="21"/>
          <w:szCs w:val="21"/>
          <w:highlight w:val="none"/>
        </w:rPr>
        <w:t>四、评标程序</w:t>
      </w:r>
      <w:bookmarkEnd w:id="164"/>
      <w:bookmarkEnd w:id="165"/>
      <w:bookmarkEnd w:id="166"/>
      <w:bookmarkEnd w:id="167"/>
      <w:bookmarkEnd w:id="168"/>
      <w:bookmarkEnd w:id="169"/>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1．本项目采用不公开方式评标，评标的依据为采购文件和投标文件。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2．熟悉采购文件和评标办法。</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3．采购代理机构按照采购文件规定的时间、地点及程序组织评审。流程如下：</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开启评审场地的录音录像采集设备，并确保其正常运行。</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核验出席评审活动现场的评审小组各成员和相关监督人员身份，并要求其分别登记、签到，按规定统一收缴、保存其通讯工具，无关人员一律拒绝其进入评审现场。</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介绍评审现场的人员情况，宣布评审工作纪律，告知评审人员应当回避情形；组织推选评审小组组长。</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通报报名参加本项目采购的投标人名单及资格预审情况（如有），宣读最终提交采购响应文件的投标人名单，组织评审小组各位成员签订《政府采购评审人员廉洁自律承诺书》。</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根据需要简要介绍采购文件（含补充文件）制定及质疑答复情况、按书面陈述项目基本情况及评审工作需注意事项等。</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评审小组组长组织评审人员独立评审。评标程序见本文件投标须知第21.4条。</w:t>
      </w:r>
    </w:p>
    <w:p>
      <w:pPr>
        <w:tabs>
          <w:tab w:val="left" w:pos="851"/>
          <w:tab w:val="left" w:pos="993"/>
        </w:tabs>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审小组对拟认定为采购响应文件无效、投标人资格不符合的，应组织相关投标人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评审小组根据评审汇总情况和采购文件规定确定中标（成交）候选供应商排序名单。</w:t>
      </w:r>
    </w:p>
    <w:p>
      <w:pPr>
        <w:numPr>
          <w:ilvl w:val="1"/>
          <w:numId w:val="12"/>
        </w:numPr>
        <w:tabs>
          <w:tab w:val="left" w:pos="851"/>
          <w:tab w:val="left" w:pos="993"/>
        </w:tabs>
        <w:adjustRightInd w:val="0"/>
        <w:snapToGrid w:val="0"/>
        <w:spacing w:line="360" w:lineRule="auto"/>
        <w:ind w:left="0" w:firstLine="426"/>
        <w:rPr>
          <w:rFonts w:ascii="宋体" w:hAnsi="宋体" w:cs="宋体"/>
          <w:color w:val="auto"/>
          <w:szCs w:val="21"/>
          <w:highlight w:val="none"/>
        </w:rPr>
      </w:pPr>
      <w:r>
        <w:rPr>
          <w:rFonts w:hint="eastAsia" w:ascii="宋体" w:hAnsi="宋体" w:cs="宋体"/>
          <w:color w:val="auto"/>
          <w:szCs w:val="21"/>
          <w:highlight w:val="none"/>
        </w:rPr>
        <w:t>起草评审报告，所有评审人员须在评审报告上签字确认。</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而非采购人有利的解释；对因采购文件中有关产品技术参数需求表述不清导致</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实质性响应不一致时，应终止评审，重新组织采购。评审人员拒绝在评审报告中签字又不说明其不同意见或理由的，由现场监督员记录在案后，可视为同意评审结果。</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评标报告是评标委员会根据全体评标成员签字的原始评标记录和评标结果编写的报告，其主要内容包括：</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（1）采购公告刊登的媒体名称、开标日期和地点；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（2）获取采购文件的投标人名单和评标委员会成员名单；</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（3）评标方法和标准；</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（4）开标记录和评标情况及说明，包括投标无效投标人名单及原因；</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（5）评标结果和中标候选人排序；</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（6）评标委员会的授标建议。</w:t>
      </w:r>
    </w:p>
    <w:p>
      <w:pPr>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4.评标程序</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4.1投标文件初审。初审分为资格性检查和符合性检查。</w:t>
      </w:r>
    </w:p>
    <w:p>
      <w:pPr>
        <w:numPr>
          <w:ilvl w:val="0"/>
          <w:numId w:val="13"/>
        </w:num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资格性检查。</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开标后，采购人或采购代理机构将依据法律法规和投标须知第9.1条规定对投标人的基本资格条件、落实政府采购政策需满足的资格要求及特定资格条件进行审查。</w:t>
      </w:r>
    </w:p>
    <w:p>
      <w:pPr>
        <w:numPr>
          <w:ilvl w:val="0"/>
          <w:numId w:val="13"/>
        </w:num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符合性检查。依据采购文件的规定，从投标文件的有效性、完整性和对采购文件的响应程度进行审查，以确定是否对采购文件的实质性要求作出响应。具体审查内容见“无效投标的认定”。</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评标委员会决定投标文件的响应性只根据投标文件本身的内容，而不寻求外部证据。</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如果投标文件没有实质上响应采购文件的要求，评标委员会将判定无效，投标人不得通过修改或撤销不合要求的偏离或保留而使其投标成为实质性响应的投标。</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澄清有关问题。在评标期间，对投标文件中含义不明确、同类问题表述不一致或者有明显文字和计算错误的内容，可由评审组长将问题汇总后发起询标澄清函（或由采购代理机构代替评审组长发起询标澄清函）。投标人的澄清、说明或者补正不得超出投标文件的范围或者改变投标文件的实质性内容。</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的澄清、说明或者补正应当加盖</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电子签章后上传提交（或通过平台上传经授权代表签字或加盖公章的扫描件）。</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除邮件交互外，如政采云平台提供信息发布、澄清说明、数据交换等操作方式的，或者政采云系统平台有新的操作流程的，按其规定。</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4.3修正原则</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投标文件报价出现前后不一致的，按照下列规定修正：</w:t>
      </w:r>
    </w:p>
    <w:p>
      <w:pPr>
        <w:numPr>
          <w:ilvl w:val="0"/>
          <w:numId w:val="14"/>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投标文件中开标一览表(报价表)内容与投标文件中相应内容不一致的，以开标一览表(报价表)为准；</w:t>
      </w:r>
    </w:p>
    <w:p>
      <w:pPr>
        <w:numPr>
          <w:ilvl w:val="0"/>
          <w:numId w:val="14"/>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大写金额和小写金额不一致的，以大写金额为准；</w:t>
      </w:r>
    </w:p>
    <w:p>
      <w:pPr>
        <w:numPr>
          <w:ilvl w:val="0"/>
          <w:numId w:val="14"/>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单价金额小数点或者百分比有明显错位的，以开标一览表的总价为准，并修改单价；</w:t>
      </w:r>
    </w:p>
    <w:p>
      <w:pPr>
        <w:numPr>
          <w:ilvl w:val="0"/>
          <w:numId w:val="14"/>
        </w:numPr>
        <w:tabs>
          <w:tab w:val="left" w:pos="630"/>
          <w:tab w:val="left" w:pos="840"/>
          <w:tab w:val="left" w:pos="1050"/>
        </w:tabs>
        <w:adjustRightInd w:val="0"/>
        <w:snapToGrid w:val="0"/>
        <w:spacing w:line="360" w:lineRule="auto"/>
        <w:ind w:left="5" w:firstLine="635"/>
        <w:jc w:val="left"/>
        <w:rPr>
          <w:rFonts w:ascii="宋体" w:hAnsi="宋体" w:cs="宋体"/>
          <w:color w:val="auto"/>
          <w:szCs w:val="21"/>
          <w:highlight w:val="none"/>
        </w:rPr>
      </w:pPr>
      <w:r>
        <w:rPr>
          <w:rFonts w:hint="eastAsia" w:ascii="宋体" w:hAnsi="宋体" w:cs="宋体"/>
          <w:color w:val="auto"/>
          <w:szCs w:val="21"/>
          <w:highlight w:val="none"/>
        </w:rPr>
        <w:t>总价金额与按单价汇总金额不一致的，以单价金额计算结果为准。</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(5)政采云平台填报的开标一览表中的价格与上传的报价响应文件中开标一览表的报价不一致的，以上传的报价响应文件中开标一览表的价格为准，修正平台上的投标报价。</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4.4比较与评价。</w:t>
      </w:r>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按采购文件中规定的评标方法和标准，对资格性检查和符合性检查合格的投标文件进行商务和技术评估，综合比较与评价。</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4.5按采购文件中规定的评标方法和标准，对投标人进行排序，并推荐中标候选人。</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4.6编写评标报告。</w:t>
      </w:r>
    </w:p>
    <w:p>
      <w:pPr>
        <w:adjustRightInd w:val="0"/>
        <w:snapToGrid w:val="0"/>
        <w:spacing w:line="360" w:lineRule="auto"/>
        <w:ind w:firstLine="420" w:firstLineChars="2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4.7 各标项分别单独投标、评审和推荐中标供应商候选人。</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5．无效投标的认定</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5.1资格审查阶段</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未按照采购文件投标须知9.1条要求提供与基本资格条件、落实政府采购政策需满足的资格要求及特定资格条件相应的有效资格证明材料的，视为投标人不具备采购文件中规定的资格要求，其资格审查不通过。</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5.2商务技术文件评审阶段</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审时，对投标人的技术文件、商务资信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5.2.1如发现下列情形之一的，商务文件将被视为无效投标：</w:t>
      </w:r>
    </w:p>
    <w:p>
      <w:pPr>
        <w:numPr>
          <w:ilvl w:val="0"/>
          <w:numId w:val="15"/>
        </w:numPr>
        <w:tabs>
          <w:tab w:val="left" w:pos="900"/>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投标文件中授权委托书所载内容与本项目内容有异的或者授权委托书未按照采购文件要求签署、盖章的；</w:t>
      </w:r>
    </w:p>
    <w:p>
      <w:pPr>
        <w:numPr>
          <w:ilvl w:val="0"/>
          <w:numId w:val="15"/>
        </w:numPr>
        <w:tabs>
          <w:tab w:val="left" w:pos="900"/>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投标文件内容弄虚作假的；</w:t>
      </w:r>
    </w:p>
    <w:p>
      <w:pPr>
        <w:numPr>
          <w:ilvl w:val="0"/>
          <w:numId w:val="15"/>
        </w:numPr>
        <w:tabs>
          <w:tab w:val="left" w:pos="900"/>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商务文件未按采购文件要求盖章的；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snapToGrid w:val="0"/>
          <w:color w:val="auto"/>
          <w:kern w:val="0"/>
          <w:szCs w:val="21"/>
          <w:highlight w:val="none"/>
        </w:rPr>
      </w:pPr>
      <w:r>
        <w:rPr>
          <w:rFonts w:hint="eastAsia" w:ascii="宋体" w:hAnsi="宋体" w:cs="宋体"/>
          <w:b/>
          <w:bCs/>
          <w:color w:val="auto"/>
          <w:szCs w:val="21"/>
          <w:highlight w:val="none"/>
        </w:rPr>
        <w:t>不响应采购文件标注“</w:t>
      </w:r>
      <w:r>
        <w:rPr>
          <w:rFonts w:hint="eastAsia" w:ascii="宋体" w:hAnsi="宋体" w:cs="宋体"/>
          <w:snapToGrid w:val="0"/>
          <w:color w:val="auto"/>
          <w:kern w:val="0"/>
          <w:szCs w:val="21"/>
          <w:highlight w:val="none"/>
        </w:rPr>
        <w:t>▲</w:t>
      </w:r>
      <w:r>
        <w:rPr>
          <w:rFonts w:hint="eastAsia" w:ascii="宋体" w:hAnsi="宋体" w:cs="宋体"/>
          <w:b/>
          <w:bCs/>
          <w:color w:val="auto"/>
          <w:szCs w:val="21"/>
          <w:highlight w:val="none"/>
        </w:rPr>
        <w:t>”条款要求的；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投标有效期、</w:t>
      </w:r>
      <w:r>
        <w:rPr>
          <w:rFonts w:hint="eastAsia" w:ascii="宋体" w:hAnsi="宋体" w:cs="宋体"/>
          <w:b/>
          <w:bCs/>
          <w:color w:val="auto"/>
          <w:szCs w:val="21"/>
          <w:highlight w:val="none"/>
          <w:lang w:val="en-US" w:eastAsia="zh-CN"/>
        </w:rPr>
        <w:t>建设工期</w:t>
      </w:r>
      <w:r>
        <w:rPr>
          <w:rFonts w:hint="eastAsia" w:ascii="宋体" w:hAnsi="宋体" w:cs="宋体"/>
          <w:b/>
          <w:bCs/>
          <w:color w:val="auto"/>
          <w:szCs w:val="21"/>
          <w:highlight w:val="none"/>
        </w:rPr>
        <w:t>等条款不满足采购文件要求的；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投标人有恶意串通、妨碍其他投标人的竞争行为、损害采购人或者其他投标人的合法权益情形的；</w:t>
      </w:r>
    </w:p>
    <w:p>
      <w:pPr>
        <w:numPr>
          <w:ilvl w:val="0"/>
          <w:numId w:val="15"/>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存在法律、法规规定及采购文件规定的其它无效情形的。</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5.2.2如发现下列情形之一的，技术文件将被视为无效投标：</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技术文件未按采购文件要求盖章的；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技术文件标明的响应或偏离与事实不符或虚假投标的；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明显不符合采购内容、质量标准，或者与采购文件中标注“▲”条款存在实质性偏离的；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投标文件含有采购人不能接受的附加条件的；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napToGrid w:val="0"/>
          <w:color w:val="auto"/>
          <w:kern w:val="0"/>
          <w:szCs w:val="21"/>
          <w:highlight w:val="none"/>
        </w:rPr>
      </w:pPr>
      <w:r>
        <w:rPr>
          <w:rFonts w:hint="eastAsia" w:ascii="宋体" w:hAnsi="宋体" w:cs="宋体"/>
          <w:b/>
          <w:bCs/>
          <w:color w:val="auto"/>
          <w:szCs w:val="21"/>
          <w:highlight w:val="none"/>
        </w:rPr>
        <w:t>投标人有恶意串通、妨碍其他投标人的竞争行为、损害采购人或者其他投标人的合法权益情形的；</w:t>
      </w:r>
    </w:p>
    <w:p>
      <w:pPr>
        <w:numPr>
          <w:ilvl w:val="0"/>
          <w:numId w:val="16"/>
        </w:numPr>
        <w:tabs>
          <w:tab w:val="left" w:pos="900"/>
          <w:tab w:val="left" w:pos="1080"/>
        </w:tabs>
        <w:adjustRightInd w:val="0"/>
        <w:snapToGrid w:val="0"/>
        <w:spacing w:line="360" w:lineRule="auto"/>
        <w:ind w:left="0" w:firstLine="36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存在法律、法规规定及采购文件规定的其它无效情形的。</w:t>
      </w:r>
    </w:p>
    <w:p>
      <w:pPr>
        <w:adjustRightInd w:val="0"/>
        <w:snapToGrid w:val="0"/>
        <w:spacing w:line="360" w:lineRule="auto"/>
        <w:ind w:firstLine="422" w:firstLineChars="200"/>
        <w:jc w:val="left"/>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5.3报价响应文件评审阶段</w:t>
      </w:r>
    </w:p>
    <w:p>
      <w:pPr>
        <w:tabs>
          <w:tab w:val="left" w:pos="900"/>
          <w:tab w:val="left" w:pos="1080"/>
        </w:tabs>
        <w:adjustRightInd w:val="0"/>
        <w:snapToGrid w:val="0"/>
        <w:spacing w:line="360" w:lineRule="auto"/>
        <w:ind w:left="360"/>
        <w:jc w:val="left"/>
        <w:rPr>
          <w:rFonts w:ascii="宋体" w:hAnsi="宋体" w:cs="宋体"/>
          <w:b/>
          <w:bCs/>
          <w:color w:val="auto"/>
          <w:szCs w:val="21"/>
          <w:highlight w:val="none"/>
        </w:rPr>
      </w:pPr>
      <w:r>
        <w:rPr>
          <w:rFonts w:hint="eastAsia" w:ascii="宋体" w:hAnsi="宋体" w:cs="宋体"/>
          <w:snapToGrid w:val="0"/>
          <w:color w:val="auto"/>
          <w:kern w:val="0"/>
          <w:szCs w:val="21"/>
          <w:highlight w:val="none"/>
        </w:rPr>
        <w:t>在报价评审时，如发现下列情形之一的，投标文件将被视为无效：</w:t>
      </w:r>
    </w:p>
    <w:p>
      <w:pPr>
        <w:numPr>
          <w:ilvl w:val="0"/>
          <w:numId w:val="17"/>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报价文件未按采购文件要求盖章的；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开标一览表投标报价为零的（包括投标文件中标明：免费或赠予）或其报价（大写）无法按正常书写方式进行报价唱标的或无投标报价的；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投标文件中的投标报价出现前后不一致等本部分第4.3条适用的情形时，投标人不同意按本部分“第4.3修正原则”进行修正并确认的；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政采云平台上传的报价响应文件缺少最基本的报价内容（如开标一览表）的；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bCs/>
          <w:color w:val="auto"/>
          <w:szCs w:val="21"/>
          <w:highlight w:val="none"/>
        </w:rPr>
        <w:t>报价明细表存在缺漏项的；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bCs/>
          <w:color w:val="auto"/>
          <w:szCs w:val="21"/>
          <w:highlight w:val="none"/>
        </w:rPr>
      </w:pPr>
      <w:r>
        <w:rPr>
          <w:rFonts w:hint="eastAsia" w:ascii="宋体" w:hAnsi="宋体" w:cs="宋体"/>
          <w:b/>
          <w:snapToGrid w:val="0"/>
          <w:color w:val="auto"/>
          <w:kern w:val="0"/>
          <w:highlight w:val="none"/>
        </w:rPr>
        <w:t>投标人提交两份或多份内容不同的报价响应文件，或在一份报价响应文件中对同一内容报有两个或多个报价，且未声明哪一个为最终报价的；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投标报价超过采购文件中规定的预算金额（或最高限价）的；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投标人有恶意串通、妨碍其他投标人的竞争行为、损害采购人或者其他投标人的合法权益情形的；</w:t>
      </w:r>
    </w:p>
    <w:p>
      <w:pPr>
        <w:numPr>
          <w:ilvl w:val="0"/>
          <w:numId w:val="17"/>
        </w:numPr>
        <w:tabs>
          <w:tab w:val="left" w:pos="900"/>
          <w:tab w:val="left" w:pos="1080"/>
        </w:tabs>
        <w:adjustRightInd w:val="0"/>
        <w:snapToGrid w:val="0"/>
        <w:spacing w:line="360" w:lineRule="auto"/>
        <w:ind w:left="0" w:firstLine="360"/>
        <w:jc w:val="left"/>
        <w:rPr>
          <w:rFonts w:ascii="宋体" w:hAnsi="宋体" w:cs="宋体"/>
          <w:b/>
          <w:snapToGrid w:val="0"/>
          <w:color w:val="auto"/>
          <w:kern w:val="0"/>
          <w:highlight w:val="none"/>
        </w:rPr>
      </w:pPr>
      <w:r>
        <w:rPr>
          <w:rFonts w:hint="eastAsia" w:ascii="宋体" w:hAnsi="宋体" w:cs="宋体"/>
          <w:b/>
          <w:snapToGrid w:val="0"/>
          <w:color w:val="auto"/>
          <w:kern w:val="0"/>
          <w:highlight w:val="none"/>
        </w:rPr>
        <w:t>存在法律、法规规定及采购文件规定的其它无效情形的。</w:t>
      </w:r>
    </w:p>
    <w:p>
      <w:pPr>
        <w:pStyle w:val="3"/>
        <w:numPr>
          <w:ilvl w:val="0"/>
          <w:numId w:val="18"/>
        </w:numPr>
        <w:snapToGrid w:val="0"/>
        <w:spacing w:before="0" w:after="0" w:line="360" w:lineRule="auto"/>
        <w:rPr>
          <w:rFonts w:hint="eastAsia" w:ascii="宋体" w:hAnsi="宋体" w:eastAsia="宋体" w:cs="宋体"/>
          <w:color w:val="auto"/>
          <w:sz w:val="21"/>
          <w:szCs w:val="21"/>
          <w:highlight w:val="none"/>
        </w:rPr>
      </w:pPr>
      <w:bookmarkStart w:id="170" w:name="_Toc251566666"/>
      <w:bookmarkStart w:id="171" w:name="_Toc249760795"/>
      <w:bookmarkStart w:id="172" w:name="_Toc15564"/>
      <w:bookmarkStart w:id="173" w:name="_Toc11517"/>
      <w:bookmarkStart w:id="174" w:name="_Toc600"/>
      <w:bookmarkStart w:id="175" w:name="_Toc20349"/>
      <w:bookmarkStart w:id="176" w:name="_Toc14251"/>
      <w:bookmarkStart w:id="177" w:name="_Toc2295"/>
      <w:r>
        <w:rPr>
          <w:rFonts w:hint="eastAsia" w:ascii="宋体" w:hAnsi="宋体" w:eastAsia="宋体" w:cs="宋体"/>
          <w:color w:val="auto"/>
          <w:sz w:val="21"/>
          <w:szCs w:val="21"/>
          <w:highlight w:val="none"/>
        </w:rPr>
        <w:t>评标</w:t>
      </w:r>
      <w:bookmarkEnd w:id="170"/>
      <w:bookmarkEnd w:id="171"/>
      <w:r>
        <w:rPr>
          <w:rFonts w:hint="eastAsia" w:ascii="宋体" w:hAnsi="宋体" w:eastAsia="宋体" w:cs="宋体"/>
          <w:color w:val="auto"/>
          <w:sz w:val="21"/>
          <w:szCs w:val="21"/>
          <w:highlight w:val="none"/>
        </w:rPr>
        <w:t>细则及标准</w:t>
      </w:r>
      <w:bookmarkEnd w:id="172"/>
      <w:bookmarkEnd w:id="173"/>
      <w:bookmarkEnd w:id="174"/>
      <w:bookmarkEnd w:id="175"/>
      <w:bookmarkEnd w:id="176"/>
      <w:bookmarkEnd w:id="177"/>
    </w:p>
    <w:tbl>
      <w:tblPr>
        <w:tblStyle w:val="37"/>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65"/>
        <w:gridCol w:w="6933"/>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76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评分内容</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商务</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rPr>
                <w:rFonts w:ascii="宋体" w:hAnsi="宋体" w:cs="宋体"/>
                <w:color w:val="auto"/>
                <w:szCs w:val="21"/>
                <w:highlight w:val="none"/>
              </w:rPr>
            </w:pPr>
            <w:r>
              <w:rPr>
                <w:rFonts w:hint="default" w:ascii="宋体" w:hAnsi="宋体" w:eastAsia="宋体" w:cs="宋体"/>
                <w:bCs/>
                <w:color w:val="auto"/>
                <w:szCs w:val="21"/>
                <w:highlight w:val="none"/>
                <w:lang w:val="en-US" w:eastAsia="zh-CN" w:bidi="ar"/>
              </w:rPr>
              <w:t>投标人具有与药品生产监管、药品追溯监管、风险预警上报等相关软件著作权登记证书的，</w:t>
            </w:r>
            <w:r>
              <w:rPr>
                <w:rFonts w:hint="eastAsia" w:ascii="宋体" w:hAnsi="宋体" w:eastAsia="宋体" w:cs="宋体"/>
                <w:bCs/>
                <w:color w:val="auto"/>
                <w:szCs w:val="21"/>
                <w:highlight w:val="none"/>
                <w:lang w:val="en-US" w:eastAsia="zh-Hans" w:bidi="ar"/>
              </w:rPr>
              <w:t>提供证明材料</w:t>
            </w:r>
            <w:r>
              <w:rPr>
                <w:rFonts w:hint="default" w:ascii="宋体" w:hAnsi="宋体" w:eastAsia="宋体" w:cs="宋体"/>
                <w:bCs/>
                <w:color w:val="auto"/>
                <w:szCs w:val="21"/>
                <w:highlight w:val="none"/>
                <w:lang w:val="en-US" w:eastAsia="zh-CN" w:bidi="ar"/>
              </w:rPr>
              <w:t>每提供1个得1分，</w:t>
            </w:r>
            <w:r>
              <w:rPr>
                <w:rFonts w:hint="eastAsia" w:ascii="宋体" w:hAnsi="宋体" w:eastAsia="宋体" w:cs="宋体"/>
                <w:bCs/>
                <w:color w:val="auto"/>
                <w:szCs w:val="21"/>
                <w:highlight w:val="none"/>
                <w:lang w:val="en-US" w:eastAsia="zh-Hans" w:bidi="ar"/>
              </w:rPr>
              <w:t>最高</w:t>
            </w:r>
            <w:r>
              <w:rPr>
                <w:rFonts w:hint="default" w:ascii="宋体" w:hAnsi="宋体" w:eastAsia="宋体" w:cs="宋体"/>
                <w:bCs/>
                <w:color w:val="auto"/>
                <w:szCs w:val="21"/>
                <w:highlight w:val="none"/>
                <w:lang w:val="en-US" w:eastAsia="zh-CN" w:bidi="ar"/>
              </w:rPr>
              <w:t>3分，</w:t>
            </w:r>
            <w:r>
              <w:rPr>
                <w:rFonts w:hint="eastAsia" w:ascii="宋体" w:hAnsi="宋体" w:eastAsia="宋体" w:cs="宋体"/>
                <w:bCs/>
                <w:color w:val="auto"/>
                <w:szCs w:val="21"/>
                <w:highlight w:val="none"/>
                <w:lang w:val="en-US" w:eastAsia="zh-Hans" w:bidi="ar"/>
              </w:rPr>
              <w:t>未提供不得分</w:t>
            </w:r>
            <w:r>
              <w:rPr>
                <w:rFonts w:hint="default" w:ascii="宋体" w:hAnsi="宋体" w:eastAsia="宋体" w:cs="宋体"/>
                <w:bCs/>
                <w:color w:val="auto"/>
                <w:szCs w:val="21"/>
                <w:highlight w:val="none"/>
                <w:lang w:val="en-US" w:eastAsia="zh-CN" w:bidi="ar"/>
              </w:rPr>
              <w:t>。</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商务</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cs="宋体"/>
                <w:color w:val="auto"/>
                <w:szCs w:val="21"/>
                <w:highlight w:val="none"/>
              </w:rPr>
            </w:pPr>
            <w:r>
              <w:rPr>
                <w:rFonts w:hint="eastAsia" w:ascii="宋体" w:hAnsi="宋体" w:eastAsia="宋体" w:cs="宋体"/>
                <w:bCs/>
                <w:color w:val="auto"/>
                <w:szCs w:val="21"/>
                <w:highlight w:val="none"/>
                <w:lang w:val="en-US" w:eastAsia="zh-CN" w:bidi="ar"/>
              </w:rPr>
              <w:t xml:space="preserve">自2020年1月1日(以合同签订的最晚落款时间为准)以来,投标人具有相关电子政务业绩的，每个项日得 </w:t>
            </w:r>
            <w:r>
              <w:rPr>
                <w:rFonts w:hint="eastAsia" w:ascii="宋体" w:hAnsi="宋体" w:cs="宋体"/>
                <w:bCs/>
                <w:color w:val="auto"/>
                <w:szCs w:val="21"/>
                <w:highlight w:val="none"/>
                <w:lang w:val="en-US" w:eastAsia="zh-CN" w:bidi="ar"/>
              </w:rPr>
              <w:t>0.5</w:t>
            </w:r>
            <w:r>
              <w:rPr>
                <w:rFonts w:hint="eastAsia" w:ascii="宋体" w:hAnsi="宋体" w:eastAsia="宋体" w:cs="宋体"/>
                <w:bCs/>
                <w:color w:val="auto"/>
                <w:szCs w:val="21"/>
                <w:highlight w:val="none"/>
                <w:lang w:val="en-US" w:eastAsia="zh-CN" w:bidi="ar"/>
              </w:rPr>
              <w:t xml:space="preserve">分，最高得 </w:t>
            </w:r>
            <w:r>
              <w:rPr>
                <w:rFonts w:hint="eastAsia" w:ascii="宋体" w:hAnsi="宋体" w:cs="宋体"/>
                <w:bCs/>
                <w:color w:val="auto"/>
                <w:szCs w:val="21"/>
                <w:highlight w:val="none"/>
                <w:lang w:val="en-US" w:eastAsia="zh-CN" w:bidi="ar"/>
              </w:rPr>
              <w:t>1</w:t>
            </w:r>
            <w:r>
              <w:rPr>
                <w:rFonts w:hint="eastAsia" w:ascii="宋体" w:hAnsi="宋体" w:eastAsia="宋体" w:cs="宋体"/>
                <w:bCs/>
                <w:color w:val="auto"/>
                <w:szCs w:val="21"/>
                <w:highlight w:val="none"/>
                <w:lang w:val="en-US" w:eastAsia="zh-CN" w:bidi="ar"/>
              </w:rPr>
              <w:t>分；须提合同复印件等证明材料，未提供证明材料或证明材料不完善的不得分。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strike/>
                <w:color w:val="auto"/>
                <w:szCs w:val="21"/>
                <w:highlight w:val="none"/>
                <w:lang w:eastAsia="zh-CN"/>
              </w:rPr>
            </w:pPr>
            <w:r>
              <w:rPr>
                <w:rFonts w:hint="eastAsia" w:ascii="宋体" w:hAnsi="宋体" w:cs="宋体"/>
                <w:color w:val="auto"/>
                <w:szCs w:val="21"/>
                <w:highlight w:val="none"/>
                <w:lang w:val="en-US" w:eastAsia="zh-CN"/>
              </w:rPr>
              <w:t>3</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项目理解</w:t>
            </w:r>
            <w:r>
              <w:rPr>
                <w:rFonts w:hint="eastAsia" w:ascii="宋体" w:hAnsi="宋体" w:eastAsia="宋体" w:cs="宋体"/>
                <w:color w:val="auto"/>
                <w:kern w:val="0"/>
                <w:szCs w:val="21"/>
                <w:highlight w:val="none"/>
                <w:lang w:eastAsia="zh-CN"/>
              </w:rPr>
              <w:t>：</w:t>
            </w:r>
          </w:p>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对本项目背景、业务现状及分析、建设目标、内容的理解情况进行评审：</w:t>
            </w:r>
            <w:r>
              <w:rPr>
                <w:rFonts w:hint="eastAsia" w:ascii="宋体" w:hAnsi="宋体" w:eastAsia="宋体" w:cs="宋体"/>
                <w:color w:val="auto"/>
                <w:kern w:val="0"/>
                <w:szCs w:val="21"/>
                <w:highlight w:val="none"/>
              </w:rPr>
              <w:t>对本项目理解透彻得4分，对本项目理解比较全面的</w:t>
            </w:r>
            <w:r>
              <w:rPr>
                <w:rFonts w:hint="eastAsia" w:ascii="宋体" w:hAnsi="宋体" w:eastAsia="宋体" w:cs="宋体"/>
                <w:color w:val="auto"/>
                <w:kern w:val="0"/>
                <w:szCs w:val="21"/>
                <w:highlight w:val="none"/>
                <w:lang w:val="en-US" w:eastAsia="zh-CN"/>
              </w:rPr>
              <w:t>最</w:t>
            </w:r>
            <w:r>
              <w:rPr>
                <w:rFonts w:hint="eastAsia" w:ascii="宋体" w:hAnsi="宋体" w:eastAsia="宋体" w:cs="宋体"/>
                <w:color w:val="auto"/>
                <w:kern w:val="0"/>
                <w:szCs w:val="21"/>
                <w:highlight w:val="none"/>
              </w:rPr>
              <w:t>得3分，对本项目理解一般</w:t>
            </w:r>
            <w:r>
              <w:rPr>
                <w:rFonts w:hint="eastAsia" w:ascii="宋体" w:hAnsi="宋体" w:eastAsia="宋体" w:cs="宋体"/>
                <w:color w:val="auto"/>
                <w:kern w:val="0"/>
                <w:szCs w:val="21"/>
                <w:highlight w:val="none"/>
                <w:lang w:val="en-US" w:eastAsia="zh-CN"/>
              </w:rPr>
              <w:t>最</w:t>
            </w:r>
            <w:r>
              <w:rPr>
                <w:rFonts w:hint="eastAsia" w:ascii="宋体" w:hAnsi="宋体" w:eastAsia="宋体" w:cs="宋体"/>
                <w:color w:val="auto"/>
                <w:kern w:val="0"/>
                <w:szCs w:val="21"/>
                <w:highlight w:val="none"/>
              </w:rPr>
              <w:t>得2分，对本项目理解有偏差的得1分，未提供方案的不得分。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strike/>
                <w:color w:val="auto"/>
                <w:szCs w:val="21"/>
                <w:highlight w:val="none"/>
                <w:lang w:eastAsia="zh-CN"/>
              </w:rPr>
            </w:pPr>
            <w:r>
              <w:rPr>
                <w:rFonts w:hint="eastAsia" w:ascii="宋体" w:hAnsi="宋体" w:cs="宋体"/>
                <w:color w:val="auto"/>
                <w:szCs w:val="21"/>
                <w:highlight w:val="none"/>
                <w:lang w:val="en-US" w:eastAsia="zh-CN"/>
              </w:rPr>
              <w:t>4</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总体方案</w:t>
            </w:r>
            <w:r>
              <w:rPr>
                <w:rFonts w:hint="eastAsia" w:ascii="宋体" w:hAnsi="宋体" w:eastAsia="宋体" w:cs="宋体"/>
                <w:color w:val="auto"/>
                <w:kern w:val="0"/>
                <w:szCs w:val="21"/>
                <w:highlight w:val="none"/>
                <w:lang w:eastAsia="zh-CN"/>
              </w:rPr>
              <w:t>：</w:t>
            </w:r>
          </w:p>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val="en-US" w:eastAsia="zh-CN"/>
              </w:rPr>
              <w:t>投标文件中针对本标项的</w:t>
            </w:r>
            <w:r>
              <w:rPr>
                <w:rFonts w:hint="eastAsia" w:ascii="宋体" w:hAnsi="宋体" w:eastAsia="宋体" w:cs="宋体"/>
                <w:color w:val="auto"/>
                <w:kern w:val="0"/>
                <w:szCs w:val="21"/>
                <w:highlight w:val="none"/>
              </w:rPr>
              <w:t>总体建设目标、系统功能、总体功能设计</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网络安全要求</w:t>
            </w:r>
            <w:r>
              <w:rPr>
                <w:rFonts w:hint="eastAsia" w:ascii="宋体" w:hAnsi="宋体" w:eastAsia="宋体" w:cs="宋体"/>
                <w:color w:val="auto"/>
                <w:kern w:val="0"/>
                <w:szCs w:val="21"/>
                <w:highlight w:val="none"/>
                <w:lang w:val="en-US" w:eastAsia="zh-CN"/>
              </w:rPr>
              <w:t>符合本项目要求且</w:t>
            </w:r>
            <w:r>
              <w:rPr>
                <w:rFonts w:hint="eastAsia" w:ascii="宋体" w:hAnsi="宋体" w:eastAsia="宋体" w:cs="宋体"/>
                <w:color w:val="auto"/>
                <w:kern w:val="0"/>
                <w:szCs w:val="21"/>
                <w:highlight w:val="none"/>
              </w:rPr>
              <w:t>描述清晰</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技术方案功能完整</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全面覆盖所有建设内容</w:t>
            </w:r>
            <w:r>
              <w:rPr>
                <w:rFonts w:hint="eastAsia" w:ascii="宋体" w:hAnsi="宋体" w:eastAsia="宋体" w:cs="宋体"/>
                <w:color w:val="auto"/>
                <w:kern w:val="0"/>
                <w:szCs w:val="21"/>
                <w:highlight w:val="none"/>
                <w:lang w:val="en-US" w:eastAsia="zh-CN"/>
              </w:rPr>
              <w:t>的</w:t>
            </w:r>
            <w:r>
              <w:rPr>
                <w:rFonts w:hint="eastAsia" w:ascii="宋体" w:hAnsi="宋体" w:eastAsia="宋体" w:cs="宋体"/>
                <w:color w:val="auto"/>
                <w:kern w:val="0"/>
                <w:szCs w:val="21"/>
                <w:highlight w:val="none"/>
              </w:rPr>
              <w:t>得</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分，</w:t>
            </w:r>
            <w:r>
              <w:rPr>
                <w:rFonts w:hint="eastAsia" w:ascii="宋体" w:hAnsi="宋体" w:cs="宋体"/>
                <w:color w:val="auto"/>
                <w:kern w:val="0"/>
                <w:szCs w:val="21"/>
                <w:highlight w:val="none"/>
                <w:lang w:val="en-US" w:eastAsia="zh-CN"/>
              </w:rPr>
              <w:t>投标</w:t>
            </w:r>
            <w:r>
              <w:rPr>
                <w:rFonts w:hint="eastAsia" w:ascii="宋体" w:hAnsi="宋体" w:eastAsia="宋体" w:cs="宋体"/>
                <w:color w:val="auto"/>
                <w:kern w:val="0"/>
                <w:szCs w:val="21"/>
                <w:highlight w:val="none"/>
                <w:lang w:val="en-US" w:eastAsia="zh-CN"/>
              </w:rPr>
              <w:t>文件中针对本项目</w:t>
            </w:r>
            <w:r>
              <w:rPr>
                <w:rFonts w:hint="eastAsia" w:ascii="宋体" w:hAnsi="宋体" w:eastAsia="宋体" w:cs="宋体"/>
                <w:color w:val="auto"/>
                <w:kern w:val="0"/>
                <w:szCs w:val="21"/>
                <w:highlight w:val="none"/>
              </w:rPr>
              <w:t>总体建设目标、系统功能、总体功能设计</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网络安全要求</w:t>
            </w:r>
            <w:r>
              <w:rPr>
                <w:rFonts w:hint="eastAsia" w:ascii="宋体" w:hAnsi="宋体" w:eastAsia="宋体" w:cs="宋体"/>
                <w:color w:val="auto"/>
                <w:kern w:val="0"/>
                <w:szCs w:val="21"/>
                <w:highlight w:val="none"/>
                <w:lang w:val="en-US" w:eastAsia="zh-CN"/>
              </w:rPr>
              <w:t>符合本项目要求且</w:t>
            </w:r>
            <w:r>
              <w:rPr>
                <w:rFonts w:hint="eastAsia" w:ascii="宋体" w:hAnsi="宋体" w:eastAsia="宋体" w:cs="宋体"/>
                <w:color w:val="auto"/>
                <w:kern w:val="0"/>
                <w:szCs w:val="21"/>
                <w:highlight w:val="none"/>
              </w:rPr>
              <w:t>技术方案</w:t>
            </w:r>
            <w:r>
              <w:rPr>
                <w:rFonts w:hint="eastAsia" w:ascii="宋体" w:hAnsi="宋体" w:cs="宋体"/>
                <w:color w:val="auto"/>
                <w:kern w:val="0"/>
                <w:szCs w:val="21"/>
                <w:highlight w:val="none"/>
                <w:lang w:val="en-US" w:eastAsia="zh-CN"/>
              </w:rPr>
              <w:t>尚可</w:t>
            </w:r>
            <w:r>
              <w:rPr>
                <w:rFonts w:hint="eastAsia" w:ascii="宋体" w:hAnsi="宋体" w:eastAsia="宋体" w:cs="宋体"/>
                <w:color w:val="auto"/>
                <w:kern w:val="0"/>
                <w:szCs w:val="21"/>
                <w:highlight w:val="none"/>
                <w:lang w:eastAsia="zh-CN"/>
              </w:rPr>
              <w:t>、</w:t>
            </w:r>
            <w:r>
              <w:rPr>
                <w:rFonts w:hint="eastAsia" w:ascii="宋体" w:hAnsi="宋体" w:cs="宋体"/>
                <w:color w:val="auto"/>
                <w:kern w:val="0"/>
                <w:szCs w:val="21"/>
                <w:highlight w:val="none"/>
                <w:lang w:val="en-US" w:eastAsia="zh-CN"/>
              </w:rPr>
              <w:t>基本</w:t>
            </w:r>
            <w:r>
              <w:rPr>
                <w:rFonts w:hint="eastAsia" w:ascii="宋体" w:hAnsi="宋体" w:eastAsia="宋体" w:cs="宋体"/>
                <w:color w:val="auto"/>
                <w:kern w:val="0"/>
                <w:szCs w:val="21"/>
                <w:highlight w:val="none"/>
              </w:rPr>
              <w:t>覆盖所有建设内容</w:t>
            </w:r>
            <w:r>
              <w:rPr>
                <w:rFonts w:hint="eastAsia" w:ascii="宋体" w:hAnsi="宋体" w:eastAsia="宋体" w:cs="宋体"/>
                <w:color w:val="auto"/>
                <w:kern w:val="0"/>
                <w:szCs w:val="21"/>
                <w:highlight w:val="none"/>
                <w:lang w:val="en-US" w:eastAsia="zh-CN"/>
              </w:rPr>
              <w:t>的</w:t>
            </w:r>
            <w:r>
              <w:rPr>
                <w:rFonts w:hint="eastAsia" w:ascii="宋体" w:hAnsi="宋体" w:eastAsia="宋体" w:cs="宋体"/>
                <w:color w:val="auto"/>
                <w:kern w:val="0"/>
                <w:szCs w:val="21"/>
                <w:highlight w:val="none"/>
              </w:rPr>
              <w:t>得</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分，</w:t>
            </w:r>
            <w:r>
              <w:rPr>
                <w:rFonts w:hint="eastAsia" w:ascii="宋体" w:hAnsi="宋体" w:cs="宋体"/>
                <w:color w:val="auto"/>
                <w:kern w:val="0"/>
                <w:szCs w:val="21"/>
                <w:highlight w:val="none"/>
                <w:lang w:val="en-US" w:eastAsia="zh-CN"/>
              </w:rPr>
              <w:t>投标</w:t>
            </w:r>
            <w:r>
              <w:rPr>
                <w:rFonts w:hint="eastAsia" w:ascii="宋体" w:hAnsi="宋体" w:eastAsia="宋体" w:cs="宋体"/>
                <w:color w:val="auto"/>
                <w:kern w:val="0"/>
                <w:szCs w:val="21"/>
                <w:highlight w:val="none"/>
                <w:lang w:val="en-US" w:eastAsia="zh-CN"/>
              </w:rPr>
              <w:t>文件中针对本项目</w:t>
            </w:r>
            <w:r>
              <w:rPr>
                <w:rFonts w:hint="eastAsia" w:ascii="宋体" w:hAnsi="宋体" w:eastAsia="宋体" w:cs="宋体"/>
                <w:color w:val="auto"/>
                <w:kern w:val="0"/>
                <w:szCs w:val="21"/>
                <w:highlight w:val="none"/>
              </w:rPr>
              <w:t>总体建设目标、系统功能、总体功能设计</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网络安全要求未完全</w:t>
            </w:r>
            <w:r>
              <w:rPr>
                <w:rFonts w:hint="eastAsia" w:ascii="宋体" w:hAnsi="宋体" w:eastAsia="宋体" w:cs="宋体"/>
                <w:color w:val="auto"/>
                <w:kern w:val="0"/>
                <w:szCs w:val="21"/>
                <w:highlight w:val="none"/>
                <w:lang w:val="en-US" w:eastAsia="zh-CN"/>
              </w:rPr>
              <w:t>符合本项目要求且</w:t>
            </w:r>
            <w:r>
              <w:rPr>
                <w:rFonts w:hint="eastAsia" w:ascii="宋体" w:hAnsi="宋体" w:eastAsia="宋体" w:cs="宋体"/>
                <w:color w:val="auto"/>
                <w:kern w:val="0"/>
                <w:szCs w:val="21"/>
                <w:highlight w:val="none"/>
              </w:rPr>
              <w:t>技术方案</w:t>
            </w:r>
            <w:r>
              <w:rPr>
                <w:rFonts w:hint="eastAsia" w:ascii="宋体" w:hAnsi="宋体" w:cs="宋体"/>
                <w:color w:val="auto"/>
                <w:kern w:val="0"/>
                <w:szCs w:val="21"/>
                <w:highlight w:val="none"/>
                <w:lang w:val="en-US" w:eastAsia="zh-CN"/>
              </w:rPr>
              <w:t>略有不足</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建设内容</w:t>
            </w:r>
            <w:r>
              <w:rPr>
                <w:rFonts w:hint="eastAsia" w:ascii="宋体" w:hAnsi="宋体" w:cs="宋体"/>
                <w:color w:val="auto"/>
                <w:kern w:val="0"/>
                <w:szCs w:val="21"/>
                <w:highlight w:val="none"/>
                <w:lang w:val="en-US" w:eastAsia="zh-CN"/>
              </w:rPr>
              <w:t>尚有缺漏</w:t>
            </w:r>
            <w:r>
              <w:rPr>
                <w:rFonts w:hint="eastAsia" w:ascii="宋体" w:hAnsi="宋体" w:eastAsia="宋体" w:cs="宋体"/>
                <w:color w:val="auto"/>
                <w:kern w:val="0"/>
                <w:szCs w:val="21"/>
                <w:highlight w:val="none"/>
                <w:lang w:val="en-US" w:eastAsia="zh-CN"/>
              </w:rPr>
              <w:t>的</w:t>
            </w:r>
            <w:r>
              <w:rPr>
                <w:rFonts w:hint="eastAsia" w:ascii="宋体" w:hAnsi="宋体" w:eastAsia="宋体" w:cs="宋体"/>
                <w:color w:val="auto"/>
                <w:kern w:val="0"/>
                <w:szCs w:val="21"/>
                <w:highlight w:val="none"/>
              </w:rPr>
              <w:t>得</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分，</w:t>
            </w:r>
            <w:r>
              <w:rPr>
                <w:rFonts w:hint="eastAsia" w:ascii="宋体" w:hAnsi="宋体" w:cs="宋体"/>
                <w:color w:val="auto"/>
                <w:kern w:val="0"/>
                <w:szCs w:val="21"/>
                <w:highlight w:val="none"/>
                <w:lang w:val="en-US" w:eastAsia="zh-CN"/>
              </w:rPr>
              <w:t>投标</w:t>
            </w:r>
            <w:r>
              <w:rPr>
                <w:rFonts w:hint="eastAsia" w:ascii="宋体" w:hAnsi="宋体" w:eastAsia="宋体" w:cs="宋体"/>
                <w:color w:val="auto"/>
                <w:kern w:val="0"/>
                <w:szCs w:val="21"/>
                <w:highlight w:val="none"/>
                <w:lang w:val="en-US" w:eastAsia="zh-CN"/>
              </w:rPr>
              <w:t>文件中针对本项目</w:t>
            </w:r>
            <w:r>
              <w:rPr>
                <w:rFonts w:hint="eastAsia" w:ascii="宋体" w:hAnsi="宋体" w:cs="宋体"/>
                <w:color w:val="auto"/>
                <w:kern w:val="0"/>
                <w:szCs w:val="21"/>
                <w:highlight w:val="none"/>
              </w:rPr>
              <w:t>总体</w:t>
            </w:r>
            <w:r>
              <w:rPr>
                <w:rFonts w:hint="eastAsia" w:ascii="宋体" w:hAnsi="宋体" w:eastAsia="宋体" w:cs="宋体"/>
                <w:color w:val="auto"/>
                <w:kern w:val="0"/>
                <w:szCs w:val="21"/>
                <w:highlight w:val="none"/>
              </w:rPr>
              <w:t>总体建设目标、系统功能、总体功能设计</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网络安全要求不</w:t>
            </w:r>
            <w:r>
              <w:rPr>
                <w:rFonts w:hint="eastAsia" w:ascii="宋体" w:hAnsi="宋体" w:eastAsia="宋体" w:cs="宋体"/>
                <w:color w:val="auto"/>
                <w:kern w:val="0"/>
                <w:szCs w:val="21"/>
                <w:highlight w:val="none"/>
                <w:lang w:val="en-US" w:eastAsia="zh-CN"/>
              </w:rPr>
              <w:t>符合本项目要求</w:t>
            </w:r>
            <w:r>
              <w:rPr>
                <w:rFonts w:hint="eastAsia" w:ascii="宋体" w:hAnsi="宋体" w:cs="宋体"/>
                <w:color w:val="auto"/>
                <w:kern w:val="0"/>
                <w:szCs w:val="21"/>
                <w:highlight w:val="none"/>
                <w:lang w:val="en-US" w:eastAsia="zh-CN"/>
              </w:rPr>
              <w:t>或</w:t>
            </w:r>
            <w:r>
              <w:rPr>
                <w:rFonts w:hint="eastAsia" w:ascii="宋体" w:hAnsi="宋体" w:eastAsia="宋体" w:cs="宋体"/>
                <w:color w:val="auto"/>
                <w:kern w:val="0"/>
                <w:szCs w:val="21"/>
                <w:highlight w:val="none"/>
              </w:rPr>
              <w:t>未提供</w:t>
            </w:r>
            <w:r>
              <w:rPr>
                <w:rFonts w:hint="eastAsia" w:ascii="宋体" w:hAnsi="宋体" w:eastAsia="宋体" w:cs="宋体"/>
                <w:color w:val="auto"/>
                <w:kern w:val="0"/>
                <w:szCs w:val="21"/>
                <w:highlight w:val="none"/>
                <w:lang w:val="en-US" w:eastAsia="zh-CN"/>
              </w:rPr>
              <w:t>相关内容</w:t>
            </w:r>
            <w:r>
              <w:rPr>
                <w:rFonts w:hint="eastAsia" w:ascii="宋体" w:hAnsi="宋体" w:eastAsia="宋体" w:cs="宋体"/>
                <w:color w:val="auto"/>
                <w:kern w:val="0"/>
                <w:szCs w:val="21"/>
                <w:highlight w:val="none"/>
              </w:rPr>
              <w:t>的得</w:t>
            </w:r>
            <w:r>
              <w:rPr>
                <w:rFonts w:hint="eastAsia" w:ascii="宋体" w:hAnsi="宋体" w:eastAsia="宋体" w:cs="宋体"/>
                <w:color w:val="auto"/>
                <w:kern w:val="0"/>
                <w:szCs w:val="21"/>
                <w:highlight w:val="none"/>
                <w:lang w:val="en-US" w:eastAsia="zh-CN"/>
              </w:rPr>
              <w:t>0</w:t>
            </w:r>
            <w:r>
              <w:rPr>
                <w:rFonts w:hint="eastAsia" w:ascii="宋体" w:hAnsi="宋体" w:eastAsia="宋体" w:cs="宋体"/>
                <w:color w:val="auto"/>
                <w:kern w:val="0"/>
                <w:szCs w:val="21"/>
                <w:highlight w:val="none"/>
              </w:rPr>
              <w:t>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投标内容与采购需求中的“网络安全设备”的符合程度：投标产品“核心交换机”</w:t>
            </w:r>
            <w:r>
              <w:rPr>
                <w:rFonts w:hint="eastAsia" w:ascii="宋体" w:hAnsi="宋体" w:cs="宋体"/>
                <w:color w:val="auto"/>
                <w:kern w:val="0"/>
                <w:szCs w:val="21"/>
                <w:highlight w:val="none"/>
                <w:lang w:val="en-US" w:eastAsia="zh-CN"/>
              </w:rPr>
              <w:t>、</w:t>
            </w:r>
            <w:r>
              <w:rPr>
                <w:rFonts w:hint="eastAsia" w:ascii="宋体" w:hAnsi="宋体" w:eastAsia="宋体" w:cs="宋体"/>
                <w:color w:val="auto"/>
                <w:kern w:val="0"/>
                <w:szCs w:val="21"/>
                <w:highlight w:val="none"/>
                <w:lang w:val="en-US" w:eastAsia="zh-CN"/>
              </w:rPr>
              <w:t>“楼层交换机”</w:t>
            </w:r>
            <w:r>
              <w:rPr>
                <w:rFonts w:hint="eastAsia" w:ascii="宋体" w:hAnsi="宋体" w:cs="宋体"/>
                <w:color w:val="auto"/>
                <w:kern w:val="0"/>
                <w:szCs w:val="21"/>
                <w:highlight w:val="none"/>
                <w:lang w:val="en-US" w:eastAsia="zh-CN"/>
              </w:rPr>
              <w:t>、</w:t>
            </w:r>
            <w:r>
              <w:rPr>
                <w:rFonts w:hint="eastAsia" w:ascii="宋体" w:hAnsi="宋体" w:eastAsia="宋体" w:cs="宋体"/>
                <w:color w:val="auto"/>
                <w:kern w:val="0"/>
                <w:szCs w:val="21"/>
                <w:highlight w:val="none"/>
                <w:lang w:val="en-US" w:eastAsia="zh-CN"/>
              </w:rPr>
              <w:t>“数据库审计-硬件要求”、“APT设备-硬件要求”完全满足采购文件参数要求的得</w:t>
            </w:r>
            <w:r>
              <w:rPr>
                <w:rFonts w:hint="eastAsia" w:ascii="宋体" w:hAnsi="宋体" w:cs="宋体"/>
                <w:color w:val="auto"/>
                <w:kern w:val="0"/>
                <w:szCs w:val="21"/>
                <w:highlight w:val="none"/>
                <w:lang w:val="en-US" w:eastAsia="zh-CN"/>
              </w:rPr>
              <w:t>10</w:t>
            </w:r>
            <w:r>
              <w:rPr>
                <w:rFonts w:hint="eastAsia" w:ascii="宋体" w:hAnsi="宋体" w:eastAsia="宋体" w:cs="宋体"/>
                <w:color w:val="auto"/>
                <w:kern w:val="0"/>
                <w:szCs w:val="21"/>
                <w:highlight w:val="none"/>
                <w:lang w:val="en-US" w:eastAsia="zh-CN"/>
              </w:rPr>
              <w:t>分，不满足或缺漏项的每项扣</w:t>
            </w:r>
            <w:r>
              <w:rPr>
                <w:rFonts w:hint="eastAsia" w:ascii="宋体" w:hAnsi="宋体" w:cs="宋体"/>
                <w:color w:val="auto"/>
                <w:kern w:val="0"/>
                <w:szCs w:val="21"/>
                <w:highlight w:val="none"/>
                <w:lang w:val="en-US" w:eastAsia="zh-CN"/>
              </w:rPr>
              <w:t>0.5</w:t>
            </w:r>
            <w:r>
              <w:rPr>
                <w:rFonts w:hint="eastAsia" w:ascii="宋体" w:hAnsi="宋体" w:eastAsia="宋体" w:cs="宋体"/>
                <w:color w:val="auto"/>
                <w:kern w:val="0"/>
                <w:szCs w:val="21"/>
                <w:highlight w:val="none"/>
                <w:lang w:val="en-US" w:eastAsia="zh-CN"/>
              </w:rPr>
              <w:t>分，扣完为止。</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投标内容与采购需求中的“药品生产关键数据记录仪”的符合程度：投标产品全部满足采购文件参数要求的得</w:t>
            </w:r>
            <w:r>
              <w:rPr>
                <w:rFonts w:hint="eastAsia" w:ascii="宋体" w:hAnsi="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en-US" w:eastAsia="zh-CN" w:bidi="ar-SA"/>
              </w:rPr>
              <w:t>分。关键性指标（打★的条款）不满足或缺漏项的每项扣1分，一般性指标（未打★的条款）不满足或缺漏项的每项扣0.5分，扣完为止，未按要求提供检测报告的视为不满足。</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专属云服务建设</w:t>
            </w:r>
            <w:r>
              <w:rPr>
                <w:rFonts w:hint="eastAsia" w:ascii="宋体" w:hAnsi="宋体" w:eastAsia="宋体" w:cs="宋体"/>
                <w:color w:val="auto"/>
                <w:sz w:val="21"/>
                <w:szCs w:val="21"/>
                <w:highlight w:val="none"/>
                <w:lang w:val="en-US" w:eastAsia="zh-CN"/>
              </w:rPr>
              <w:t>方案: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专属云服务</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（2）区块链服务</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bCs/>
                <w:color w:val="auto"/>
                <w:kern w:val="0"/>
                <w:sz w:val="21"/>
                <w:szCs w:val="21"/>
                <w:highlight w:val="none"/>
              </w:rPr>
              <w:t>边界安全服务</w:t>
            </w:r>
            <w:r>
              <w:rPr>
                <w:rFonts w:hint="eastAsia" w:ascii="宋体" w:hAnsi="宋体" w:eastAsia="宋体" w:cs="宋体"/>
                <w:bCs/>
                <w:color w:val="auto"/>
                <w:kern w:val="0"/>
                <w:sz w:val="21"/>
                <w:szCs w:val="21"/>
                <w:highlight w:val="none"/>
                <w:lang w:val="en-US" w:eastAsia="zh-CN"/>
              </w:rPr>
              <w:t>-边界DDOS防护</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bCs/>
                <w:color w:val="auto"/>
                <w:kern w:val="0"/>
                <w:sz w:val="21"/>
                <w:szCs w:val="21"/>
                <w:highlight w:val="none"/>
              </w:rPr>
              <w:t>边界安全服务</w:t>
            </w:r>
            <w:r>
              <w:rPr>
                <w:rFonts w:hint="eastAsia" w:ascii="宋体" w:hAnsi="宋体" w:eastAsia="宋体" w:cs="宋体"/>
                <w:bCs/>
                <w:color w:val="auto"/>
                <w:kern w:val="0"/>
                <w:sz w:val="21"/>
                <w:szCs w:val="21"/>
                <w:highlight w:val="none"/>
                <w:lang w:val="en-US" w:eastAsia="zh-CN"/>
              </w:rPr>
              <w:t>-访问控制护</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5</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边界安全服务</w:t>
            </w:r>
            <w:r>
              <w:rPr>
                <w:rFonts w:hint="eastAsia" w:ascii="宋体" w:hAnsi="宋体" w:eastAsia="宋体" w:cs="宋体"/>
                <w:bCs/>
                <w:color w:val="auto"/>
                <w:kern w:val="0"/>
                <w:sz w:val="21"/>
                <w:szCs w:val="21"/>
                <w:highlight w:val="none"/>
                <w:lang w:val="en-US" w:eastAsia="zh-CN"/>
              </w:rPr>
              <w:t>-入侵防范</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边界安全服务</w:t>
            </w:r>
            <w:r>
              <w:rPr>
                <w:rFonts w:hint="eastAsia" w:ascii="宋体" w:hAnsi="宋体" w:eastAsia="宋体" w:cs="宋体"/>
                <w:bCs/>
                <w:color w:val="auto"/>
                <w:kern w:val="0"/>
                <w:sz w:val="21"/>
                <w:szCs w:val="21"/>
                <w:highlight w:val="none"/>
                <w:lang w:val="en-US" w:eastAsia="zh-CN"/>
              </w:rPr>
              <w:t>-WEB应用安全</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7</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计算环境安全服务</w:t>
            </w:r>
            <w:r>
              <w:rPr>
                <w:rFonts w:hint="eastAsia" w:ascii="宋体" w:hAnsi="宋体" w:eastAsia="宋体" w:cs="宋体"/>
                <w:bCs/>
                <w:color w:val="auto"/>
                <w:kern w:val="0"/>
                <w:sz w:val="21"/>
                <w:szCs w:val="21"/>
                <w:highlight w:val="none"/>
                <w:lang w:val="en-US" w:eastAsia="zh-CN"/>
              </w:rPr>
              <w:t>-集中运维管控</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8</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计算环境安全服务</w:t>
            </w:r>
            <w:r>
              <w:rPr>
                <w:rFonts w:hint="eastAsia" w:ascii="宋体" w:hAnsi="宋体" w:eastAsia="宋体" w:cs="宋体"/>
                <w:bCs/>
                <w:color w:val="auto"/>
                <w:kern w:val="0"/>
                <w:sz w:val="21"/>
                <w:szCs w:val="21"/>
                <w:highlight w:val="none"/>
                <w:lang w:val="en-US" w:eastAsia="zh-CN"/>
              </w:rPr>
              <w:t>-数据库安全审计</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9</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计算环境安全服务</w:t>
            </w:r>
            <w:r>
              <w:rPr>
                <w:rFonts w:hint="eastAsia" w:ascii="宋体" w:hAnsi="宋体" w:eastAsia="宋体" w:cs="宋体"/>
                <w:bCs/>
                <w:color w:val="auto"/>
                <w:kern w:val="0"/>
                <w:sz w:val="21"/>
                <w:szCs w:val="21"/>
                <w:highlight w:val="none"/>
                <w:lang w:val="en-US" w:eastAsia="zh-CN"/>
              </w:rPr>
              <w:t>-集中日志审计</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10</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计算环境安全服务</w:t>
            </w:r>
            <w:r>
              <w:rPr>
                <w:rFonts w:hint="eastAsia" w:ascii="宋体" w:hAnsi="宋体" w:eastAsia="宋体" w:cs="宋体"/>
                <w:bCs/>
                <w:color w:val="auto"/>
                <w:kern w:val="0"/>
                <w:sz w:val="21"/>
                <w:szCs w:val="21"/>
                <w:highlight w:val="none"/>
                <w:lang w:val="en-US" w:eastAsia="zh-CN"/>
              </w:rPr>
              <w:t>-终端安全</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11</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计算环境安全服务</w:t>
            </w:r>
            <w:r>
              <w:rPr>
                <w:rFonts w:hint="eastAsia" w:ascii="宋体" w:hAnsi="宋体" w:eastAsia="宋体" w:cs="宋体"/>
                <w:bCs/>
                <w:color w:val="auto"/>
                <w:kern w:val="0"/>
                <w:sz w:val="21"/>
                <w:szCs w:val="21"/>
                <w:highlight w:val="none"/>
                <w:lang w:val="en-US" w:eastAsia="zh-CN"/>
              </w:rPr>
              <w:t>-数据库管理与备份</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color w:val="auto"/>
                <w:highlight w:val="none"/>
                <w:lang w:val="en-US" w:eastAsia="zh-CN"/>
              </w:rPr>
            </w:pP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12</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lang w:val="en-US" w:eastAsia="zh-CN"/>
              </w:rPr>
              <w:t>安全运营管理服务</w:t>
            </w:r>
            <w:r>
              <w:rPr>
                <w:rFonts w:hint="eastAsia" w:ascii="宋体" w:hAnsi="宋体" w:eastAsia="宋体" w:cs="宋体"/>
                <w:color w:val="auto"/>
                <w:sz w:val="21"/>
                <w:szCs w:val="21"/>
                <w:highlight w:val="none"/>
                <w:lang w:val="en-US" w:eastAsia="zh-CN"/>
              </w:rPr>
              <w:t>的初步建设实施方案(可提供系统功能描述、系统原型界面图、系统操作流程图等):</w:t>
            </w:r>
            <w:r>
              <w:rPr>
                <w:rFonts w:hint="eastAsia" w:ascii="宋体" w:hAnsi="宋体" w:cs="宋体"/>
                <w:color w:val="auto"/>
                <w:sz w:val="21"/>
                <w:szCs w:val="21"/>
                <w:highlight w:val="none"/>
                <w:lang w:val="en-US" w:eastAsia="zh-CN"/>
              </w:rPr>
              <w:t>初步建设实施方案内容详细完善性、科学合理性、可实施性好的得2分,初步建设实施方案内容详细完善性、科学合理性、可实施性尚可的得1.5分,初步建设实施方案内容详细完善性、科学合理性、可实施性一般的得1分,初步建设实施方案内容详细完善性、科学合理性、可实施性有瑕疵的得0.5分,未提供相关内容的得0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sz w:val="21"/>
                <w:szCs w:val="21"/>
                <w:highlight w:val="none"/>
              </w:rPr>
              <w:t>网络安全设备</w:t>
            </w:r>
            <w:r>
              <w:rPr>
                <w:rFonts w:hint="eastAsia" w:ascii="宋体" w:hAnsi="宋体" w:cs="宋体"/>
                <w:color w:val="auto"/>
                <w:sz w:val="21"/>
                <w:szCs w:val="21"/>
                <w:highlight w:val="none"/>
                <w:lang w:val="en-US" w:eastAsia="zh-CN"/>
              </w:rPr>
              <w:t>-</w:t>
            </w:r>
            <w:r>
              <w:rPr>
                <w:rFonts w:hint="eastAsia" w:ascii="宋体" w:hAnsi="宋体" w:eastAsia="宋体" w:cs="宋体"/>
                <w:color w:val="auto"/>
                <w:kern w:val="0"/>
                <w:sz w:val="21"/>
                <w:szCs w:val="21"/>
                <w:highlight w:val="none"/>
                <w:lang w:bidi="ar"/>
              </w:rPr>
              <w:t>数据库审计</w:t>
            </w:r>
            <w:r>
              <w:rPr>
                <w:rFonts w:hint="eastAsia" w:ascii="宋体" w:hAnsi="宋体" w:eastAsia="宋体" w:cs="宋体"/>
                <w:color w:val="auto"/>
                <w:sz w:val="21"/>
                <w:szCs w:val="21"/>
                <w:highlight w:val="none"/>
                <w:lang w:val="en-US" w:eastAsia="zh-CN"/>
              </w:rPr>
              <w:t>的实施方案:实施方案内容详细完善性、科学合理性、可实施性好的得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分,实施方案内容详细完善性、科学合理性、可实施性尚可的得</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en-US" w:eastAsia="zh-CN"/>
              </w:rPr>
              <w:t>分实施方案内容详细完善性、科学合理性、可实施性一般的得2分,实施方案内容详细完善性、科学合理性、可实施性有瑕疵的得1分,实施方案内容详细完善性、科学合理性、可实施性存在明显不足的得0.5分,未提供相关内容的得0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auto"/>
                <w:kern w:val="2"/>
                <w:sz w:val="21"/>
                <w:szCs w:val="21"/>
                <w:highlight w:val="none"/>
                <w:u w:val="none"/>
                <w:lang w:val="en-US" w:eastAsia="zh-CN" w:bidi="ar"/>
              </w:rPr>
            </w:pPr>
            <w:r>
              <w:rPr>
                <w:rFonts w:hint="eastAsia" w:ascii="宋体" w:hAnsi="宋体" w:eastAsia="宋体" w:cs="宋体"/>
                <w:i w:val="0"/>
                <w:color w:val="auto"/>
                <w:kern w:val="2"/>
                <w:sz w:val="21"/>
                <w:szCs w:val="21"/>
                <w:highlight w:val="none"/>
                <w:u w:val="none"/>
                <w:lang w:val="en-US" w:eastAsia="zh-CN" w:bidi="ar"/>
              </w:rPr>
              <w:t>网络安全设备-APT设备的实施方案:实施方案内容详细完善性、科学合理性、可实施性好的得3分,实施方案内容详细完善性、科学合理性、可实施性尚可的得2.5分,实施方案内容详细完善性、科学合理性、可实施性一般的得2分,实施方案内容详细完善性、科学合理性、可实施性有瑕疵的得1分,实施方案内容详细完善性、科学合理性、可实施性存在明显不足的得0.5分,未提供相关内容的得0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auto"/>
                <w:kern w:val="2"/>
                <w:sz w:val="21"/>
                <w:szCs w:val="21"/>
                <w:highlight w:val="none"/>
                <w:u w:val="none"/>
                <w:lang w:val="en-US" w:eastAsia="zh-CN" w:bidi="ar"/>
              </w:rPr>
            </w:pPr>
            <w:r>
              <w:rPr>
                <w:rFonts w:hint="eastAsia" w:ascii="宋体" w:hAnsi="宋体" w:eastAsia="宋体" w:cs="宋体"/>
                <w:i w:val="0"/>
                <w:color w:val="auto"/>
                <w:kern w:val="2"/>
                <w:sz w:val="21"/>
                <w:szCs w:val="21"/>
                <w:highlight w:val="none"/>
                <w:u w:val="none"/>
                <w:lang w:val="en-US" w:eastAsia="zh-CN" w:bidi="ar"/>
              </w:rPr>
              <w:t>组织实施方案:投标人应提供包括项目实施计划、项目管理方案等内容的组织实施方案。</w:t>
            </w:r>
          </w:p>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auto"/>
                <w:kern w:val="2"/>
                <w:sz w:val="21"/>
                <w:szCs w:val="21"/>
                <w:highlight w:val="none"/>
                <w:u w:val="none"/>
                <w:lang w:val="en-US" w:eastAsia="zh-CN" w:bidi="ar"/>
              </w:rPr>
            </w:pPr>
            <w:r>
              <w:rPr>
                <w:rFonts w:hint="eastAsia" w:ascii="宋体" w:hAnsi="宋体" w:eastAsia="宋体" w:cs="宋体"/>
                <w:i w:val="0"/>
                <w:color w:val="auto"/>
                <w:kern w:val="2"/>
                <w:sz w:val="21"/>
                <w:szCs w:val="21"/>
                <w:highlight w:val="none"/>
                <w:u w:val="none"/>
                <w:lang w:val="en-US" w:eastAsia="zh-CN" w:bidi="ar"/>
              </w:rPr>
              <w:t>实施方案、措施科学、合理、规范得3分；实施方案、措施较科学、合理、规范得2分；实施方案、措施一般科学、合理、规范得1分；无实施方案、措施不得分。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auto"/>
                <w:kern w:val="2"/>
                <w:sz w:val="21"/>
                <w:szCs w:val="21"/>
                <w:highlight w:val="none"/>
                <w:u w:val="none"/>
                <w:lang w:val="en-US" w:eastAsia="zh-CN" w:bidi="ar"/>
              </w:rPr>
            </w:pPr>
            <w:r>
              <w:rPr>
                <w:rFonts w:hint="eastAsia" w:ascii="宋体" w:hAnsi="宋体" w:eastAsia="宋体" w:cs="宋体"/>
                <w:i w:val="0"/>
                <w:color w:val="auto"/>
                <w:kern w:val="2"/>
                <w:sz w:val="21"/>
                <w:szCs w:val="21"/>
                <w:highlight w:val="none"/>
                <w:u w:val="none"/>
                <w:lang w:val="en-US" w:eastAsia="zh-CN" w:bidi="ar"/>
              </w:rPr>
              <w:t>项目团队(均须本单位在职人员,提供社保缴纳证明,否则不得分)：</w:t>
            </w:r>
          </w:p>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auto"/>
                <w:kern w:val="2"/>
                <w:sz w:val="21"/>
                <w:szCs w:val="21"/>
                <w:highlight w:val="none"/>
                <w:u w:val="none"/>
                <w:lang w:val="en-US" w:eastAsia="zh-CN" w:bidi="ar"/>
              </w:rPr>
            </w:pPr>
            <w:r>
              <w:rPr>
                <w:rFonts w:hint="eastAsia" w:ascii="宋体" w:hAnsi="宋体" w:eastAsia="宋体" w:cs="宋体"/>
                <w:i w:val="0"/>
                <w:color w:val="auto"/>
                <w:kern w:val="2"/>
                <w:sz w:val="21"/>
                <w:szCs w:val="21"/>
                <w:highlight w:val="none"/>
                <w:u w:val="none"/>
                <w:lang w:val="en-US" w:eastAsia="zh-CN" w:bidi="ar"/>
              </w:rPr>
              <w:t>1、拟派项目负责人具有人社部门颁发的信息系统项目管理师(高级)的得2分,具有计算机或信息化相关专业副高及以上技术职称的得2分,本项最高得4分:提供相应证书复印件等有效证明材料,否则不得分。</w:t>
            </w:r>
          </w:p>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auto"/>
                <w:kern w:val="2"/>
                <w:sz w:val="21"/>
                <w:szCs w:val="21"/>
                <w:highlight w:val="none"/>
                <w:u w:val="none"/>
                <w:lang w:val="en-US" w:eastAsia="zh-CN" w:bidi="ar"/>
              </w:rPr>
            </w:pPr>
            <w:r>
              <w:rPr>
                <w:rFonts w:hint="eastAsia" w:ascii="宋体" w:hAnsi="宋体" w:eastAsia="宋体" w:cs="宋体"/>
                <w:i w:val="0"/>
                <w:color w:val="auto"/>
                <w:kern w:val="2"/>
                <w:sz w:val="21"/>
                <w:szCs w:val="21"/>
                <w:highlight w:val="none"/>
                <w:u w:val="none"/>
                <w:lang w:val="en-US" w:eastAsia="zh-CN" w:bidi="ar"/>
              </w:rPr>
              <w:t>2、拟派项目技术负责人具有人社部门颁发系统分析师证书(高级)的得1分；具有人社部门颁发软件设计师证书(中级)的得1分;本项最高得2分；提供相应证书复印件等有效证明材料,否则不得分。</w:t>
            </w:r>
          </w:p>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等线" w:hAnsi="等线" w:eastAsia="等线" w:cs="等线"/>
                <w:i w:val="0"/>
                <w:color w:val="auto"/>
                <w:kern w:val="2"/>
                <w:sz w:val="22"/>
                <w:szCs w:val="22"/>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
              </w:rPr>
              <w:t>3、投标人所提供服务团队成员中核心工作人员不少于十名,在项目周期内提供设计、开发、测试、运营、培训、技术支持。项目组成员应具有人社部门颁发软件评测师(中级)、信息化相关专业副高及以上技术职称书的、人社部门颁发网络工程师(中级)、人社部门颁发系统集成项目管理工程师（中级），人社部门颁发信息系统项目管理师（高级）每提供一项得1分，本项最高得5分。提供相应证书复印件等有效证明材料,否则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质量保障方案:投标人应提供针对建设质量目标、质量保证措施等内容得质量保障方案。</w:t>
            </w:r>
          </w:p>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质量保障方案内容完整、措施有效、符合采购人实际情况的得3分；质量保障方案内容完整、有明显措施的得2分；质量保障方案描述不全面、内容不完整的得1分；质量保障方案不合理、不可行的不得分。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13</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测试、验收实施方案:投标人应提供的合理得测试方案、项目验收方案，根据合理性、完整性、科学性进行评分。</w:t>
            </w:r>
          </w:p>
          <w:p>
            <w:pPr>
              <w:keepNext w:val="0"/>
              <w:keepLines w:val="0"/>
              <w:pageBreakBefore w:val="0"/>
              <w:kinsoku/>
              <w:wordWrap/>
              <w:overflowPunct/>
              <w:topLinePunct w:val="0"/>
              <w:autoSpaceDE/>
              <w:autoSpaceDN/>
              <w:bidi w:val="0"/>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Cs w:val="21"/>
                <w:highlight w:val="none"/>
              </w:rPr>
              <w:t>方案描述详尽、针对性强、可行性高的得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分；方案描述全面、合理的</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分；有方案描述、内容不完整的得1分；方案描述不合理、不可行的不得分。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14</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培训实施方案:投标人应提供培的训方案包括培训内容、培训方式、培训对象、师资力量等。</w:t>
            </w:r>
          </w:p>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培训方案设计合理、培训内容全面、培训方式灵活得2分；培训方案设计一般、培训内容不全面、培训方式呆板得1分；培训方案设计欠合理、培训内容混乱、无培训方式不得分。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技术</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售后服务方案:根据投标人提供的售后服务方案的合理性、完整性、科学性等情况打分。                                                                                                                                  整体服务能力强、服务队伍专业及售后服务响应及时的得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分，整体服务能力、服务队伍专业程度及售后服务响应时间一般的得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整体服务能力、服务队伍专业程度及售后服务响应时间较差</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未提供的不得分。</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6</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报价</w:t>
            </w:r>
          </w:p>
        </w:tc>
        <w:tc>
          <w:tcPr>
            <w:tcW w:w="6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s="宋体"/>
                <w:b/>
                <w:bCs/>
                <w:color w:val="auto"/>
                <w:szCs w:val="21"/>
                <w:highlight w:val="none"/>
                <w:lang w:val="zh-CN"/>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zh-CN"/>
              </w:rPr>
              <w:t>投标价格的合理性</w:t>
            </w:r>
            <w:r>
              <w:rPr>
                <w:rFonts w:hint="eastAsia" w:ascii="宋体" w:hAnsi="宋体" w:cs="宋体"/>
                <w:b/>
                <w:bCs/>
                <w:color w:val="auto"/>
                <w:szCs w:val="21"/>
                <w:highlight w:val="none"/>
              </w:rPr>
              <w:t>和有效性评价</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2.商务报价计算</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各投标人的商务报价得分统一采用低价优先法计算，即满足采购文件要求且投标价格最低的投标报价为评标基准价，其价格分为满分</w:t>
            </w:r>
            <w:r>
              <w:rPr>
                <w:rFonts w:hint="eastAsia" w:ascii="宋体" w:hAnsi="宋体" w:cs="宋体"/>
                <w:color w:val="auto"/>
                <w:szCs w:val="21"/>
                <w:highlight w:val="none"/>
                <w:u w:val="single"/>
              </w:rPr>
              <w:t>10</w:t>
            </w:r>
            <w:r>
              <w:rPr>
                <w:rFonts w:hint="eastAsia" w:ascii="宋体" w:hAnsi="宋体" w:cs="宋体"/>
                <w:color w:val="auto"/>
                <w:szCs w:val="21"/>
                <w:highlight w:val="none"/>
              </w:rPr>
              <w:t>分</w:t>
            </w:r>
            <w:r>
              <w:rPr>
                <w:rFonts w:hint="eastAsia" w:ascii="宋体" w:hAnsi="宋体" w:cs="宋体"/>
                <w:color w:val="auto"/>
                <w:szCs w:val="21"/>
                <w:highlight w:val="none"/>
                <w:lang w:val="zh-CN"/>
              </w:rPr>
              <w:t>。其他投标人的商务报价得分统一按照下列公式计算：</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投标报价得分=（评标基准价/投标报价）×价格权值（即</w:t>
            </w:r>
            <w:r>
              <w:rPr>
                <w:rFonts w:hint="eastAsia" w:ascii="宋体" w:hAnsi="宋体" w:cs="宋体"/>
                <w:color w:val="auto"/>
                <w:szCs w:val="21"/>
                <w:highlight w:val="none"/>
                <w:u w:val="single"/>
              </w:rPr>
              <w:t>10</w:t>
            </w:r>
            <w:r>
              <w:rPr>
                <w:rFonts w:hint="eastAsia" w:ascii="宋体" w:hAnsi="宋体" w:cs="宋体"/>
                <w:color w:val="auto"/>
                <w:szCs w:val="21"/>
                <w:highlight w:val="none"/>
                <w:lang w:val="zh-CN"/>
              </w:rPr>
              <w:t>%）×100</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3.针对本项目的相关规定</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3.1政府采购目录类别：</w:t>
            </w:r>
            <w:r>
              <w:rPr>
                <w:rFonts w:hint="eastAsia" w:ascii="宋体" w:hAnsi="宋体" w:cs="宋体"/>
                <w:b/>
                <w:bCs/>
                <w:color w:val="auto"/>
                <w:szCs w:val="21"/>
                <w:highlight w:val="none"/>
                <w:u w:val="single"/>
              </w:rPr>
              <w:t>服务类</w:t>
            </w:r>
            <w:r>
              <w:rPr>
                <w:rFonts w:hint="eastAsia" w:ascii="宋体" w:hAnsi="宋体" w:cs="宋体"/>
                <w:b/>
                <w:bCs/>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3.2价格评审优惠的扶持政策：</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(1)专门面向中小企业采购的项目/标项，不再执行价格评审优惠的扶持政策。</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)非专门面向中小企业采购的项目/标项，执行下列价格政策价格评审优惠的扶持政策：</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本项目对符合规定的小微企业（含小型企业）报价给予</w:t>
            </w:r>
            <w:r>
              <w:rPr>
                <w:rFonts w:hint="eastAsia" w:ascii="宋体" w:hAnsi="宋体" w:eastAsia="宋体" w:cs="宋体"/>
                <w:b w:val="0"/>
                <w:bCs w:val="0"/>
                <w:color w:val="auto"/>
                <w:sz w:val="21"/>
                <w:szCs w:val="21"/>
                <w:highlight w:val="none"/>
                <w:u w:val="single"/>
                <w:lang w:val="en-US" w:eastAsia="zh-CN"/>
              </w:rPr>
              <w:t>1</w:t>
            </w:r>
            <w:r>
              <w:rPr>
                <w:rFonts w:hint="eastAsia" w:ascii="宋体" w:hAnsi="宋体" w:eastAsia="宋体" w:cs="宋体"/>
                <w:b w:val="0"/>
                <w:bCs w:val="0"/>
                <w:color w:val="auto"/>
                <w:sz w:val="21"/>
                <w:szCs w:val="21"/>
                <w:highlight w:val="none"/>
                <w:u w:val="single"/>
                <w:lang w:eastAsia="zh-CN"/>
              </w:rPr>
              <w:t>0%</w:t>
            </w:r>
            <w:r>
              <w:rPr>
                <w:rFonts w:hint="eastAsia" w:ascii="宋体" w:hAnsi="宋体" w:eastAsia="宋体" w:cs="宋体"/>
                <w:b w:val="0"/>
                <w:bCs w:val="0"/>
                <w:color w:val="auto"/>
                <w:sz w:val="21"/>
                <w:szCs w:val="21"/>
                <w:highlight w:val="none"/>
              </w:rPr>
              <w:t xml:space="preserve"> 的扣除。</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对符合规定的联合体或者大中型企业的报价给予</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的扣除（不接受联合体投标的，本条不适用）。</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如有分包，对于分包意向协议约定小微企业的合同份额占到合同总金额 30%以上的，对大中型企业的报价给予</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的扣除，用扣除后的价格参加评审（不允许分包的，本条不适用）。</w:t>
            </w:r>
          </w:p>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b/>
                <w:bCs/>
                <w:color w:val="auto"/>
                <w:szCs w:val="21"/>
                <w:highlight w:val="none"/>
              </w:rPr>
              <w:t>3.3本项目采购标的对应的中小企业计划分标准所属行业为：</w:t>
            </w:r>
            <w:r>
              <w:rPr>
                <w:rFonts w:hint="eastAsia" w:ascii="宋体" w:hAnsi="宋体" w:cs="宋体"/>
                <w:b/>
                <w:bCs/>
                <w:color w:val="auto"/>
                <w:szCs w:val="21"/>
                <w:highlight w:val="none"/>
                <w:u w:val="single"/>
              </w:rPr>
              <w:t>软件和信息技术服务业</w:t>
            </w:r>
            <w:r>
              <w:rPr>
                <w:rFonts w:hint="eastAsia" w:ascii="宋体" w:hAnsi="宋体" w:cs="宋体"/>
                <w:b/>
                <w:bCs/>
                <w:color w:val="auto"/>
                <w:szCs w:val="21"/>
                <w:highlight w:val="none"/>
              </w:rPr>
              <w:t>行业。</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备注</w:t>
            </w:r>
          </w:p>
        </w:tc>
        <w:tc>
          <w:tcPr>
            <w:tcW w:w="76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s="宋体"/>
                <w:bCs/>
                <w:color w:val="auto"/>
                <w:highlight w:val="none"/>
              </w:rPr>
            </w:pPr>
            <w:r>
              <w:rPr>
                <w:rFonts w:hint="eastAsia" w:ascii="宋体" w:hAnsi="宋体" w:cs="宋体"/>
                <w:color w:val="auto"/>
                <w:szCs w:val="21"/>
                <w:highlight w:val="none"/>
              </w:rPr>
              <w:t>1.</w:t>
            </w:r>
            <w:r>
              <w:rPr>
                <w:rFonts w:hint="eastAsia" w:ascii="宋体" w:hAnsi="宋体" w:cs="宋体"/>
                <w:bCs/>
                <w:color w:val="auto"/>
                <w:szCs w:val="21"/>
                <w:highlight w:val="none"/>
              </w:rPr>
              <w:t>评标委员会对各投标人的技术资信部分充分审核、讨论及评议后，每人一份评分表，进行独自打分并签名。在统计得分时，如发现某一单项评分超过评分细则规定的分值范围，则该张评分表无效。</w:t>
            </w:r>
            <w:r>
              <w:rPr>
                <w:rFonts w:hint="eastAsia" w:ascii="宋体" w:hAnsi="宋体" w:cs="宋体"/>
                <w:bCs/>
                <w:color w:val="auto"/>
                <w:highlight w:val="none"/>
              </w:rPr>
              <w:t>投标人技术部分的得分为评标委员会各成员的有效评分的算术平均值。报价部分由评标委员会按采购文件约定的计分规则统一计分。</w:t>
            </w:r>
          </w:p>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评分时保留小数点后1位小数，计算评分值时保留小数点后2位小数（第3位四舍五入），由评标委员会当场统一计算。</w:t>
            </w:r>
          </w:p>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.投标人的总得分为价格、技术商务各部分得分的总和。</w:t>
            </w:r>
          </w:p>
          <w:p>
            <w:pPr>
              <w:keepNext w:val="0"/>
              <w:keepLines w:val="0"/>
              <w:pageBreakBefore w:val="0"/>
              <w:kinsoku/>
              <w:wordWrap/>
              <w:overflowPunct/>
              <w:topLinePunct w:val="0"/>
              <w:autoSpaceDE/>
              <w:autoSpaceDN/>
              <w:bidi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.报价是中标的一个重要因素，但最低报价不是中标的唯一依据。</w:t>
            </w:r>
          </w:p>
        </w:tc>
      </w:tr>
    </w:tbl>
    <w:p>
      <w:pPr>
        <w:pStyle w:val="3"/>
        <w:snapToGrid w:val="0"/>
        <w:spacing w:before="0" w:after="0" w:line="360" w:lineRule="auto"/>
        <w:rPr>
          <w:rFonts w:ascii="宋体" w:hAnsi="宋体" w:eastAsia="宋体"/>
          <w:color w:val="auto"/>
          <w:sz w:val="21"/>
          <w:szCs w:val="21"/>
          <w:highlight w:val="none"/>
        </w:rPr>
      </w:pPr>
      <w:bookmarkStart w:id="178" w:name="_Toc13872"/>
      <w:bookmarkStart w:id="179" w:name="_Toc7548"/>
      <w:r>
        <w:rPr>
          <w:rFonts w:hint="eastAsia" w:ascii="宋体" w:hAnsi="宋体" w:eastAsia="宋体"/>
          <w:color w:val="auto"/>
          <w:sz w:val="21"/>
          <w:szCs w:val="21"/>
          <w:highlight w:val="none"/>
        </w:rPr>
        <w:t>六、询标</w:t>
      </w:r>
      <w:bookmarkEnd w:id="178"/>
      <w:bookmarkEnd w:id="179"/>
    </w:p>
    <w:p>
      <w:pPr>
        <w:pStyle w:val="30"/>
        <w:adjustRightInd w:val="0"/>
        <w:snapToGrid w:val="0"/>
        <w:spacing w:line="360" w:lineRule="auto"/>
        <w:ind w:left="0" w:leftChars="0" w:firstLine="420"/>
        <w:rPr>
          <w:color w:val="auto"/>
          <w:sz w:val="21"/>
          <w:szCs w:val="21"/>
          <w:highlight w:val="none"/>
        </w:rPr>
      </w:pPr>
      <w:r>
        <w:rPr>
          <w:rFonts w:hint="eastAsia"/>
          <w:color w:val="auto"/>
          <w:sz w:val="21"/>
          <w:szCs w:val="21"/>
          <w:highlight w:val="none"/>
        </w:rPr>
        <w:t>对投标文件中存在含义不清楚的内容，必要时评标委员会要求</w:t>
      </w:r>
      <w:r>
        <w:rPr>
          <w:rFonts w:hint="eastAsia"/>
          <w:color w:val="auto"/>
          <w:sz w:val="21"/>
          <w:szCs w:val="21"/>
          <w:highlight w:val="none"/>
          <w:lang w:eastAsia="zh-CN"/>
        </w:rPr>
        <w:t>投标人</w:t>
      </w:r>
      <w:r>
        <w:rPr>
          <w:rFonts w:hint="eastAsia"/>
          <w:color w:val="auto"/>
          <w:sz w:val="21"/>
          <w:szCs w:val="21"/>
          <w:highlight w:val="none"/>
        </w:rPr>
        <w:t>作必要的澄清、说明或补正。询标记录将作为投标文件的一部分。</w:t>
      </w:r>
    </w:p>
    <w:p>
      <w:pPr>
        <w:pStyle w:val="3"/>
        <w:snapToGrid w:val="0"/>
        <w:spacing w:before="0" w:after="0" w:line="360" w:lineRule="auto"/>
        <w:rPr>
          <w:rFonts w:ascii="宋体" w:hAnsi="宋体" w:eastAsia="宋体"/>
          <w:color w:val="auto"/>
          <w:sz w:val="21"/>
          <w:szCs w:val="21"/>
          <w:highlight w:val="none"/>
        </w:rPr>
      </w:pPr>
      <w:bookmarkStart w:id="180" w:name="_Toc3284"/>
      <w:bookmarkStart w:id="181" w:name="_Toc29753"/>
      <w:r>
        <w:rPr>
          <w:rFonts w:hint="eastAsia" w:ascii="宋体" w:hAnsi="宋体" w:eastAsia="宋体"/>
          <w:color w:val="auto"/>
          <w:sz w:val="21"/>
          <w:szCs w:val="21"/>
          <w:highlight w:val="none"/>
        </w:rPr>
        <w:t>七、修改评标结果</w:t>
      </w:r>
      <w:bookmarkEnd w:id="180"/>
      <w:bookmarkEnd w:id="181"/>
    </w:p>
    <w:p>
      <w:pPr>
        <w:adjustRightInd w:val="0"/>
        <w:snapToGrid w:val="0"/>
        <w:spacing w:line="360" w:lineRule="auto"/>
        <w:ind w:firstLine="420" w:firstLineChars="200"/>
        <w:rPr>
          <w:b/>
          <w:bCs/>
          <w:color w:val="auto"/>
          <w:szCs w:val="21"/>
          <w:highlight w:val="none"/>
        </w:rPr>
      </w:pPr>
      <w:r>
        <w:rPr>
          <w:rStyle w:val="149"/>
          <w:rFonts w:hint="default" w:ascii="Times New Roman" w:hAnsi="Times New Roman"/>
          <w:color w:val="auto"/>
          <w:sz w:val="21"/>
          <w:szCs w:val="21"/>
          <w:highlight w:val="none"/>
        </w:rPr>
        <w:t>评标结果汇总完成后，除下列情形外，任何人不得修改评标结果：</w:t>
      </w:r>
    </w:p>
    <w:p>
      <w:pPr>
        <w:adjustRightInd w:val="0"/>
        <w:snapToGrid w:val="0"/>
        <w:spacing w:line="360" w:lineRule="auto"/>
        <w:ind w:firstLine="420" w:firstLineChars="200"/>
        <w:rPr>
          <w:rStyle w:val="149"/>
          <w:rFonts w:hint="default" w:ascii="Times New Roman" w:hAnsi="Times New Roman"/>
          <w:color w:val="auto"/>
          <w:sz w:val="21"/>
          <w:szCs w:val="21"/>
          <w:highlight w:val="none"/>
        </w:rPr>
      </w:pPr>
      <w:r>
        <w:rPr>
          <w:rStyle w:val="149"/>
          <w:rFonts w:hint="default" w:ascii="Times New Roman" w:hAnsi="Times New Roman"/>
          <w:color w:val="auto"/>
          <w:sz w:val="21"/>
          <w:szCs w:val="21"/>
          <w:highlight w:val="none"/>
        </w:rPr>
        <w:t>（一）分值汇总计算错误的</w:t>
      </w:r>
    </w:p>
    <w:p>
      <w:pPr>
        <w:adjustRightInd w:val="0"/>
        <w:snapToGrid w:val="0"/>
        <w:spacing w:line="360" w:lineRule="auto"/>
        <w:ind w:firstLine="420" w:firstLineChars="200"/>
        <w:rPr>
          <w:rStyle w:val="149"/>
          <w:rFonts w:hint="default" w:ascii="Times New Roman" w:hAnsi="Times New Roman"/>
          <w:color w:val="auto"/>
          <w:sz w:val="21"/>
          <w:szCs w:val="21"/>
          <w:highlight w:val="none"/>
        </w:rPr>
      </w:pPr>
      <w:r>
        <w:rPr>
          <w:rStyle w:val="149"/>
          <w:rFonts w:hint="default" w:ascii="Times New Roman" w:hAnsi="Times New Roman"/>
          <w:color w:val="auto"/>
          <w:sz w:val="21"/>
          <w:szCs w:val="21"/>
          <w:highlight w:val="none"/>
        </w:rPr>
        <w:t>（二）分项评分超出评分标准范围的；</w:t>
      </w:r>
    </w:p>
    <w:p>
      <w:pPr>
        <w:adjustRightInd w:val="0"/>
        <w:snapToGrid w:val="0"/>
        <w:spacing w:line="360" w:lineRule="auto"/>
        <w:ind w:firstLine="420" w:firstLineChars="200"/>
        <w:rPr>
          <w:rStyle w:val="149"/>
          <w:rFonts w:hint="default" w:ascii="Times New Roman" w:hAnsi="Times New Roman"/>
          <w:color w:val="auto"/>
          <w:sz w:val="21"/>
          <w:szCs w:val="21"/>
          <w:highlight w:val="none"/>
        </w:rPr>
      </w:pPr>
      <w:r>
        <w:rPr>
          <w:rStyle w:val="149"/>
          <w:rFonts w:hint="default" w:ascii="Times New Roman" w:hAnsi="Times New Roman"/>
          <w:color w:val="auto"/>
          <w:sz w:val="21"/>
          <w:szCs w:val="21"/>
          <w:highlight w:val="none"/>
        </w:rPr>
        <w:t>（三）评标委员会成员对客观评审因素评分不一致的；</w:t>
      </w:r>
    </w:p>
    <w:p>
      <w:pPr>
        <w:adjustRightInd w:val="0"/>
        <w:snapToGrid w:val="0"/>
        <w:spacing w:line="360" w:lineRule="auto"/>
        <w:ind w:firstLine="420" w:firstLineChars="200"/>
        <w:rPr>
          <w:rStyle w:val="149"/>
          <w:rFonts w:hint="default" w:ascii="Times New Roman" w:hAnsi="Times New Roman"/>
          <w:color w:val="auto"/>
          <w:sz w:val="21"/>
          <w:szCs w:val="21"/>
          <w:highlight w:val="none"/>
        </w:rPr>
        <w:sectPr>
          <w:pgSz w:w="11906" w:h="16838"/>
          <w:pgMar w:top="1440" w:right="1483" w:bottom="1440" w:left="1603" w:header="851" w:footer="992" w:gutter="0"/>
          <w:cols w:space="720" w:num="1"/>
          <w:formProt w:val="1"/>
          <w:docGrid w:type="lines" w:linePitch="332" w:charSpace="0"/>
        </w:sectPr>
      </w:pPr>
      <w:r>
        <w:rPr>
          <w:rStyle w:val="149"/>
          <w:rFonts w:hint="default" w:ascii="Times New Roman" w:hAnsi="Times New Roman"/>
          <w:color w:val="auto"/>
          <w:sz w:val="21"/>
          <w:szCs w:val="21"/>
          <w:highlight w:val="none"/>
        </w:rPr>
        <w:t>（四）经评标委员会认定评分畸高、畸低的。</w:t>
      </w:r>
    </w:p>
    <w:p>
      <w:pPr>
        <w:adjustRightInd w:val="0"/>
        <w:snapToGrid w:val="0"/>
        <w:spacing w:beforeLines="50" w:afterLines="50" w:line="360" w:lineRule="auto"/>
        <w:jc w:val="center"/>
        <w:outlineLvl w:val="0"/>
        <w:rPr>
          <w:rFonts w:ascii="宋体" w:hAnsi="宋体" w:cs="宋体"/>
          <w:b/>
          <w:bCs/>
          <w:color w:val="auto"/>
          <w:sz w:val="32"/>
          <w:szCs w:val="32"/>
          <w:highlight w:val="none"/>
        </w:rPr>
      </w:pPr>
      <w:bookmarkStart w:id="182" w:name="_Toc249760797"/>
      <w:bookmarkStart w:id="183" w:name="_Toc14456"/>
      <w:bookmarkStart w:id="184" w:name="_Toc31889"/>
      <w:bookmarkStart w:id="185" w:name="_Toc30193"/>
      <w:bookmarkStart w:id="186" w:name="_Toc9232"/>
      <w:bookmarkStart w:id="187" w:name="_Toc1306"/>
      <w:bookmarkStart w:id="188" w:name="_Toc20687"/>
      <w:bookmarkStart w:id="189" w:name="_Toc234764855"/>
      <w:bookmarkStart w:id="190" w:name="_Toc251566668"/>
      <w:r>
        <w:rPr>
          <w:rFonts w:hint="eastAsia" w:ascii="宋体" w:hAnsi="宋体" w:cs="宋体"/>
          <w:b/>
          <w:color w:val="auto"/>
          <w:sz w:val="30"/>
          <w:szCs w:val="30"/>
          <w:highlight w:val="none"/>
        </w:rPr>
        <w:t>第六部分  投标文件格式</w:t>
      </w:r>
      <w:bookmarkEnd w:id="182"/>
      <w:bookmarkEnd w:id="183"/>
      <w:bookmarkEnd w:id="184"/>
      <w:bookmarkEnd w:id="185"/>
      <w:bookmarkEnd w:id="186"/>
      <w:bookmarkEnd w:id="187"/>
      <w:bookmarkEnd w:id="188"/>
      <w:bookmarkEnd w:id="189"/>
      <w:bookmarkEnd w:id="190"/>
    </w:p>
    <w:p>
      <w:pPr>
        <w:autoSpaceDE w:val="0"/>
        <w:autoSpaceDN w:val="0"/>
        <w:adjustRightInd w:val="0"/>
        <w:spacing w:line="360" w:lineRule="auto"/>
        <w:ind w:firstLine="480"/>
        <w:rPr>
          <w:rFonts w:ascii="宋体" w:hAnsi="宋体" w:cs="宋体"/>
          <w:color w:val="auto"/>
          <w:sz w:val="24"/>
          <w:highlight w:val="none"/>
        </w:rPr>
      </w:pP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说明：</w:t>
      </w: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1．投标文件由投标人根据采购文件要求参照附件格式编制。</w:t>
      </w: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2．投标人根据实际情况填写。</w:t>
      </w:r>
    </w:p>
    <w:p>
      <w:pPr>
        <w:pStyle w:val="23"/>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3．采购文件中没有参考格式的，投标人自行编制。</w:t>
      </w:r>
    </w:p>
    <w:p>
      <w:pPr>
        <w:autoSpaceDE w:val="0"/>
        <w:autoSpaceDN w:val="0"/>
        <w:adjustRightInd w:val="0"/>
        <w:snapToGrid w:val="0"/>
        <w:spacing w:line="360" w:lineRule="auto"/>
        <w:outlineLvl w:val="1"/>
        <w:rPr>
          <w:rFonts w:ascii="宋体" w:hAnsi="宋体" w:cs="宋体"/>
          <w:bCs/>
          <w:snapToGrid w:val="0"/>
          <w:color w:val="auto"/>
          <w:kern w:val="0"/>
          <w:szCs w:val="21"/>
          <w:highlight w:val="none"/>
        </w:rPr>
      </w:pPr>
      <w:r>
        <w:rPr>
          <w:rFonts w:hint="eastAsia" w:ascii="宋体" w:hAnsi="宋体" w:cs="宋体"/>
          <w:b/>
          <w:bCs/>
          <w:color w:val="auto"/>
          <w:sz w:val="32"/>
          <w:szCs w:val="32"/>
          <w:highlight w:val="none"/>
        </w:rPr>
        <w:br w:type="page"/>
      </w:r>
      <w:bookmarkStart w:id="191" w:name="_Toc27220"/>
      <w:bookmarkStart w:id="192" w:name="_Toc1647"/>
      <w:bookmarkStart w:id="193" w:name="_Toc18896"/>
      <w:bookmarkStart w:id="194" w:name="_Toc22464"/>
      <w:bookmarkStart w:id="195" w:name="_Toc13262"/>
      <w:bookmarkStart w:id="196" w:name="_Toc2724"/>
      <w:bookmarkStart w:id="197" w:name="_Toc22147"/>
      <w:r>
        <w:rPr>
          <w:rStyle w:val="47"/>
          <w:rFonts w:hint="eastAsia" w:ascii="宋体" w:hAnsi="宋体" w:eastAsia="宋体" w:cs="宋体"/>
          <w:color w:val="auto"/>
          <w:sz w:val="28"/>
          <w:szCs w:val="28"/>
          <w:highlight w:val="none"/>
        </w:rPr>
        <w:t>一、</w:t>
      </w:r>
      <w:bookmarkEnd w:id="191"/>
      <w:bookmarkEnd w:id="192"/>
      <w:bookmarkStart w:id="198" w:name="_Toc27346"/>
      <w:bookmarkStart w:id="199" w:name="_Toc32101"/>
      <w:r>
        <w:rPr>
          <w:rStyle w:val="47"/>
          <w:rFonts w:hint="eastAsia" w:ascii="宋体" w:hAnsi="宋体" w:eastAsia="宋体" w:cs="宋体"/>
          <w:color w:val="auto"/>
          <w:sz w:val="28"/>
          <w:szCs w:val="28"/>
          <w:highlight w:val="none"/>
        </w:rPr>
        <w:t>投标文件封面（格式供参考）</w:t>
      </w:r>
      <w:bookmarkEnd w:id="193"/>
      <w:bookmarkEnd w:id="194"/>
      <w:bookmarkEnd w:id="195"/>
      <w:bookmarkEnd w:id="196"/>
      <w:bookmarkEnd w:id="197"/>
      <w:bookmarkEnd w:id="198"/>
      <w:bookmarkEnd w:id="199"/>
    </w:p>
    <w:p>
      <w:pPr>
        <w:autoSpaceDE w:val="0"/>
        <w:autoSpaceDN w:val="0"/>
        <w:adjustRightInd w:val="0"/>
        <w:rPr>
          <w:rFonts w:ascii="宋体" w:hAnsi="宋体" w:cs="宋体"/>
          <w:bCs/>
          <w:color w:val="auto"/>
          <w:highlight w:val="none"/>
        </w:rPr>
      </w:pPr>
    </w:p>
    <w:p>
      <w:pPr>
        <w:autoSpaceDE w:val="0"/>
        <w:autoSpaceDN w:val="0"/>
        <w:adjustRightInd w:val="0"/>
        <w:rPr>
          <w:rFonts w:ascii="宋体" w:hAnsi="宋体" w:cs="宋体"/>
          <w:bCs/>
          <w:color w:val="auto"/>
          <w:highlight w:val="none"/>
        </w:rPr>
      </w:pPr>
      <w:r>
        <w:rPr>
          <w:rFonts w:hint="eastAsia" w:ascii="宋体" w:hAnsi="宋体" w:cs="宋体"/>
          <w:bCs/>
          <w:color w:val="auto"/>
          <w:highlight w:val="none"/>
        </w:rPr>
        <w:t>1.1报价响应文件封面格式</w:t>
      </w:r>
    </w:p>
    <w:p>
      <w:pPr>
        <w:autoSpaceDE w:val="0"/>
        <w:autoSpaceDN w:val="0"/>
        <w:adjustRightInd w:val="0"/>
        <w:spacing w:line="360" w:lineRule="auto"/>
        <w:jc w:val="right"/>
        <w:rPr>
          <w:rFonts w:ascii="宋体" w:hAnsi="宋体" w:cs="宋体"/>
          <w:b/>
          <w:color w:val="auto"/>
          <w:sz w:val="28"/>
          <w:szCs w:val="28"/>
          <w:highlight w:val="none"/>
        </w:rPr>
      </w:pPr>
      <w:r>
        <w:rPr>
          <w:rFonts w:hint="eastAsia" w:ascii="宋体" w:hAnsi="宋体" w:cs="宋体"/>
          <w:b/>
          <w:color w:val="auto"/>
          <w:sz w:val="32"/>
          <w:szCs w:val="32"/>
          <w:highlight w:val="none"/>
        </w:rPr>
        <w:t xml:space="preserve">                </w:t>
      </w: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hint="eastAsia" w:ascii="宋体" w:hAnsi="宋体" w:eastAsia="宋体" w:cs="宋体"/>
          <w:b/>
          <w:color w:val="auto"/>
          <w:sz w:val="52"/>
          <w:szCs w:val="52"/>
          <w:highlight w:val="none"/>
          <w:lang w:eastAsia="zh-CN"/>
        </w:rPr>
      </w:pPr>
      <w:r>
        <w:rPr>
          <w:rFonts w:hint="eastAsia" w:ascii="宋体" w:hAnsi="宋体" w:cs="宋体"/>
          <w:b/>
          <w:color w:val="auto"/>
          <w:sz w:val="52"/>
          <w:szCs w:val="52"/>
          <w:highlight w:val="none"/>
          <w:lang w:eastAsia="zh-CN"/>
        </w:rPr>
        <w:t>浙江省药品信息宣传和发展服务中心</w:t>
      </w:r>
    </w:p>
    <w:p>
      <w:pPr>
        <w:spacing w:line="360" w:lineRule="auto"/>
        <w:jc w:val="center"/>
        <w:rPr>
          <w:rFonts w:hint="eastAsia" w:ascii="宋体" w:hAnsi="宋体" w:eastAsia="宋体" w:cs="宋体"/>
          <w:b/>
          <w:color w:val="auto"/>
          <w:sz w:val="36"/>
          <w:szCs w:val="36"/>
          <w:highlight w:val="none"/>
          <w:lang w:eastAsia="zh-CN"/>
        </w:rPr>
      </w:pPr>
      <w:r>
        <w:rPr>
          <w:rFonts w:hint="eastAsia" w:ascii="宋体" w:hAnsi="宋体" w:cs="宋体"/>
          <w:b/>
          <w:color w:val="auto"/>
          <w:sz w:val="36"/>
          <w:szCs w:val="36"/>
          <w:highlight w:val="none"/>
          <w:lang w:eastAsia="zh-CN"/>
        </w:rPr>
        <w:t>药品安全智慧监管“黑匣子”（二期）项目</w:t>
      </w:r>
    </w:p>
    <w:p>
      <w:pPr>
        <w:autoSpaceDE w:val="0"/>
        <w:autoSpaceDN w:val="0"/>
        <w:adjustRightInd w:val="0"/>
        <w:spacing w:line="360" w:lineRule="auto"/>
        <w:jc w:val="center"/>
        <w:rPr>
          <w:rFonts w:ascii="宋体" w:hAnsi="宋体" w:cs="宋体"/>
          <w:color w:val="auto"/>
          <w:sz w:val="32"/>
          <w:szCs w:val="32"/>
          <w:highlight w:val="none"/>
          <w:u w:val="single"/>
        </w:rPr>
      </w:pP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（报价响应文件）</w:t>
      </w:r>
    </w:p>
    <w:p>
      <w:pPr>
        <w:autoSpaceDE w:val="0"/>
        <w:autoSpaceDN w:val="0"/>
        <w:adjustRightInd w:val="0"/>
        <w:spacing w:line="360" w:lineRule="auto"/>
        <w:jc w:val="center"/>
        <w:rPr>
          <w:rFonts w:hint="eastAsia" w:ascii="宋体" w:hAnsi="宋体" w:cs="宋体"/>
          <w:b/>
          <w:color w:val="auto"/>
          <w:sz w:val="32"/>
          <w:szCs w:val="32"/>
          <w:highlight w:val="none"/>
          <w:lang w:eastAsia="zh-CN"/>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ZJ-2370554-02</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投标人（盖公章或电子签章）：</w:t>
      </w:r>
      <w:r>
        <w:rPr>
          <w:rFonts w:hint="eastAsia" w:ascii="宋体" w:hAnsi="宋体" w:cs="宋体"/>
          <w:b/>
          <w:color w:val="auto"/>
          <w:sz w:val="32"/>
          <w:szCs w:val="32"/>
          <w:highlight w:val="none"/>
          <w:u w:val="single"/>
        </w:rPr>
        <w:t xml:space="preserve">                        </w:t>
      </w:r>
    </w:p>
    <w:p>
      <w:pPr>
        <w:autoSpaceDE w:val="0"/>
        <w:autoSpaceDN w:val="0"/>
        <w:adjustRightInd w:val="0"/>
        <w:spacing w:line="360" w:lineRule="auto"/>
        <w:jc w:val="center"/>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日期：    年   月   日</w:t>
      </w:r>
    </w:p>
    <w:p>
      <w:pPr>
        <w:autoSpaceDE w:val="0"/>
        <w:autoSpaceDN w:val="0"/>
        <w:adjustRightInd w:val="0"/>
        <w:rPr>
          <w:rFonts w:ascii="宋体" w:hAnsi="宋体" w:cs="宋体"/>
          <w:bCs/>
          <w:color w:val="auto"/>
          <w:highlight w:val="none"/>
        </w:rPr>
      </w:pPr>
      <w:r>
        <w:rPr>
          <w:rFonts w:hint="eastAsia" w:ascii="宋体" w:hAnsi="宋体" w:cs="宋体"/>
          <w:color w:val="auto"/>
          <w:highlight w:val="none"/>
        </w:rPr>
        <w:br w:type="page"/>
      </w:r>
      <w:r>
        <w:rPr>
          <w:rFonts w:hint="eastAsia" w:ascii="宋体" w:hAnsi="宋体" w:cs="宋体"/>
          <w:bCs/>
          <w:color w:val="auto"/>
          <w:highlight w:val="none"/>
        </w:rPr>
        <w:t>1.2资格响应文件/商务技术响应文件封面格式</w:t>
      </w:r>
    </w:p>
    <w:p>
      <w:pPr>
        <w:autoSpaceDE w:val="0"/>
        <w:autoSpaceDN w:val="0"/>
        <w:adjustRightInd w:val="0"/>
        <w:rPr>
          <w:rFonts w:ascii="宋体" w:hAnsi="宋体" w:cs="宋体"/>
          <w:b/>
          <w:bCs/>
          <w:color w:val="auto"/>
          <w:highlight w:val="none"/>
        </w:rPr>
      </w:pPr>
    </w:p>
    <w:p>
      <w:pPr>
        <w:pStyle w:val="18"/>
        <w:rPr>
          <w:color w:val="auto"/>
          <w:highlight w:val="none"/>
        </w:rPr>
      </w:pPr>
    </w:p>
    <w:p>
      <w:pPr>
        <w:autoSpaceDE w:val="0"/>
        <w:autoSpaceDN w:val="0"/>
        <w:adjustRightInd w:val="0"/>
        <w:spacing w:line="360" w:lineRule="auto"/>
        <w:jc w:val="right"/>
        <w:rPr>
          <w:rFonts w:ascii="宋体" w:hAnsi="宋体" w:cs="宋体"/>
          <w:b/>
          <w:color w:val="auto"/>
          <w:sz w:val="28"/>
          <w:szCs w:val="28"/>
          <w:highlight w:val="none"/>
        </w:rPr>
      </w:pPr>
      <w:r>
        <w:rPr>
          <w:rFonts w:hint="eastAsia" w:ascii="宋体" w:hAnsi="宋体" w:cs="宋体"/>
          <w:b/>
          <w:color w:val="auto"/>
          <w:sz w:val="32"/>
          <w:szCs w:val="32"/>
          <w:highlight w:val="none"/>
        </w:rPr>
        <w:t xml:space="preserve">              </w:t>
      </w: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hint="eastAsia" w:ascii="宋体" w:hAnsi="宋体" w:eastAsia="宋体" w:cs="宋体"/>
          <w:b/>
          <w:color w:val="auto"/>
          <w:sz w:val="52"/>
          <w:szCs w:val="52"/>
          <w:highlight w:val="none"/>
          <w:lang w:eastAsia="zh-CN"/>
        </w:rPr>
      </w:pPr>
      <w:r>
        <w:rPr>
          <w:rFonts w:hint="eastAsia" w:ascii="宋体" w:hAnsi="宋体" w:cs="宋体"/>
          <w:b/>
          <w:color w:val="auto"/>
          <w:sz w:val="52"/>
          <w:szCs w:val="52"/>
          <w:highlight w:val="none"/>
          <w:lang w:eastAsia="zh-CN"/>
        </w:rPr>
        <w:t>浙江省药品信息宣传和发展服务中心</w:t>
      </w:r>
    </w:p>
    <w:p>
      <w:pPr>
        <w:spacing w:line="360" w:lineRule="auto"/>
        <w:jc w:val="center"/>
        <w:rPr>
          <w:rFonts w:hint="eastAsia" w:ascii="宋体" w:hAnsi="宋体" w:eastAsia="宋体" w:cs="宋体"/>
          <w:b/>
          <w:color w:val="auto"/>
          <w:sz w:val="36"/>
          <w:szCs w:val="36"/>
          <w:highlight w:val="none"/>
          <w:lang w:eastAsia="zh-CN"/>
        </w:rPr>
      </w:pPr>
      <w:r>
        <w:rPr>
          <w:rFonts w:hint="eastAsia" w:ascii="宋体" w:hAnsi="宋体" w:cs="宋体"/>
          <w:b/>
          <w:color w:val="auto"/>
          <w:sz w:val="36"/>
          <w:szCs w:val="36"/>
          <w:highlight w:val="none"/>
          <w:lang w:eastAsia="zh-CN"/>
        </w:rPr>
        <w:t>药品安全智慧监管“黑匣子”（二期）项目</w:t>
      </w:r>
    </w:p>
    <w:p>
      <w:pPr>
        <w:autoSpaceDE w:val="0"/>
        <w:autoSpaceDN w:val="0"/>
        <w:adjustRightInd w:val="0"/>
        <w:spacing w:line="360" w:lineRule="auto"/>
        <w:jc w:val="center"/>
        <w:rPr>
          <w:rFonts w:ascii="宋体" w:hAnsi="宋体" w:cs="宋体"/>
          <w:color w:val="auto"/>
          <w:sz w:val="32"/>
          <w:szCs w:val="32"/>
          <w:highlight w:val="none"/>
          <w:u w:val="single"/>
        </w:rPr>
      </w:pPr>
    </w:p>
    <w:p>
      <w:pPr>
        <w:autoSpaceDE w:val="0"/>
        <w:autoSpaceDN w:val="0"/>
        <w:adjustRightInd w:val="0"/>
        <w:spacing w:line="360" w:lineRule="auto"/>
        <w:jc w:val="center"/>
        <w:rPr>
          <w:rFonts w:ascii="宋体" w:hAnsi="宋体" w:cs="宋体"/>
          <w:b/>
          <w:color w:val="auto"/>
          <w:sz w:val="32"/>
          <w:szCs w:val="32"/>
          <w:highlight w:val="none"/>
        </w:rPr>
      </w:pPr>
    </w:p>
    <w:p>
      <w:pPr>
        <w:spacing w:line="360" w:lineRule="auto"/>
        <w:jc w:val="center"/>
        <w:rPr>
          <w:rFonts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（资格响应文件/商务技术响应文件）</w:t>
      </w:r>
    </w:p>
    <w:p>
      <w:pPr>
        <w:autoSpaceDE w:val="0"/>
        <w:autoSpaceDN w:val="0"/>
        <w:adjustRightInd w:val="0"/>
        <w:spacing w:line="360" w:lineRule="auto"/>
        <w:ind w:left="0" w:leftChars="0" w:firstLine="2528" w:firstLineChars="787"/>
        <w:jc w:val="both"/>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ZJ-2370554-02</w:t>
      </w: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rPr>
      </w:pPr>
    </w:p>
    <w:p>
      <w:pPr>
        <w:autoSpaceDE w:val="0"/>
        <w:autoSpaceDN w:val="0"/>
        <w:adjustRightInd w:val="0"/>
        <w:spacing w:line="360" w:lineRule="auto"/>
        <w:rPr>
          <w:rFonts w:ascii="宋体" w:hAnsi="宋体" w:cs="宋体"/>
          <w:b/>
          <w:color w:val="auto"/>
          <w:sz w:val="32"/>
          <w:szCs w:val="32"/>
          <w:highlight w:val="none"/>
          <w:u w:val="single"/>
        </w:rPr>
      </w:pPr>
      <w:r>
        <w:rPr>
          <w:rFonts w:hint="eastAsia" w:ascii="宋体" w:hAnsi="宋体" w:cs="宋体"/>
          <w:b/>
          <w:color w:val="auto"/>
          <w:sz w:val="32"/>
          <w:szCs w:val="32"/>
          <w:highlight w:val="none"/>
        </w:rPr>
        <w:t>投标人（盖公章或电子签章）：</w:t>
      </w:r>
      <w:r>
        <w:rPr>
          <w:rFonts w:hint="eastAsia" w:ascii="宋体" w:hAnsi="宋体" w:cs="宋体"/>
          <w:b/>
          <w:color w:val="auto"/>
          <w:sz w:val="32"/>
          <w:szCs w:val="32"/>
          <w:highlight w:val="none"/>
          <w:u w:val="single"/>
        </w:rPr>
        <w:t xml:space="preserve">                        </w:t>
      </w:r>
    </w:p>
    <w:p>
      <w:pPr>
        <w:pStyle w:val="18"/>
        <w:rPr>
          <w:color w:val="auto"/>
          <w:highlight w:val="none"/>
        </w:rPr>
      </w:pPr>
    </w:p>
    <w:p>
      <w:pPr>
        <w:autoSpaceDE w:val="0"/>
        <w:autoSpaceDN w:val="0"/>
        <w:adjustRightInd w:val="0"/>
        <w:spacing w:line="360" w:lineRule="auto"/>
        <w:jc w:val="center"/>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日期：    年   月   日</w:t>
      </w:r>
    </w:p>
    <w:p>
      <w:pPr>
        <w:autoSpaceDE w:val="0"/>
        <w:autoSpaceDN w:val="0"/>
        <w:adjustRightInd w:val="0"/>
        <w:spacing w:line="360" w:lineRule="auto"/>
        <w:rPr>
          <w:rFonts w:ascii="宋体" w:hAnsi="宋体" w:cs="宋体"/>
          <w:color w:val="auto"/>
          <w:highlight w:val="none"/>
        </w:rPr>
      </w:pPr>
    </w:p>
    <w:p>
      <w:pPr>
        <w:rPr>
          <w:rFonts w:ascii="宋体" w:hAnsi="宋体" w:cs="宋体"/>
          <w:color w:val="auto"/>
          <w:highlight w:val="none"/>
        </w:rPr>
      </w:pPr>
      <w:r>
        <w:rPr>
          <w:rFonts w:hint="eastAsia" w:ascii="宋体" w:hAnsi="宋体" w:cs="宋体"/>
          <w:snapToGrid w:val="0"/>
          <w:color w:val="auto"/>
          <w:kern w:val="0"/>
          <w:highlight w:val="none"/>
        </w:rPr>
        <w:br w:type="page"/>
      </w:r>
    </w:p>
    <w:p>
      <w:pPr>
        <w:autoSpaceDE w:val="0"/>
        <w:autoSpaceDN w:val="0"/>
        <w:adjustRightInd w:val="0"/>
        <w:snapToGrid w:val="0"/>
        <w:spacing w:line="360" w:lineRule="auto"/>
        <w:outlineLvl w:val="1"/>
        <w:rPr>
          <w:rStyle w:val="47"/>
          <w:rFonts w:hint="eastAsia" w:ascii="宋体" w:hAnsi="宋体" w:eastAsia="宋体" w:cs="宋体"/>
          <w:color w:val="auto"/>
          <w:sz w:val="28"/>
          <w:szCs w:val="28"/>
          <w:highlight w:val="none"/>
        </w:rPr>
      </w:pPr>
      <w:bookmarkStart w:id="200" w:name="_Toc31523"/>
      <w:bookmarkStart w:id="201" w:name="_Toc15653"/>
      <w:bookmarkStart w:id="202" w:name="_Toc20310"/>
      <w:bookmarkStart w:id="203" w:name="_Toc286"/>
      <w:bookmarkStart w:id="204" w:name="_Toc8129"/>
      <w:bookmarkStart w:id="205" w:name="_Toc5742"/>
      <w:bookmarkStart w:id="206" w:name="_Toc7837"/>
      <w:r>
        <w:rPr>
          <w:rStyle w:val="47"/>
          <w:rFonts w:hint="eastAsia" w:ascii="宋体" w:hAnsi="宋体" w:eastAsia="宋体" w:cs="宋体"/>
          <w:color w:val="auto"/>
          <w:sz w:val="28"/>
          <w:szCs w:val="28"/>
          <w:highlight w:val="none"/>
        </w:rPr>
        <w:t>二、</w:t>
      </w:r>
      <w:bookmarkEnd w:id="200"/>
      <w:bookmarkEnd w:id="201"/>
      <w:r>
        <w:rPr>
          <w:rStyle w:val="47"/>
          <w:rFonts w:hint="eastAsia" w:ascii="宋体" w:hAnsi="宋体" w:eastAsia="宋体" w:cs="宋体"/>
          <w:color w:val="auto"/>
          <w:sz w:val="28"/>
          <w:szCs w:val="28"/>
          <w:highlight w:val="none"/>
        </w:rPr>
        <w:t>资格响应文件</w:t>
      </w:r>
      <w:bookmarkEnd w:id="202"/>
      <w:bookmarkEnd w:id="203"/>
      <w:bookmarkEnd w:id="204"/>
      <w:bookmarkEnd w:id="205"/>
      <w:bookmarkEnd w:id="206"/>
    </w:p>
    <w:p>
      <w:pPr>
        <w:pStyle w:val="33"/>
        <w:tabs>
          <w:tab w:val="left" w:pos="630"/>
          <w:tab w:val="left" w:pos="840"/>
          <w:tab w:val="left" w:pos="1050"/>
        </w:tabs>
        <w:adjustRightInd w:val="0"/>
        <w:snapToGrid w:val="0"/>
        <w:spacing w:before="0" w:beforeAutospacing="0" w:after="0" w:afterAutospacing="0" w:line="360" w:lineRule="auto"/>
        <w:rPr>
          <w:rFonts w:ascii="宋体" w:hAnsi="宋体" w:cs="宋体"/>
          <w:b/>
          <w:bCs/>
          <w:color w:val="auto"/>
          <w:sz w:val="21"/>
          <w:szCs w:val="21"/>
          <w:highlight w:val="none"/>
        </w:rPr>
      </w:pPr>
      <w:r>
        <w:rPr>
          <w:rFonts w:hint="eastAsia" w:ascii="宋体" w:hAnsi="宋体" w:cs="宋体"/>
          <w:b/>
          <w:color w:val="auto"/>
          <w:sz w:val="21"/>
          <w:szCs w:val="21"/>
          <w:highlight w:val="none"/>
        </w:rPr>
        <w:t>2.1基本资格条件相关证明材料</w:t>
      </w:r>
    </w:p>
    <w:p>
      <w:pPr>
        <w:pStyle w:val="33"/>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a.具有独立承担民事责任能力的证明材料（如为联合体投标人的，联合体各方均须提供）</w:t>
      </w:r>
    </w:p>
    <w:p>
      <w:pPr>
        <w:pStyle w:val="33"/>
        <w:tabs>
          <w:tab w:val="left" w:pos="630"/>
          <w:tab w:val="left" w:pos="840"/>
          <w:tab w:val="left" w:pos="1050"/>
        </w:tabs>
        <w:adjustRightInd w:val="0"/>
        <w:snapToGrid w:val="0"/>
        <w:spacing w:before="0" w:beforeAutospacing="0" w:after="0" w:afterAutospacing="0" w:line="360" w:lineRule="auto"/>
        <w:ind w:left="420"/>
        <w:rPr>
          <w:rFonts w:ascii="宋体" w:hAnsi="宋体" w:cs="宋体"/>
          <w:color w:val="auto"/>
          <w:sz w:val="21"/>
          <w:szCs w:val="21"/>
          <w:highlight w:val="none"/>
        </w:rPr>
      </w:pPr>
      <w:r>
        <w:rPr>
          <w:rFonts w:hint="eastAsia" w:ascii="宋体" w:hAnsi="宋体" w:cs="宋体"/>
          <w:color w:val="auto"/>
          <w:sz w:val="21"/>
          <w:szCs w:val="21"/>
          <w:highlight w:val="none"/>
        </w:rPr>
        <w:t>投标人须在投标文件中出具符合以下情况的证明材料复印件（五选一）：</w:t>
      </w:r>
    </w:p>
    <w:p>
      <w:pPr>
        <w:pStyle w:val="33"/>
        <w:numPr>
          <w:ilvl w:val="0"/>
          <w:numId w:val="19"/>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如投标人是企业（包括合伙企业），提供在工商部门注册的有效“企业法人营业执照”或“营业执照”；</w:t>
      </w:r>
    </w:p>
    <w:p>
      <w:pPr>
        <w:pStyle w:val="33"/>
        <w:numPr>
          <w:ilvl w:val="0"/>
          <w:numId w:val="19"/>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如投标人是事业单位，提供有效的“事业单位法人证书”；</w:t>
      </w:r>
    </w:p>
    <w:p>
      <w:pPr>
        <w:pStyle w:val="33"/>
        <w:numPr>
          <w:ilvl w:val="0"/>
          <w:numId w:val="19"/>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如投标人是非企业专业服务机构的，提供执业许可证等证明文件；</w:t>
      </w:r>
    </w:p>
    <w:p>
      <w:pPr>
        <w:pStyle w:val="33"/>
        <w:numPr>
          <w:ilvl w:val="0"/>
          <w:numId w:val="19"/>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如投标人是个体工商户，提供有效的“个体工商户营业执照”；</w:t>
      </w:r>
    </w:p>
    <w:p>
      <w:pPr>
        <w:pStyle w:val="33"/>
        <w:numPr>
          <w:ilvl w:val="0"/>
          <w:numId w:val="19"/>
        </w:numPr>
        <w:tabs>
          <w:tab w:val="left" w:pos="312"/>
        </w:tabs>
        <w:adjustRightInd w:val="0"/>
        <w:snapToGrid w:val="0"/>
        <w:spacing w:before="0" w:beforeAutospacing="0" w:after="0" w:afterAutospacing="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如投标人是自然人，提供有效的自然人身份证明（居民身份证正反面或公安机关出具的临时居民身份证正反面或港澳台胞证或护照）。</w:t>
      </w:r>
    </w:p>
    <w:p>
      <w:pPr>
        <w:pStyle w:val="33"/>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u w:val="single"/>
        </w:rPr>
      </w:pPr>
      <w:r>
        <w:rPr>
          <w:rFonts w:hint="eastAsia" w:ascii="宋体" w:hAnsi="宋体" w:cs="宋体"/>
          <w:b/>
          <w:bCs/>
          <w:color w:val="auto"/>
          <w:sz w:val="21"/>
          <w:szCs w:val="21"/>
          <w:highlight w:val="none"/>
          <w:u w:val="single"/>
        </w:rPr>
        <w:t>分公司经总公司授权后，可以以分公司的名义参加政府采购活动，可以提供总公司或分公司的营业执照、财务报表、纳税证明等材料，可以使用总公司的相关业绩和资质，但其民事责任由总公司承担。同一总公司下的两家分公司不能同时参与一个采购项目投标。中标后，应当和总公司签订政府采购合同。</w:t>
      </w:r>
    </w:p>
    <w:p>
      <w:pPr>
        <w:pStyle w:val="33"/>
        <w:tabs>
          <w:tab w:val="left" w:pos="630"/>
          <w:tab w:val="left" w:pos="840"/>
          <w:tab w:val="left" w:pos="1050"/>
        </w:tabs>
        <w:adjustRightInd w:val="0"/>
        <w:snapToGrid w:val="0"/>
        <w:spacing w:before="0" w:beforeAutospacing="0" w:after="0" w:afterAutospacing="0" w:line="360" w:lineRule="auto"/>
        <w:ind w:firstLine="422" w:firstLineChars="200"/>
        <w:rPr>
          <w:rFonts w:ascii="宋体" w:hAnsi="宋体" w:cs="宋体"/>
          <w:b/>
          <w:bCs/>
          <w:color w:val="auto"/>
          <w:sz w:val="21"/>
          <w:szCs w:val="21"/>
          <w:highlight w:val="none"/>
          <w:u w:val="single"/>
        </w:rPr>
      </w:pPr>
      <w:r>
        <w:rPr>
          <w:rFonts w:hint="eastAsia" w:ascii="宋体" w:hAnsi="宋体" w:cs="宋体"/>
          <w:b/>
          <w:bCs/>
          <w:color w:val="auto"/>
          <w:sz w:val="21"/>
          <w:szCs w:val="21"/>
          <w:highlight w:val="none"/>
          <w:u w:val="single"/>
        </w:rPr>
        <w:t>对于某些具有垄断性质的特殊行业或企业，例如银行、保险、电信、邮政、铁路等行业，其总公司为了方便分公司在全国开展业务，采用公司文件或公司制度的形式授权其分公司独立开展业务，其民事责任由总公司承担。在此情况下，不要求分公司出具总公司的授权，出具总公司的有关文件或制度等能够证明总公司授权其独立开展业务的证明即可。投标文件中法定代表人身份证明书及授权书可以为分支机构负责人身份证明书及授权书。</w:t>
      </w:r>
    </w:p>
    <w:p>
      <w:pPr>
        <w:pStyle w:val="33"/>
        <w:tabs>
          <w:tab w:val="left" w:pos="312"/>
        </w:tabs>
        <w:adjustRightInd w:val="0"/>
        <w:snapToGrid w:val="0"/>
        <w:spacing w:before="0" w:beforeAutospacing="0" w:after="0" w:afterAutospacing="0" w:line="360" w:lineRule="auto"/>
        <w:rPr>
          <w:rFonts w:ascii="宋体" w:hAnsi="宋体" w:cs="宋体"/>
          <w:b/>
          <w:bCs/>
          <w:color w:val="auto"/>
          <w:sz w:val="21"/>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 w:val="21"/>
          <w:szCs w:val="21"/>
          <w:highlight w:val="none"/>
        </w:rPr>
        <w:t>b.符合参与政府采购活动资格条件的证明材料（如为联合体投标人的，联合体各方均须提供）</w:t>
      </w:r>
    </w:p>
    <w:p>
      <w:pPr>
        <w:pStyle w:val="33"/>
        <w:keepNext w:val="0"/>
        <w:keepLines w:val="0"/>
        <w:pageBreakBefore w:val="0"/>
        <w:widowControl/>
        <w:kinsoku/>
        <w:wordWrap/>
        <w:overflowPunct/>
        <w:topLinePunct w:val="0"/>
        <w:autoSpaceDE/>
        <w:autoSpaceDN/>
        <w:bidi w:val="0"/>
        <w:adjustRightInd w:val="0"/>
        <w:snapToGrid w:val="0"/>
        <w:spacing w:before="0" w:beforeLines="50" w:beforeAutospacing="0" w:after="0" w:afterLines="50" w:afterAutospacing="0" w:line="360" w:lineRule="auto"/>
        <w:jc w:val="center"/>
        <w:textAlignment w:val="auto"/>
        <w:rPr>
          <w:rFonts w:ascii="宋体" w:hAnsi="宋体" w:cs="宋体"/>
          <w:color w:val="auto"/>
          <w:szCs w:val="21"/>
          <w:highlight w:val="none"/>
          <w:u w:val="single"/>
        </w:rPr>
      </w:pPr>
      <w:r>
        <w:rPr>
          <w:rFonts w:hint="eastAsia" w:ascii="宋体" w:hAnsi="宋体" w:cs="宋体"/>
          <w:b/>
          <w:bCs/>
          <w:color w:val="auto"/>
          <w:sz w:val="32"/>
          <w:szCs w:val="32"/>
          <w:highlight w:val="none"/>
        </w:rPr>
        <w:t>符合参与政府采购活动资格条件的承诺函</w:t>
      </w:r>
    </w:p>
    <w:p>
      <w:pPr>
        <w:keepNext w:val="0"/>
        <w:keepLines w:val="0"/>
        <w:pageBreakBefore w:val="0"/>
        <w:kinsoku/>
        <w:wordWrap/>
        <w:overflowPunct/>
        <w:topLinePunct w:val="0"/>
        <w:autoSpaceDE/>
        <w:autoSpaceDN/>
        <w:bidi w:val="0"/>
        <w:snapToGrid/>
        <w:spacing w:line="400" w:lineRule="exact"/>
        <w:textAlignment w:val="auto"/>
        <w:rPr>
          <w:rFonts w:ascii="宋体" w:hAnsi="宋体" w:cs="宋体"/>
          <w:b/>
          <w:bCs/>
          <w:color w:val="auto"/>
          <w:szCs w:val="21"/>
          <w:highlight w:val="none"/>
          <w:u w:val="single"/>
        </w:rPr>
      </w:pPr>
      <w:r>
        <w:rPr>
          <w:rFonts w:hint="eastAsia" w:ascii="宋体" w:hAnsi="宋体" w:cs="宋体"/>
          <w:b/>
          <w:bCs/>
          <w:color w:val="auto"/>
          <w:szCs w:val="21"/>
          <w:highlight w:val="none"/>
          <w:u w:val="single"/>
          <w:lang w:eastAsia="zh-CN"/>
        </w:rPr>
        <w:t>浙江省药品信息宣传和发展服务中心</w:t>
      </w:r>
      <w:r>
        <w:rPr>
          <w:rFonts w:hint="eastAsia" w:ascii="宋体" w:hAnsi="宋体" w:cs="宋体"/>
          <w:b/>
          <w:bCs/>
          <w:color w:val="auto"/>
          <w:szCs w:val="21"/>
          <w:highlight w:val="none"/>
          <w:u w:val="single"/>
        </w:rPr>
        <w:t>：</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我方</w:t>
      </w:r>
      <w:r>
        <w:rPr>
          <w:rFonts w:hint="eastAsia" w:ascii="宋体" w:hAnsi="宋体" w:cs="宋体"/>
          <w:color w:val="auto"/>
          <w:sz w:val="21"/>
          <w:szCs w:val="21"/>
          <w:highlight w:val="none"/>
          <w:u w:val="single"/>
        </w:rPr>
        <w:t xml:space="preserve"> </w:t>
      </w:r>
      <w:r>
        <w:rPr>
          <w:rFonts w:hint="eastAsia" w:ascii="宋体" w:hAnsi="宋体" w:cs="宋体"/>
          <w:i/>
          <w:iCs/>
          <w:color w:val="auto"/>
          <w:sz w:val="21"/>
          <w:szCs w:val="21"/>
          <w:highlight w:val="none"/>
          <w:u w:val="single"/>
        </w:rPr>
        <w:t>（投标人全称）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参与</w:t>
      </w:r>
      <w:r>
        <w:rPr>
          <w:rFonts w:hint="eastAsia" w:ascii="宋体" w:hAnsi="宋体" w:cs="宋体"/>
          <w:color w:val="auto"/>
          <w:sz w:val="21"/>
          <w:szCs w:val="21"/>
          <w:highlight w:val="none"/>
          <w:u w:val="single"/>
          <w:lang w:eastAsia="zh-CN"/>
        </w:rPr>
        <w:t>浙江省药品信息宣传和发展服务中心药品安全智慧监管“黑匣子”（二期）项目</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u w:val="single"/>
          <w:lang w:eastAsia="zh-CN"/>
        </w:rPr>
        <w:t>ZJ-2370554-02</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rPr>
        <w:t>政府采购活动，郑重承诺如下：</w:t>
      </w:r>
    </w:p>
    <w:p>
      <w:pPr>
        <w:keepNext w:val="0"/>
        <w:keepLines w:val="0"/>
        <w:pageBreakBefore w:val="0"/>
        <w:kinsoku/>
        <w:wordWrap/>
        <w:overflowPunct/>
        <w:topLinePunct w:val="0"/>
        <w:autoSpaceDE/>
        <w:autoSpaceDN/>
        <w:bidi w:val="0"/>
        <w:adjustRightInd w:val="0"/>
        <w:snapToGrid/>
        <w:spacing w:line="400" w:lineRule="exact"/>
        <w:ind w:firstLine="422" w:firstLineChars="200"/>
        <w:jc w:val="left"/>
        <w:textAlignment w:val="auto"/>
        <w:rPr>
          <w:rFonts w:ascii="宋体" w:hAnsi="宋体" w:cs="宋体"/>
          <w:b/>
          <w:bCs/>
          <w:color w:val="auto"/>
          <w:szCs w:val="21"/>
          <w:highlight w:val="none"/>
        </w:rPr>
      </w:pPr>
      <w:r>
        <w:rPr>
          <w:rFonts w:hint="eastAsia" w:ascii="宋体" w:hAnsi="宋体" w:cs="宋体"/>
          <w:b/>
          <w:bCs/>
          <w:color w:val="auto"/>
          <w:szCs w:val="21"/>
          <w:highlight w:val="none"/>
        </w:rPr>
        <w:t>（一）具备《中华人民共和国政府采购法》第二十二条第一款规定的下列条件：</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1.我方具有良好的商业信誉和健全的财务会计制度；</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2.我方具有履行本项目合同所必需的设备和专业技术能力；</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3.我方没有缴纳税收和社会保障等方面的失信记录；</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4.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2" w:firstLineChars="200"/>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rPr>
        <w:t>（二）未被信用中国（www.creditchina.gov.cn)、中国政府采购网（www.ccgp.gov.cn）列入失信被执行人、重大税收违法案件当事人名单、政府采购严重违法失信行为记录名单。</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2" w:firstLineChars="200"/>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rPr>
        <w:t>（三）不存在以下情况：</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1.单位负责人为同一人或者存在直接控股、管理关系的不同供应商参加同一合同项下的政府采购活动的；</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2.为采购项目提供整体设计、规范编制或者项目管理、监理、检测等服务后再参加该采购项目的其他采购活动的（其他采购活动不包括为该项目提供整体设计、规范编制或者项目管理、监理、检测等服务）；</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3.以联合体形式参加政府采购活动的，再单独参加或者与其他投标人另外组成联合体参加同一合同项下的政府采购活动的情形。</w:t>
      </w:r>
    </w:p>
    <w:p>
      <w:pPr>
        <w:pStyle w:val="33"/>
        <w:keepNext w:val="0"/>
        <w:keepLines w:val="0"/>
        <w:pageBreakBefore w:val="0"/>
        <w:kinsoku/>
        <w:wordWrap/>
        <w:overflowPunct/>
        <w:topLinePunct w:val="0"/>
        <w:autoSpaceDE/>
        <w:autoSpaceDN/>
        <w:bidi w:val="0"/>
        <w:snapToGrid/>
        <w:spacing w:before="0" w:beforeAutospacing="0" w:after="0" w:afterAutospacing="0"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我方对上述承诺内容的真实性负责。如有虚假，将依法承担相应责任。</w:t>
      </w:r>
    </w:p>
    <w:p>
      <w:pPr>
        <w:adjustRightInd w:val="0"/>
        <w:spacing w:line="360" w:lineRule="auto"/>
        <w:ind w:firstLine="4515" w:firstLineChars="2150"/>
        <w:rPr>
          <w:rFonts w:hint="eastAsia" w:ascii="宋体" w:hAnsi="宋体" w:cs="宋体"/>
          <w:color w:val="auto"/>
          <w:szCs w:val="21"/>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pStyle w:val="33"/>
        <w:spacing w:before="0" w:beforeAutospacing="0" w:after="0" w:afterAutospacing="0" w:line="360" w:lineRule="auto"/>
        <w:ind w:firstLine="422" w:firstLineChars="200"/>
        <w:rPr>
          <w:rFonts w:hint="eastAsia" w:ascii="宋体" w:hAnsi="宋体" w:cs="宋体"/>
          <w:b/>
          <w:bCs/>
          <w:color w:val="auto"/>
          <w:sz w:val="21"/>
          <w:szCs w:val="21"/>
          <w:highlight w:val="none"/>
        </w:rPr>
      </w:pPr>
    </w:p>
    <w:p>
      <w:pPr>
        <w:pStyle w:val="33"/>
        <w:spacing w:before="0" w:beforeAutospacing="0" w:after="0" w:afterAutospacing="0"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特别说明：已完成信用修复的“缴纳税收和社会保障等方面的失信记录”不包含在上述第3点所述情形内（属于重大违法记录情形的除外）。</w:t>
      </w:r>
    </w:p>
    <w:p>
      <w:pPr>
        <w:tabs>
          <w:tab w:val="left" w:pos="840"/>
          <w:tab w:val="left" w:pos="1050"/>
        </w:tabs>
        <w:adjustRightInd w:val="0"/>
        <w:snapToGrid w:val="0"/>
        <w:spacing w:line="360" w:lineRule="auto"/>
        <w:jc w:val="left"/>
        <w:rPr>
          <w:rFonts w:ascii="宋体" w:hAnsi="宋体" w:cs="宋体"/>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2.2落实政府采购政策需满足的资格要求（如为联合体投标人的，联合体各方均须提供）：标项1，供应商为中小企业。</w:t>
      </w:r>
    </w:p>
    <w:p>
      <w:pPr>
        <w:pStyle w:val="20"/>
        <w:keepNext w:val="0"/>
        <w:keepLines w:val="0"/>
        <w:pageBreakBefore w:val="0"/>
        <w:widowControl w:val="0"/>
        <w:kinsoku/>
        <w:wordWrap/>
        <w:overflowPunct/>
        <w:topLinePunct w:val="0"/>
        <w:autoSpaceDE/>
        <w:autoSpaceDN/>
        <w:bidi w:val="0"/>
        <w:adjustRightInd w:val="0"/>
        <w:snapToGrid/>
        <w:spacing w:line="360" w:lineRule="auto"/>
        <w:ind w:firstLine="0"/>
        <w:jc w:val="center"/>
        <w:textAlignment w:val="auto"/>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中小企业声明函（服务）</w:t>
      </w:r>
    </w:p>
    <w:p>
      <w:pPr>
        <w:pStyle w:val="17"/>
        <w:keepNext w:val="0"/>
        <w:keepLines w:val="0"/>
        <w:pageBreakBefore w:val="0"/>
        <w:widowControl w:val="0"/>
        <w:kinsoku/>
        <w:wordWrap/>
        <w:overflowPunct/>
        <w:topLinePunct w:val="0"/>
        <w:autoSpaceDE w:val="0"/>
        <w:autoSpaceDN w:val="0"/>
        <w:bidi w:val="0"/>
        <w:spacing w:after="0" w:line="360" w:lineRule="auto"/>
        <w:ind w:right="-54"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w:t>
      </w:r>
      <w:r>
        <w:rPr>
          <w:rFonts w:hint="eastAsia" w:ascii="宋体" w:hAnsi="宋体" w:cs="宋体"/>
          <w:b/>
          <w:bCs/>
          <w:color w:val="auto"/>
          <w:szCs w:val="21"/>
          <w:highlight w:val="none"/>
        </w:rPr>
        <w:t>服务</w:t>
      </w:r>
      <w:r>
        <w:rPr>
          <w:rFonts w:hint="eastAsia" w:ascii="宋体" w:hAnsi="宋体" w:cs="宋体"/>
          <w:b/>
          <w:bCs/>
          <w:color w:val="auto"/>
          <w:w w:val="95"/>
          <w:szCs w:val="21"/>
          <w:highlight w:val="none"/>
        </w:rPr>
        <w:t>全部由符合政策要求的中小企业承接。</w:t>
      </w:r>
      <w:r>
        <w:rPr>
          <w:rFonts w:hint="eastAsia" w:ascii="宋体" w:hAnsi="宋体" w:cs="宋体"/>
          <w:color w:val="auto"/>
          <w:szCs w:val="21"/>
          <w:highlight w:val="none"/>
        </w:rPr>
        <w:t>相关企业（含联合体中的中小企业、签订分包意向协议的中小企业）的具体情况如下：</w:t>
      </w:r>
    </w:p>
    <w:p>
      <w:pPr>
        <w:pStyle w:val="107"/>
        <w:keepNext w:val="0"/>
        <w:keepLines w:val="0"/>
        <w:pageBreakBefore w:val="0"/>
        <w:widowControl w:val="0"/>
        <w:tabs>
          <w:tab w:val="left" w:pos="1243"/>
        </w:tabs>
        <w:kinsoku/>
        <w:wordWrap/>
        <w:overflowPunct/>
        <w:topLinePunct w:val="0"/>
        <w:autoSpaceDE w:val="0"/>
        <w:autoSpaceDN w:val="0"/>
        <w:bidi w:val="0"/>
        <w:spacing w:line="360" w:lineRule="auto"/>
        <w:ind w:left="19" w:leftChars="9" w:firstLine="399" w:firstLineChars="199"/>
        <w:textAlignment w:val="auto"/>
        <w:rPr>
          <w:rFonts w:ascii="宋体" w:hAnsi="宋体" w:cs="宋体"/>
          <w:color w:val="auto"/>
          <w:szCs w:val="21"/>
          <w:highlight w:val="none"/>
        </w:rPr>
      </w:pPr>
      <w:r>
        <w:rPr>
          <w:rFonts w:hint="eastAsia" w:ascii="宋体" w:hAnsi="宋体" w:cs="宋体"/>
          <w:color w:val="auto"/>
          <w:w w:val="96"/>
          <w:szCs w:val="21"/>
          <w:highlight w:val="none"/>
        </w:rPr>
        <w:t>1.</w:t>
      </w:r>
      <w:r>
        <w:rPr>
          <w:rFonts w:hint="eastAsia" w:ascii="宋体" w:hAnsi="宋体" w:cs="宋体"/>
          <w:color w:val="auto"/>
          <w:w w:val="96"/>
          <w:szCs w:val="21"/>
          <w:highlight w:val="none"/>
          <w:u w:val="single"/>
        </w:rPr>
        <w:t>（标的名称）</w:t>
      </w:r>
      <w:r>
        <w:rPr>
          <w:rFonts w:hint="eastAsia" w:ascii="宋体" w:hAnsi="宋体" w:cs="宋体"/>
          <w:color w:val="auto"/>
          <w:w w:val="99"/>
          <w:szCs w:val="21"/>
          <w:highlight w:val="none"/>
        </w:rPr>
        <w:t>，属于</w:t>
      </w:r>
      <w:r>
        <w:rPr>
          <w:rFonts w:hint="eastAsia" w:ascii="宋体" w:hAnsi="宋体" w:cs="宋体"/>
          <w:b/>
          <w:bCs/>
          <w:color w:val="auto"/>
          <w:highlight w:val="none"/>
          <w:u w:val="single"/>
          <w:lang w:eastAsia="zh-CN"/>
        </w:rPr>
        <w:t>软件和信息技术服务业</w:t>
      </w:r>
      <w:r>
        <w:rPr>
          <w:rFonts w:hint="eastAsia" w:ascii="宋体" w:hAnsi="宋体" w:cs="宋体"/>
          <w:color w:val="auto"/>
          <w:w w:val="99"/>
          <w:szCs w:val="21"/>
          <w:highlight w:val="none"/>
        </w:rPr>
        <w:t>；承建（承接）企业为</w:t>
      </w:r>
      <w:r>
        <w:rPr>
          <w:rFonts w:hint="eastAsia" w:ascii="宋体" w:hAnsi="宋体" w:cs="宋体"/>
          <w:color w:val="auto"/>
          <w:w w:val="96"/>
          <w:szCs w:val="21"/>
          <w:highlight w:val="none"/>
          <w:u w:val="single"/>
        </w:rPr>
        <w:t>（企业名称）</w:t>
      </w:r>
      <w:r>
        <w:rPr>
          <w:rFonts w:hint="eastAsia" w:ascii="宋体" w:hAnsi="宋体" w:cs="宋体"/>
          <w:color w:val="auto"/>
          <w:w w:val="99"/>
          <w:szCs w:val="21"/>
          <w:highlight w:val="none"/>
        </w:rPr>
        <w:t>，从业人员</w:t>
      </w:r>
      <w:r>
        <w:rPr>
          <w:rFonts w:hint="eastAsia" w:ascii="宋体" w:hAnsi="宋体" w:cs="宋体"/>
          <w:color w:val="auto"/>
          <w:w w:val="99"/>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w w:val="99"/>
          <w:szCs w:val="21"/>
          <w:highlight w:val="none"/>
        </w:rPr>
        <w:t>人，营业</w:t>
      </w:r>
      <w:r>
        <w:rPr>
          <w:rFonts w:hint="eastAsia" w:ascii="宋体" w:hAnsi="宋体" w:cs="宋体"/>
          <w:color w:val="auto"/>
          <w:szCs w:val="21"/>
          <w:highlight w:val="none"/>
        </w:rPr>
        <w:t>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w:t>
      </w:r>
      <w:r>
        <w:rPr>
          <w:rFonts w:hint="eastAsia" w:ascii="宋体" w:hAnsi="宋体" w:cs="宋体"/>
          <w:color w:val="auto"/>
          <w:w w:val="96"/>
          <w:szCs w:val="21"/>
          <w:highlight w:val="none"/>
          <w:u w:val="single"/>
        </w:rPr>
        <w:t>小型企业、微型企业）</w:t>
      </w:r>
      <w:r>
        <w:rPr>
          <w:rFonts w:hint="eastAsia" w:ascii="宋体" w:hAnsi="宋体" w:cs="宋体"/>
          <w:color w:val="auto"/>
          <w:w w:val="99"/>
          <w:szCs w:val="21"/>
          <w:highlight w:val="none"/>
        </w:rPr>
        <w:t>；</w:t>
      </w:r>
    </w:p>
    <w:p>
      <w:pPr>
        <w:pStyle w:val="107"/>
        <w:keepNext w:val="0"/>
        <w:keepLines w:val="0"/>
        <w:pageBreakBefore w:val="0"/>
        <w:widowControl w:val="0"/>
        <w:tabs>
          <w:tab w:val="left" w:pos="1243"/>
          <w:tab w:val="left" w:pos="1806"/>
          <w:tab w:val="left" w:pos="5005"/>
          <w:tab w:val="left" w:pos="7213"/>
        </w:tabs>
        <w:kinsoku/>
        <w:wordWrap/>
        <w:overflowPunct/>
        <w:topLinePunct w:val="0"/>
        <w:autoSpaceDE w:val="0"/>
        <w:autoSpaceDN w:val="0"/>
        <w:bidi w:val="0"/>
        <w:spacing w:line="360" w:lineRule="auto"/>
        <w:ind w:left="19" w:leftChars="9" w:firstLine="399" w:firstLineChars="199"/>
        <w:jc w:val="left"/>
        <w:textAlignment w:val="auto"/>
        <w:rPr>
          <w:rFonts w:ascii="宋体" w:hAnsi="宋体" w:cs="宋体"/>
          <w:color w:val="auto"/>
          <w:szCs w:val="21"/>
          <w:highlight w:val="none"/>
        </w:rPr>
      </w:pPr>
      <w:r>
        <w:rPr>
          <w:rFonts w:hint="eastAsia" w:ascii="宋体" w:hAnsi="宋体" w:cs="宋体"/>
          <w:color w:val="auto"/>
          <w:w w:val="96"/>
          <w:szCs w:val="21"/>
          <w:highlight w:val="none"/>
        </w:rPr>
        <w:t>2.</w:t>
      </w:r>
      <w:r>
        <w:rPr>
          <w:rFonts w:hint="eastAsia" w:ascii="宋体" w:hAnsi="宋体" w:cs="宋体"/>
          <w:color w:val="auto"/>
          <w:w w:val="96"/>
          <w:szCs w:val="21"/>
          <w:highlight w:val="none"/>
          <w:u w:val="single"/>
        </w:rPr>
        <w:t>（标的名称）</w:t>
      </w:r>
      <w:r>
        <w:rPr>
          <w:rFonts w:hint="eastAsia" w:ascii="宋体" w:hAnsi="宋体" w:cs="宋体"/>
          <w:color w:val="auto"/>
          <w:w w:val="99"/>
          <w:szCs w:val="21"/>
          <w:highlight w:val="none"/>
        </w:rPr>
        <w:t>，属于</w:t>
      </w:r>
      <w:r>
        <w:rPr>
          <w:rFonts w:hint="eastAsia" w:ascii="宋体" w:hAnsi="宋体" w:cs="宋体"/>
          <w:b/>
          <w:bCs/>
          <w:color w:val="auto"/>
          <w:highlight w:val="none"/>
          <w:u w:val="single"/>
          <w:lang w:eastAsia="zh-CN"/>
        </w:rPr>
        <w:t>软件和信息技术服务业</w:t>
      </w:r>
      <w:r>
        <w:rPr>
          <w:rFonts w:hint="eastAsia" w:ascii="宋体" w:hAnsi="宋体" w:cs="宋体"/>
          <w:color w:val="auto"/>
          <w:w w:val="99"/>
          <w:szCs w:val="21"/>
          <w:highlight w:val="none"/>
        </w:rPr>
        <w:t>； 承建（承接）企业为</w:t>
      </w:r>
      <w:r>
        <w:rPr>
          <w:rFonts w:hint="eastAsia" w:ascii="宋体" w:hAnsi="宋体" w:cs="宋体"/>
          <w:color w:val="auto"/>
          <w:w w:val="96"/>
          <w:szCs w:val="21"/>
          <w:highlight w:val="none"/>
          <w:u w:val="single"/>
        </w:rPr>
        <w:t>（企业名称）</w:t>
      </w:r>
      <w:r>
        <w:rPr>
          <w:rFonts w:hint="eastAsia" w:ascii="宋体" w:hAnsi="宋体" w:cs="宋体"/>
          <w:color w:val="auto"/>
          <w:w w:val="99"/>
          <w:szCs w:val="21"/>
          <w:highlight w:val="none"/>
        </w:rPr>
        <w:t>，从业人员</w:t>
      </w:r>
      <w:r>
        <w:rPr>
          <w:rFonts w:hint="eastAsia" w:ascii="宋体" w:hAnsi="宋体" w:cs="宋体"/>
          <w:color w:val="auto"/>
          <w:w w:val="99"/>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w w:val="99"/>
          <w:szCs w:val="21"/>
          <w:highlight w:val="none"/>
        </w:rPr>
        <w:t>人，营业</w:t>
      </w:r>
      <w:r>
        <w:rPr>
          <w:rFonts w:hint="eastAsia" w:ascii="宋体" w:hAnsi="宋体" w:cs="宋体"/>
          <w:color w:val="auto"/>
          <w:szCs w:val="21"/>
          <w:highlight w:val="none"/>
        </w:rPr>
        <w:t>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w:t>
      </w:r>
      <w:r>
        <w:rPr>
          <w:rFonts w:hint="eastAsia" w:ascii="宋体" w:hAnsi="宋体" w:cs="宋体"/>
          <w:color w:val="auto"/>
          <w:w w:val="96"/>
          <w:szCs w:val="21"/>
          <w:highlight w:val="none"/>
          <w:u w:val="single"/>
        </w:rPr>
        <w:t>小型企业、微型企业）</w:t>
      </w:r>
      <w:r>
        <w:rPr>
          <w:rFonts w:hint="eastAsia" w:ascii="宋体" w:hAnsi="宋体" w:cs="宋体"/>
          <w:color w:val="auto"/>
          <w:w w:val="99"/>
          <w:szCs w:val="21"/>
          <w:highlight w:val="none"/>
        </w:rPr>
        <w:t>；</w:t>
      </w:r>
    </w:p>
    <w:p>
      <w:pPr>
        <w:pStyle w:val="17"/>
        <w:keepNext w:val="0"/>
        <w:keepLines w:val="0"/>
        <w:pageBreakBefore w:val="0"/>
        <w:widowControl w:val="0"/>
        <w:kinsoku/>
        <w:wordWrap/>
        <w:overflowPunct/>
        <w:topLinePunct w:val="0"/>
        <w:autoSpaceDE w:val="0"/>
        <w:autoSpaceDN w:val="0"/>
        <w:bidi w:val="0"/>
        <w:spacing w:after="0" w:line="360" w:lineRule="auto"/>
        <w:ind w:left="19" w:leftChars="9" w:firstLine="417" w:firstLineChars="199"/>
        <w:textAlignment w:val="auto"/>
        <w:rPr>
          <w:rFonts w:ascii="宋体" w:hAnsi="宋体" w:cs="宋体"/>
          <w:color w:val="auto"/>
          <w:szCs w:val="21"/>
          <w:highlight w:val="none"/>
        </w:rPr>
      </w:pPr>
      <w:r>
        <w:rPr>
          <w:rFonts w:hint="eastAsia" w:ascii="宋体" w:hAnsi="宋体" w:cs="宋体"/>
          <w:color w:val="auto"/>
          <w:szCs w:val="21"/>
          <w:highlight w:val="none"/>
        </w:rPr>
        <w:t>……</w:t>
      </w:r>
    </w:p>
    <w:p>
      <w:pPr>
        <w:pStyle w:val="17"/>
        <w:keepNext w:val="0"/>
        <w:keepLines w:val="0"/>
        <w:pageBreakBefore w:val="0"/>
        <w:widowControl w:val="0"/>
        <w:kinsoku/>
        <w:wordWrap/>
        <w:overflowPunct/>
        <w:topLinePunct w:val="0"/>
        <w:autoSpaceDE w:val="0"/>
        <w:autoSpaceDN w:val="0"/>
        <w:bidi w:val="0"/>
        <w:spacing w:after="0" w:line="360" w:lineRule="auto"/>
        <w:ind w:left="19" w:leftChars="9" w:firstLine="417" w:firstLineChars="199"/>
        <w:textAlignment w:val="auto"/>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pStyle w:val="17"/>
        <w:keepNext w:val="0"/>
        <w:keepLines w:val="0"/>
        <w:pageBreakBefore w:val="0"/>
        <w:widowControl w:val="0"/>
        <w:kinsoku/>
        <w:wordWrap/>
        <w:overflowPunct/>
        <w:topLinePunct w:val="0"/>
        <w:autoSpaceDE w:val="0"/>
        <w:autoSpaceDN w:val="0"/>
        <w:bidi w:val="0"/>
        <w:spacing w:after="0" w:line="360" w:lineRule="auto"/>
        <w:ind w:left="19" w:leftChars="9" w:firstLine="417" w:firstLineChars="199"/>
        <w:textAlignment w:val="auto"/>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keepNext w:val="0"/>
        <w:keepLines w:val="0"/>
        <w:pageBreakBefore w:val="0"/>
        <w:widowControl w:val="0"/>
        <w:kinsoku/>
        <w:wordWrap/>
        <w:overflowPunct/>
        <w:topLinePunct w:val="0"/>
        <w:bidi w:val="0"/>
        <w:spacing w:line="360" w:lineRule="auto"/>
        <w:ind w:firstLine="3998" w:firstLineChars="1904"/>
        <w:jc w:val="left"/>
        <w:textAlignment w:val="auto"/>
        <w:rPr>
          <w:rFonts w:ascii="宋体" w:hAnsi="宋体" w:cs="宋体"/>
          <w:color w:val="auto"/>
          <w:szCs w:val="21"/>
          <w:highlight w:val="none"/>
        </w:rPr>
      </w:pPr>
    </w:p>
    <w:p>
      <w:pPr>
        <w:keepNext w:val="0"/>
        <w:keepLines w:val="0"/>
        <w:pageBreakBefore w:val="0"/>
        <w:widowControl w:val="0"/>
        <w:kinsoku/>
        <w:wordWrap/>
        <w:overflowPunct/>
        <w:topLinePunct w:val="0"/>
        <w:bidi w:val="0"/>
        <w:adjustRightInd w:val="0"/>
        <w:spacing w:line="360" w:lineRule="auto"/>
        <w:ind w:firstLine="4515" w:firstLineChars="2150"/>
        <w:textAlignment w:val="auto"/>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keepNext w:val="0"/>
        <w:keepLines w:val="0"/>
        <w:pageBreakBefore w:val="0"/>
        <w:widowControl w:val="0"/>
        <w:kinsoku/>
        <w:wordWrap/>
        <w:overflowPunct/>
        <w:topLinePunct w:val="0"/>
        <w:bidi w:val="0"/>
        <w:spacing w:line="360" w:lineRule="auto"/>
        <w:ind w:firstLine="4515" w:firstLineChars="2150"/>
        <w:textAlignment w:val="auto"/>
        <w:rPr>
          <w:rFonts w:ascii="宋体" w:hAnsi="宋体" w:eastAsia="宋体" w:cs="宋体"/>
          <w:color w:val="auto"/>
          <w:highlight w:val="none"/>
        </w:rPr>
      </w:pPr>
      <w:r>
        <w:rPr>
          <w:rFonts w:hint="eastAsia" w:ascii="宋体" w:hAnsi="宋体" w:eastAsia="宋体" w:cs="宋体"/>
          <w:color w:val="auto"/>
          <w:highlight w:val="none"/>
        </w:rPr>
        <w:t>日期：</w:t>
      </w:r>
    </w:p>
    <w:p>
      <w:pPr>
        <w:keepNext w:val="0"/>
        <w:keepLines w:val="0"/>
        <w:pageBreakBefore w:val="0"/>
        <w:widowControl w:val="0"/>
        <w:kinsoku/>
        <w:wordWrap/>
        <w:overflowPunct/>
        <w:topLinePunct w:val="0"/>
        <w:bidi w:val="0"/>
        <w:snapToGrid w:val="0"/>
        <w:spacing w:line="360" w:lineRule="auto"/>
        <w:textAlignment w:val="auto"/>
        <w:rPr>
          <w:rFonts w:ascii="宋体" w:hAnsi="宋体" w:cs="宋体"/>
          <w:b/>
          <w:color w:val="auto"/>
          <w:szCs w:val="21"/>
          <w:highlight w:val="none"/>
        </w:rPr>
      </w:pPr>
    </w:p>
    <w:p>
      <w:pPr>
        <w:keepNext w:val="0"/>
        <w:keepLines w:val="0"/>
        <w:pageBreakBefore w:val="0"/>
        <w:widowControl w:val="0"/>
        <w:kinsoku/>
        <w:wordWrap/>
        <w:overflowPunct/>
        <w:topLinePunct w:val="0"/>
        <w:bidi w:val="0"/>
        <w:snapToGrid w:val="0"/>
        <w:spacing w:line="360" w:lineRule="auto"/>
        <w:textAlignment w:val="auto"/>
        <w:rPr>
          <w:rFonts w:ascii="宋体" w:hAnsi="宋体" w:cs="宋体"/>
          <w:b/>
          <w:color w:val="auto"/>
          <w:szCs w:val="21"/>
          <w:highlight w:val="none"/>
        </w:rPr>
      </w:pPr>
      <w:r>
        <w:rPr>
          <w:rFonts w:hint="eastAsia" w:ascii="宋体" w:hAnsi="宋体" w:cs="宋体"/>
          <w:b/>
          <w:color w:val="auto"/>
          <w:szCs w:val="21"/>
          <w:highlight w:val="none"/>
        </w:rPr>
        <w:t>说明：</w:t>
      </w:r>
    </w:p>
    <w:p>
      <w:pPr>
        <w:keepNext w:val="0"/>
        <w:keepLines w:val="0"/>
        <w:pageBreakBefore w:val="0"/>
        <w:widowControl w:val="0"/>
        <w:kinsoku/>
        <w:wordWrap/>
        <w:overflowPunct/>
        <w:topLinePunct w:val="0"/>
        <w:bidi w:val="0"/>
        <w:adjustRightInd w:val="0"/>
        <w:snapToGrid w:val="0"/>
        <w:spacing w:line="360" w:lineRule="auto"/>
        <w:ind w:firstLine="422" w:firstLineChars="200"/>
        <w:textAlignment w:val="auto"/>
        <w:rPr>
          <w:rFonts w:ascii="宋体" w:hAnsi="宋体" w:cs="宋体"/>
          <w:b/>
          <w:color w:val="auto"/>
          <w:szCs w:val="21"/>
          <w:highlight w:val="none"/>
        </w:rPr>
      </w:pPr>
      <w:r>
        <w:rPr>
          <w:rFonts w:hint="eastAsia" w:ascii="宋体" w:hAnsi="宋体" w:cs="宋体"/>
          <w:b/>
          <w:color w:val="auto"/>
          <w:szCs w:val="21"/>
          <w:highlight w:val="none"/>
        </w:rPr>
        <w:t>1.从业人员、营业收入、资产总额填报上一年度数据，无上一年度数据的新成立企业可不填报。</w:t>
      </w:r>
    </w:p>
    <w:p>
      <w:pPr>
        <w:keepNext w:val="0"/>
        <w:keepLines w:val="0"/>
        <w:pageBreakBefore w:val="0"/>
        <w:widowControl w:val="0"/>
        <w:kinsoku/>
        <w:wordWrap/>
        <w:overflowPunct/>
        <w:topLinePunct w:val="0"/>
        <w:bidi w:val="0"/>
        <w:adjustRightInd w:val="0"/>
        <w:snapToGrid w:val="0"/>
        <w:spacing w:line="360" w:lineRule="auto"/>
        <w:ind w:firstLine="422" w:firstLineChars="200"/>
        <w:jc w:val="left"/>
        <w:textAlignment w:val="auto"/>
        <w:rPr>
          <w:rFonts w:ascii="宋体" w:hAnsi="宋体" w:cs="宋体"/>
          <w:b/>
          <w:color w:val="auto"/>
          <w:szCs w:val="21"/>
          <w:highlight w:val="none"/>
        </w:rPr>
      </w:pPr>
      <w:r>
        <w:rPr>
          <w:rFonts w:hint="eastAsia" w:ascii="宋体" w:hAnsi="宋体" w:cs="宋体"/>
          <w:b/>
          <w:color w:val="auto"/>
          <w:szCs w:val="21"/>
          <w:highlight w:val="none"/>
        </w:rPr>
        <w:t>2.本项目所属行业见前附表。</w:t>
      </w:r>
    </w:p>
    <w:p>
      <w:pPr>
        <w:keepNext w:val="0"/>
        <w:keepLines w:val="0"/>
        <w:pageBreakBefore w:val="0"/>
        <w:widowControl w:val="0"/>
        <w:kinsoku/>
        <w:wordWrap/>
        <w:overflowPunct/>
        <w:topLinePunct w:val="0"/>
        <w:bidi w:val="0"/>
        <w:adjustRightInd w:val="0"/>
        <w:snapToGrid w:val="0"/>
        <w:spacing w:line="360" w:lineRule="auto"/>
        <w:ind w:firstLine="422" w:firstLineChars="200"/>
        <w:jc w:val="left"/>
        <w:textAlignment w:val="auto"/>
        <w:rPr>
          <w:rFonts w:ascii="宋体" w:hAnsi="宋体" w:cs="宋体"/>
          <w:b/>
          <w:color w:val="auto"/>
          <w:szCs w:val="21"/>
          <w:highlight w:val="none"/>
        </w:rPr>
      </w:pPr>
      <w:r>
        <w:rPr>
          <w:rFonts w:hint="eastAsia" w:ascii="宋体" w:hAnsi="宋体" w:cs="宋体"/>
          <w:b/>
          <w:color w:val="auto"/>
          <w:szCs w:val="21"/>
          <w:highlight w:val="none"/>
        </w:rPr>
        <w:t>3.中小企业划型标准规定（工信部联企业[2011]300号）附后。</w:t>
      </w:r>
    </w:p>
    <w:p>
      <w:pPr>
        <w:keepNext w:val="0"/>
        <w:keepLines w:val="0"/>
        <w:pageBreakBefore w:val="0"/>
        <w:widowControl w:val="0"/>
        <w:kinsoku/>
        <w:wordWrap/>
        <w:overflowPunct/>
        <w:topLinePunct w:val="0"/>
        <w:bidi w:val="0"/>
        <w:adjustRightInd w:val="0"/>
        <w:snapToGrid w:val="0"/>
        <w:spacing w:line="360" w:lineRule="auto"/>
        <w:ind w:firstLine="422" w:firstLineChars="200"/>
        <w:jc w:val="left"/>
        <w:textAlignment w:val="auto"/>
        <w:rPr>
          <w:rFonts w:hint="eastAsia" w:ascii="宋体" w:hAnsi="宋体" w:cs="宋体"/>
          <w:b/>
          <w:color w:val="auto"/>
          <w:szCs w:val="21"/>
          <w:highlight w:val="none"/>
        </w:rPr>
        <w:sectPr>
          <w:footerReference r:id="rId4" w:type="default"/>
          <w:pgSz w:w="11906" w:h="16838"/>
          <w:pgMar w:top="1440" w:right="1483" w:bottom="1440" w:left="1603" w:header="851" w:footer="992" w:gutter="0"/>
          <w:pgNumType w:fmt="decimal"/>
          <w:cols w:space="720" w:num="1"/>
          <w:formProt w:val="0"/>
          <w:docGrid w:type="lines" w:linePitch="332" w:charSpace="0"/>
        </w:sectPr>
      </w:pPr>
      <w:r>
        <w:rPr>
          <w:rFonts w:hint="eastAsia" w:ascii="宋体" w:hAnsi="宋体" w:cs="宋体"/>
          <w:b/>
          <w:color w:val="auto"/>
          <w:szCs w:val="21"/>
          <w:highlight w:val="none"/>
        </w:rPr>
        <w:t>4.《中小企业声明函》格式不得擅自调整，格式中划横线的部分需要各投标人按实际情况如实填写，括号中的内容是对拟填写内容的说明。</w:t>
      </w:r>
    </w:p>
    <w:p>
      <w:pPr>
        <w:tabs>
          <w:tab w:val="left" w:pos="840"/>
          <w:tab w:val="left" w:pos="1050"/>
        </w:tabs>
        <w:adjustRightInd w:val="0"/>
        <w:snapToGrid w:val="0"/>
        <w:spacing w:line="360" w:lineRule="auto"/>
        <w:jc w:val="left"/>
        <w:rPr>
          <w:rFonts w:ascii="宋体" w:hAnsi="宋体" w:cs="宋体"/>
          <w:bCs/>
          <w:color w:val="auto"/>
          <w:szCs w:val="21"/>
          <w:highlight w:val="none"/>
        </w:rPr>
      </w:pPr>
      <w:r>
        <w:rPr>
          <w:color w:val="auto"/>
          <w:highlight w:val="none"/>
        </w:rPr>
        <w:drawing>
          <wp:inline distT="0" distB="0" distL="114300" distR="114300">
            <wp:extent cx="8671560" cy="5244465"/>
            <wp:effectExtent l="0" t="0" r="1333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rot="16200000">
                      <a:off x="0" y="0"/>
                      <a:ext cx="8671560" cy="5244465"/>
                    </a:xfrm>
                    <a:prstGeom prst="rect">
                      <a:avLst/>
                    </a:prstGeom>
                    <a:noFill/>
                    <a:ln>
                      <a:noFill/>
                    </a:ln>
                  </pic:spPr>
                </pic:pic>
              </a:graphicData>
            </a:graphic>
          </wp:inline>
        </w:drawing>
      </w:r>
    </w:p>
    <w:p>
      <w:pPr>
        <w:autoSpaceDE/>
        <w:autoSpaceDN/>
        <w:adjustRightInd/>
        <w:snapToGrid/>
        <w:spacing w:line="240" w:lineRule="auto"/>
        <w:textAlignment w:val="auto"/>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autoSpaceDE/>
        <w:autoSpaceDN/>
        <w:adjustRightInd/>
        <w:snapToGrid/>
        <w:spacing w:line="240" w:lineRule="auto"/>
        <w:textAlignment w:val="auto"/>
        <w:rPr>
          <w:rFonts w:hint="eastAsia" w:ascii="宋体" w:hAnsi="宋体" w:eastAsia="宋体" w:cs="宋体"/>
          <w:b/>
          <w:bCs/>
          <w:color w:val="auto"/>
          <w:szCs w:val="21"/>
          <w:highlight w:val="none"/>
          <w:lang w:eastAsia="zh-CN"/>
        </w:rPr>
        <w:sectPr>
          <w:pgSz w:w="11906" w:h="16838"/>
          <w:pgMar w:top="1276" w:right="1418" w:bottom="1247" w:left="1418" w:header="851" w:footer="992" w:gutter="0"/>
          <w:cols w:space="720" w:num="1"/>
          <w:formProt w:val="0"/>
        </w:sectPr>
      </w:pPr>
      <w:r>
        <w:rPr>
          <w:rFonts w:hint="eastAsia" w:ascii="宋体" w:hAnsi="宋体" w:cs="宋体"/>
          <w:b/>
          <w:bCs/>
          <w:color w:val="auto"/>
          <w:szCs w:val="21"/>
          <w:highlight w:val="none"/>
        </w:rPr>
        <w:t>2.3 特定资格条件证明材料：无</w:t>
      </w:r>
    </w:p>
    <w:p>
      <w:pPr>
        <w:autoSpaceDE w:val="0"/>
        <w:autoSpaceDN w:val="0"/>
        <w:adjustRightInd w:val="0"/>
        <w:snapToGrid w:val="0"/>
        <w:spacing w:line="360" w:lineRule="auto"/>
        <w:textAlignment w:val="bottom"/>
        <w:rPr>
          <w:rFonts w:ascii="宋体" w:hAnsi="宋体" w:cs="宋体"/>
          <w:b/>
          <w:bCs/>
          <w:color w:val="auto"/>
          <w:szCs w:val="21"/>
          <w:highlight w:val="none"/>
        </w:rPr>
      </w:pPr>
      <w:r>
        <w:rPr>
          <w:rFonts w:hint="eastAsia" w:ascii="宋体" w:hAnsi="宋体" w:cs="宋体"/>
          <w:b/>
          <w:bCs/>
          <w:color w:val="auto"/>
          <w:szCs w:val="21"/>
          <w:highlight w:val="none"/>
        </w:rPr>
        <w:t>2.4联合体协议（如为联合体投标的，须提供）</w:t>
      </w:r>
    </w:p>
    <w:p>
      <w:pPr>
        <w:autoSpaceDE/>
        <w:autoSpaceDN/>
        <w:adjustRightInd/>
        <w:spacing w:line="240" w:lineRule="auto"/>
        <w:outlineLvl w:val="9"/>
        <w:rPr>
          <w:color w:val="auto"/>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联合</w:t>
      </w:r>
      <w:r>
        <w:rPr>
          <w:rFonts w:hint="eastAsia" w:ascii="宋体" w:hAnsi="宋体" w:cs="宋体"/>
          <w:b/>
          <w:color w:val="auto"/>
          <w:kern w:val="0"/>
          <w:sz w:val="32"/>
          <w:szCs w:val="32"/>
          <w:highlight w:val="none"/>
        </w:rPr>
        <w:t>体</w:t>
      </w:r>
      <w:r>
        <w:rPr>
          <w:rFonts w:hint="eastAsia" w:ascii="宋体" w:hAnsi="宋体" w:cs="宋体"/>
          <w:b/>
          <w:color w:val="auto"/>
          <w:kern w:val="0"/>
          <w:sz w:val="32"/>
          <w:szCs w:val="32"/>
          <w:highlight w:val="none"/>
          <w:lang w:val="zh-CN"/>
        </w:rPr>
        <w:t>协议</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Cs w:val="21"/>
          <w:highlight w:val="none"/>
          <w:u w:val="single"/>
        </w:rPr>
      </w:pP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u w:val="single"/>
        </w:rPr>
        <w:t>（联合体所有成员名称）</w:t>
      </w:r>
      <w:r>
        <w:rPr>
          <w:rFonts w:hint="eastAsia" w:ascii="宋体" w:hAnsi="宋体" w:cs="宋体"/>
          <w:color w:val="auto"/>
          <w:kern w:val="0"/>
          <w:szCs w:val="21"/>
          <w:highlight w:val="none"/>
        </w:rPr>
        <w:t>自愿</w:t>
      </w:r>
      <w:r>
        <w:rPr>
          <w:rFonts w:hint="eastAsia" w:ascii="宋体" w:hAnsi="宋体" w:cs="宋体"/>
          <w:color w:val="auto"/>
          <w:kern w:val="0"/>
          <w:szCs w:val="21"/>
          <w:highlight w:val="none"/>
          <w:lang w:val="zh-CN"/>
        </w:rPr>
        <w:t>组成一个联合体，以一个投标人的身份</w:t>
      </w:r>
      <w:r>
        <w:rPr>
          <w:rFonts w:hint="eastAsia" w:ascii="宋体" w:hAnsi="宋体" w:cs="宋体"/>
          <w:color w:val="auto"/>
          <w:kern w:val="0"/>
          <w:szCs w:val="21"/>
          <w:highlight w:val="none"/>
        </w:rPr>
        <w:t>参加</w:t>
      </w:r>
      <w:r>
        <w:rPr>
          <w:rFonts w:hint="eastAsia" w:ascii="宋体" w:hAnsi="宋体" w:cs="宋体"/>
          <w:color w:val="auto"/>
          <w:szCs w:val="21"/>
          <w:highlight w:val="none"/>
        </w:rPr>
        <w:t>（项目名称：）项目编号：）</w:t>
      </w:r>
      <w:r>
        <w:rPr>
          <w:rFonts w:hint="eastAsia" w:ascii="宋体" w:hAnsi="宋体" w:cs="宋体"/>
          <w:color w:val="auto"/>
          <w:kern w:val="0"/>
          <w:szCs w:val="21"/>
          <w:highlight w:val="none"/>
          <w:lang w:val="zh-CN"/>
        </w:rPr>
        <w:t xml:space="preserve">投标。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一、各方一致决定，</w:t>
      </w:r>
      <w:r>
        <w:rPr>
          <w:rFonts w:hint="eastAsia" w:ascii="宋体" w:hAnsi="宋体" w:cs="宋体"/>
          <w:color w:val="auto"/>
          <w:kern w:val="0"/>
          <w:szCs w:val="21"/>
          <w:highlight w:val="none"/>
          <w:u w:val="single"/>
        </w:rPr>
        <w:t>（某联合体成员名称）</w:t>
      </w:r>
      <w:r>
        <w:rPr>
          <w:rFonts w:hint="eastAsia" w:ascii="宋体" w:hAnsi="宋体" w:cs="宋体"/>
          <w:color w:val="auto"/>
          <w:kern w:val="0"/>
          <w:szCs w:val="21"/>
          <w:highlight w:val="none"/>
        </w:rPr>
        <w:t>为联合体</w:t>
      </w:r>
      <w:r>
        <w:rPr>
          <w:rFonts w:hint="eastAsia" w:ascii="宋体" w:hAnsi="宋体" w:cs="宋体"/>
          <w:color w:val="auto"/>
          <w:kern w:val="0"/>
          <w:szCs w:val="21"/>
          <w:highlight w:val="none"/>
          <w:lang w:val="zh-CN"/>
        </w:rPr>
        <w:t>牵头人</w:t>
      </w:r>
      <w:r>
        <w:rPr>
          <w:rFonts w:hint="eastAsia" w:ascii="宋体" w:hAnsi="宋体" w:cs="宋体"/>
          <w:color w:val="auto"/>
          <w:szCs w:val="21"/>
          <w:highlight w:val="none"/>
        </w:rPr>
        <w:t>，代表所有联合体成员负责投标和合同实施阶段的主办、协调工作</w:t>
      </w:r>
      <w:r>
        <w:rPr>
          <w:rFonts w:hint="eastAsia" w:ascii="宋体" w:hAnsi="宋体" w:cs="宋体"/>
          <w:color w:val="auto"/>
          <w:kern w:val="0"/>
          <w:szCs w:val="21"/>
          <w:highlight w:val="none"/>
          <w:lang w:val="zh-CN"/>
        </w:rPr>
        <w:t>。</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二、</w:t>
      </w:r>
      <w:r>
        <w:rPr>
          <w:rFonts w:hint="eastAsia" w:ascii="宋体" w:hAnsi="宋体" w:cs="宋体"/>
          <w:color w:val="auto"/>
          <w:szCs w:val="21"/>
          <w:highlight w:val="none"/>
        </w:rPr>
        <w:t>所有联合体成员各方签署授权书，授权书载明的</w:t>
      </w:r>
      <w:r>
        <w:rPr>
          <w:rFonts w:hint="eastAsia" w:ascii="宋体" w:hAnsi="宋体" w:cs="宋体"/>
          <w:color w:val="auto"/>
          <w:kern w:val="0"/>
          <w:szCs w:val="21"/>
          <w:highlight w:val="none"/>
          <w:lang w:val="zh-CN"/>
        </w:rPr>
        <w:t>授权代表根据采购文件规定及投标内容而对采购人、采购机构所作的任何合法承诺，包括书面澄清及相应等均对联合投标各方产生约束力。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三、本次联合投标中，分工如下：</w:t>
      </w:r>
      <w:r>
        <w:rPr>
          <w:rFonts w:hint="eastAsia" w:ascii="宋体" w:hAnsi="宋体" w:cs="宋体"/>
          <w:color w:val="auto"/>
          <w:kern w:val="0"/>
          <w:szCs w:val="21"/>
          <w:highlight w:val="none"/>
          <w:u w:val="single"/>
        </w:rPr>
        <w:t>（联合体其中一方成员名称）</w:t>
      </w:r>
      <w:r>
        <w:rPr>
          <w:rFonts w:hint="eastAsia" w:ascii="宋体" w:hAnsi="宋体" w:cs="宋体"/>
          <w:color w:val="auto"/>
          <w:kern w:val="0"/>
          <w:szCs w:val="21"/>
          <w:highlight w:val="none"/>
          <w:lang w:val="zh-CN"/>
        </w:rPr>
        <w:t>承担的工作和义务为：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lang w:val="zh-CN"/>
        </w:rPr>
        <w:t>；</w:t>
      </w:r>
      <w:r>
        <w:rPr>
          <w:rFonts w:hint="eastAsia" w:ascii="宋体" w:hAnsi="宋体" w:cs="宋体"/>
          <w:color w:val="auto"/>
          <w:kern w:val="0"/>
          <w:szCs w:val="21"/>
          <w:highlight w:val="none"/>
          <w:u w:val="single"/>
        </w:rPr>
        <w:t>（联合体其中一方成员名称）</w:t>
      </w:r>
      <w:r>
        <w:rPr>
          <w:rFonts w:hint="eastAsia" w:ascii="宋体" w:hAnsi="宋体" w:cs="宋体"/>
          <w:color w:val="auto"/>
          <w:kern w:val="0"/>
          <w:szCs w:val="21"/>
          <w:highlight w:val="none"/>
          <w:lang w:val="zh-CN"/>
        </w:rPr>
        <w:t>承担的工作和义务为：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lang w:val="zh-CN"/>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四、</w:t>
      </w:r>
      <w:r>
        <w:rPr>
          <w:rFonts w:hint="eastAsia" w:ascii="宋体" w:hAnsi="宋体" w:cs="宋体"/>
          <w:color w:val="auto"/>
          <w:szCs w:val="21"/>
          <w:highlight w:val="none"/>
        </w:rPr>
        <w:t>中小企业合同金额达到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%，小微企业合同金额达到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kern w:val="0"/>
          <w:szCs w:val="21"/>
          <w:highlight w:val="none"/>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color w:val="auto"/>
          <w:kern w:val="0"/>
          <w:szCs w:val="21"/>
          <w:highlight w:val="none"/>
          <w:lang w:eastAsia="zh-CN"/>
        </w:rPr>
        <w:t>4%</w:t>
      </w:r>
      <w:r>
        <w:rPr>
          <w:rFonts w:hint="eastAsia" w:ascii="宋体" w:hAnsi="宋体" w:cs="宋体"/>
          <w:color w:val="auto"/>
          <w:kern w:val="0"/>
          <w:szCs w:val="21"/>
          <w:highlight w:val="none"/>
          <w:lang w:val="zh-CN"/>
        </w:rPr>
        <w:t>的扣除）</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五、如果中标，</w:t>
      </w:r>
      <w:r>
        <w:rPr>
          <w:rFonts w:hint="eastAsia" w:ascii="宋体" w:hAnsi="宋体" w:cs="宋体"/>
          <w:color w:val="auto"/>
          <w:szCs w:val="21"/>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六、有关本次联合投标的其他事宜：</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3.本协议提交采购人、采购机构后，联合体各方不得以任何形式对上述内容进行修改或撤销。</w:t>
      </w:r>
    </w:p>
    <w:p>
      <w:pPr>
        <w:snapToGrid w:val="0"/>
        <w:spacing w:line="360" w:lineRule="auto"/>
        <w:ind w:firstLine="4410" w:firstLineChars="2100"/>
        <w:rPr>
          <w:rFonts w:ascii="宋体" w:hAnsi="宋体" w:cs="宋体"/>
          <w:color w:val="auto"/>
          <w:kern w:val="0"/>
          <w:szCs w:val="21"/>
          <w:highlight w:val="none"/>
          <w:lang w:val="zh-CN"/>
        </w:rPr>
      </w:pPr>
    </w:p>
    <w:p>
      <w:pPr>
        <w:snapToGrid w:val="0"/>
        <w:spacing w:line="360" w:lineRule="auto"/>
        <w:ind w:firstLine="4410" w:firstLineChars="2100"/>
        <w:rPr>
          <w:rFonts w:ascii="宋体" w:hAnsi="宋体" w:cs="宋体"/>
          <w:color w:val="auto"/>
          <w:kern w:val="0"/>
          <w:szCs w:val="21"/>
          <w:highlight w:val="none"/>
          <w:lang w:val="zh-CN"/>
        </w:rPr>
      </w:pPr>
    </w:p>
    <w:p>
      <w:pPr>
        <w:snapToGrid w:val="0"/>
        <w:spacing w:line="360" w:lineRule="auto"/>
        <w:ind w:firstLine="3360" w:firstLineChars="16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联合体成员名称(盖公章或电子签章)：</w:t>
      </w:r>
    </w:p>
    <w:p>
      <w:pPr>
        <w:snapToGrid w:val="0"/>
        <w:spacing w:line="360" w:lineRule="auto"/>
        <w:ind w:firstLine="3360" w:firstLineChars="1600"/>
        <w:rPr>
          <w:rFonts w:ascii="宋体" w:hAnsi="宋体" w:cs="宋体"/>
          <w:color w:val="auto"/>
          <w:szCs w:val="21"/>
          <w:highlight w:val="none"/>
        </w:rPr>
      </w:pPr>
      <w:r>
        <w:rPr>
          <w:rFonts w:hint="eastAsia" w:ascii="宋体" w:hAnsi="宋体" w:cs="宋体"/>
          <w:color w:val="auto"/>
          <w:kern w:val="0"/>
          <w:szCs w:val="21"/>
          <w:highlight w:val="none"/>
          <w:lang w:val="zh-CN"/>
        </w:rPr>
        <w:t>……</w:t>
      </w:r>
    </w:p>
    <w:p>
      <w:pPr>
        <w:snapToGrid w:val="0"/>
        <w:spacing w:line="360" w:lineRule="auto"/>
        <w:ind w:firstLine="3360" w:firstLineChars="16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日期：</w:t>
      </w:r>
    </w:p>
    <w:p>
      <w:pPr>
        <w:widowControl/>
        <w:spacing w:line="360" w:lineRule="auto"/>
        <w:jc w:val="left"/>
        <w:rPr>
          <w:rFonts w:ascii="仿宋_GB2312" w:hAnsi="仿宋" w:eastAsia="仿宋_GB2312" w:cs="仿宋_GB2312"/>
          <w:b/>
          <w:color w:val="auto"/>
          <w:kern w:val="0"/>
          <w:szCs w:val="21"/>
          <w:highlight w:val="none"/>
          <w:lang w:val="zh-CN"/>
        </w:rPr>
        <w:sectPr>
          <w:pgSz w:w="11906" w:h="16838"/>
          <w:pgMar w:top="1276" w:right="1418" w:bottom="1247" w:left="1418" w:header="851" w:footer="992" w:gutter="0"/>
          <w:cols w:space="720" w:num="1"/>
          <w:formProt w:val="0"/>
        </w:sectPr>
      </w:pPr>
    </w:p>
    <w:p>
      <w:pPr>
        <w:autoSpaceDE w:val="0"/>
        <w:autoSpaceDN w:val="0"/>
        <w:adjustRightInd w:val="0"/>
        <w:snapToGrid w:val="0"/>
        <w:spacing w:line="360" w:lineRule="auto"/>
        <w:outlineLvl w:val="1"/>
        <w:rPr>
          <w:rStyle w:val="47"/>
          <w:rFonts w:hint="eastAsia" w:ascii="宋体" w:hAnsi="宋体" w:eastAsia="宋体" w:cs="宋体"/>
          <w:color w:val="auto"/>
          <w:sz w:val="28"/>
          <w:szCs w:val="28"/>
          <w:highlight w:val="none"/>
        </w:rPr>
      </w:pPr>
      <w:bookmarkStart w:id="207" w:name="_Toc12217"/>
      <w:bookmarkStart w:id="208" w:name="_Toc29816"/>
      <w:bookmarkStart w:id="209" w:name="_Toc3961"/>
      <w:bookmarkStart w:id="210" w:name="_Toc28362"/>
      <w:bookmarkStart w:id="211" w:name="_Toc17018"/>
      <w:bookmarkStart w:id="212" w:name="_Toc1017"/>
      <w:bookmarkStart w:id="213" w:name="_Toc27282"/>
      <w:r>
        <w:rPr>
          <w:rStyle w:val="47"/>
          <w:rFonts w:hint="eastAsia" w:ascii="宋体" w:hAnsi="宋体" w:eastAsia="宋体" w:cs="宋体"/>
          <w:color w:val="auto"/>
          <w:sz w:val="28"/>
          <w:szCs w:val="28"/>
          <w:highlight w:val="none"/>
        </w:rPr>
        <w:t>三、商务技术响应文件部分格式</w:t>
      </w:r>
      <w:bookmarkEnd w:id="207"/>
      <w:bookmarkEnd w:id="208"/>
      <w:bookmarkEnd w:id="209"/>
      <w:bookmarkEnd w:id="210"/>
      <w:bookmarkEnd w:id="211"/>
      <w:bookmarkEnd w:id="212"/>
      <w:bookmarkEnd w:id="213"/>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（顺序不做强制；未提供格式的，可自行提供）</w:t>
      </w: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3.1评分索引表；</w:t>
      </w:r>
    </w:p>
    <w:p>
      <w:pPr>
        <w:pStyle w:val="23"/>
        <w:snapToGrid w:val="0"/>
        <w:spacing w:line="360" w:lineRule="auto"/>
        <w:jc w:val="center"/>
        <w:rPr>
          <w:rFonts w:ascii="宋体" w:hAnsi="宋体" w:eastAsia="宋体" w:cs="宋体"/>
          <w:b/>
          <w:snapToGrid w:val="0"/>
          <w:color w:val="auto"/>
          <w:kern w:val="0"/>
          <w:sz w:val="32"/>
          <w:szCs w:val="32"/>
          <w:highlight w:val="none"/>
        </w:rPr>
      </w:pPr>
      <w:r>
        <w:rPr>
          <w:rFonts w:hint="eastAsia" w:ascii="宋体" w:hAnsi="宋体" w:eastAsia="宋体" w:cs="宋体"/>
          <w:b/>
          <w:snapToGrid w:val="0"/>
          <w:color w:val="auto"/>
          <w:kern w:val="0"/>
          <w:sz w:val="32"/>
          <w:szCs w:val="32"/>
          <w:highlight w:val="none"/>
        </w:rPr>
        <w:t>评分索引表</w:t>
      </w:r>
    </w:p>
    <w:p>
      <w:pPr>
        <w:adjustRightInd w:val="0"/>
        <w:spacing w:line="360" w:lineRule="auto"/>
        <w:jc w:val="left"/>
        <w:rPr>
          <w:rFonts w:hint="eastAsia" w:ascii="宋体" w:hAnsi="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浙江省药品信息宣传和发展服务中心药品安全智慧监管“黑匣子”（二期）项目</w:t>
      </w:r>
    </w:p>
    <w:p>
      <w:pPr>
        <w:adjustRightInd w:val="0"/>
        <w:spacing w:line="360" w:lineRule="auto"/>
        <w:jc w:val="left"/>
        <w:rPr>
          <w:rFonts w:hint="eastAsia"/>
          <w:color w:val="auto"/>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ZJ-2370554-02</w:t>
      </w:r>
      <w:r>
        <w:rPr>
          <w:rFonts w:hint="eastAsia"/>
          <w:color w:val="auto"/>
          <w:highlight w:val="none"/>
          <w:lang w:eastAsia="zh-CN"/>
        </w:rPr>
        <w:t xml:space="preserve">      </w:t>
      </w:r>
    </w:p>
    <w:tbl>
      <w:tblPr>
        <w:tblStyle w:val="37"/>
        <w:tblW w:w="9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1134"/>
        <w:gridCol w:w="1082"/>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序号</w:t>
            </w: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评分细则内容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投标响应情况</w:t>
            </w: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证明材料所在页码</w:t>
            </w: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napToGrid w:val="0"/>
                <w:color w:val="auto"/>
                <w:kern w:val="0"/>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napToGrid w:val="0"/>
                <w:color w:val="auto"/>
                <w:kern w:val="0"/>
                <w:szCs w:val="21"/>
                <w:highlight w:val="none"/>
              </w:rPr>
            </w:pPr>
          </w:p>
        </w:tc>
        <w:tc>
          <w:tcPr>
            <w:tcW w:w="5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c>
          <w:tcPr>
            <w:tcW w:w="10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snapToGrid w:val="0"/>
                <w:color w:val="auto"/>
                <w:kern w:val="0"/>
                <w:szCs w:val="21"/>
                <w:highlight w:val="none"/>
              </w:rPr>
            </w:pPr>
          </w:p>
        </w:tc>
      </w:tr>
    </w:tbl>
    <w:p>
      <w:pPr>
        <w:widowControl/>
        <w:spacing w:line="360" w:lineRule="auto"/>
        <w:jc w:val="left"/>
        <w:rPr>
          <w:rFonts w:ascii="宋体" w:hAnsi="宋体" w:cs="宋体"/>
          <w:b/>
          <w:color w:val="auto"/>
          <w:szCs w:val="21"/>
          <w:highlight w:val="none"/>
        </w:rPr>
        <w:sectPr>
          <w:pgSz w:w="11906" w:h="16838"/>
          <w:pgMar w:top="1247" w:right="1587" w:bottom="1089" w:left="1587" w:header="851" w:footer="992" w:gutter="0"/>
          <w:cols w:space="720" w:num="1"/>
          <w:formProt w:val="0"/>
        </w:sectPr>
      </w:pP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3.2投标函</w:t>
      </w:r>
    </w:p>
    <w:p>
      <w:pPr>
        <w:pStyle w:val="23"/>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投标函</w:t>
      </w:r>
    </w:p>
    <w:p>
      <w:pPr>
        <w:pStyle w:val="23"/>
        <w:spacing w:line="360" w:lineRule="auto"/>
        <w:rPr>
          <w:rFonts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浙江省药品信息宣传和发展服务中心</w:t>
      </w:r>
      <w:r>
        <w:rPr>
          <w:rFonts w:hint="eastAsia" w:ascii="宋体" w:hAnsi="宋体" w:eastAsia="宋体" w:cs="宋体"/>
          <w:color w:val="auto"/>
          <w:highlight w:val="none"/>
        </w:rPr>
        <w:t>：</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(投标人全称)授权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(全权代表姓名)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(职务、职称)为全权代表，参加贵方组织的</w:t>
      </w:r>
      <w:r>
        <w:rPr>
          <w:rFonts w:hint="eastAsia" w:ascii="宋体" w:hAnsi="宋体" w:eastAsia="宋体" w:cs="宋体"/>
          <w:color w:val="auto"/>
          <w:highlight w:val="none"/>
          <w:u w:val="single"/>
          <w:lang w:eastAsia="zh-CN"/>
        </w:rPr>
        <w:t>浙江省药品信息宣传和发展服务中心药品安全智慧监管“黑匣子”（二期）项目</w:t>
      </w:r>
      <w:r>
        <w:rPr>
          <w:rFonts w:hint="eastAsia" w:ascii="宋体" w:hAnsi="宋体" w:eastAsia="宋体" w:cs="宋体"/>
          <w:color w:val="auto"/>
          <w:highlight w:val="none"/>
        </w:rPr>
        <w:t xml:space="preserve"> (项目编号：</w:t>
      </w:r>
      <w:r>
        <w:rPr>
          <w:rFonts w:hint="eastAsia" w:ascii="宋体" w:hAnsi="宋体" w:eastAsia="宋体" w:cs="宋体"/>
          <w:color w:val="auto"/>
          <w:highlight w:val="none"/>
          <w:u w:val="single"/>
          <w:lang w:eastAsia="zh-CN"/>
        </w:rPr>
        <w:t>ZJ-2370554-02</w:t>
      </w:r>
      <w:r>
        <w:rPr>
          <w:rFonts w:hint="eastAsia" w:ascii="宋体" w:hAnsi="宋体" w:eastAsia="宋体" w:cs="宋体"/>
          <w:color w:val="auto"/>
          <w:highlight w:val="none"/>
        </w:rPr>
        <w:t>)的有关活动，并对此项目进行投标。为此：</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仿宋_GB2312"/>
          <w:color w:val="auto"/>
          <w:highlight w:val="none"/>
        </w:rPr>
        <w:t>我方承诺投标有效期从提交投标文件截止之日起</w:t>
      </w:r>
      <w:r>
        <w:rPr>
          <w:rFonts w:hint="eastAsia" w:ascii="宋体" w:hAnsi="宋体" w:eastAsia="宋体" w:cs="仿宋_GB2312"/>
          <w:color w:val="auto"/>
          <w:highlight w:val="none"/>
          <w:u w:val="single"/>
        </w:rPr>
        <w:t xml:space="preserve">     </w:t>
      </w:r>
      <w:r>
        <w:rPr>
          <w:rFonts w:hint="eastAsia" w:ascii="宋体" w:hAnsi="宋体" w:eastAsia="宋体" w:cs="仿宋_GB2312"/>
          <w:color w:val="auto"/>
          <w:highlight w:val="none"/>
        </w:rPr>
        <w:t>天</w:t>
      </w:r>
      <w:r>
        <w:rPr>
          <w:rFonts w:hint="eastAsia" w:ascii="宋体" w:hAnsi="宋体" w:eastAsia="宋体" w:cs="宋体"/>
          <w:color w:val="auto"/>
          <w:highlight w:val="none"/>
        </w:rPr>
        <w:t>（不少于90天），本投标文件中在投标有效期满之前均具有约束力。</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2、我方承诺已经具备《中华人民共和国政府采购法》中规定的参加政府采购活动的投标人应当具备的条件：</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(1)具有独立承担民事责任的能力；</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(2)遵守国家法律、行政法规，具有良好的信誉和商业道德；</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(3)具有履行合同的能力和良好的履行合同记录；</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(4)良好的资金、财务状况；</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(5)没有违反政府采购法规、政策的记录；</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(6)没有发生重大经济纠纷和走私犯罪记录。</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3、提供编制和提交投标文件须知规定的全部投标文件，具体内容为：</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(1)资格响应文件、商务技术响应文件、报价响应文件；</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(2)编制和提交投标文件须知要求投标人提交的全部文件；</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(3)按采购文件要求提供和交付的货物和服务的投标报价详见开标一览表；</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(4)保证忠实地执行双方所签订的合同，并承担合同规定的责任和义务；</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(5)保证遵守采购文件中的其他有关规定。</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4、我方完全理解贵方不一定要接受最低价的投标。</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5、我方愿意向贵方提供任何与该项投标有关的数据、情况和技术资料。若贵方需要，我方愿意提供我方作出的一切承诺的证明材料。</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6、我方已详细审核全部采购文件，包括采购文件修改书(如果有)、参考资料及有关附件，确认无误。</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a)提供虚假材料谋取中标、成交的；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b)采取不正当手段诋毁、排挤其他投标人的；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c)与采购人、其它投标人或者采购代理机构恶意串通的；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d)向采购人、采购代理机构行贿或者提供其他不正当利益的；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e)在招标采购过程中与采购人进行协商谈判的；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f)拒绝有关部门监督检查或提供虚假情况的。</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投标人有前款第a)至f)项情形之一的，中标、成交无效。</w:t>
      </w:r>
    </w:p>
    <w:p>
      <w:pPr>
        <w:pStyle w:val="23"/>
        <w:spacing w:line="420" w:lineRule="exact"/>
        <w:ind w:firstLine="420" w:firstLineChars="200"/>
        <w:rPr>
          <w:rFonts w:ascii="宋体" w:hAnsi="宋体" w:eastAsia="宋体" w:cs="宋体"/>
          <w:color w:val="auto"/>
          <w:highlight w:val="none"/>
        </w:rPr>
      </w:pPr>
    </w:p>
    <w:p>
      <w:pPr>
        <w:pStyle w:val="23"/>
        <w:spacing w:line="420" w:lineRule="exact"/>
        <w:ind w:firstLine="420" w:firstLineChars="200"/>
        <w:rPr>
          <w:rFonts w:ascii="宋体" w:hAnsi="宋体" w:eastAsia="宋体" w:cs="宋体"/>
          <w:color w:val="auto"/>
          <w:highlight w:val="none"/>
        </w:rPr>
      </w:pP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投标人（盖公章</w:t>
      </w:r>
      <w:r>
        <w:rPr>
          <w:rFonts w:hint="eastAsia" w:ascii="宋体" w:hAnsi="宋体" w:eastAsia="宋体" w:cs="宋体"/>
          <w:bCs/>
          <w:color w:val="auto"/>
          <w:highlight w:val="none"/>
        </w:rPr>
        <w:t>或电子签章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联系电话</w:t>
      </w:r>
      <w:r>
        <w:rPr>
          <w:rFonts w:hint="eastAsia" w:ascii="宋体" w:hAnsi="宋体" w:eastAsia="宋体" w:cs="宋体"/>
          <w:color w:val="auto"/>
          <w:highlight w:val="none"/>
          <w:u w:val="single"/>
        </w:rPr>
        <w:t xml:space="preserve">：                 </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联系地址：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传真号码</w:t>
      </w:r>
      <w:r>
        <w:rPr>
          <w:rFonts w:hint="eastAsia" w:ascii="宋体" w:hAnsi="宋体" w:eastAsia="宋体" w:cs="宋体"/>
          <w:color w:val="auto"/>
          <w:highlight w:val="none"/>
          <w:u w:val="single"/>
        </w:rPr>
        <w:t xml:space="preserve">：                     </w:t>
      </w:r>
    </w:p>
    <w:p>
      <w:pPr>
        <w:pStyle w:val="23"/>
        <w:spacing w:line="42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日 期：</w:t>
      </w: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3.3投标响应一览表</w:t>
      </w:r>
    </w:p>
    <w:p>
      <w:pPr>
        <w:pStyle w:val="23"/>
        <w:snapToGrid w:val="0"/>
        <w:spacing w:line="360" w:lineRule="auto"/>
        <w:jc w:val="center"/>
        <w:rPr>
          <w:rFonts w:ascii="宋体" w:hAnsi="宋体" w:eastAsia="宋体" w:cs="宋体"/>
          <w:b/>
          <w:snapToGrid w:val="0"/>
          <w:color w:val="auto"/>
          <w:kern w:val="0"/>
          <w:sz w:val="32"/>
          <w:szCs w:val="32"/>
          <w:highlight w:val="none"/>
        </w:rPr>
      </w:pPr>
      <w:r>
        <w:rPr>
          <w:rFonts w:hint="eastAsia" w:ascii="宋体" w:hAnsi="宋体" w:eastAsia="宋体" w:cs="宋体"/>
          <w:b/>
          <w:snapToGrid w:val="0"/>
          <w:color w:val="auto"/>
          <w:kern w:val="0"/>
          <w:sz w:val="32"/>
          <w:szCs w:val="32"/>
          <w:highlight w:val="none"/>
        </w:rPr>
        <w:t>投标响应一览表</w:t>
      </w:r>
    </w:p>
    <w:p>
      <w:pPr>
        <w:adjustRightInd w:val="0"/>
        <w:spacing w:line="360" w:lineRule="auto"/>
        <w:jc w:val="left"/>
        <w:rPr>
          <w:rFonts w:ascii="宋体" w:hAnsi="宋体" w:cs="宋体"/>
          <w:color w:val="auto"/>
          <w:szCs w:val="21"/>
          <w:highlight w:val="none"/>
        </w:rPr>
      </w:pP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建设</w:t>
            </w:r>
            <w:r>
              <w:rPr>
                <w:rFonts w:hint="eastAsia" w:ascii="宋体" w:hAnsi="宋体" w:cs="宋体"/>
                <w:snapToGrid w:val="0"/>
                <w:color w:val="auto"/>
                <w:kern w:val="0"/>
                <w:szCs w:val="21"/>
                <w:highlight w:val="none"/>
                <w:lang w:val="en-US" w:eastAsia="zh-CN"/>
              </w:rPr>
              <w:t>工期</w:t>
            </w:r>
          </w:p>
        </w:tc>
        <w:tc>
          <w:tcPr>
            <w:tcW w:w="5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免费维护期</w:t>
            </w:r>
          </w:p>
        </w:tc>
        <w:tc>
          <w:tcPr>
            <w:tcW w:w="5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项目负责人/项目经理</w:t>
            </w:r>
          </w:p>
        </w:tc>
        <w:tc>
          <w:tcPr>
            <w:tcW w:w="5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napToGrid w:val="0"/>
                <w:color w:val="auto"/>
                <w:kern w:val="0"/>
                <w:szCs w:val="21"/>
                <w:highlight w:val="none"/>
              </w:rPr>
            </w:pPr>
          </w:p>
        </w:tc>
      </w:tr>
    </w:tbl>
    <w:p>
      <w:pPr>
        <w:pStyle w:val="33"/>
        <w:spacing w:before="0" w:beforeAutospacing="0" w:after="0" w:afterAutospacing="0" w:line="480" w:lineRule="auto"/>
        <w:ind w:firstLine="422" w:firstLineChars="200"/>
        <w:rPr>
          <w:rFonts w:ascii="宋体" w:hAnsi="宋体" w:cs="宋体"/>
          <w:b/>
          <w:bCs/>
          <w:color w:val="auto"/>
          <w:sz w:val="21"/>
          <w:szCs w:val="21"/>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pStyle w:val="17"/>
        <w:rPr>
          <w:rFonts w:ascii="宋体" w:hAnsi="宋体" w:cs="宋体"/>
          <w:color w:val="auto"/>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3.4针对本项目的服务清单</w:t>
      </w:r>
    </w:p>
    <w:p>
      <w:pPr>
        <w:adjustRightInd w:val="0"/>
        <w:snapToGrid w:val="0"/>
        <w:spacing w:line="360" w:lineRule="auto"/>
        <w:ind w:firstLine="4515" w:firstLineChars="2150"/>
        <w:rPr>
          <w:rFonts w:ascii="宋体" w:hAnsi="宋体" w:cs="宋体"/>
          <w:snapToGrid w:val="0"/>
          <w:color w:val="auto"/>
          <w:kern w:val="0"/>
          <w:szCs w:val="21"/>
          <w:highlight w:val="none"/>
        </w:rPr>
      </w:pPr>
    </w:p>
    <w:p>
      <w:pPr>
        <w:pStyle w:val="23"/>
        <w:snapToGrid w:val="0"/>
        <w:spacing w:line="360" w:lineRule="auto"/>
        <w:jc w:val="center"/>
        <w:rPr>
          <w:rFonts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针对本项目的服务清单（不含价格）</w:t>
      </w:r>
    </w:p>
    <w:p>
      <w:pPr>
        <w:adjustRightInd w:val="0"/>
        <w:spacing w:line="360" w:lineRule="auto"/>
        <w:jc w:val="left"/>
        <w:rPr>
          <w:rFonts w:ascii="宋体" w:hAnsi="宋体" w:cs="宋体"/>
          <w:color w:val="auto"/>
          <w:szCs w:val="21"/>
          <w:highlight w:val="none"/>
        </w:rPr>
      </w:pP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637"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649"/>
        <w:gridCol w:w="2349"/>
        <w:gridCol w:w="1247"/>
        <w:gridCol w:w="2693"/>
        <w:gridCol w:w="169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649" w:type="dxa"/>
            <w:tcBorders>
              <w:top w:val="single" w:color="auto" w:sz="8"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349"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1247"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2693"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主要服务指标</w:t>
            </w:r>
          </w:p>
        </w:tc>
        <w:tc>
          <w:tcPr>
            <w:tcW w:w="1699" w:type="dxa"/>
            <w:tcBorders>
              <w:top w:val="single" w:color="auto" w:sz="8"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2349" w:type="dxa"/>
            <w:tcBorders>
              <w:top w:val="single" w:color="auto" w:sz="2" w:space="0"/>
              <w:left w:val="single" w:color="auto" w:sz="2" w:space="0"/>
              <w:bottom w:val="single" w:color="auto" w:sz="2"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649" w:type="dxa"/>
            <w:tcBorders>
              <w:top w:val="single" w:color="auto" w:sz="2" w:space="0"/>
              <w:left w:val="single" w:color="auto" w:sz="8" w:space="0"/>
              <w:bottom w:val="single" w:color="auto" w:sz="8"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2349" w:type="dxa"/>
            <w:tcBorders>
              <w:top w:val="single" w:color="auto" w:sz="2" w:space="0"/>
              <w:left w:val="single" w:color="auto" w:sz="2" w:space="0"/>
              <w:bottom w:val="single" w:color="auto" w:sz="8" w:space="0"/>
              <w:right w:val="single" w:color="auto" w:sz="2" w:space="0"/>
            </w:tcBorders>
            <w:vAlign w:val="center"/>
          </w:tcPr>
          <w:p>
            <w:pPr>
              <w:tabs>
                <w:tab w:val="left" w:pos="1547"/>
              </w:tabs>
              <w:spacing w:line="360" w:lineRule="auto"/>
              <w:rPr>
                <w:rFonts w:ascii="宋体" w:hAnsi="宋体" w:cs="宋体"/>
                <w:snapToGrid w:val="0"/>
                <w:color w:val="auto"/>
                <w:szCs w:val="21"/>
                <w:highlight w:val="none"/>
              </w:rPr>
            </w:pPr>
          </w:p>
        </w:tc>
        <w:tc>
          <w:tcPr>
            <w:tcW w:w="1247" w:type="dxa"/>
            <w:tcBorders>
              <w:top w:val="single" w:color="auto" w:sz="2" w:space="0"/>
              <w:left w:val="single" w:color="auto" w:sz="2" w:space="0"/>
              <w:bottom w:val="single" w:color="auto" w:sz="8" w:space="0"/>
              <w:right w:val="single" w:color="auto" w:sz="2" w:space="0"/>
            </w:tcBorders>
            <w:vAlign w:val="center"/>
          </w:tcPr>
          <w:p>
            <w:pPr>
              <w:spacing w:line="460" w:lineRule="exact"/>
              <w:jc w:val="center"/>
              <w:rPr>
                <w:rFonts w:ascii="宋体" w:hAnsi="宋体" w:cs="宋体"/>
                <w:color w:val="auto"/>
                <w:szCs w:val="21"/>
                <w:highlight w:val="none"/>
              </w:rPr>
            </w:pPr>
          </w:p>
        </w:tc>
        <w:tc>
          <w:tcPr>
            <w:tcW w:w="2693" w:type="dxa"/>
            <w:tcBorders>
              <w:top w:val="single" w:color="auto" w:sz="2" w:space="0"/>
              <w:left w:val="single" w:color="auto" w:sz="2" w:space="0"/>
              <w:bottom w:val="single" w:color="auto" w:sz="8" w:space="0"/>
              <w:right w:val="single" w:color="auto" w:sz="2" w:space="0"/>
            </w:tcBorders>
            <w:vAlign w:val="center"/>
          </w:tcPr>
          <w:p>
            <w:pPr>
              <w:spacing w:line="460" w:lineRule="exact"/>
              <w:jc w:val="center"/>
              <w:rPr>
                <w:rFonts w:ascii="宋体" w:hAnsi="宋体" w:cs="宋体"/>
                <w:color w:val="auto"/>
                <w:szCs w:val="21"/>
                <w:highlight w:val="none"/>
              </w:rPr>
            </w:pPr>
          </w:p>
        </w:tc>
        <w:tc>
          <w:tcPr>
            <w:tcW w:w="1699" w:type="dxa"/>
            <w:tcBorders>
              <w:top w:val="single" w:color="auto" w:sz="2" w:space="0"/>
              <w:left w:val="single" w:color="auto" w:sz="2" w:space="0"/>
              <w:bottom w:val="single" w:color="auto" w:sz="8" w:space="0"/>
              <w:right w:val="single" w:color="auto" w:sz="8" w:space="0"/>
            </w:tcBorders>
            <w:vAlign w:val="center"/>
          </w:tcPr>
          <w:p>
            <w:pPr>
              <w:spacing w:line="460" w:lineRule="exact"/>
              <w:jc w:val="center"/>
              <w:rPr>
                <w:rFonts w:ascii="宋体" w:hAnsi="宋体" w:cs="宋体"/>
                <w:color w:val="auto"/>
                <w:szCs w:val="21"/>
                <w:highlight w:val="none"/>
              </w:rPr>
            </w:pPr>
          </w:p>
        </w:tc>
      </w:tr>
    </w:tbl>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注：1. 投标人根据实际情况可在表中报价明细的基础上进行扩展。</w:t>
      </w:r>
    </w:p>
    <w:p>
      <w:pPr>
        <w:autoSpaceDE w:val="0"/>
        <w:autoSpaceDN w:val="0"/>
        <w:adjustRightInd w:val="0"/>
        <w:spacing w:line="360" w:lineRule="auto"/>
        <w:rPr>
          <w:rFonts w:ascii="宋体" w:hAnsi="宋体" w:cs="宋体"/>
          <w:b/>
          <w:color w:val="auto"/>
          <w:szCs w:val="21"/>
          <w:highlight w:val="none"/>
        </w:rPr>
      </w:pPr>
    </w:p>
    <w:p>
      <w:pPr>
        <w:adjustRightInd w:val="0"/>
        <w:snapToGrid w:val="0"/>
        <w:spacing w:line="360" w:lineRule="auto"/>
        <w:ind w:firstLine="4515" w:firstLineChars="215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投标人(盖公章或电子签章)：</w:t>
      </w:r>
    </w:p>
    <w:p>
      <w:pPr>
        <w:adjustRightInd w:val="0"/>
        <w:snapToGrid w:val="0"/>
        <w:spacing w:line="360" w:lineRule="auto"/>
        <w:ind w:firstLine="4515" w:firstLineChars="215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widowControl/>
        <w:jc w:val="left"/>
        <w:rPr>
          <w:rFonts w:ascii="宋体" w:hAnsi="宋体" w:cs="宋体"/>
          <w:b/>
          <w:color w:val="auto"/>
          <w:szCs w:val="21"/>
          <w:highlight w:val="none"/>
        </w:rPr>
        <w:sectPr>
          <w:pgSz w:w="11906" w:h="16838"/>
          <w:pgMar w:top="1247" w:right="1587" w:bottom="1089" w:left="1587" w:header="851" w:footer="992" w:gutter="0"/>
          <w:cols w:space="720" w:num="1"/>
          <w:formProt w:val="0"/>
        </w:sectPr>
      </w:pP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3.5投标人基本情况</w:t>
      </w:r>
    </w:p>
    <w:p>
      <w:pPr>
        <w:spacing w:line="240" w:lineRule="atLeast"/>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投标人基本情况表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848" w:type="dxa"/>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企业资质</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1.等级:            2.证书号:       3.发证单位: </w:t>
            </w:r>
          </w:p>
        </w:tc>
      </w:tr>
      <w:tr>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1.编号:            2.营业范围:     3.发照单位: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color w:val="auto"/>
                <w:highlight w:val="none"/>
              </w:rPr>
            </w:pPr>
            <w:r>
              <w:rPr>
                <w:rFonts w:hint="eastAsia" w:ascii="宋体" w:hAnsi="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jc w:val="center"/>
              <w:textAlignment w:val="bottom"/>
              <w:rPr>
                <w:rFonts w:ascii="宋体" w:hAnsi="宋体" w:cs="宋体"/>
                <w:color w:val="auto"/>
                <w:highlight w:val="none"/>
              </w:rPr>
            </w:pPr>
            <w:r>
              <w:rPr>
                <w:rFonts w:hint="eastAsia" w:ascii="宋体" w:hAnsi="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技术负责人</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地址</w:t>
            </w:r>
          </w:p>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邮编:</w:t>
            </w:r>
          </w:p>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电话:  </w:t>
            </w:r>
          </w:p>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传真: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开户银行</w:t>
            </w: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r>
              <w:rPr>
                <w:rFonts w:hint="eastAsia" w:ascii="宋体" w:hAnsi="宋体" w:cs="宋体"/>
                <w:color w:val="auto"/>
                <w:highlight w:val="none"/>
              </w:rPr>
              <w:t xml:space="preserve">名称:                      账号:          </w:t>
            </w:r>
          </w:p>
        </w:tc>
      </w:tr>
      <w:tr>
        <w:tblPrEx>
          <w:tblCellMar>
            <w:top w:w="0" w:type="dxa"/>
            <w:left w:w="28" w:type="dxa"/>
            <w:bottom w:w="0" w:type="dxa"/>
            <w:right w:w="28" w:type="dxa"/>
          </w:tblCellMar>
        </w:tblPrEx>
        <w:trPr>
          <w:cantSplit/>
          <w:trHeight w:val="4102" w:hRule="atLeast"/>
        </w:trPr>
        <w:tc>
          <w:tcPr>
            <w:tcW w:w="2368" w:type="dxa"/>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p>
          <w:p>
            <w:pPr>
              <w:widowControl/>
              <w:autoSpaceDE w:val="0"/>
              <w:autoSpaceDN w:val="0"/>
              <w:spacing w:line="440" w:lineRule="atLeast"/>
              <w:ind w:left="105"/>
              <w:jc w:val="center"/>
              <w:textAlignment w:val="bottom"/>
              <w:rPr>
                <w:rFonts w:ascii="宋体" w:hAnsi="宋体" w:cs="宋体"/>
                <w:color w:val="auto"/>
                <w:highlight w:val="none"/>
              </w:rPr>
            </w:pPr>
            <w:r>
              <w:rPr>
                <w:rFonts w:hint="eastAsia" w:ascii="宋体" w:hAnsi="宋体" w:cs="宋体"/>
                <w:color w:val="auto"/>
                <w:highlight w:val="none"/>
              </w:rPr>
              <w:t>组织机构框图</w:t>
            </w:r>
          </w:p>
          <w:p>
            <w:pPr>
              <w:widowControl/>
              <w:autoSpaceDE w:val="0"/>
              <w:autoSpaceDN w:val="0"/>
              <w:spacing w:line="440" w:lineRule="atLeast"/>
              <w:ind w:left="105"/>
              <w:jc w:val="center"/>
              <w:textAlignment w:val="bottom"/>
              <w:rPr>
                <w:rFonts w:ascii="宋体" w:hAnsi="宋体" w:cs="宋体"/>
                <w:color w:val="auto"/>
                <w:highlight w:val="none"/>
              </w:rPr>
            </w:pPr>
          </w:p>
          <w:p>
            <w:pPr>
              <w:autoSpaceDE w:val="0"/>
              <w:autoSpaceDN w:val="0"/>
              <w:spacing w:line="440" w:lineRule="atLeast"/>
              <w:ind w:left="105"/>
              <w:textAlignment w:val="bottom"/>
              <w:rPr>
                <w:rFonts w:ascii="宋体" w:hAnsi="宋体" w:cs="宋体"/>
                <w:color w:val="auto"/>
                <w:highlight w:val="none"/>
              </w:rPr>
            </w:pPr>
          </w:p>
        </w:tc>
        <w:tc>
          <w:tcPr>
            <w:tcW w:w="6480" w:type="dxa"/>
            <w:gridSpan w:val="3"/>
            <w:tcBorders>
              <w:top w:val="single" w:color="auto" w:sz="6" w:space="0"/>
              <w:left w:val="single" w:color="auto" w:sz="6" w:space="0"/>
              <w:bottom w:val="single" w:color="auto" w:sz="6" w:space="0"/>
              <w:right w:val="single" w:color="auto" w:sz="6" w:space="0"/>
            </w:tcBorders>
          </w:tcPr>
          <w:p>
            <w:pPr>
              <w:widowControl/>
              <w:autoSpaceDE w:val="0"/>
              <w:autoSpaceDN w:val="0"/>
              <w:spacing w:line="440" w:lineRule="atLeast"/>
              <w:textAlignment w:val="bottom"/>
              <w:rPr>
                <w:rFonts w:ascii="宋体" w:hAnsi="宋体" w:cs="宋体"/>
                <w:color w:val="auto"/>
                <w:highlight w:val="none"/>
              </w:rPr>
            </w:pPr>
          </w:p>
        </w:tc>
      </w:tr>
    </w:tbl>
    <w:p>
      <w:pPr>
        <w:spacing w:line="360" w:lineRule="auto"/>
        <w:ind w:left="630" w:hanging="630" w:hangingChars="300"/>
        <w:rPr>
          <w:rFonts w:ascii="宋体" w:hAnsi="宋体" w:cs="宋体"/>
          <w:color w:val="auto"/>
          <w:highlight w:val="none"/>
        </w:rPr>
      </w:pPr>
    </w:p>
    <w:p>
      <w:pPr>
        <w:adjustRightInd w:val="0"/>
        <w:snapToGrid w:val="0"/>
        <w:spacing w:beforeLines="50" w:line="360" w:lineRule="auto"/>
        <w:rPr>
          <w:rFonts w:ascii="宋体" w:hAnsi="宋体" w:cs="宋体"/>
          <w:b/>
          <w:color w:val="auto"/>
          <w:highlight w:val="none"/>
        </w:rPr>
      </w:pPr>
      <w:r>
        <w:rPr>
          <w:rFonts w:hint="eastAsia" w:ascii="宋体" w:hAnsi="宋体" w:cs="宋体"/>
          <w:b/>
          <w:color w:val="auto"/>
          <w:sz w:val="24"/>
          <w:highlight w:val="none"/>
        </w:rPr>
        <w:br w:type="page"/>
      </w:r>
      <w:r>
        <w:rPr>
          <w:rFonts w:hint="eastAsia" w:ascii="宋体" w:hAnsi="宋体" w:cs="宋体"/>
          <w:b/>
          <w:color w:val="auto"/>
          <w:highlight w:val="none"/>
        </w:rPr>
        <w:t>3.6授权委托书</w:t>
      </w:r>
    </w:p>
    <w:p>
      <w:pPr>
        <w:adjustRightInd w:val="0"/>
        <w:spacing w:line="360" w:lineRule="auto"/>
        <w:jc w:val="center"/>
        <w:rPr>
          <w:rFonts w:ascii="宋体" w:hAnsi="宋体" w:cs="宋体"/>
          <w:b/>
          <w:snapToGrid w:val="0"/>
          <w:color w:val="auto"/>
          <w:kern w:val="0"/>
          <w:sz w:val="32"/>
          <w:szCs w:val="20"/>
          <w:highlight w:val="none"/>
        </w:rPr>
      </w:pPr>
      <w:r>
        <w:rPr>
          <w:rFonts w:hint="eastAsia" w:ascii="宋体" w:hAnsi="宋体" w:cs="宋体"/>
          <w:b/>
          <w:bCs/>
          <w:snapToGrid w:val="0"/>
          <w:color w:val="auto"/>
          <w:kern w:val="0"/>
          <w:sz w:val="32"/>
          <w:szCs w:val="32"/>
          <w:highlight w:val="none"/>
        </w:rPr>
        <w:t>授权委托书（</w:t>
      </w:r>
      <w:r>
        <w:rPr>
          <w:rFonts w:hint="eastAsia" w:ascii="宋体" w:hAnsi="宋体" w:cs="宋体"/>
          <w:b/>
          <w:bCs/>
          <w:snapToGrid w:val="0"/>
          <w:color w:val="auto"/>
          <w:kern w:val="0"/>
          <w:sz w:val="32"/>
          <w:szCs w:val="32"/>
          <w:highlight w:val="none"/>
          <w:lang w:val="zh-CN"/>
        </w:rPr>
        <w:t>适用于非联合体投标）</w:t>
      </w:r>
      <w:r>
        <w:rPr>
          <w:rFonts w:hint="eastAsia" w:ascii="宋体" w:hAnsi="宋体" w:cs="宋体"/>
          <w:b/>
          <w:bCs/>
          <w:snapToGrid w:val="0"/>
          <w:color w:val="auto"/>
          <w:kern w:val="0"/>
          <w:sz w:val="32"/>
          <w:szCs w:val="32"/>
          <w:highlight w:val="none"/>
        </w:rPr>
        <w:t xml:space="preserve">   </w:t>
      </w:r>
    </w:p>
    <w:p>
      <w:pPr>
        <w:adjustRightInd w:val="0"/>
        <w:spacing w:line="480" w:lineRule="auto"/>
        <w:rPr>
          <w:rFonts w:ascii="宋体" w:hAnsi="宋体" w:cs="宋体"/>
          <w:b/>
          <w:bCs/>
          <w:snapToGrid w:val="0"/>
          <w:color w:val="auto"/>
          <w:kern w:val="0"/>
          <w:szCs w:val="21"/>
          <w:highlight w:val="none"/>
          <w:u w:val="single"/>
        </w:rPr>
      </w:pPr>
      <w:r>
        <w:rPr>
          <w:rFonts w:hint="eastAsia" w:ascii="宋体" w:hAnsi="宋体" w:cs="宋体"/>
          <w:b/>
          <w:bCs/>
          <w:color w:val="auto"/>
          <w:szCs w:val="21"/>
          <w:highlight w:val="none"/>
          <w:u w:val="single"/>
          <w:lang w:eastAsia="zh-CN"/>
        </w:rPr>
        <w:t>浙江省药品信息宣传和发展服务中心</w:t>
      </w:r>
      <w:r>
        <w:rPr>
          <w:rFonts w:hint="eastAsia" w:ascii="宋体" w:hAnsi="宋体" w:cs="宋体"/>
          <w:b/>
          <w:bCs/>
          <w:color w:val="auto"/>
          <w:szCs w:val="21"/>
          <w:highlight w:val="none"/>
          <w:u w:val="single"/>
        </w:rPr>
        <w:t>：</w:t>
      </w:r>
    </w:p>
    <w:p>
      <w:pPr>
        <w:adjustRightInd w:val="0"/>
        <w:spacing w:line="360" w:lineRule="auto"/>
        <w:ind w:left="4" w:firstLine="455" w:firstLineChars="217"/>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我 </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（投标人名称），现授权委托</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（姓名、身份证号）为我方授权代表，以本方的名义参加</w:t>
      </w:r>
      <w:r>
        <w:rPr>
          <w:rFonts w:hint="eastAsia" w:ascii="宋体" w:hAnsi="宋体" w:cs="宋体"/>
          <w:color w:val="auto"/>
          <w:szCs w:val="21"/>
          <w:highlight w:val="none"/>
          <w:u w:val="single"/>
          <w:lang w:eastAsia="zh-CN"/>
        </w:rPr>
        <w:t>浙江省药品信息宣传和发展服务中心</w:t>
      </w:r>
      <w:r>
        <w:rPr>
          <w:rFonts w:hint="eastAsia" w:ascii="宋体" w:hAnsi="宋体" w:cs="宋体"/>
          <w:snapToGrid w:val="0"/>
          <w:color w:val="auto"/>
          <w:kern w:val="0"/>
          <w:szCs w:val="21"/>
          <w:highlight w:val="none"/>
        </w:rPr>
        <w:t>的</w:t>
      </w:r>
      <w:r>
        <w:rPr>
          <w:rFonts w:hint="eastAsia" w:ascii="宋体" w:hAnsi="宋体" w:cs="宋体"/>
          <w:color w:val="auto"/>
          <w:szCs w:val="21"/>
          <w:highlight w:val="none"/>
          <w:u w:val="single"/>
          <w:lang w:eastAsia="zh-CN"/>
        </w:rPr>
        <w:t>浙江省药品信息宣传和发展服务中心药品安全智慧监管“黑匣子”（二期）项目</w:t>
      </w:r>
      <w:r>
        <w:rPr>
          <w:rFonts w:hint="eastAsia" w:ascii="宋体" w:hAnsi="宋体" w:cs="宋体"/>
          <w:snapToGrid w:val="0"/>
          <w:color w:val="auto"/>
          <w:kern w:val="0"/>
          <w:szCs w:val="21"/>
          <w:highlight w:val="none"/>
          <w:u w:val="single"/>
        </w:rPr>
        <w:t>（项目编号：</w:t>
      </w:r>
      <w:r>
        <w:rPr>
          <w:rFonts w:hint="eastAsia" w:ascii="宋体" w:hAnsi="宋体" w:cs="宋体"/>
          <w:color w:val="auto"/>
          <w:szCs w:val="21"/>
          <w:highlight w:val="none"/>
          <w:u w:val="single"/>
          <w:lang w:eastAsia="zh-CN"/>
        </w:rPr>
        <w:t>ZJ-2370554-02</w:t>
      </w:r>
      <w:r>
        <w:rPr>
          <w:rFonts w:hint="eastAsia" w:ascii="宋体" w:hAnsi="宋体" w:cs="宋体"/>
          <w:snapToGrid w:val="0"/>
          <w:color w:val="auto"/>
          <w:kern w:val="0"/>
          <w:szCs w:val="21"/>
          <w:highlight w:val="none"/>
          <w:u w:val="single"/>
        </w:rPr>
        <w:t>）</w:t>
      </w:r>
      <w:r>
        <w:rPr>
          <w:rFonts w:hint="eastAsia" w:ascii="宋体" w:hAnsi="宋体" w:cs="宋体"/>
          <w:snapToGrid w:val="0"/>
          <w:color w:val="auto"/>
          <w:kern w:val="0"/>
          <w:szCs w:val="21"/>
          <w:highlight w:val="none"/>
        </w:rPr>
        <w:t>的投标活动。授权代表在开标、评标、合同谈判过程中所签署的一切文件和处理与之有关的一切事务，我方均予以承认。</w:t>
      </w:r>
    </w:p>
    <w:p>
      <w:pPr>
        <w:adjustRightIn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授权代表无权转委托，特此委托。</w:t>
      </w:r>
    </w:p>
    <w:p>
      <w:pPr>
        <w:spacing w:line="360" w:lineRule="auto"/>
        <w:ind w:right="99" w:rightChars="47" w:firstLine="3360" w:firstLineChars="16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投标人名称（盖公章或电子签章）：</w:t>
      </w:r>
    </w:p>
    <w:p>
      <w:pPr>
        <w:spacing w:line="360" w:lineRule="auto"/>
        <w:ind w:right="99" w:rightChars="47" w:firstLine="3360" w:firstLineChars="16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授权代表身份证号码：</w:t>
      </w:r>
    </w:p>
    <w:p>
      <w:pPr>
        <w:autoSpaceDE w:val="0"/>
        <w:autoSpaceDN w:val="0"/>
        <w:adjustRightInd w:val="0"/>
        <w:spacing w:line="360" w:lineRule="auto"/>
        <w:ind w:right="99" w:rightChars="47" w:firstLine="3360" w:firstLineChars="1600"/>
        <w:rPr>
          <w:rFonts w:ascii="宋体" w:hAnsi="宋体" w:cs="宋体"/>
          <w:snapToGrid w:val="0"/>
          <w:color w:val="auto"/>
          <w:kern w:val="0"/>
          <w:szCs w:val="21"/>
          <w:highlight w:val="none"/>
        </w:rPr>
      </w:pPr>
      <w:r>
        <w:rPr>
          <w:rFonts w:hint="eastAsia" w:ascii="宋体" w:hAnsi="宋体" w:cs="宋体"/>
          <w:color w:val="auto"/>
          <w:kern w:val="0"/>
          <w:szCs w:val="21"/>
          <w:highlight w:val="none"/>
          <w:lang w:val="zh-CN"/>
        </w:rPr>
        <w:t>日期：</w:t>
      </w:r>
    </w:p>
    <w:p>
      <w:pPr>
        <w:autoSpaceDE w:val="0"/>
        <w:autoSpaceDN w:val="0"/>
        <w:adjustRightInd w:val="0"/>
        <w:snapToGrid w:val="0"/>
        <w:spacing w:line="360" w:lineRule="auto"/>
        <w:ind w:right="42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附：授权代表的身份证复印件（正反面）。</w:t>
      </w:r>
    </w:p>
    <w:tbl>
      <w:tblPr>
        <w:tblStyle w:val="3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auto"/>
                <w:highlight w:val="none"/>
              </w:rPr>
            </w:pPr>
          </w:p>
          <w:p>
            <w:pPr>
              <w:pStyle w:val="20"/>
              <w:rPr>
                <w:color w:val="auto"/>
                <w:highlight w:val="none"/>
              </w:rPr>
            </w:pPr>
          </w:p>
          <w:p>
            <w:pPr>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tc>
      </w:tr>
    </w:tbl>
    <w:p>
      <w:pPr>
        <w:autoSpaceDE w:val="0"/>
        <w:autoSpaceDN w:val="0"/>
        <w:adjustRightInd w:val="0"/>
        <w:snapToGrid w:val="0"/>
        <w:spacing w:line="360" w:lineRule="auto"/>
        <w:ind w:right="420"/>
        <w:jc w:val="center"/>
        <w:rPr>
          <w:rFonts w:ascii="宋体" w:hAnsi="宋体" w:cs="宋体"/>
          <w:b/>
          <w:snapToGrid w:val="0"/>
          <w:color w:val="auto"/>
          <w:kern w:val="0"/>
          <w:szCs w:val="21"/>
          <w:highlight w:val="none"/>
        </w:rPr>
      </w:pPr>
      <w:r>
        <w:rPr>
          <w:rFonts w:hint="eastAsia" w:ascii="宋体" w:hAnsi="宋体" w:cs="宋体"/>
          <w:b/>
          <w:bCs/>
          <w:snapToGrid w:val="0"/>
          <w:color w:val="auto"/>
          <w:kern w:val="0"/>
          <w:sz w:val="32"/>
          <w:szCs w:val="32"/>
          <w:highlight w:val="none"/>
        </w:rPr>
        <w:br w:type="page"/>
      </w:r>
      <w:r>
        <w:rPr>
          <w:rFonts w:hint="eastAsia" w:ascii="宋体" w:hAnsi="宋体" w:cs="宋体"/>
          <w:b/>
          <w:bCs/>
          <w:snapToGrid w:val="0"/>
          <w:color w:val="auto"/>
          <w:kern w:val="0"/>
          <w:sz w:val="32"/>
          <w:szCs w:val="32"/>
          <w:highlight w:val="none"/>
        </w:rPr>
        <w:t>授权委托书（</w:t>
      </w:r>
      <w:r>
        <w:rPr>
          <w:rFonts w:hint="eastAsia" w:ascii="宋体" w:hAnsi="宋体" w:cs="宋体"/>
          <w:b/>
          <w:bCs/>
          <w:snapToGrid w:val="0"/>
          <w:color w:val="auto"/>
          <w:kern w:val="0"/>
          <w:sz w:val="32"/>
          <w:szCs w:val="32"/>
          <w:highlight w:val="none"/>
          <w:lang w:val="zh-CN"/>
        </w:rPr>
        <w:t>适用于联合体投标）</w:t>
      </w:r>
    </w:p>
    <w:p>
      <w:pPr>
        <w:adjustRightInd w:val="0"/>
        <w:spacing w:line="480" w:lineRule="auto"/>
        <w:rPr>
          <w:rFonts w:ascii="宋体" w:hAnsi="宋体" w:cs="宋体"/>
          <w:b/>
          <w:bCs/>
          <w:snapToGrid w:val="0"/>
          <w:color w:val="auto"/>
          <w:kern w:val="0"/>
          <w:szCs w:val="21"/>
          <w:highlight w:val="none"/>
          <w:u w:val="single"/>
        </w:rPr>
      </w:pPr>
      <w:r>
        <w:rPr>
          <w:rFonts w:hint="eastAsia" w:ascii="宋体" w:hAnsi="宋体" w:cs="宋体"/>
          <w:b/>
          <w:bCs/>
          <w:color w:val="auto"/>
          <w:szCs w:val="21"/>
          <w:highlight w:val="none"/>
          <w:u w:val="single"/>
          <w:lang w:eastAsia="zh-CN"/>
        </w:rPr>
        <w:t>浙江省药品信息宣传和发展服务中心</w:t>
      </w:r>
      <w:r>
        <w:rPr>
          <w:rFonts w:hint="eastAsia" w:ascii="宋体" w:hAnsi="宋体" w:cs="宋体"/>
          <w:b/>
          <w:bCs/>
          <w:color w:val="auto"/>
          <w:szCs w:val="21"/>
          <w:highlight w:val="none"/>
          <w:u w:val="single"/>
        </w:rPr>
        <w:t>：</w:t>
      </w:r>
    </w:p>
    <w:p>
      <w:pPr>
        <w:adjustRightInd w:val="0"/>
        <w:spacing w:line="360" w:lineRule="auto"/>
        <w:ind w:left="4" w:firstLine="455" w:firstLineChars="217"/>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我 </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（联合体各方名称），现授权委托</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（姓名、身份证号）为我方授权代表，以本方的名义参加</w:t>
      </w:r>
      <w:r>
        <w:rPr>
          <w:rFonts w:hint="eastAsia" w:ascii="宋体" w:hAnsi="宋体" w:cs="宋体"/>
          <w:color w:val="auto"/>
          <w:szCs w:val="21"/>
          <w:highlight w:val="none"/>
          <w:u w:val="single"/>
          <w:lang w:eastAsia="zh-CN"/>
        </w:rPr>
        <w:t>浙江省药品信息宣传和发展服务中心</w:t>
      </w:r>
      <w:r>
        <w:rPr>
          <w:rFonts w:hint="eastAsia" w:ascii="宋体" w:hAnsi="宋体" w:cs="宋体"/>
          <w:snapToGrid w:val="0"/>
          <w:color w:val="auto"/>
          <w:kern w:val="0"/>
          <w:szCs w:val="21"/>
          <w:highlight w:val="none"/>
        </w:rPr>
        <w:t>的</w:t>
      </w:r>
      <w:r>
        <w:rPr>
          <w:rFonts w:hint="eastAsia" w:ascii="宋体" w:hAnsi="宋体" w:cs="宋体"/>
          <w:color w:val="auto"/>
          <w:szCs w:val="21"/>
          <w:highlight w:val="none"/>
          <w:u w:val="single"/>
          <w:lang w:eastAsia="zh-CN"/>
        </w:rPr>
        <w:t>浙江省药品信息宣传和发展服务中心药品安全智慧监管“黑匣子”（二期）项目</w:t>
      </w:r>
      <w:r>
        <w:rPr>
          <w:rFonts w:hint="eastAsia" w:ascii="宋体" w:hAnsi="宋体" w:cs="宋体"/>
          <w:snapToGrid w:val="0"/>
          <w:color w:val="auto"/>
          <w:kern w:val="0"/>
          <w:szCs w:val="21"/>
          <w:highlight w:val="none"/>
          <w:u w:val="single"/>
        </w:rPr>
        <w:t>（项目编号：</w:t>
      </w:r>
      <w:r>
        <w:rPr>
          <w:rFonts w:hint="eastAsia" w:ascii="宋体" w:hAnsi="宋体" w:cs="宋体"/>
          <w:color w:val="auto"/>
          <w:szCs w:val="21"/>
          <w:highlight w:val="none"/>
          <w:u w:val="single"/>
          <w:lang w:eastAsia="zh-CN"/>
        </w:rPr>
        <w:t>ZJ-2370554-02</w:t>
      </w:r>
      <w:r>
        <w:rPr>
          <w:rFonts w:hint="eastAsia" w:ascii="宋体" w:hAnsi="宋体" w:cs="宋体"/>
          <w:snapToGrid w:val="0"/>
          <w:color w:val="auto"/>
          <w:kern w:val="0"/>
          <w:szCs w:val="21"/>
          <w:highlight w:val="none"/>
          <w:u w:val="single"/>
        </w:rPr>
        <w:t>）</w:t>
      </w:r>
      <w:r>
        <w:rPr>
          <w:rFonts w:hint="eastAsia" w:ascii="宋体" w:hAnsi="宋体" w:cs="宋体"/>
          <w:snapToGrid w:val="0"/>
          <w:color w:val="auto"/>
          <w:kern w:val="0"/>
          <w:szCs w:val="21"/>
          <w:highlight w:val="none"/>
        </w:rPr>
        <w:t>的投标活动。授权代表在开标、评标、合同谈判过程中所签署的一切文件和处理与之有关的一切事务，我方均予以承认。</w:t>
      </w:r>
    </w:p>
    <w:p>
      <w:pPr>
        <w:adjustRightIn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授权代表无权转委托，特此委托。</w:t>
      </w:r>
    </w:p>
    <w:p>
      <w:pPr>
        <w:spacing w:line="360" w:lineRule="auto"/>
        <w:ind w:right="128" w:rightChars="61" w:firstLine="3360" w:firstLineChars="16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联合体成员名称名称（盖公章或电子签章）：       </w:t>
      </w:r>
    </w:p>
    <w:p>
      <w:pPr>
        <w:autoSpaceDE w:val="0"/>
        <w:autoSpaceDN w:val="0"/>
        <w:adjustRightInd w:val="0"/>
        <w:spacing w:line="360" w:lineRule="auto"/>
        <w:ind w:right="128" w:rightChars="61" w:firstLine="3360" w:firstLineChars="16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联合体成员名称名称（盖公章或电子签章）： </w:t>
      </w:r>
    </w:p>
    <w:p>
      <w:pPr>
        <w:autoSpaceDE w:val="0"/>
        <w:autoSpaceDN w:val="0"/>
        <w:adjustRightInd w:val="0"/>
        <w:spacing w:line="360" w:lineRule="auto"/>
        <w:ind w:right="128" w:rightChars="61" w:firstLine="3360" w:firstLineChars="16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w:t>
      </w:r>
    </w:p>
    <w:p>
      <w:pPr>
        <w:autoSpaceDE w:val="0"/>
        <w:autoSpaceDN w:val="0"/>
        <w:adjustRightInd w:val="0"/>
        <w:spacing w:line="360" w:lineRule="auto"/>
        <w:ind w:right="128" w:rightChars="61" w:firstLine="3360" w:firstLineChars="16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授权代表身份证号码：</w:t>
      </w:r>
    </w:p>
    <w:p>
      <w:pPr>
        <w:autoSpaceDE w:val="0"/>
        <w:autoSpaceDN w:val="0"/>
        <w:adjustRightInd w:val="0"/>
        <w:spacing w:line="360" w:lineRule="auto"/>
        <w:ind w:right="128" w:rightChars="61" w:firstLine="3360" w:firstLineChars="1600"/>
        <w:rPr>
          <w:rFonts w:ascii="宋体" w:hAnsi="宋体" w:cs="宋体"/>
          <w:snapToGrid w:val="0"/>
          <w:color w:val="auto"/>
          <w:kern w:val="0"/>
          <w:szCs w:val="21"/>
          <w:highlight w:val="none"/>
        </w:rPr>
      </w:pPr>
      <w:r>
        <w:rPr>
          <w:rFonts w:hint="eastAsia" w:ascii="宋体" w:hAnsi="宋体" w:cs="宋体"/>
          <w:color w:val="auto"/>
          <w:kern w:val="0"/>
          <w:szCs w:val="21"/>
          <w:highlight w:val="none"/>
          <w:lang w:val="zh-CN"/>
        </w:rPr>
        <w:t>日期：</w:t>
      </w:r>
    </w:p>
    <w:p>
      <w:pPr>
        <w:autoSpaceDE w:val="0"/>
        <w:autoSpaceDN w:val="0"/>
        <w:adjustRightInd w:val="0"/>
        <w:snapToGrid w:val="0"/>
        <w:spacing w:line="360" w:lineRule="auto"/>
        <w:ind w:right="420"/>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附：授权代表的身份证复印件（正反面）。</w:t>
      </w:r>
    </w:p>
    <w:tbl>
      <w:tblPr>
        <w:tblStyle w:val="3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tc>
      </w:tr>
    </w:tbl>
    <w:p>
      <w:pPr>
        <w:autoSpaceDE w:val="0"/>
        <w:autoSpaceDN w:val="0"/>
        <w:adjustRightInd w:val="0"/>
        <w:spacing w:line="360" w:lineRule="auto"/>
        <w:rPr>
          <w:rFonts w:ascii="宋体" w:hAnsi="宋体" w:cs="宋体"/>
          <w:b/>
          <w:color w:val="auto"/>
          <w:highlight w:val="none"/>
        </w:rPr>
      </w:pPr>
      <w:r>
        <w:rPr>
          <w:rFonts w:hint="eastAsia" w:ascii="宋体" w:hAnsi="宋体" w:cs="宋体"/>
          <w:b/>
          <w:color w:val="auto"/>
          <w:highlight w:val="none"/>
        </w:rPr>
        <w:br w:type="page"/>
      </w:r>
      <w:r>
        <w:rPr>
          <w:rFonts w:hint="eastAsia" w:ascii="宋体" w:hAnsi="宋体" w:cs="宋体"/>
          <w:b/>
          <w:color w:val="auto"/>
          <w:highlight w:val="none"/>
        </w:rPr>
        <w:t>3.7 政府采购供应商廉洁自律承诺书</w:t>
      </w:r>
    </w:p>
    <w:p>
      <w:pPr>
        <w:autoSpaceDE w:val="0"/>
        <w:autoSpaceDN w:val="0"/>
        <w:adjustRightInd w:val="0"/>
        <w:spacing w:line="360" w:lineRule="auto"/>
        <w:rPr>
          <w:rFonts w:ascii="宋体" w:hAnsi="宋体" w:cs="宋体"/>
          <w:b/>
          <w:color w:val="auto"/>
          <w:highlight w:val="none"/>
        </w:rPr>
      </w:pPr>
    </w:p>
    <w:p>
      <w:pPr>
        <w:spacing w:line="360" w:lineRule="auto"/>
        <w:jc w:val="center"/>
        <w:rPr>
          <w:rFonts w:ascii="仿宋_GB2312" w:hAnsi="仿宋" w:eastAsia="仿宋_GB2312" w:cs="仿宋_GB2312"/>
          <w:color w:val="auto"/>
          <w:sz w:val="32"/>
          <w:szCs w:val="32"/>
          <w:highlight w:val="none"/>
        </w:rPr>
      </w:pPr>
      <w:r>
        <w:rPr>
          <w:rFonts w:hint="eastAsia" w:ascii="宋体" w:hAnsi="宋体" w:cs="宋体"/>
          <w:b/>
          <w:bCs/>
          <w:snapToGrid w:val="0"/>
          <w:color w:val="auto"/>
          <w:kern w:val="0"/>
          <w:sz w:val="32"/>
          <w:szCs w:val="32"/>
          <w:highlight w:val="none"/>
        </w:rPr>
        <w:t>政府采购供应商廉洁自律承诺书</w:t>
      </w:r>
    </w:p>
    <w:p>
      <w:pPr>
        <w:spacing w:line="360" w:lineRule="auto"/>
        <w:rPr>
          <w:rFonts w:hint="eastAsia" w:ascii="宋体" w:hAnsi="宋体" w:cs="宋体"/>
          <w:b/>
          <w:bCs/>
          <w:snapToGrid w:val="0"/>
          <w:color w:val="auto"/>
          <w:kern w:val="0"/>
          <w:highlight w:val="none"/>
          <w:u w:val="single"/>
          <w:lang w:eastAsia="zh-CN"/>
        </w:rPr>
      </w:pPr>
    </w:p>
    <w:p>
      <w:pPr>
        <w:spacing w:line="360" w:lineRule="auto"/>
        <w:rPr>
          <w:rFonts w:ascii="宋体" w:hAnsi="宋体" w:cs="宋体"/>
          <w:b/>
          <w:bCs/>
          <w:color w:val="auto"/>
          <w:szCs w:val="21"/>
          <w:highlight w:val="none"/>
          <w:u w:val="single"/>
        </w:rPr>
      </w:pPr>
      <w:r>
        <w:rPr>
          <w:rFonts w:hint="eastAsia" w:ascii="宋体" w:hAnsi="宋体" w:cs="宋体"/>
          <w:b/>
          <w:bCs/>
          <w:snapToGrid w:val="0"/>
          <w:color w:val="auto"/>
          <w:kern w:val="0"/>
          <w:highlight w:val="none"/>
          <w:u w:val="single"/>
          <w:lang w:eastAsia="zh-CN"/>
        </w:rPr>
        <w:t>浙江省药品信息宣传和发展服务中心</w:t>
      </w:r>
      <w:r>
        <w:rPr>
          <w:rFonts w:hint="eastAsia" w:ascii="宋体" w:hAnsi="宋体" w:cs="宋体"/>
          <w:b/>
          <w:bCs/>
          <w:color w:val="auto"/>
          <w:szCs w:val="21"/>
          <w:highlight w:val="none"/>
          <w:u w:val="single"/>
        </w:rPr>
        <w:t>：</w:t>
      </w:r>
    </w:p>
    <w:p>
      <w:pPr>
        <w:spacing w:line="360" w:lineRule="auto"/>
        <w:ind w:left="19" w:leftChars="9" w:firstLine="428" w:firstLineChars="204"/>
        <w:jc w:val="left"/>
        <w:rPr>
          <w:rFonts w:ascii="宋体" w:hAnsi="宋体" w:cs="宋体"/>
          <w:color w:val="auto"/>
          <w:szCs w:val="21"/>
          <w:highlight w:val="none"/>
        </w:rPr>
      </w:pPr>
      <w:r>
        <w:rPr>
          <w:rFonts w:hint="eastAsia" w:ascii="宋体" w:hAnsi="宋体" w:cs="宋体"/>
          <w:color w:val="auto"/>
          <w:szCs w:val="21"/>
          <w:highlight w:val="none"/>
        </w:rPr>
        <w:t>本单位合法参加</w:t>
      </w:r>
      <w:r>
        <w:rPr>
          <w:rFonts w:hint="eastAsia" w:ascii="宋体" w:hAnsi="宋体" w:cs="宋体"/>
          <w:color w:val="auto"/>
          <w:szCs w:val="21"/>
          <w:highlight w:val="none"/>
          <w:u w:val="single"/>
          <w:lang w:eastAsia="zh-CN"/>
        </w:rPr>
        <w:t>浙江省药品信息宣传和发展服务中心药品安全智慧监管“黑匣子”（二期）项目</w:t>
      </w: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r>
        <w:rPr>
          <w:rFonts w:hint="eastAsia" w:ascii="宋体" w:hAnsi="宋体" w:cs="宋体"/>
          <w:color w:val="auto"/>
          <w:szCs w:val="21"/>
          <w:highlight w:val="none"/>
        </w:rPr>
        <w:t>）政府采购活动，就有关廉洁自律和公平竞争事项郑重声明如下：</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一、本单位与采购人之间不存在利害关系，不存在行贿、串通等违法行为。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二、本单位与其他当事人之间不存在直接控股、管理关系等情况，不存在法定的不允许投标情形，不存在行贿、串通等违法行为。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三、本单位清楚知道并严格遵守政府采购法律法规、政策文件和相关纪律。</w:t>
      </w:r>
    </w:p>
    <w:p>
      <w:pPr>
        <w:autoSpaceDE w:val="0"/>
        <w:autoSpaceDN w:val="0"/>
        <w:spacing w:line="360" w:lineRule="auto"/>
        <w:ind w:firstLine="4410" w:firstLineChars="2100"/>
        <w:jc w:val="left"/>
        <w:rPr>
          <w:rFonts w:ascii="宋体" w:hAnsi="宋体" w:cs="宋体"/>
          <w:color w:val="auto"/>
          <w:kern w:val="0"/>
          <w:szCs w:val="21"/>
          <w:highlight w:val="none"/>
          <w:lang w:val="zh-CN"/>
        </w:rPr>
      </w:pPr>
    </w:p>
    <w:p>
      <w:pPr>
        <w:autoSpaceDE w:val="0"/>
        <w:autoSpaceDN w:val="0"/>
        <w:spacing w:line="360" w:lineRule="auto"/>
        <w:ind w:firstLine="4410" w:firstLineChars="2100"/>
        <w:jc w:val="left"/>
        <w:rPr>
          <w:rFonts w:ascii="宋体" w:hAnsi="宋体" w:cs="宋体"/>
          <w:color w:val="auto"/>
          <w:kern w:val="0"/>
          <w:szCs w:val="21"/>
          <w:highlight w:val="none"/>
          <w:lang w:val="zh-CN"/>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autoSpaceDE w:val="0"/>
        <w:autoSpaceDN w:val="0"/>
        <w:adjustRightInd w:val="0"/>
        <w:spacing w:line="360" w:lineRule="auto"/>
        <w:rPr>
          <w:rFonts w:ascii="宋体" w:hAnsi="宋体" w:cs="宋体"/>
          <w:b/>
          <w:color w:val="auto"/>
          <w:sz w:val="24"/>
          <w:highlight w:val="none"/>
        </w:rPr>
      </w:pPr>
      <w:r>
        <w:rPr>
          <w:rFonts w:hint="eastAsia" w:ascii="宋体" w:hAnsi="宋体" w:cs="宋体"/>
          <w:b/>
          <w:color w:val="auto"/>
          <w:szCs w:val="21"/>
          <w:highlight w:val="none"/>
        </w:rPr>
        <w:br w:type="page"/>
      </w:r>
      <w:r>
        <w:rPr>
          <w:rFonts w:hint="eastAsia" w:ascii="宋体" w:hAnsi="宋体" w:cs="宋体"/>
          <w:b/>
          <w:color w:val="auto"/>
          <w:highlight w:val="none"/>
        </w:rPr>
        <w:t>3.8 廉政承诺书</w:t>
      </w:r>
    </w:p>
    <w:p>
      <w:pPr>
        <w:autoSpaceDE w:val="0"/>
        <w:autoSpaceDN w:val="0"/>
        <w:adjustRightInd w:val="0"/>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廉 政 承 诺 书</w:t>
      </w: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
          <w:bCs/>
          <w:snapToGrid w:val="0"/>
          <w:color w:val="auto"/>
          <w:kern w:val="0"/>
          <w:highlight w:val="none"/>
          <w:u w:val="single"/>
          <w:lang w:eastAsia="zh-CN"/>
        </w:rPr>
        <w:t>浙江省药品信息宣传和发展服务中心</w:t>
      </w:r>
      <w:r>
        <w:rPr>
          <w:rFonts w:hint="eastAsia" w:ascii="宋体" w:hAnsi="宋体" w:cs="宋体"/>
          <w:b/>
          <w:bCs/>
          <w:color w:val="auto"/>
          <w:szCs w:val="21"/>
          <w:highlight w:val="none"/>
        </w:rPr>
        <w:t>：</w:t>
      </w:r>
    </w:p>
    <w:p>
      <w:pPr>
        <w:autoSpaceDE w:val="0"/>
        <w:autoSpaceDN w:val="0"/>
        <w:adjustRightIn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我单位响应你单位项目招标要求参加投标。在这次投标过程中和中标后，我们将严格遵守国家法律法规规定要求，并郑重承诺：</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一、不向项目有关人员及部门赠送礼金礼物、有价证券、回扣以及中介费、介绍费、咨询费等好处费；</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二、不为项目有关人员及部门报销应由你方单位或个人支付的费用；</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三、不向项目有关人员及部门提供有可能影响公正执行公务的宴请和健身娱乐等活动；</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四、不为项目有关人员及部门出国（境）、旅游等提供方便；</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五、不为项目有关人员个人装修住房、婚丧嫁娶、配偶子女工作安排等提供好处； </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六、严格遵守政府采购法、民法典等法律，诚实守信，合法经营，坚决抵制各种违法违纪行为。</w:t>
      </w:r>
    </w:p>
    <w:p>
      <w:pPr>
        <w:autoSpaceDE w:val="0"/>
        <w:autoSpaceDN w:val="0"/>
        <w:adjustRightIn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如违反上述承诺，你单位有权立即取消我单位投标、中标或在建项目的资格，有权拒绝我单位在一定时期内参与你单位项目采购或其他经营活动，并通报监管部门。由此引起的相应损失均由我单位承担。</w:t>
      </w:r>
    </w:p>
    <w:p>
      <w:pPr>
        <w:autoSpaceDE w:val="0"/>
        <w:autoSpaceDN w:val="0"/>
        <w:adjustRightInd w:val="0"/>
        <w:spacing w:line="360" w:lineRule="auto"/>
        <w:rPr>
          <w:rFonts w:ascii="宋体" w:hAnsi="宋体" w:cs="宋体"/>
          <w:bCs/>
          <w:color w:val="auto"/>
          <w:szCs w:val="21"/>
          <w:highlight w:val="none"/>
        </w:rPr>
      </w:pPr>
    </w:p>
    <w:p>
      <w:pPr>
        <w:autoSpaceDE w:val="0"/>
        <w:autoSpaceDN w:val="0"/>
        <w:adjustRightInd w:val="0"/>
        <w:spacing w:line="360" w:lineRule="auto"/>
        <w:rPr>
          <w:rFonts w:ascii="宋体" w:hAnsi="宋体" w:cs="宋体"/>
          <w:bCs/>
          <w:color w:val="auto"/>
          <w:szCs w:val="21"/>
          <w:highlight w:val="none"/>
        </w:rPr>
      </w:pPr>
    </w:p>
    <w:p>
      <w:pPr>
        <w:autoSpaceDE w:val="0"/>
        <w:autoSpaceDN w:val="0"/>
        <w:adjustRightInd w:val="0"/>
        <w:spacing w:line="360" w:lineRule="auto"/>
        <w:rPr>
          <w:rFonts w:ascii="宋体" w:hAnsi="宋体" w:cs="宋体"/>
          <w:bCs/>
          <w:color w:val="auto"/>
          <w:szCs w:val="21"/>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
          <w:color w:val="auto"/>
          <w:sz w:val="24"/>
          <w:highlight w:val="none"/>
        </w:rPr>
        <w:br w:type="page"/>
      </w:r>
      <w:r>
        <w:rPr>
          <w:rFonts w:hint="eastAsia" w:ascii="宋体" w:hAnsi="宋体" w:cs="宋体"/>
          <w:b/>
          <w:bCs/>
          <w:color w:val="auto"/>
          <w:szCs w:val="21"/>
          <w:highlight w:val="none"/>
        </w:rPr>
        <w:t>3.9投标人业绩一览表</w:t>
      </w:r>
    </w:p>
    <w:p>
      <w:pPr>
        <w:snapToGrid w:val="0"/>
        <w:spacing w:line="360" w:lineRule="auto"/>
        <w:jc w:val="center"/>
        <w:rPr>
          <w:rFonts w:ascii="宋体" w:hAnsi="宋体" w:cs="宋体"/>
          <w:b/>
          <w:snapToGrid w:val="0"/>
          <w:color w:val="auto"/>
          <w:kern w:val="0"/>
          <w:sz w:val="24"/>
          <w:highlight w:val="none"/>
        </w:rPr>
      </w:pPr>
    </w:p>
    <w:p>
      <w:pPr>
        <w:snapToGrid w:val="0"/>
        <w:spacing w:line="360" w:lineRule="auto"/>
        <w:jc w:val="center"/>
        <w:rPr>
          <w:rFonts w:ascii="宋体" w:hAnsi="宋体" w:cs="宋体"/>
          <w:b/>
          <w:snapToGrid w:val="0"/>
          <w:color w:val="auto"/>
          <w:kern w:val="0"/>
          <w:sz w:val="32"/>
          <w:szCs w:val="32"/>
          <w:highlight w:val="none"/>
        </w:rPr>
      </w:pPr>
      <w:r>
        <w:rPr>
          <w:rFonts w:hint="eastAsia" w:ascii="宋体" w:hAnsi="宋体" w:cs="宋体"/>
          <w:b/>
          <w:snapToGrid w:val="0"/>
          <w:color w:val="auto"/>
          <w:kern w:val="0"/>
          <w:sz w:val="32"/>
          <w:szCs w:val="32"/>
          <w:highlight w:val="none"/>
        </w:rPr>
        <w:t>投标人业绩一览表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95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color w:val="auto"/>
                <w:szCs w:val="21"/>
                <w:highlight w:val="none"/>
              </w:rPr>
            </w:pPr>
            <w:r>
              <w:rPr>
                <w:rFonts w:hint="eastAsia" w:ascii="宋体" w:hAnsi="宋体" w:cs="宋体"/>
                <w:color w:val="auto"/>
                <w:spacing w:val="30"/>
                <w:highlight w:val="none"/>
              </w:rPr>
              <w:t>序号</w:t>
            </w:r>
          </w:p>
        </w:tc>
        <w:tc>
          <w:tcPr>
            <w:tcW w:w="23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color w:val="auto"/>
                <w:szCs w:val="21"/>
                <w:highlight w:val="none"/>
              </w:rPr>
            </w:pPr>
            <w:r>
              <w:rPr>
                <w:rFonts w:hint="eastAsia" w:ascii="宋体" w:hAnsi="宋体" w:cs="宋体"/>
                <w:color w:val="auto"/>
                <w:spacing w:val="30"/>
                <w:highlight w:val="none"/>
              </w:rPr>
              <w:t>项目名称</w:t>
            </w:r>
          </w:p>
        </w:tc>
        <w:tc>
          <w:tcPr>
            <w:tcW w:w="22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color w:val="auto"/>
                <w:szCs w:val="21"/>
                <w:highlight w:val="none"/>
              </w:rPr>
            </w:pPr>
            <w:r>
              <w:rPr>
                <w:rFonts w:hint="eastAsia" w:ascii="宋体" w:hAnsi="宋体" w:cs="宋体"/>
                <w:color w:val="auto"/>
                <w:spacing w:val="30"/>
                <w:highlight w:val="none"/>
              </w:rPr>
              <w:t>业主单位</w:t>
            </w:r>
          </w:p>
        </w:tc>
        <w:tc>
          <w:tcPr>
            <w:tcW w:w="18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textAlignment w:val="bottom"/>
              <w:rPr>
                <w:rFonts w:ascii="宋体" w:hAnsi="宋体" w:cs="宋体"/>
                <w:bCs/>
                <w:color w:val="auto"/>
                <w:szCs w:val="21"/>
                <w:highlight w:val="none"/>
              </w:rPr>
            </w:pPr>
            <w:r>
              <w:rPr>
                <w:rFonts w:hint="eastAsia" w:ascii="宋体" w:hAnsi="宋体" w:cs="宋体"/>
                <w:bCs/>
                <w:color w:val="auto"/>
                <w:szCs w:val="21"/>
                <w:highlight w:val="none"/>
              </w:rPr>
              <w:t>联系方式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color w:val="auto"/>
                <w:szCs w:val="21"/>
                <w:highlight w:val="none"/>
              </w:rPr>
            </w:pPr>
            <w:r>
              <w:rPr>
                <w:rFonts w:hint="eastAsia" w:ascii="宋体" w:hAnsi="宋体" w:cs="宋体"/>
                <w:color w:val="auto"/>
                <w:spacing w:val="3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pStyle w:val="24"/>
              <w:snapToGrid w:val="0"/>
              <w:spacing w:beforeLines="50" w:after="50" w:line="460" w:lineRule="exact"/>
              <w:ind w:left="5250"/>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highlight w:val="none"/>
              </w:rPr>
            </w:pPr>
          </w:p>
        </w:tc>
      </w:tr>
    </w:tbl>
    <w:p>
      <w:pPr>
        <w:tabs>
          <w:tab w:val="left" w:pos="744"/>
        </w:tabs>
        <w:spacing w:line="400" w:lineRule="exact"/>
        <w:ind w:firstLine="308" w:firstLineChars="147"/>
        <w:rPr>
          <w:rFonts w:ascii="宋体" w:hAnsi="宋体" w:cs="宋体"/>
          <w:color w:val="auto"/>
          <w:highlight w:val="none"/>
        </w:rPr>
      </w:pPr>
      <w:r>
        <w:rPr>
          <w:rFonts w:hint="eastAsia" w:ascii="宋体" w:hAnsi="宋体" w:cs="宋体"/>
          <w:color w:val="auto"/>
          <w:highlight w:val="none"/>
        </w:rPr>
        <w:t>注：1.表中所列业绩如与评分有关的，出具的证明材料需满足评审依据，否则不予得分。</w:t>
      </w:r>
    </w:p>
    <w:p>
      <w:pPr>
        <w:tabs>
          <w:tab w:val="left" w:pos="744"/>
        </w:tabs>
        <w:spacing w:line="400" w:lineRule="exact"/>
        <w:ind w:firstLine="308" w:firstLineChars="147"/>
        <w:rPr>
          <w:rFonts w:ascii="宋体" w:hAnsi="宋体" w:cs="宋体"/>
          <w:color w:val="auto"/>
          <w:highlight w:val="none"/>
        </w:rPr>
      </w:pPr>
      <w:r>
        <w:rPr>
          <w:rFonts w:hint="eastAsia" w:ascii="宋体" w:hAnsi="宋体" w:cs="宋体"/>
          <w:color w:val="auto"/>
          <w:highlight w:val="none"/>
        </w:rPr>
        <w:t xml:space="preserve">   </w:t>
      </w:r>
    </w:p>
    <w:p>
      <w:pPr>
        <w:rPr>
          <w:rFonts w:ascii="宋体" w:hAnsi="宋体" w:cs="宋体"/>
          <w:color w:val="auto"/>
          <w:highlight w:val="none"/>
        </w:rPr>
      </w:pPr>
    </w:p>
    <w:p>
      <w:pPr>
        <w:rPr>
          <w:rFonts w:ascii="宋体" w:hAnsi="宋体" w:cs="宋体"/>
          <w:color w:val="auto"/>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snapToGrid w:val="0"/>
          <w:color w:val="auto"/>
          <w:kern w:val="0"/>
          <w:szCs w:val="21"/>
          <w:highlight w:val="none"/>
        </w:rPr>
        <w:br w:type="page"/>
      </w:r>
      <w:r>
        <w:rPr>
          <w:rFonts w:hint="eastAsia" w:ascii="宋体" w:hAnsi="宋体" w:cs="宋体"/>
          <w:b/>
          <w:bCs/>
          <w:color w:val="auto"/>
          <w:szCs w:val="21"/>
          <w:highlight w:val="none"/>
        </w:rPr>
        <w:t>3.10 商务条款偏离表</w:t>
      </w:r>
    </w:p>
    <w:p>
      <w:pPr>
        <w:spacing w:line="360" w:lineRule="atLeast"/>
        <w:jc w:val="center"/>
        <w:rPr>
          <w:rFonts w:ascii="宋体" w:hAnsi="宋体" w:cs="宋体"/>
          <w:b/>
          <w:color w:val="auto"/>
          <w:sz w:val="32"/>
          <w:szCs w:val="32"/>
          <w:highlight w:val="none"/>
        </w:rPr>
      </w:pPr>
      <w:r>
        <w:rPr>
          <w:rFonts w:hint="eastAsia" w:ascii="宋体" w:hAnsi="宋体" w:cs="宋体"/>
          <w:b/>
          <w:color w:val="auto"/>
          <w:sz w:val="32"/>
          <w:szCs w:val="32"/>
          <w:highlight w:val="none"/>
        </w:rPr>
        <w:t>商务条款偏离表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条款内容描述</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Fonts w:ascii="宋体" w:hAnsi="宋体" w:cs="宋体"/>
                <w:color w:val="auto"/>
                <w:szCs w:val="21"/>
                <w:highlight w:val="none"/>
              </w:rPr>
            </w:pPr>
            <w:r>
              <w:rPr>
                <w:rFonts w:hint="eastAsia" w:ascii="宋体" w:hAnsi="宋体" w:cs="宋体"/>
                <w:color w:val="auto"/>
                <w:szCs w:val="21"/>
                <w:highlight w:val="none"/>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vAlign w:val="center"/>
          </w:tcPr>
          <w:p>
            <w:pPr>
              <w:spacing w:line="360" w:lineRule="atLeast"/>
              <w:rPr>
                <w:rFonts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tcPr>
          <w:p>
            <w:pPr>
              <w:spacing w:line="360" w:lineRule="atLeast"/>
              <w:rPr>
                <w:rFonts w:ascii="宋体" w:hAnsi="宋体" w:cs="宋体"/>
                <w:color w:val="auto"/>
                <w:szCs w:val="21"/>
                <w:highlight w:val="none"/>
              </w:rPr>
            </w:pPr>
          </w:p>
        </w:tc>
      </w:tr>
    </w:tbl>
    <w:p>
      <w:pPr>
        <w:spacing w:line="360" w:lineRule="atLeast"/>
        <w:rPr>
          <w:rFonts w:ascii="宋体" w:hAnsi="宋体" w:cs="宋体"/>
          <w:color w:val="auto"/>
          <w:highlight w:val="none"/>
        </w:rPr>
      </w:pPr>
      <w:r>
        <w:rPr>
          <w:rFonts w:hint="eastAsia" w:ascii="宋体" w:hAnsi="宋体" w:cs="宋体"/>
          <w:color w:val="auto"/>
          <w:highlight w:val="none"/>
        </w:rPr>
        <w:t>注：若不填写或只填写“无”视作完全响应采购文件的要求。</w:t>
      </w:r>
    </w:p>
    <w:p>
      <w:pPr>
        <w:spacing w:line="360" w:lineRule="atLeast"/>
        <w:rPr>
          <w:rFonts w:ascii="宋体" w:hAnsi="宋体" w:cs="宋体"/>
          <w:color w:val="auto"/>
          <w:highlight w:val="none"/>
        </w:rPr>
      </w:pPr>
    </w:p>
    <w:p>
      <w:pPr>
        <w:spacing w:line="360" w:lineRule="atLeast"/>
        <w:rPr>
          <w:rFonts w:ascii="宋体" w:hAnsi="宋体" w:cs="宋体"/>
          <w:color w:val="auto"/>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adjustRightInd w:val="0"/>
        <w:spacing w:line="360" w:lineRule="auto"/>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3.11技术响应表</w:t>
      </w:r>
    </w:p>
    <w:p>
      <w:pPr>
        <w:spacing w:beforeLines="50"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技术响应表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9085" w:type="dxa"/>
        <w:tblInd w:w="0" w:type="dxa"/>
        <w:tblLayout w:type="fixed"/>
        <w:tblCellMar>
          <w:top w:w="0" w:type="dxa"/>
          <w:left w:w="108" w:type="dxa"/>
          <w:bottom w:w="0" w:type="dxa"/>
          <w:right w:w="108" w:type="dxa"/>
        </w:tblCellMar>
      </w:tblPr>
      <w:tblGrid>
        <w:gridCol w:w="648"/>
        <w:gridCol w:w="3374"/>
        <w:gridCol w:w="3670"/>
        <w:gridCol w:w="1393"/>
      </w:tblGrid>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    序号</w:t>
            </w: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采购文件技术要求</w:t>
            </w:r>
          </w:p>
        </w:tc>
        <w:tc>
          <w:tcPr>
            <w:tcW w:w="3670" w:type="dxa"/>
            <w:tcBorders>
              <w:top w:val="single" w:color="auto" w:sz="4" w:space="0"/>
              <w:left w:val="nil"/>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投标响应技术服务参数</w:t>
            </w:r>
          </w:p>
        </w:tc>
        <w:tc>
          <w:tcPr>
            <w:tcW w:w="1393" w:type="dxa"/>
            <w:tcBorders>
              <w:top w:val="single" w:color="auto" w:sz="4" w:space="0"/>
              <w:left w:val="nil"/>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是否符合</w:t>
            </w: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 w:val="8"/>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 w:val="8"/>
                <w:szCs w:val="21"/>
                <w:highlight w:val="none"/>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 w:val="8"/>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 w:val="8"/>
                <w:szCs w:val="21"/>
                <w:highlight w:val="none"/>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color w:val="auto"/>
                <w:szCs w:val="21"/>
                <w:highlight w:val="none"/>
              </w:rPr>
            </w:pPr>
          </w:p>
        </w:tc>
      </w:tr>
      <w:tr>
        <w:tblPrEx>
          <w:tblCellMar>
            <w:top w:w="0" w:type="dxa"/>
            <w:left w:w="108" w:type="dxa"/>
            <w:bottom w:w="0" w:type="dxa"/>
            <w:right w:w="108" w:type="dxa"/>
          </w:tblCellMar>
        </w:tblPrEx>
        <w:trPr>
          <w:cantSplit/>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ascii="宋体" w:hAnsi="宋体" w:cs="宋体"/>
                <w:color w:val="auto"/>
                <w:szCs w:val="21"/>
                <w:highlight w:val="none"/>
              </w:rPr>
            </w:pPr>
          </w:p>
        </w:tc>
      </w:tr>
      <w:tr>
        <w:tblPrEx>
          <w:tblCellMar>
            <w:top w:w="0" w:type="dxa"/>
            <w:left w:w="108" w:type="dxa"/>
            <w:bottom w:w="0" w:type="dxa"/>
            <w:right w:w="108" w:type="dxa"/>
          </w:tblCellMar>
        </w:tblPrEx>
        <w:trPr>
          <w:trHeight w:val="544"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37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367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c>
          <w:tcPr>
            <w:tcW w:w="1393"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bl>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tLeast"/>
        <w:rPr>
          <w:rFonts w:ascii="宋体" w:hAnsi="宋体" w:cs="宋体"/>
          <w:color w:val="auto"/>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spacing w:line="360" w:lineRule="auto"/>
        <w:rPr>
          <w:rFonts w:ascii="宋体" w:hAnsi="宋体" w:cs="宋体"/>
          <w:b/>
          <w:bCs/>
          <w:color w:val="auto"/>
          <w:szCs w:val="21"/>
          <w:highlight w:val="none"/>
        </w:rPr>
      </w:pPr>
      <w:r>
        <w:rPr>
          <w:rFonts w:hint="eastAsia" w:ascii="宋体" w:hAnsi="宋体" w:cs="宋体"/>
          <w:color w:val="auto"/>
          <w:sz w:val="24"/>
          <w:highlight w:val="none"/>
        </w:rPr>
        <w:br w:type="page"/>
      </w:r>
      <w:r>
        <w:rPr>
          <w:rFonts w:hint="eastAsia" w:ascii="宋体" w:hAnsi="宋体" w:cs="宋体"/>
          <w:b/>
          <w:bCs/>
          <w:color w:val="auto"/>
          <w:szCs w:val="21"/>
          <w:highlight w:val="none"/>
        </w:rPr>
        <w:t>3.12</w:t>
      </w:r>
      <w:r>
        <w:rPr>
          <w:rFonts w:hint="eastAsia" w:ascii="宋体" w:hAnsi="宋体" w:cs="宋体"/>
          <w:b/>
          <w:snapToGrid w:val="0"/>
          <w:color w:val="auto"/>
          <w:kern w:val="0"/>
          <w:szCs w:val="21"/>
          <w:highlight w:val="none"/>
        </w:rPr>
        <w:t>项目服务人员配备情况表</w:t>
      </w:r>
    </w:p>
    <w:p>
      <w:pPr>
        <w:pStyle w:val="23"/>
        <w:snapToGrid w:val="0"/>
        <w:spacing w:line="360" w:lineRule="auto"/>
        <w:jc w:val="center"/>
        <w:rPr>
          <w:rFonts w:ascii="宋体" w:hAnsi="宋体" w:eastAsia="宋体" w:cs="宋体"/>
          <w:b/>
          <w:snapToGrid w:val="0"/>
          <w:color w:val="auto"/>
          <w:kern w:val="0"/>
          <w:sz w:val="32"/>
          <w:szCs w:val="32"/>
          <w:highlight w:val="none"/>
        </w:rPr>
      </w:pPr>
    </w:p>
    <w:p>
      <w:pPr>
        <w:pStyle w:val="23"/>
        <w:snapToGrid w:val="0"/>
        <w:spacing w:line="360" w:lineRule="auto"/>
        <w:jc w:val="center"/>
        <w:rPr>
          <w:rFonts w:ascii="宋体" w:hAnsi="宋体" w:eastAsia="宋体" w:cs="宋体"/>
          <w:b/>
          <w:snapToGrid w:val="0"/>
          <w:color w:val="auto"/>
          <w:kern w:val="0"/>
          <w:sz w:val="32"/>
          <w:szCs w:val="32"/>
          <w:highlight w:val="none"/>
        </w:rPr>
      </w:pPr>
      <w:r>
        <w:rPr>
          <w:rFonts w:hint="eastAsia" w:ascii="宋体" w:hAnsi="宋体" w:eastAsia="宋体" w:cs="宋体"/>
          <w:b/>
          <w:snapToGrid w:val="0"/>
          <w:color w:val="auto"/>
          <w:kern w:val="0"/>
          <w:sz w:val="32"/>
          <w:szCs w:val="32"/>
          <w:highlight w:val="none"/>
        </w:rPr>
        <w:t>（1）拟派项目服务人员配备情况表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931" w:type="dxa"/>
        <w:tblInd w:w="108" w:type="dxa"/>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CellMar>
            <w:top w:w="0" w:type="dxa"/>
            <w:left w:w="108" w:type="dxa"/>
            <w:bottom w:w="0" w:type="dxa"/>
            <w:right w:w="108" w:type="dxa"/>
          </w:tblCellMar>
        </w:tblPrEx>
        <w:trPr>
          <w:trHeight w:val="396" w:hRule="atLeast"/>
        </w:trPr>
        <w:tc>
          <w:tcPr>
            <w:tcW w:w="828" w:type="dxa"/>
            <w:tcBorders>
              <w:top w:val="single" w:color="auto" w:sz="12"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015"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1701"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本项目拟任岗位</w:t>
            </w:r>
          </w:p>
        </w:tc>
        <w:tc>
          <w:tcPr>
            <w:tcW w:w="749"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年龄</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性别</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专业</w:t>
            </w:r>
          </w:p>
        </w:tc>
        <w:tc>
          <w:tcPr>
            <w:tcW w:w="720"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专业年限</w:t>
            </w:r>
          </w:p>
        </w:tc>
        <w:tc>
          <w:tcPr>
            <w:tcW w:w="1344" w:type="dxa"/>
            <w:tcBorders>
              <w:top w:val="single" w:color="auto" w:sz="12"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lang w:val="zh-CN"/>
              </w:rPr>
              <w:t>职务和职称</w:t>
            </w:r>
          </w:p>
        </w:tc>
        <w:tc>
          <w:tcPr>
            <w:tcW w:w="1134" w:type="dxa"/>
            <w:tcBorders>
              <w:top w:val="single" w:color="auto" w:sz="12" w:space="0"/>
              <w:left w:val="single" w:color="auto" w:sz="6" w:space="0"/>
              <w:bottom w:val="single" w:color="auto" w:sz="12" w:space="0"/>
              <w:right w:val="single" w:color="auto" w:sz="12" w:space="0"/>
            </w:tcBorders>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服务时长</w:t>
            </w:r>
          </w:p>
        </w:tc>
      </w:tr>
      <w:tr>
        <w:tblPrEx>
          <w:tblCellMar>
            <w:top w:w="0" w:type="dxa"/>
            <w:left w:w="108" w:type="dxa"/>
            <w:bottom w:w="0" w:type="dxa"/>
            <w:right w:w="108" w:type="dxa"/>
          </w:tblCellMar>
        </w:tblPrEx>
        <w:trPr>
          <w:trHeight w:val="408" w:hRule="atLeast"/>
        </w:trPr>
        <w:tc>
          <w:tcPr>
            <w:tcW w:w="828"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12"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left="5250"/>
              <w:rPr>
                <w:rFonts w:ascii="宋体" w:hAnsi="宋体" w:cs="宋体"/>
                <w:color w:val="auto"/>
                <w:szCs w:val="21"/>
                <w:highlight w:val="none"/>
              </w:rPr>
            </w:pPr>
          </w:p>
        </w:tc>
        <w:tc>
          <w:tcPr>
            <w:tcW w:w="1134"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left="525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015" w:type="dxa"/>
            <w:tcBorders>
              <w:top w:val="single" w:color="auto" w:sz="6" w:space="0"/>
              <w:left w:val="single" w:color="auto" w:sz="6" w:space="0"/>
              <w:bottom w:val="single" w:color="auto" w:sz="12" w:space="0"/>
              <w:right w:val="single" w:color="auto" w:sz="6" w:space="0"/>
            </w:tcBorders>
          </w:tcPr>
          <w:p>
            <w:pPr>
              <w:autoSpaceDE w:val="0"/>
              <w:autoSpaceDN w:val="0"/>
              <w:adjustRightInd w:val="0"/>
              <w:rPr>
                <w:rFonts w:ascii="宋体" w:hAnsi="宋体" w:cs="宋体"/>
                <w:color w:val="auto"/>
                <w:szCs w:val="21"/>
                <w:highlight w:val="none"/>
              </w:rPr>
            </w:pPr>
          </w:p>
        </w:tc>
        <w:tc>
          <w:tcPr>
            <w:tcW w:w="1701"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4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72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344"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rPr>
                <w:rFonts w:ascii="宋体" w:hAnsi="宋体" w:cs="宋体"/>
                <w:color w:val="auto"/>
                <w:szCs w:val="21"/>
                <w:highlight w:val="none"/>
              </w:rPr>
            </w:pPr>
          </w:p>
        </w:tc>
        <w:tc>
          <w:tcPr>
            <w:tcW w:w="1134"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hAnsi="宋体" w:cs="宋体"/>
                <w:color w:val="auto"/>
                <w:szCs w:val="21"/>
                <w:highlight w:val="none"/>
              </w:rPr>
            </w:pPr>
          </w:p>
        </w:tc>
      </w:tr>
    </w:tbl>
    <w:p>
      <w:pPr>
        <w:snapToGrid w:val="0"/>
        <w:spacing w:line="360" w:lineRule="auto"/>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注：涉及评分项的其它证明材料附后。</w:t>
      </w:r>
    </w:p>
    <w:p>
      <w:pPr>
        <w:adjustRightInd w:val="0"/>
        <w:snapToGrid w:val="0"/>
        <w:spacing w:line="360" w:lineRule="auto"/>
        <w:ind w:firstLine="4158" w:firstLineChars="1980"/>
        <w:rPr>
          <w:rFonts w:ascii="宋体" w:hAnsi="宋体" w:cs="宋体"/>
          <w:snapToGrid w:val="0"/>
          <w:color w:val="auto"/>
          <w:kern w:val="0"/>
          <w:szCs w:val="21"/>
          <w:highlight w:val="none"/>
        </w:rPr>
      </w:pPr>
    </w:p>
    <w:p>
      <w:pPr>
        <w:adjustRightInd w:val="0"/>
        <w:snapToGrid w:val="0"/>
        <w:spacing w:line="360" w:lineRule="auto"/>
        <w:ind w:firstLine="4158" w:firstLineChars="1980"/>
        <w:rPr>
          <w:rFonts w:ascii="宋体" w:hAnsi="宋体" w:cs="宋体"/>
          <w:snapToGrid w:val="0"/>
          <w:color w:val="auto"/>
          <w:kern w:val="0"/>
          <w:szCs w:val="21"/>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adjustRightInd w:val="0"/>
        <w:snapToGrid w:val="0"/>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br w:type="page"/>
      </w:r>
    </w:p>
    <w:p>
      <w:pPr>
        <w:pStyle w:val="23"/>
        <w:snapToGrid w:val="0"/>
        <w:spacing w:line="360" w:lineRule="auto"/>
        <w:jc w:val="center"/>
        <w:rPr>
          <w:rFonts w:ascii="宋体" w:hAnsi="宋体" w:eastAsia="宋体" w:cs="宋体"/>
          <w:b/>
          <w:snapToGrid w:val="0"/>
          <w:color w:val="auto"/>
          <w:kern w:val="0"/>
          <w:sz w:val="32"/>
          <w:szCs w:val="32"/>
          <w:highlight w:val="none"/>
        </w:rPr>
      </w:pPr>
      <w:r>
        <w:rPr>
          <w:rFonts w:hint="eastAsia" w:ascii="宋体" w:hAnsi="宋体" w:eastAsia="宋体" w:cs="宋体"/>
          <w:b/>
          <w:snapToGrid w:val="0"/>
          <w:color w:val="auto"/>
          <w:kern w:val="0"/>
          <w:sz w:val="32"/>
          <w:szCs w:val="32"/>
          <w:highlight w:val="none"/>
        </w:rPr>
        <w:t>（2）主要人员简历表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64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461"/>
        <w:gridCol w:w="694"/>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trPr>
        <w:tc>
          <w:tcPr>
            <w:tcW w:w="1474"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姓   名</w:t>
            </w:r>
          </w:p>
        </w:tc>
        <w:tc>
          <w:tcPr>
            <w:tcW w:w="1389"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15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年   龄</w:t>
            </w:r>
          </w:p>
        </w:tc>
        <w:tc>
          <w:tcPr>
            <w:tcW w:w="126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209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专   业</w:t>
            </w:r>
          </w:p>
        </w:tc>
        <w:tc>
          <w:tcPr>
            <w:tcW w:w="1270"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474"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职   称</w:t>
            </w:r>
          </w:p>
        </w:tc>
        <w:tc>
          <w:tcPr>
            <w:tcW w:w="1389"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15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职   务</w:t>
            </w:r>
          </w:p>
        </w:tc>
        <w:tc>
          <w:tcPr>
            <w:tcW w:w="126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209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拟在本项目</w:t>
            </w:r>
          </w:p>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担任职务</w:t>
            </w:r>
          </w:p>
        </w:tc>
        <w:tc>
          <w:tcPr>
            <w:tcW w:w="1270"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trPr>
        <w:tc>
          <w:tcPr>
            <w:tcW w:w="1474"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毕业学校</w:t>
            </w:r>
          </w:p>
        </w:tc>
        <w:tc>
          <w:tcPr>
            <w:tcW w:w="7166" w:type="dxa"/>
            <w:gridSpan w:val="8"/>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月毕业于</w:t>
            </w:r>
            <w:r>
              <w:rPr>
                <w:rFonts w:hint="eastAsia" w:ascii="宋体" w:hAnsi="宋体" w:cs="宋体"/>
                <w:color w:val="auto"/>
                <w:highlight w:val="none"/>
                <w:u w:val="single"/>
              </w:rPr>
              <w:t xml:space="preserve">      </w:t>
            </w:r>
            <w:r>
              <w:rPr>
                <w:rFonts w:hint="eastAsia" w:ascii="宋体" w:hAnsi="宋体" w:cs="宋体"/>
                <w:color w:val="auto"/>
                <w:highlight w:val="none"/>
              </w:rPr>
              <w:t>学校</w:t>
            </w:r>
            <w:r>
              <w:rPr>
                <w:rFonts w:hint="eastAsia" w:ascii="宋体" w:hAnsi="宋体" w:cs="宋体"/>
                <w:color w:val="auto"/>
                <w:highlight w:val="none"/>
                <w:u w:val="single"/>
              </w:rPr>
              <w:t xml:space="preserve">    </w:t>
            </w:r>
            <w:r>
              <w:rPr>
                <w:rFonts w:hint="eastAsia" w:ascii="宋体" w:hAnsi="宋体" w:cs="宋体"/>
                <w:color w:val="auto"/>
                <w:highlight w:val="none"/>
              </w:rPr>
              <w:t>系(科)，学制</w:t>
            </w:r>
            <w:r>
              <w:rPr>
                <w:rFonts w:hint="eastAsia" w:ascii="宋体" w:hAnsi="宋体" w:cs="宋体"/>
                <w:color w:val="auto"/>
                <w:highlight w:val="none"/>
                <w:u w:val="single"/>
              </w:rPr>
              <w:t xml:space="preserve">    </w:t>
            </w:r>
            <w:r>
              <w:rPr>
                <w:rFonts w:hint="eastAsia" w:ascii="宋体" w:hAnsi="宋体" w:cs="宋体"/>
                <w:color w:val="auto"/>
                <w:highlight w:val="none"/>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trPr>
        <w:tc>
          <w:tcPr>
            <w:tcW w:w="8640" w:type="dxa"/>
            <w:gridSpan w:val="10"/>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主要学习和工作经历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年   月</w:t>
            </w:r>
          </w:p>
        </w:tc>
        <w:tc>
          <w:tcPr>
            <w:tcW w:w="3600" w:type="dxa"/>
            <w:gridSpan w:val="5"/>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工作经历</w:t>
            </w: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担 任 何 职</w:t>
            </w: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tc>
        <w:tc>
          <w:tcPr>
            <w:tcW w:w="3600" w:type="dxa"/>
            <w:gridSpan w:val="5"/>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8640" w:type="dxa"/>
            <w:gridSpan w:val="10"/>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业绩/经验情况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rPr>
              <w:t>序号</w:t>
            </w: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color w:val="auto"/>
                <w:highlight w:val="none"/>
              </w:rPr>
            </w:pPr>
            <w:r>
              <w:rPr>
                <w:rFonts w:hint="eastAsia" w:ascii="宋体" w:hAnsi="宋体" w:cs="宋体"/>
                <w:color w:val="auto"/>
                <w:highlight w:val="none"/>
                <w:lang w:val="en-US" w:eastAsia="zh-CN"/>
              </w:rPr>
              <w:t>项目名</w:t>
            </w:r>
            <w:r>
              <w:rPr>
                <w:rFonts w:hint="eastAsia" w:ascii="宋体" w:hAnsi="宋体" w:cs="宋体"/>
                <w:color w:val="auto"/>
                <w:highlight w:val="none"/>
              </w:rPr>
              <w:t>称</w:t>
            </w: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项目内容</w:t>
            </w: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合同签订时间</w:t>
            </w: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color w:val="auto"/>
                <w:highlight w:val="none"/>
              </w:rPr>
            </w:pP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color w:val="auto"/>
                <w:highlight w:val="none"/>
              </w:rPr>
            </w:pP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3" w:hRule="atLeast"/>
        </w:trPr>
        <w:tc>
          <w:tcPr>
            <w:tcW w:w="1468"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856" w:type="dxa"/>
            <w:gridSpan w:val="3"/>
            <w:tcBorders>
              <w:top w:val="single" w:color="000000" w:sz="6" w:space="0"/>
              <w:left w:val="single" w:color="000000" w:sz="6" w:space="0"/>
              <w:bottom w:val="single" w:color="000000" w:sz="6" w:space="0"/>
              <w:right w:val="single" w:color="auto" w:sz="4" w:space="0"/>
            </w:tcBorders>
            <w:vAlign w:val="center"/>
          </w:tcPr>
          <w:p>
            <w:pPr>
              <w:snapToGrid w:val="0"/>
              <w:spacing w:line="320" w:lineRule="atLeast"/>
              <w:jc w:val="center"/>
              <w:rPr>
                <w:rFonts w:ascii="宋体" w:hAnsi="宋体" w:cs="宋体"/>
                <w:color w:val="auto"/>
                <w:highlight w:val="none"/>
              </w:rPr>
            </w:pPr>
          </w:p>
        </w:tc>
        <w:tc>
          <w:tcPr>
            <w:tcW w:w="1744" w:type="dxa"/>
            <w:gridSpan w:val="2"/>
            <w:tcBorders>
              <w:top w:val="single" w:color="000000" w:sz="6" w:space="0"/>
              <w:left w:val="single" w:color="auto" w:sz="4"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2040"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c>
          <w:tcPr>
            <w:tcW w:w="1532"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atLeast"/>
              <w:jc w:val="center"/>
              <w:rPr>
                <w:rFonts w:ascii="宋体" w:hAnsi="宋体" w:cs="宋体"/>
                <w:color w:val="auto"/>
                <w:highlight w:val="none"/>
              </w:rPr>
            </w:pPr>
          </w:p>
        </w:tc>
      </w:tr>
    </w:tbl>
    <w:p>
      <w:pPr>
        <w:snapToGrid w:val="0"/>
        <w:spacing w:line="360" w:lineRule="auto"/>
        <w:rPr>
          <w:rFonts w:ascii="宋体" w:hAnsi="宋体" w:cs="宋体"/>
          <w:color w:val="auto"/>
          <w:highlight w:val="none"/>
        </w:rPr>
      </w:pPr>
      <w:r>
        <w:rPr>
          <w:rFonts w:hint="eastAsia" w:ascii="宋体" w:hAnsi="宋体" w:cs="宋体"/>
          <w:color w:val="auto"/>
          <w:highlight w:val="none"/>
        </w:rPr>
        <w:t xml:space="preserve"> 注：与评分有关的证明材料附后。</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spacing w:line="360" w:lineRule="atLeast"/>
        <w:rPr>
          <w:rFonts w:ascii="宋体" w:hAnsi="宋体" w:cs="宋体"/>
          <w:b/>
          <w:bCs/>
          <w:color w:val="auto"/>
          <w:szCs w:val="21"/>
          <w:highlight w:val="none"/>
        </w:rPr>
      </w:pPr>
      <w:r>
        <w:rPr>
          <w:rFonts w:hint="eastAsia" w:ascii="宋体" w:hAnsi="宋体" w:cs="宋体"/>
          <w:color w:val="auto"/>
          <w:highlight w:val="none"/>
        </w:rPr>
        <w:br w:type="page"/>
      </w:r>
      <w:bookmarkStart w:id="214" w:name="_Toc105141032"/>
      <w:bookmarkEnd w:id="214"/>
      <w:r>
        <w:rPr>
          <w:rFonts w:hint="eastAsia" w:ascii="宋体" w:hAnsi="宋体" w:cs="宋体"/>
          <w:b/>
          <w:bCs/>
          <w:color w:val="auto"/>
          <w:szCs w:val="21"/>
          <w:highlight w:val="none"/>
        </w:rPr>
        <w:t>3.13实施进度计划表</w:t>
      </w:r>
    </w:p>
    <w:p>
      <w:pPr>
        <w:spacing w:beforeLines="50"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实施进度计划表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p>
      <w:pPr>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(以生效日算起) </w:t>
      </w:r>
    </w:p>
    <w:tbl>
      <w:tblPr>
        <w:tblStyle w:val="37"/>
        <w:tblW w:w="9081" w:type="dxa"/>
        <w:tblInd w:w="-252" w:type="dxa"/>
        <w:tblLayout w:type="fixed"/>
        <w:tblCellMar>
          <w:top w:w="0" w:type="dxa"/>
          <w:left w:w="108" w:type="dxa"/>
          <w:bottom w:w="0" w:type="dxa"/>
          <w:right w:w="108" w:type="dxa"/>
        </w:tblCellMar>
      </w:tblPr>
      <w:tblGrid>
        <w:gridCol w:w="2169"/>
        <w:gridCol w:w="987"/>
        <w:gridCol w:w="987"/>
        <w:gridCol w:w="987"/>
        <w:gridCol w:w="987"/>
        <w:gridCol w:w="987"/>
        <w:gridCol w:w="987"/>
        <w:gridCol w:w="990"/>
      </w:tblGrid>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时间进度</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9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c>
          <w:tcPr>
            <w:tcW w:w="21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87"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hAnsi="宋体" w:cs="宋体"/>
                <w:color w:val="auto"/>
                <w:szCs w:val="21"/>
                <w:highlight w:val="none"/>
              </w:rPr>
            </w:pPr>
          </w:p>
        </w:tc>
      </w:tr>
    </w:tbl>
    <w:p>
      <w:pPr>
        <w:adjustRightInd w:val="0"/>
        <w:spacing w:line="360" w:lineRule="auto"/>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注：上述时间表的格式仅供参考，采购人可自行编制切合实际的实施进度计划表模式。</w:t>
      </w:r>
    </w:p>
    <w:p>
      <w:pPr>
        <w:adjustRightInd w:val="0"/>
        <w:ind w:firstLine="4158" w:firstLineChars="1980"/>
        <w:rPr>
          <w:rFonts w:ascii="宋体" w:hAnsi="宋体" w:cs="宋体"/>
          <w:color w:val="auto"/>
          <w:szCs w:val="21"/>
          <w:highlight w:val="none"/>
        </w:rPr>
      </w:pPr>
    </w:p>
    <w:p>
      <w:pPr>
        <w:adjustRightInd w:val="0"/>
        <w:ind w:firstLine="4158" w:firstLineChars="1980"/>
        <w:rPr>
          <w:rFonts w:ascii="宋体" w:hAnsi="宋体" w:cs="宋体"/>
          <w:color w:val="auto"/>
          <w:szCs w:val="21"/>
          <w:highlight w:val="none"/>
        </w:rPr>
      </w:pPr>
    </w:p>
    <w:p>
      <w:pPr>
        <w:spacing w:line="360" w:lineRule="atLeast"/>
        <w:rPr>
          <w:rFonts w:ascii="宋体" w:hAnsi="宋体" w:cs="宋体"/>
          <w:color w:val="auto"/>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pStyle w:val="23"/>
        <w:spacing w:line="420" w:lineRule="exact"/>
        <w:rPr>
          <w:rFonts w:ascii="宋体" w:hAnsi="宋体" w:cs="宋体"/>
          <w:color w:val="auto"/>
          <w:sz w:val="24"/>
          <w:highlight w:val="none"/>
        </w:rPr>
      </w:pPr>
      <w:r>
        <w:rPr>
          <w:rFonts w:hint="eastAsia" w:ascii="宋体" w:hAnsi="宋体" w:cs="宋体"/>
          <w:b/>
          <w:bCs/>
          <w:color w:val="auto"/>
          <w:sz w:val="28"/>
          <w:szCs w:val="28"/>
          <w:highlight w:val="none"/>
        </w:rPr>
        <w:br w:type="page"/>
      </w:r>
      <w:bookmarkStart w:id="215" w:name="_Toc28558"/>
      <w:bookmarkStart w:id="216" w:name="_Toc32525"/>
      <w:bookmarkStart w:id="217" w:name="_Toc857"/>
      <w:bookmarkStart w:id="218" w:name="_Toc21852"/>
      <w:bookmarkStart w:id="219" w:name="_Toc15296"/>
      <w:bookmarkStart w:id="220" w:name="_Toc18367"/>
      <w:r>
        <w:rPr>
          <w:rStyle w:val="47"/>
          <w:rFonts w:hint="eastAsia" w:ascii="宋体" w:hAnsi="宋体" w:eastAsia="宋体"/>
          <w:color w:val="auto"/>
          <w:sz w:val="28"/>
          <w:szCs w:val="28"/>
          <w:highlight w:val="none"/>
          <w:lang w:val="en-US" w:eastAsia="zh-CN" w:bidi="ar-SA"/>
        </w:rPr>
        <w:t>四、报价响应文件部分格式</w:t>
      </w:r>
      <w:bookmarkEnd w:id="215"/>
      <w:bookmarkEnd w:id="216"/>
      <w:bookmarkEnd w:id="217"/>
      <w:bookmarkEnd w:id="218"/>
      <w:bookmarkEnd w:id="219"/>
      <w:bookmarkEnd w:id="220"/>
    </w:p>
    <w:p>
      <w:pPr>
        <w:autoSpaceDE w:val="0"/>
        <w:autoSpaceDN w:val="0"/>
        <w:adjustRightInd w:val="0"/>
        <w:spacing w:line="360" w:lineRule="auto"/>
        <w:rPr>
          <w:rFonts w:ascii="宋体" w:hAnsi="宋体" w:cs="宋体"/>
          <w:b/>
          <w:bCs/>
          <w:color w:val="auto"/>
          <w:szCs w:val="21"/>
          <w:highlight w:val="none"/>
        </w:rPr>
      </w:pPr>
    </w:p>
    <w:p>
      <w:pPr>
        <w:autoSpaceDE w:val="0"/>
        <w:autoSpaceDN w:val="0"/>
        <w:adjustRightIn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4.1开标一览表</w:t>
      </w:r>
    </w:p>
    <w:p>
      <w:pPr>
        <w:pStyle w:val="20"/>
        <w:spacing w:line="600" w:lineRule="exact"/>
        <w:ind w:firstLine="0"/>
        <w:jc w:val="center"/>
        <w:rPr>
          <w:rFonts w:ascii="宋体" w:hAnsi="宋体" w:eastAsia="宋体" w:cs="宋体"/>
          <w:b/>
          <w:bCs/>
          <w:snapToGrid w:val="0"/>
          <w:color w:val="auto"/>
          <w:kern w:val="0"/>
          <w:sz w:val="32"/>
          <w:szCs w:val="32"/>
          <w:highlight w:val="none"/>
        </w:rPr>
      </w:pPr>
      <w:r>
        <w:rPr>
          <w:rFonts w:hint="eastAsia" w:ascii="宋体" w:hAnsi="宋体" w:eastAsia="宋体" w:cs="宋体"/>
          <w:b/>
          <w:bCs/>
          <w:snapToGrid w:val="0"/>
          <w:color w:val="auto"/>
          <w:kern w:val="0"/>
          <w:sz w:val="32"/>
          <w:szCs w:val="32"/>
          <w:highlight w:val="none"/>
        </w:rPr>
        <w:t>开标一览表</w:t>
      </w:r>
    </w:p>
    <w:p>
      <w:pPr>
        <w:adjustRightInd w:val="0"/>
        <w:spacing w:line="360" w:lineRule="auto"/>
        <w:rPr>
          <w:rFonts w:ascii="宋体" w:hAnsi="宋体" w:cs="宋体"/>
          <w:color w:val="auto"/>
          <w:szCs w:val="21"/>
          <w:highlight w:val="none"/>
        </w:rPr>
      </w:pP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tbl>
      <w:tblPr>
        <w:tblStyle w:val="3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256" w:type="dxa"/>
            <w:tcBorders>
              <w:top w:val="single" w:color="auto" w:sz="4" w:space="0"/>
              <w:left w:val="single" w:color="auto" w:sz="4" w:space="0"/>
              <w:bottom w:val="single" w:color="auto" w:sz="4" w:space="0"/>
              <w:right w:val="single" w:color="auto" w:sz="4" w:space="0"/>
            </w:tcBorders>
            <w:vAlign w:val="center"/>
          </w:tcPr>
          <w:p>
            <w:pPr>
              <w:pStyle w:val="18"/>
              <w:ind w:firstLine="0"/>
              <w:rPr>
                <w:rFonts w:ascii="宋体" w:hAnsi="宋体" w:cs="宋体"/>
                <w:color w:val="auto"/>
                <w:highlight w:val="none"/>
              </w:rPr>
            </w:pPr>
            <w:r>
              <w:rPr>
                <w:rFonts w:hint="eastAsia" w:ascii="宋体" w:hAnsi="宋体" w:cs="宋体"/>
                <w:color w:val="auto"/>
                <w:szCs w:val="21"/>
                <w:highlight w:val="none"/>
              </w:rPr>
              <w:t xml:space="preserve">    </w:t>
            </w:r>
            <w:r>
              <w:rPr>
                <w:rFonts w:hint="eastAsia" w:ascii="宋体" w:hAnsi="宋体" w:cs="宋体"/>
                <w:color w:val="auto"/>
                <w:highlight w:val="none"/>
              </w:rPr>
              <w:t>投标总价</w:t>
            </w:r>
          </w:p>
        </w:tc>
        <w:tc>
          <w:tcPr>
            <w:tcW w:w="6266" w:type="dxa"/>
            <w:tcBorders>
              <w:top w:val="single" w:color="auto" w:sz="4" w:space="0"/>
              <w:left w:val="single" w:color="auto" w:sz="4" w:space="0"/>
              <w:bottom w:val="single" w:color="auto" w:sz="4" w:space="0"/>
              <w:right w:val="single" w:color="auto" w:sz="4" w:space="0"/>
            </w:tcBorders>
            <w:vAlign w:val="center"/>
          </w:tcPr>
          <w:p>
            <w:pPr>
              <w:pStyle w:val="17"/>
              <w:jc w:val="left"/>
              <w:rPr>
                <w:rFonts w:ascii="宋体" w:hAnsi="宋体" w:cs="宋体"/>
                <w:color w:val="auto"/>
                <w:szCs w:val="21"/>
                <w:highlight w:val="none"/>
              </w:rPr>
            </w:pPr>
            <w:r>
              <w:rPr>
                <w:rFonts w:hint="eastAsia" w:ascii="宋体" w:hAnsi="宋体" w:cs="宋体"/>
                <w:color w:val="auto"/>
                <w:szCs w:val="21"/>
                <w:highlight w:val="none"/>
              </w:rPr>
              <w:t>小写：</w:t>
            </w:r>
          </w:p>
          <w:p>
            <w:pPr>
              <w:pStyle w:val="17"/>
              <w:jc w:val="left"/>
              <w:rPr>
                <w:rFonts w:ascii="宋体" w:hAnsi="宋体" w:cs="宋体"/>
                <w:color w:val="auto"/>
                <w:szCs w:val="21"/>
                <w:highlight w:val="none"/>
              </w:rPr>
            </w:pPr>
            <w:r>
              <w:rPr>
                <w:rFonts w:hint="eastAsia" w:ascii="宋体" w:hAnsi="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25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626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color w:val="auto"/>
                <w:szCs w:val="21"/>
                <w:highlight w:val="none"/>
              </w:rPr>
            </w:pPr>
          </w:p>
        </w:tc>
      </w:tr>
    </w:tbl>
    <w:p>
      <w:pPr>
        <w:pStyle w:val="18"/>
        <w:ind w:firstLine="0"/>
        <w:rPr>
          <w:rFonts w:ascii="宋体" w:hAnsi="宋体" w:cs="宋体"/>
          <w:color w:val="auto"/>
          <w:szCs w:val="21"/>
          <w:highlight w:val="none"/>
        </w:rPr>
      </w:pPr>
    </w:p>
    <w:p>
      <w:pPr>
        <w:adjustRightInd w:val="0"/>
        <w:spacing w:line="360" w:lineRule="auto"/>
        <w:jc w:val="left"/>
        <w:rPr>
          <w:rFonts w:ascii="宋体" w:hAnsi="宋体" w:cs="宋体"/>
          <w:color w:val="auto"/>
          <w:szCs w:val="21"/>
          <w:highlight w:val="none"/>
        </w:rPr>
      </w:pPr>
    </w:p>
    <w:p>
      <w:pPr>
        <w:adjustRightInd w:val="0"/>
        <w:spacing w:line="360" w:lineRule="auto"/>
        <w:ind w:firstLine="420" w:firstLineChars="200"/>
        <w:rPr>
          <w:rFonts w:ascii="宋体" w:hAnsi="宋体" w:cs="宋体"/>
          <w:color w:val="auto"/>
          <w:szCs w:val="21"/>
          <w:highlight w:val="none"/>
        </w:rPr>
      </w:pPr>
    </w:p>
    <w:p>
      <w:pPr>
        <w:adjustRightInd w:val="0"/>
        <w:spacing w:line="360" w:lineRule="auto"/>
        <w:ind w:firstLine="420" w:firstLineChars="200"/>
        <w:rPr>
          <w:rFonts w:ascii="宋体" w:hAnsi="宋体" w:cs="宋体"/>
          <w:color w:val="auto"/>
          <w:szCs w:val="21"/>
          <w:highlight w:val="none"/>
        </w:rPr>
      </w:pP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snapToGrid w:val="0"/>
        <w:spacing w:line="360" w:lineRule="auto"/>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4.2投标报价明细表</w:t>
      </w:r>
    </w:p>
    <w:p>
      <w:pPr>
        <w:pStyle w:val="20"/>
        <w:spacing w:line="600" w:lineRule="exact"/>
        <w:ind w:firstLine="0"/>
        <w:jc w:val="center"/>
        <w:rPr>
          <w:rFonts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投标报价明细表</w:t>
      </w:r>
    </w:p>
    <w:p>
      <w:pPr>
        <w:adjustRightInd w:val="0"/>
        <w:spacing w:line="360" w:lineRule="auto"/>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浙江省药品信息宣传和发展服务中心药品安全智慧监管“黑匣子”（二期）项目</w:t>
      </w:r>
    </w:p>
    <w:p>
      <w:pPr>
        <w:adjustRightInd w:val="0"/>
        <w:spacing w:line="360" w:lineRule="auto"/>
        <w:jc w:val="left"/>
        <w:rPr>
          <w:rFonts w:hint="eastAsia" w:ascii="宋体" w:hAnsi="宋体" w:cs="宋体"/>
          <w:color w:val="auto"/>
          <w:szCs w:val="21"/>
          <w:highlight w:val="none"/>
          <w:u w:val="singl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ZJ-2370554-02</w:t>
      </w:r>
    </w:p>
    <w:p>
      <w:pPr>
        <w:jc w:val="right"/>
        <w:rPr>
          <w:rFonts w:ascii="宋体" w:hAnsi="宋体" w:cs="宋体"/>
          <w:color w:val="auto"/>
          <w:highlight w:val="none"/>
        </w:rPr>
      </w:pPr>
      <w:r>
        <w:rPr>
          <w:rFonts w:hint="eastAsia" w:ascii="宋体" w:hAnsi="宋体" w:cs="宋体"/>
          <w:color w:val="auto"/>
          <w:highlight w:val="none"/>
        </w:rPr>
        <w:t xml:space="preserve">                   元人民币</w:t>
      </w:r>
    </w:p>
    <w:tbl>
      <w:tblPr>
        <w:tblStyle w:val="37"/>
        <w:tblW w:w="8940"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8" w:space="0"/>
              <w:left w:val="single" w:color="auto" w:sz="8"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551"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费用名称</w:t>
            </w:r>
          </w:p>
        </w:tc>
        <w:tc>
          <w:tcPr>
            <w:tcW w:w="1659"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1132"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单价</w:t>
            </w:r>
          </w:p>
        </w:tc>
        <w:tc>
          <w:tcPr>
            <w:tcW w:w="1746" w:type="dxa"/>
            <w:tcBorders>
              <w:top w:val="single" w:color="auto" w:sz="8"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总价</w:t>
            </w:r>
          </w:p>
        </w:tc>
        <w:tc>
          <w:tcPr>
            <w:tcW w:w="1127" w:type="dxa"/>
            <w:tcBorders>
              <w:top w:val="single" w:color="auto" w:sz="8"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vAlign w:val="center"/>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adjustRightInd w:val="0"/>
              <w:snapToGrid w:val="0"/>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i/>
                <w:iCs/>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i/>
                <w:i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Borders>
              <w:top w:val="single" w:color="auto" w:sz="2" w:space="0"/>
              <w:left w:val="single" w:color="auto" w:sz="8" w:space="0"/>
              <w:bottom w:val="single" w:color="auto" w:sz="2" w:space="0"/>
              <w:right w:val="single" w:color="auto" w:sz="2" w:space="0"/>
            </w:tcBorders>
          </w:tcPr>
          <w:p>
            <w:pPr>
              <w:spacing w:line="460" w:lineRule="exact"/>
              <w:jc w:val="center"/>
              <w:rPr>
                <w:rFonts w:ascii="宋体" w:hAnsi="宋体" w:cs="宋体"/>
                <w:color w:val="auto"/>
                <w:szCs w:val="21"/>
                <w:highlight w:val="none"/>
              </w:rPr>
            </w:pPr>
          </w:p>
        </w:tc>
        <w:tc>
          <w:tcPr>
            <w:tcW w:w="2551" w:type="dxa"/>
            <w:tcBorders>
              <w:top w:val="single" w:color="auto" w:sz="2" w:space="0"/>
              <w:left w:val="single" w:color="auto" w:sz="2" w:space="0"/>
              <w:bottom w:val="single" w:color="auto" w:sz="2" w:space="0"/>
              <w:right w:val="single" w:color="auto" w:sz="2" w:space="0"/>
            </w:tcBorders>
          </w:tcPr>
          <w:p>
            <w:pPr>
              <w:spacing w:line="460" w:lineRule="exact"/>
              <w:rPr>
                <w:rFonts w:ascii="宋体" w:hAnsi="宋体" w:cs="宋体"/>
                <w:b/>
                <w:bCs/>
                <w:color w:val="auto"/>
                <w:szCs w:val="21"/>
                <w:highlight w:val="none"/>
              </w:rPr>
            </w:pPr>
          </w:p>
        </w:tc>
        <w:tc>
          <w:tcPr>
            <w:tcW w:w="1659"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32"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746" w:type="dxa"/>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ascii="宋体" w:hAnsi="宋体" w:cs="宋体"/>
                <w:color w:val="auto"/>
                <w:szCs w:val="21"/>
                <w:highlight w:val="none"/>
              </w:rPr>
            </w:pPr>
          </w:p>
        </w:tc>
        <w:tc>
          <w:tcPr>
            <w:tcW w:w="1127" w:type="dxa"/>
            <w:tcBorders>
              <w:top w:val="single" w:color="auto" w:sz="2" w:space="0"/>
              <w:left w:val="single" w:color="auto" w:sz="2" w:space="0"/>
              <w:bottom w:val="single" w:color="auto" w:sz="2" w:space="0"/>
              <w:right w:val="single" w:color="auto" w:sz="8" w:space="0"/>
            </w:tcBorders>
            <w:vAlign w:val="center"/>
          </w:tcPr>
          <w:p>
            <w:pPr>
              <w:spacing w:line="460" w:lineRule="exact"/>
              <w:jc w:val="center"/>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Merge w:val="restart"/>
            <w:tcBorders>
              <w:top w:val="single" w:color="auto" w:sz="2" w:space="0"/>
              <w:left w:val="single" w:color="auto" w:sz="8" w:space="0"/>
              <w:bottom w:val="single" w:color="auto" w:sz="8" w:space="0"/>
              <w:right w:val="single" w:color="auto" w:sz="2" w:space="0"/>
            </w:tcBorders>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5664" w:type="dxa"/>
            <w:gridSpan w:val="4"/>
            <w:tcBorders>
              <w:top w:val="single" w:color="auto" w:sz="2" w:space="0"/>
              <w:left w:val="single" w:color="auto" w:sz="2" w:space="0"/>
              <w:bottom w:val="single" w:color="auto" w:sz="2" w:space="0"/>
              <w:right w:val="single" w:color="auto" w:sz="8" w:space="0"/>
            </w:tcBorders>
            <w:vAlign w:val="center"/>
          </w:tcPr>
          <w:p>
            <w:pPr>
              <w:spacing w:line="460" w:lineRule="exact"/>
              <w:jc w:val="left"/>
              <w:rPr>
                <w:rFonts w:ascii="宋体" w:hAnsi="宋体" w:cs="宋体"/>
                <w:color w:val="auto"/>
                <w:szCs w:val="21"/>
                <w:highlight w:val="none"/>
              </w:rPr>
            </w:pPr>
            <w:r>
              <w:rPr>
                <w:rFonts w:hint="eastAsia" w:ascii="宋体" w:hAnsi="宋体" w:cs="宋体"/>
                <w:color w:val="auto"/>
                <w:szCs w:val="21"/>
                <w:highlight w:val="none"/>
              </w:rPr>
              <w:t>小写：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Merge w:val="continue"/>
            <w:tcBorders>
              <w:top w:val="single" w:color="auto" w:sz="2" w:space="0"/>
              <w:left w:val="single" w:color="auto" w:sz="8" w:space="0"/>
              <w:bottom w:val="single" w:color="auto" w:sz="8" w:space="0"/>
              <w:right w:val="single" w:color="auto" w:sz="2" w:space="0"/>
            </w:tcBorders>
            <w:vAlign w:val="center"/>
          </w:tcPr>
          <w:p>
            <w:pPr>
              <w:widowControl/>
              <w:jc w:val="left"/>
              <w:rPr>
                <w:rFonts w:ascii="宋体" w:hAnsi="宋体" w:cs="宋体"/>
                <w:color w:val="auto"/>
                <w:szCs w:val="21"/>
                <w:highlight w:val="none"/>
              </w:rPr>
            </w:pPr>
          </w:p>
        </w:tc>
        <w:tc>
          <w:tcPr>
            <w:tcW w:w="5664" w:type="dxa"/>
            <w:gridSpan w:val="4"/>
            <w:tcBorders>
              <w:top w:val="single" w:color="auto" w:sz="2" w:space="0"/>
              <w:left w:val="single" w:color="auto" w:sz="2" w:space="0"/>
              <w:bottom w:val="single" w:color="auto" w:sz="8" w:space="0"/>
              <w:right w:val="single" w:color="auto" w:sz="8" w:space="0"/>
            </w:tcBorders>
            <w:vAlign w:val="center"/>
          </w:tcPr>
          <w:p>
            <w:pPr>
              <w:spacing w:line="460" w:lineRule="exact"/>
              <w:jc w:val="left"/>
              <w:rPr>
                <w:rFonts w:ascii="宋体" w:hAnsi="宋体" w:cs="宋体"/>
                <w:color w:val="auto"/>
                <w:szCs w:val="21"/>
                <w:highlight w:val="none"/>
              </w:rPr>
            </w:pPr>
            <w:r>
              <w:rPr>
                <w:rFonts w:hint="eastAsia" w:ascii="宋体" w:hAnsi="宋体" w:cs="宋体"/>
                <w:color w:val="auto"/>
                <w:szCs w:val="21"/>
                <w:highlight w:val="none"/>
              </w:rPr>
              <w:t>大写：</w:t>
            </w:r>
          </w:p>
        </w:tc>
      </w:tr>
    </w:tbl>
    <w:p>
      <w:pPr>
        <w:spacing w:line="360" w:lineRule="auto"/>
        <w:rPr>
          <w:rFonts w:ascii="宋体" w:hAnsi="宋体" w:cs="宋体"/>
          <w:color w:val="auto"/>
          <w:highlight w:val="none"/>
        </w:rPr>
      </w:pPr>
      <w:r>
        <w:rPr>
          <w:rFonts w:hint="eastAsia" w:ascii="宋体" w:hAnsi="宋体" w:cs="宋体"/>
          <w:color w:val="auto"/>
          <w:highlight w:val="none"/>
        </w:rPr>
        <w:t>注：1. 投标人根据实际情况可在表中报价明细的基础上进行扩展。</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2.上表所述“</w:t>
      </w:r>
      <w:r>
        <w:rPr>
          <w:rFonts w:hint="eastAsia" w:ascii="宋体" w:hAnsi="宋体" w:cs="宋体"/>
          <w:color w:val="auto"/>
          <w:szCs w:val="21"/>
          <w:highlight w:val="none"/>
        </w:rPr>
        <w:t>投标总价</w:t>
      </w:r>
      <w:r>
        <w:rPr>
          <w:rFonts w:hint="eastAsia" w:ascii="宋体" w:hAnsi="宋体" w:cs="宋体"/>
          <w:color w:val="auto"/>
          <w:highlight w:val="none"/>
        </w:rPr>
        <w:t>”应与“开标一览表”中的总报价一致，如有矛盾，以“开标一览表”中的为准。</w:t>
      </w:r>
    </w:p>
    <w:p>
      <w:pPr>
        <w:adjustRightInd w:val="0"/>
        <w:spacing w:line="360" w:lineRule="auto"/>
        <w:ind w:firstLine="4515" w:firstLineChars="2150"/>
        <w:rPr>
          <w:rFonts w:ascii="宋体" w:hAnsi="宋体" w:cs="宋体"/>
          <w:color w:val="auto"/>
          <w:szCs w:val="21"/>
          <w:highlight w:val="none"/>
        </w:rPr>
      </w:pPr>
      <w:r>
        <w:rPr>
          <w:rFonts w:hint="eastAsia" w:ascii="宋体" w:hAnsi="宋体" w:cs="宋体"/>
          <w:color w:val="auto"/>
          <w:szCs w:val="21"/>
          <w:highlight w:val="none"/>
        </w:rPr>
        <w:t>投标人（盖公章或电子签章）：</w:t>
      </w:r>
    </w:p>
    <w:p>
      <w:pPr>
        <w:pStyle w:val="23"/>
        <w:spacing w:line="420" w:lineRule="exact"/>
        <w:ind w:firstLine="4515" w:firstLineChars="2150"/>
        <w:rPr>
          <w:rFonts w:ascii="宋体" w:hAnsi="宋体" w:eastAsia="宋体" w:cs="宋体"/>
          <w:color w:val="auto"/>
          <w:highlight w:val="none"/>
        </w:rPr>
      </w:pPr>
      <w:r>
        <w:rPr>
          <w:rFonts w:hint="eastAsia" w:ascii="宋体" w:hAnsi="宋体" w:eastAsia="宋体" w:cs="宋体"/>
          <w:color w:val="auto"/>
          <w:highlight w:val="none"/>
        </w:rPr>
        <w:t>日期：</w:t>
      </w:r>
    </w:p>
    <w:p>
      <w:pPr>
        <w:pStyle w:val="33"/>
        <w:spacing w:before="0" w:beforeAutospacing="0" w:after="0" w:afterAutospacing="0" w:line="480" w:lineRule="auto"/>
        <w:ind w:firstLine="360" w:firstLineChars="200"/>
        <w:rPr>
          <w:rFonts w:ascii="宋体" w:hAnsi="宋体" w:cs="宋体"/>
          <w:color w:val="auto"/>
          <w:highlight w:val="none"/>
        </w:rPr>
      </w:pPr>
    </w:p>
    <w:p>
      <w:pPr>
        <w:spacing w:line="420" w:lineRule="exact"/>
        <w:rPr>
          <w:rFonts w:hint="eastAsia" w:ascii="宋体" w:hAnsi="宋体" w:cs="宋体"/>
          <w:b/>
          <w:bCs/>
          <w:color w:val="auto"/>
          <w:highlight w:val="none"/>
        </w:rPr>
      </w:pPr>
      <w:r>
        <w:rPr>
          <w:rFonts w:hint="eastAsia" w:ascii="宋体" w:hAnsi="宋体" w:cs="宋体"/>
          <w:color w:val="auto"/>
          <w:highlight w:val="none"/>
        </w:rPr>
        <w:br w:type="page"/>
      </w:r>
      <w:bookmarkStart w:id="221" w:name="_Toc1030"/>
      <w:bookmarkStart w:id="222" w:name="_Toc31451"/>
      <w:bookmarkStart w:id="223" w:name="_Toc18699"/>
      <w:bookmarkStart w:id="224" w:name="_Toc29263"/>
      <w:bookmarkStart w:id="225" w:name="_Toc17675"/>
    </w:p>
    <w:p>
      <w:pPr>
        <w:pStyle w:val="23"/>
        <w:spacing w:line="420" w:lineRule="exact"/>
        <w:rPr>
          <w:rFonts w:ascii="宋体" w:hAnsi="宋体" w:cs="宋体"/>
          <w:b/>
          <w:bCs/>
          <w:color w:val="auto"/>
          <w:highlight w:val="none"/>
        </w:rPr>
      </w:pPr>
      <w:r>
        <w:rPr>
          <w:rFonts w:hint="eastAsia" w:ascii="宋体" w:hAnsi="宋体" w:cs="宋体"/>
          <w:b/>
          <w:bCs/>
          <w:color w:val="auto"/>
          <w:highlight w:val="none"/>
        </w:rPr>
        <w:t>4.</w:t>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分包意向协议</w:t>
      </w: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分包意向协议</w:t>
      </w:r>
    </w:p>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hint="eastAsia" w:ascii="宋体" w:hAnsi="宋体" w:cs="宋体"/>
          <w:color w:val="auto"/>
          <w:kern w:val="0"/>
          <w:szCs w:val="21"/>
          <w:highlight w:val="none"/>
          <w:u w:val="single"/>
        </w:rPr>
      </w:pP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lang w:val="zh-CN"/>
        </w:rPr>
        <w:t>若成为</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kern w:val="0"/>
          <w:szCs w:val="21"/>
          <w:highlight w:val="none"/>
          <w:lang w:val="zh-CN"/>
        </w:rPr>
        <w:t>的中标供应商，将依法采取分包方式履行合同。</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与</w:t>
      </w:r>
      <w:r>
        <w:rPr>
          <w:rFonts w:hint="eastAsia" w:ascii="宋体" w:hAnsi="宋体" w:cs="宋体"/>
          <w:color w:val="auto"/>
          <w:kern w:val="0"/>
          <w:szCs w:val="21"/>
          <w:highlight w:val="none"/>
          <w:u w:val="single"/>
        </w:rPr>
        <w:t>（所有分包供应商名称）</w:t>
      </w:r>
      <w:r>
        <w:rPr>
          <w:rFonts w:hint="eastAsia" w:ascii="宋体" w:hAnsi="宋体" w:cs="宋体"/>
          <w:color w:val="auto"/>
          <w:kern w:val="0"/>
          <w:szCs w:val="21"/>
          <w:highlight w:val="none"/>
        </w:rPr>
        <w:t>达成分包意向协议</w:t>
      </w:r>
      <w:r>
        <w:rPr>
          <w:rFonts w:hint="eastAsia" w:ascii="宋体" w:hAnsi="宋体" w:cs="宋体"/>
          <w:color w:val="auto"/>
          <w:kern w:val="0"/>
          <w:szCs w:val="21"/>
          <w:highlight w:val="none"/>
          <w:lang w:val="zh-CN"/>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一、分包标的及数量</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lang w:val="zh-CN"/>
        </w:rPr>
        <w:t>将</w:t>
      </w:r>
      <w:r>
        <w:rPr>
          <w:rFonts w:hint="eastAsia" w:ascii="宋体" w:hAnsi="宋体" w:cs="宋体"/>
          <w:color w:val="auto"/>
          <w:szCs w:val="21"/>
          <w:highlight w:val="none"/>
          <w:u w:val="single"/>
        </w:rPr>
        <w:t xml:space="preserve">   XX工作内容   </w:t>
      </w:r>
      <w:r>
        <w:rPr>
          <w:rFonts w:hint="eastAsia" w:ascii="宋体" w:hAnsi="宋体" w:cs="宋体"/>
          <w:color w:val="auto"/>
          <w:szCs w:val="21"/>
          <w:highlight w:val="none"/>
        </w:rPr>
        <w:t>分包给</w:t>
      </w:r>
      <w:r>
        <w:rPr>
          <w:rFonts w:hint="eastAsia" w:ascii="宋体" w:hAnsi="宋体" w:cs="宋体"/>
          <w:color w:val="auto"/>
          <w:kern w:val="0"/>
          <w:szCs w:val="21"/>
          <w:highlight w:val="none"/>
          <w:u w:val="single"/>
        </w:rPr>
        <w:t>（某分包供应商名称）</w:t>
      </w:r>
      <w:r>
        <w:rPr>
          <w:rFonts w:hint="eastAsia" w:ascii="宋体" w:hAnsi="宋体" w:cs="宋体"/>
          <w:color w:val="auto"/>
          <w:kern w:val="0"/>
          <w:szCs w:val="21"/>
          <w:highlight w:val="none"/>
          <w:lang w:val="zh-CN"/>
        </w:rPr>
        <w:t>，</w:t>
      </w:r>
      <w:r>
        <w:rPr>
          <w:rFonts w:hint="eastAsia" w:ascii="宋体" w:hAnsi="宋体" w:cs="宋体"/>
          <w:color w:val="auto"/>
          <w:kern w:val="0"/>
          <w:szCs w:val="21"/>
          <w:highlight w:val="none"/>
          <w:u w:val="single"/>
        </w:rPr>
        <w:t>（某分包供应商名称），</w:t>
      </w:r>
      <w:r>
        <w:rPr>
          <w:rFonts w:hint="eastAsia" w:ascii="宋体" w:hAnsi="宋体" w:cs="宋体"/>
          <w:color w:val="auto"/>
          <w:kern w:val="0"/>
          <w:szCs w:val="21"/>
          <w:highlight w:val="none"/>
          <w:lang w:val="zh-CN"/>
        </w:rPr>
        <w:t>具备承</w:t>
      </w:r>
      <w:r>
        <w:rPr>
          <w:rFonts w:hint="eastAsia" w:ascii="宋体" w:hAnsi="宋体" w:cs="宋体"/>
          <w:color w:val="auto"/>
          <w:kern w:val="0"/>
          <w:szCs w:val="21"/>
          <w:highlight w:val="none"/>
        </w:rPr>
        <w:t>担</w:t>
      </w:r>
      <w:r>
        <w:rPr>
          <w:rFonts w:hint="eastAsia" w:ascii="宋体" w:hAnsi="宋体" w:cs="宋体"/>
          <w:color w:val="auto"/>
          <w:kern w:val="0"/>
          <w:szCs w:val="21"/>
          <w:highlight w:val="none"/>
          <w:u w:val="single"/>
          <w:lang w:val="zh-CN"/>
        </w:rPr>
        <w:t>XX工作内容</w:t>
      </w:r>
      <w:r>
        <w:rPr>
          <w:rFonts w:hint="eastAsia" w:ascii="宋体" w:hAnsi="宋体" w:cs="宋体"/>
          <w:color w:val="auto"/>
          <w:kern w:val="0"/>
          <w:szCs w:val="21"/>
          <w:highlight w:val="none"/>
          <w:lang w:val="zh-CN"/>
        </w:rPr>
        <w:t>相应资质条件且不得再次分包；</w:t>
      </w:r>
    </w:p>
    <w:p>
      <w:pPr>
        <w:rPr>
          <w:color w:val="auto"/>
          <w:highlight w:val="none"/>
        </w:rPr>
      </w:pPr>
      <w:bookmarkStart w:id="226" w:name="_Toc7709"/>
      <w:bookmarkStart w:id="227" w:name="_Toc28615"/>
      <w:bookmarkStart w:id="228" w:name="_Toc12258"/>
      <w:bookmarkStart w:id="229" w:name="_Toc15798"/>
      <w:r>
        <w:rPr>
          <w:rFonts w:hint="eastAsia"/>
          <w:color w:val="auto"/>
          <w:highlight w:val="none"/>
        </w:rPr>
        <w:t>……</w:t>
      </w:r>
      <w:bookmarkEnd w:id="226"/>
      <w:bookmarkEnd w:id="227"/>
      <w:bookmarkEnd w:id="228"/>
      <w:bookmarkEnd w:id="229"/>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二、分包工作履行期限、地点、方式</w:t>
      </w:r>
    </w:p>
    <w:p>
      <w:pPr>
        <w:snapToGrid w:val="0"/>
        <w:spacing w:line="360" w:lineRule="auto"/>
        <w:ind w:firstLine="576"/>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三、质量</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四、价款或者报酬</w:t>
      </w:r>
    </w:p>
    <w:p>
      <w:pPr>
        <w:snapToGrid w:val="0"/>
        <w:spacing w:line="360" w:lineRule="auto"/>
        <w:ind w:left="573" w:leftChars="273"/>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left="573" w:leftChars="273"/>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五、违约责任</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六、争议解决的办法</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七、其他</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u w:val="single"/>
        </w:rPr>
        <w:t>（分包供应商名称）提供的货物全部由小微企业制造，</w:t>
      </w:r>
      <w:r>
        <w:rPr>
          <w:rFonts w:hint="eastAsia" w:ascii="宋体" w:hAnsi="宋体" w:cs="宋体"/>
          <w:color w:val="auto"/>
          <w:kern w:val="0"/>
          <w:szCs w:val="21"/>
          <w:highlight w:val="none"/>
        </w:rPr>
        <w:t>其合同份额占到合同总金额</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%以上</w:t>
      </w:r>
      <w:r>
        <w:rPr>
          <w:rFonts w:hint="eastAsia" w:ascii="宋体" w:hAnsi="宋体" w:cs="宋体"/>
          <w:color w:val="auto"/>
          <w:szCs w:val="21"/>
          <w:highlight w:val="none"/>
        </w:rPr>
        <w:t>。</w:t>
      </w:r>
      <w:r>
        <w:rPr>
          <w:rFonts w:hint="eastAsia" w:ascii="宋体" w:hAnsi="宋体" w:cs="宋体"/>
          <w:b/>
          <w:color w:val="auto"/>
          <w:kern w:val="0"/>
          <w:szCs w:val="21"/>
          <w:highlight w:val="none"/>
          <w:lang w:val="zh-CN"/>
        </w:rPr>
        <w:t>（未预留份额专门面向中小企业采购的采购项目，以及预留份额中的非预留部分采购包，允许分包的，分包供应商提供的货物全部由小微企业制造，且其合同份额占到合同总金额30%以上的，对大中型企业的报价给予</w:t>
      </w:r>
      <w:r>
        <w:rPr>
          <w:rFonts w:hint="eastAsia" w:ascii="宋体" w:hAnsi="宋体" w:cs="宋体"/>
          <w:b/>
          <w:color w:val="auto"/>
          <w:kern w:val="0"/>
          <w:szCs w:val="21"/>
          <w:highlight w:val="none"/>
          <w:lang w:eastAsia="zh-CN"/>
        </w:rPr>
        <w:t>4%</w:t>
      </w:r>
      <w:r>
        <w:rPr>
          <w:rFonts w:hint="eastAsia" w:ascii="宋体" w:hAnsi="宋体" w:cs="宋体"/>
          <w:b/>
          <w:color w:val="auto"/>
          <w:kern w:val="0"/>
          <w:szCs w:val="21"/>
          <w:highlight w:val="none"/>
          <w:lang w:val="zh-CN"/>
        </w:rPr>
        <w:t>的扣除）</w:t>
      </w:r>
    </w:p>
    <w:p>
      <w:pPr>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w:t>
      </w:r>
    </w:p>
    <w:p>
      <w:pPr>
        <w:snapToGrid w:val="0"/>
        <w:spacing w:line="360" w:lineRule="auto"/>
        <w:ind w:firstLine="3360" w:firstLineChars="16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投标人（盖公章或电子签章）：</w:t>
      </w:r>
    </w:p>
    <w:p>
      <w:pPr>
        <w:snapToGrid w:val="0"/>
        <w:spacing w:line="360" w:lineRule="auto"/>
        <w:ind w:firstLine="3360" w:firstLineChars="16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分包供应商名称：</w:t>
      </w:r>
    </w:p>
    <w:p>
      <w:pPr>
        <w:snapToGrid w:val="0"/>
        <w:spacing w:line="360" w:lineRule="auto"/>
        <w:ind w:firstLine="3360" w:firstLineChars="1600"/>
        <w:rPr>
          <w:rFonts w:ascii="宋体" w:hAnsi="宋体" w:cs="宋体"/>
          <w:color w:val="auto"/>
          <w:szCs w:val="21"/>
          <w:highlight w:val="none"/>
        </w:rPr>
      </w:pPr>
      <w:r>
        <w:rPr>
          <w:rFonts w:hint="eastAsia" w:ascii="宋体" w:hAnsi="宋体" w:cs="宋体"/>
          <w:color w:val="auto"/>
          <w:kern w:val="0"/>
          <w:szCs w:val="21"/>
          <w:highlight w:val="none"/>
          <w:lang w:val="zh-CN"/>
        </w:rPr>
        <w:t>日期：</w:t>
      </w:r>
    </w:p>
    <w:p>
      <w:pPr>
        <w:adjustRightInd/>
        <w:snapToGrid/>
        <w:spacing w:beforeLines="-2147483648" w:afterLines="-2147483648" w:line="240" w:lineRule="auto"/>
        <w:ind w:firstLine="0" w:firstLineChars="0"/>
        <w:jc w:val="left"/>
        <w:outlineLvl w:val="9"/>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adjustRightInd w:val="0"/>
        <w:snapToGrid w:val="0"/>
        <w:spacing w:beforeLines="50" w:afterLines="50" w:line="360" w:lineRule="auto"/>
        <w:ind w:firstLine="0" w:firstLineChars="0"/>
        <w:jc w:val="center"/>
        <w:outlineLvl w:val="0"/>
        <w:rPr>
          <w:rFonts w:ascii="宋体" w:hAnsi="宋体" w:cs="宋体"/>
          <w:b/>
          <w:color w:val="auto"/>
          <w:sz w:val="30"/>
          <w:szCs w:val="30"/>
          <w:highlight w:val="none"/>
        </w:rPr>
      </w:pPr>
      <w:bookmarkStart w:id="230" w:name="_Toc11296"/>
      <w:r>
        <w:rPr>
          <w:rFonts w:hint="eastAsia" w:ascii="宋体" w:hAnsi="宋体" w:cs="宋体"/>
          <w:b/>
          <w:color w:val="auto"/>
          <w:sz w:val="30"/>
          <w:szCs w:val="30"/>
          <w:highlight w:val="none"/>
        </w:rPr>
        <w:t>第七部分   其它</w:t>
      </w:r>
      <w:bookmarkEnd w:id="221"/>
      <w:bookmarkEnd w:id="222"/>
      <w:bookmarkEnd w:id="223"/>
      <w:bookmarkEnd w:id="224"/>
      <w:bookmarkEnd w:id="225"/>
      <w:bookmarkEnd w:id="230"/>
    </w:p>
    <w:p>
      <w:pPr>
        <w:pStyle w:val="122"/>
        <w:widowControl w:val="0"/>
        <w:snapToGrid w:val="0"/>
        <w:spacing w:line="500" w:lineRule="exact"/>
        <w:jc w:val="center"/>
        <w:rPr>
          <w:rFonts w:hAnsi="宋体" w:cs="宋体"/>
          <w:b/>
          <w:color w:val="auto"/>
          <w:sz w:val="28"/>
          <w:szCs w:val="28"/>
          <w:highlight w:val="none"/>
        </w:rPr>
      </w:pPr>
      <w:r>
        <w:rPr>
          <w:rFonts w:hint="eastAsia" w:hAnsi="宋体" w:cs="宋体"/>
          <w:b/>
          <w:color w:val="auto"/>
          <w:sz w:val="28"/>
          <w:szCs w:val="28"/>
          <w:highlight w:val="none"/>
        </w:rPr>
        <w:t>政府采购活动现场确认声明书</w:t>
      </w:r>
    </w:p>
    <w:p>
      <w:pPr>
        <w:pStyle w:val="122"/>
        <w:widowControl w:val="0"/>
        <w:adjustRightInd w:val="0"/>
        <w:snapToGrid w:val="0"/>
        <w:spacing w:line="360" w:lineRule="auto"/>
        <w:jc w:val="both"/>
        <w:rPr>
          <w:rFonts w:hAnsi="宋体" w:cs="宋体"/>
          <w:color w:val="auto"/>
          <w:kern w:val="0"/>
          <w:szCs w:val="21"/>
          <w:highlight w:val="none"/>
          <w:u w:val="single"/>
        </w:rPr>
      </w:pPr>
    </w:p>
    <w:p>
      <w:pPr>
        <w:pStyle w:val="122"/>
        <w:widowControl w:val="0"/>
        <w:adjustRightInd w:val="0"/>
        <w:snapToGrid w:val="0"/>
        <w:spacing w:line="360" w:lineRule="auto"/>
        <w:jc w:val="both"/>
        <w:rPr>
          <w:rFonts w:hAnsi="宋体" w:cs="宋体"/>
          <w:b/>
          <w:color w:val="auto"/>
          <w:szCs w:val="21"/>
          <w:highlight w:val="none"/>
        </w:rPr>
      </w:pPr>
      <w:r>
        <w:rPr>
          <w:rFonts w:hint="eastAsia" w:hAnsi="宋体" w:cs="宋体"/>
          <w:color w:val="auto"/>
          <w:kern w:val="0"/>
          <w:szCs w:val="21"/>
          <w:highlight w:val="none"/>
          <w:u w:val="single"/>
        </w:rPr>
        <w:t>浙江国际招投标有限公司</w:t>
      </w:r>
      <w:r>
        <w:rPr>
          <w:rFonts w:hint="eastAsia" w:hAnsi="宋体" w:cs="宋体"/>
          <w:color w:val="auto"/>
          <w:kern w:val="0"/>
          <w:szCs w:val="21"/>
          <w:highlight w:val="none"/>
        </w:rPr>
        <w:t>：</w:t>
      </w:r>
    </w:p>
    <w:p>
      <w:pPr>
        <w:pStyle w:val="122"/>
        <w:widowControl w:val="0"/>
        <w:adjustRightInd w:val="0"/>
        <w:snapToGrid w:val="0"/>
        <w:spacing w:line="360" w:lineRule="auto"/>
        <w:ind w:firstLine="444" w:firstLineChars="200"/>
        <w:jc w:val="both"/>
        <w:rPr>
          <w:rFonts w:hAnsi="宋体" w:cs="宋体"/>
          <w:color w:val="auto"/>
          <w:spacing w:val="6"/>
          <w:szCs w:val="21"/>
          <w:highlight w:val="none"/>
        </w:rPr>
      </w:pPr>
      <w:r>
        <w:rPr>
          <w:rFonts w:hint="eastAsia" w:hAnsi="宋体" w:cs="宋体"/>
          <w:color w:val="auto"/>
          <w:spacing w:val="6"/>
          <w:szCs w:val="21"/>
          <w:highlight w:val="none"/>
        </w:rPr>
        <w:t>本人经由</w:t>
      </w:r>
      <w:r>
        <w:rPr>
          <w:rFonts w:hint="eastAsia" w:hAnsi="宋体" w:cs="宋体"/>
          <w:color w:val="auto"/>
          <w:spacing w:val="6"/>
          <w:szCs w:val="21"/>
          <w:highlight w:val="none"/>
          <w:u w:val="single"/>
        </w:rPr>
        <w:t xml:space="preserve">                    （单位）</w:t>
      </w:r>
      <w:r>
        <w:rPr>
          <w:rFonts w:hint="eastAsia" w:hAnsi="宋体" w:cs="宋体"/>
          <w:color w:val="auto"/>
          <w:spacing w:val="6"/>
          <w:szCs w:val="21"/>
          <w:highlight w:val="none"/>
        </w:rPr>
        <w:t>负责人</w:t>
      </w:r>
      <w:r>
        <w:rPr>
          <w:rFonts w:hint="eastAsia" w:hAnsi="宋体" w:cs="宋体"/>
          <w:color w:val="auto"/>
          <w:spacing w:val="6"/>
          <w:szCs w:val="21"/>
          <w:highlight w:val="none"/>
          <w:u w:val="single"/>
        </w:rPr>
        <w:t xml:space="preserve">        （姓名）</w:t>
      </w:r>
      <w:r>
        <w:rPr>
          <w:rFonts w:hint="eastAsia" w:hAnsi="宋体" w:cs="宋体"/>
          <w:color w:val="auto"/>
          <w:spacing w:val="6"/>
          <w:szCs w:val="21"/>
          <w:highlight w:val="none"/>
        </w:rPr>
        <w:t>合法授权参加</w:t>
      </w:r>
      <w:r>
        <w:rPr>
          <w:rFonts w:hint="eastAsia" w:hAnsi="宋体" w:cs="宋体"/>
          <w:color w:val="auto"/>
          <w:spacing w:val="6"/>
          <w:szCs w:val="21"/>
          <w:highlight w:val="none"/>
          <w:u w:val="single"/>
        </w:rPr>
        <w:t xml:space="preserve"> </w:t>
      </w:r>
      <w:r>
        <w:rPr>
          <w:rFonts w:hint="eastAsia" w:hAnsi="宋体" w:cs="宋体"/>
          <w:color w:val="auto"/>
          <w:spacing w:val="6"/>
          <w:szCs w:val="21"/>
          <w:highlight w:val="none"/>
          <w:u w:val="single"/>
          <w:lang w:eastAsia="zh-CN"/>
        </w:rPr>
        <w:t>浙江省药品信息宣传和发展服务中心药品安全智慧监管“黑匣子”（二期）项目</w:t>
      </w:r>
      <w:r>
        <w:rPr>
          <w:rFonts w:hint="eastAsia" w:hAnsi="宋体" w:cs="宋体"/>
          <w:color w:val="auto"/>
          <w:spacing w:val="6"/>
          <w:szCs w:val="21"/>
          <w:highlight w:val="none"/>
          <w:u w:val="single"/>
        </w:rPr>
        <w:t>（项目编号：</w:t>
      </w:r>
      <w:r>
        <w:rPr>
          <w:rFonts w:hint="eastAsia" w:hAnsi="宋体" w:cs="宋体"/>
          <w:color w:val="auto"/>
          <w:spacing w:val="6"/>
          <w:szCs w:val="21"/>
          <w:highlight w:val="none"/>
          <w:u w:val="single"/>
          <w:lang w:eastAsia="zh-CN"/>
        </w:rPr>
        <w:t>ZJ-2370554-02</w:t>
      </w:r>
      <w:r>
        <w:rPr>
          <w:rFonts w:hint="eastAsia" w:hAnsi="宋体" w:cs="宋体"/>
          <w:color w:val="auto"/>
          <w:spacing w:val="6"/>
          <w:szCs w:val="21"/>
          <w:highlight w:val="none"/>
          <w:u w:val="single"/>
        </w:rPr>
        <w:t>）</w:t>
      </w:r>
      <w:r>
        <w:rPr>
          <w:rFonts w:hint="eastAsia" w:hAnsi="宋体" w:cs="宋体"/>
          <w:color w:val="auto"/>
          <w:spacing w:val="6"/>
          <w:szCs w:val="21"/>
          <w:highlight w:val="none"/>
        </w:rPr>
        <w:t xml:space="preserve">政府采购活动，经与本单位法人代表（负责人）联系确认，现就有关公平竞争事项郑重声明如下： </w:t>
      </w:r>
    </w:p>
    <w:p>
      <w:pPr>
        <w:pStyle w:val="83"/>
        <w:widowControl/>
        <w:numPr>
          <w:ilvl w:val="0"/>
          <w:numId w:val="20"/>
        </w:numPr>
        <w:adjustRightInd w:val="0"/>
        <w:snapToGrid w:val="0"/>
        <w:spacing w:line="360" w:lineRule="auto"/>
        <w:ind w:firstLine="396" w:firstLineChars="189"/>
        <w:rPr>
          <w:rFonts w:ascii="宋体" w:hAnsi="宋体" w:cs="宋体"/>
          <w:color w:val="auto"/>
          <w:kern w:val="0"/>
          <w:szCs w:val="21"/>
          <w:highlight w:val="none"/>
        </w:rPr>
      </w:pPr>
      <w:r>
        <w:rPr>
          <w:rFonts w:hint="eastAsia" w:ascii="宋体" w:hAnsi="宋体" w:cs="宋体"/>
          <w:color w:val="auto"/>
          <w:kern w:val="0"/>
          <w:szCs w:val="21"/>
          <w:highlight w:val="none"/>
        </w:rPr>
        <w:t>本单位与采购人之间 □不存在利害关系 □存在下列利害关系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83"/>
        <w:widowControl/>
        <w:adjustRightInd w:val="0"/>
        <w:snapToGrid w:val="0"/>
        <w:spacing w:line="360" w:lineRule="auto"/>
        <w:ind w:firstLine="200"/>
        <w:rPr>
          <w:rFonts w:ascii="宋体" w:hAnsi="宋体" w:cs="宋体"/>
          <w:color w:val="auto"/>
          <w:kern w:val="0"/>
          <w:szCs w:val="21"/>
          <w:highlight w:val="none"/>
        </w:rPr>
      </w:pPr>
      <w:r>
        <w:rPr>
          <w:rFonts w:hint="eastAsia" w:ascii="宋体" w:hAnsi="宋体" w:cs="宋体"/>
          <w:color w:val="auto"/>
          <w:kern w:val="0"/>
          <w:szCs w:val="21"/>
          <w:highlight w:val="none"/>
        </w:rPr>
        <w:t xml:space="preserve">  A.投资关系    B.行政隶属关系    C.业务指导关系</w:t>
      </w:r>
    </w:p>
    <w:p>
      <w:pPr>
        <w:pStyle w:val="83"/>
        <w:widowControl/>
        <w:adjustRightInd w:val="0"/>
        <w:snapToGrid w:val="0"/>
        <w:spacing w:line="360" w:lineRule="auto"/>
        <w:ind w:firstLine="200"/>
        <w:rPr>
          <w:rFonts w:ascii="宋体" w:hAnsi="宋体" w:cs="宋体"/>
          <w:color w:val="auto"/>
          <w:kern w:val="0"/>
          <w:szCs w:val="21"/>
          <w:highlight w:val="none"/>
        </w:rPr>
      </w:pPr>
      <w:r>
        <w:rPr>
          <w:rFonts w:hint="eastAsia" w:ascii="宋体" w:hAnsi="宋体" w:cs="宋体"/>
          <w:color w:val="auto"/>
          <w:kern w:val="0"/>
          <w:szCs w:val="21"/>
          <w:highlight w:val="none"/>
        </w:rPr>
        <w:t xml:space="preserve">  D.其他可能</w:t>
      </w:r>
      <w:r>
        <w:rPr>
          <w:rFonts w:hint="eastAsia" w:ascii="宋体" w:hAnsi="宋体" w:cs="宋体"/>
          <w:color w:val="auto"/>
          <w:szCs w:val="21"/>
          <w:highlight w:val="none"/>
        </w:rPr>
        <w:t>影响采购公正的</w:t>
      </w:r>
      <w:r>
        <w:rPr>
          <w:rFonts w:hint="eastAsia" w:ascii="宋体" w:hAnsi="宋体" w:cs="宋体"/>
          <w:color w:val="auto"/>
          <w:kern w:val="0"/>
          <w:szCs w:val="21"/>
          <w:highlight w:val="none"/>
        </w:rPr>
        <w:t>利害关系</w:t>
      </w:r>
      <w:r>
        <w:rPr>
          <w:rFonts w:hint="eastAsia" w:ascii="宋体" w:hAnsi="宋体" w:cs="宋体"/>
          <w:color w:val="auto"/>
          <w:kern w:val="0"/>
          <w:szCs w:val="21"/>
          <w:highlight w:val="none"/>
          <w:u w:val="single"/>
        </w:rPr>
        <w:t xml:space="preserve">（如有，请如实说明）                 </w:t>
      </w:r>
      <w:r>
        <w:rPr>
          <w:rFonts w:hint="eastAsia" w:ascii="宋体" w:hAnsi="宋体" w:cs="宋体"/>
          <w:color w:val="auto"/>
          <w:kern w:val="0"/>
          <w:szCs w:val="21"/>
          <w:highlight w:val="none"/>
        </w:rPr>
        <w:t>。</w:t>
      </w:r>
    </w:p>
    <w:p>
      <w:pPr>
        <w:pStyle w:val="83"/>
        <w:widowControl/>
        <w:adjustRightInd w:val="0"/>
        <w:snapToGrid w:val="0"/>
        <w:spacing w:line="360" w:lineRule="auto"/>
        <w:ind w:firstLine="200"/>
        <w:rPr>
          <w:rFonts w:ascii="宋体" w:hAnsi="宋体" w:cs="宋体"/>
          <w:color w:val="auto"/>
          <w:kern w:val="0"/>
          <w:szCs w:val="21"/>
          <w:highlight w:val="none"/>
        </w:rPr>
      </w:pPr>
      <w:r>
        <w:rPr>
          <w:rFonts w:hint="eastAsia" w:ascii="宋体" w:hAnsi="宋体" w:cs="宋体"/>
          <w:color w:val="auto"/>
          <w:spacing w:val="6"/>
          <w:szCs w:val="21"/>
          <w:highlight w:val="none"/>
        </w:rPr>
        <w:t xml:space="preserve">  二、</w:t>
      </w:r>
      <w:r>
        <w:rPr>
          <w:rFonts w:hint="eastAsia" w:ascii="宋体" w:hAnsi="宋体" w:cs="宋体"/>
          <w:color w:val="auto"/>
          <w:kern w:val="0"/>
          <w:szCs w:val="21"/>
          <w:highlight w:val="none"/>
        </w:rPr>
        <w:t>现已清楚知道参加本项目采购活动的其他所有供应商名称，本单位 □与其他所有供应商之间均不存在利害关系 □与</w:t>
      </w:r>
      <w:r>
        <w:rPr>
          <w:rFonts w:hint="eastAsia" w:ascii="宋体" w:hAnsi="宋体" w:cs="宋体"/>
          <w:color w:val="auto"/>
          <w:kern w:val="0"/>
          <w:szCs w:val="21"/>
          <w:highlight w:val="none"/>
          <w:u w:val="single"/>
        </w:rPr>
        <w:t xml:space="preserve">           （供应商名称）</w:t>
      </w:r>
      <w:r>
        <w:rPr>
          <w:rFonts w:hint="eastAsia" w:ascii="宋体" w:hAnsi="宋体" w:cs="宋体"/>
          <w:color w:val="auto"/>
          <w:kern w:val="0"/>
          <w:szCs w:val="21"/>
          <w:highlight w:val="none"/>
        </w:rPr>
        <w:t>之间存在下列利害关系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122"/>
        <w:widowControl w:val="0"/>
        <w:adjustRightInd w:val="0"/>
        <w:snapToGrid w:val="0"/>
        <w:spacing w:line="360" w:lineRule="auto"/>
        <w:ind w:firstLine="200"/>
        <w:jc w:val="both"/>
        <w:rPr>
          <w:rFonts w:hAnsi="宋体" w:cs="宋体"/>
          <w:color w:val="auto"/>
          <w:kern w:val="0"/>
          <w:szCs w:val="21"/>
          <w:highlight w:val="none"/>
        </w:rPr>
      </w:pPr>
      <w:r>
        <w:rPr>
          <w:rFonts w:hint="eastAsia" w:hAnsi="宋体" w:cs="宋体"/>
          <w:color w:val="auto"/>
          <w:kern w:val="0"/>
          <w:szCs w:val="21"/>
          <w:highlight w:val="none"/>
        </w:rPr>
        <w:t xml:space="preserve">  A.法定代表人或负责人或实际控制人是同一人</w:t>
      </w:r>
      <w:r>
        <w:rPr>
          <w:rFonts w:hint="eastAsia" w:hAnsi="宋体" w:cs="宋体"/>
          <w:snapToGrid w:val="0"/>
          <w:color w:val="auto"/>
          <w:kern w:val="0"/>
          <w:szCs w:val="21"/>
          <w:highlight w:val="none"/>
        </w:rPr>
        <w:t>；</w:t>
      </w:r>
    </w:p>
    <w:p>
      <w:pPr>
        <w:pStyle w:val="122"/>
        <w:widowControl w:val="0"/>
        <w:adjustRightInd w:val="0"/>
        <w:snapToGrid w:val="0"/>
        <w:spacing w:line="360" w:lineRule="auto"/>
        <w:ind w:firstLine="200"/>
        <w:jc w:val="both"/>
        <w:rPr>
          <w:rFonts w:hAnsi="宋体" w:cs="宋体"/>
          <w:color w:val="auto"/>
          <w:spacing w:val="6"/>
          <w:szCs w:val="21"/>
          <w:highlight w:val="none"/>
        </w:rPr>
      </w:pPr>
      <w:r>
        <w:rPr>
          <w:rFonts w:hint="eastAsia" w:hAnsi="宋体" w:cs="宋体"/>
          <w:color w:val="auto"/>
          <w:kern w:val="0"/>
          <w:szCs w:val="21"/>
          <w:highlight w:val="none"/>
        </w:rPr>
        <w:t xml:space="preserve">  B.法定代表人或负责人或实际控制人是夫妻关系；</w:t>
      </w:r>
    </w:p>
    <w:p>
      <w:pPr>
        <w:pStyle w:val="122"/>
        <w:widowControl w:val="0"/>
        <w:adjustRightInd w:val="0"/>
        <w:snapToGrid w:val="0"/>
        <w:spacing w:line="360" w:lineRule="auto"/>
        <w:ind w:firstLine="200"/>
        <w:jc w:val="both"/>
        <w:rPr>
          <w:rFonts w:hAnsi="宋体" w:cs="宋体"/>
          <w:color w:val="auto"/>
          <w:spacing w:val="6"/>
          <w:szCs w:val="21"/>
          <w:highlight w:val="none"/>
        </w:rPr>
      </w:pPr>
      <w:r>
        <w:rPr>
          <w:rFonts w:hint="eastAsia" w:hAnsi="宋体" w:cs="宋体"/>
          <w:color w:val="auto"/>
          <w:kern w:val="0"/>
          <w:szCs w:val="21"/>
          <w:highlight w:val="none"/>
        </w:rPr>
        <w:t xml:space="preserve">  C.法定代表人或负责人或实际控制人是直系血亲关系；</w:t>
      </w:r>
    </w:p>
    <w:p>
      <w:pPr>
        <w:pStyle w:val="122"/>
        <w:widowControl w:val="0"/>
        <w:adjustRightInd w:val="0"/>
        <w:snapToGrid w:val="0"/>
        <w:spacing w:line="360" w:lineRule="auto"/>
        <w:ind w:firstLine="200"/>
        <w:jc w:val="both"/>
        <w:rPr>
          <w:rFonts w:hAnsi="宋体" w:cs="宋体"/>
          <w:color w:val="auto"/>
          <w:spacing w:val="6"/>
          <w:szCs w:val="21"/>
          <w:highlight w:val="none"/>
        </w:rPr>
      </w:pPr>
      <w:r>
        <w:rPr>
          <w:rFonts w:hint="eastAsia" w:hAnsi="宋体" w:cs="宋体"/>
          <w:color w:val="auto"/>
          <w:kern w:val="0"/>
          <w:szCs w:val="21"/>
          <w:highlight w:val="none"/>
        </w:rPr>
        <w:t xml:space="preserve">  D.法定代表人或负责人或实际控制人存在三代以内旁系血亲关系；</w:t>
      </w:r>
    </w:p>
    <w:p>
      <w:pPr>
        <w:pStyle w:val="122"/>
        <w:widowControl w:val="0"/>
        <w:adjustRightInd w:val="0"/>
        <w:snapToGrid w:val="0"/>
        <w:spacing w:line="360" w:lineRule="auto"/>
        <w:ind w:firstLine="200"/>
        <w:jc w:val="both"/>
        <w:rPr>
          <w:rFonts w:hAnsi="宋体" w:cs="宋体"/>
          <w:color w:val="auto"/>
          <w:kern w:val="0"/>
          <w:szCs w:val="21"/>
          <w:highlight w:val="none"/>
        </w:rPr>
      </w:pPr>
      <w:r>
        <w:rPr>
          <w:rFonts w:hint="eastAsia" w:hAnsi="宋体" w:cs="宋体"/>
          <w:color w:val="auto"/>
          <w:kern w:val="0"/>
          <w:szCs w:val="21"/>
          <w:highlight w:val="none"/>
        </w:rPr>
        <w:t xml:space="preserve">  E.法定代表人或负责人或实际控制人存在近姻亲关系；</w:t>
      </w:r>
    </w:p>
    <w:p>
      <w:pPr>
        <w:pStyle w:val="122"/>
        <w:widowControl w:val="0"/>
        <w:adjustRightInd w:val="0"/>
        <w:snapToGrid w:val="0"/>
        <w:spacing w:line="360" w:lineRule="auto"/>
        <w:ind w:firstLine="200"/>
        <w:jc w:val="both"/>
        <w:rPr>
          <w:rFonts w:hAnsi="宋体" w:cs="宋体"/>
          <w:color w:val="auto"/>
          <w:kern w:val="0"/>
          <w:szCs w:val="21"/>
          <w:highlight w:val="none"/>
        </w:rPr>
      </w:pPr>
      <w:r>
        <w:rPr>
          <w:rFonts w:hint="eastAsia" w:hAnsi="宋体" w:cs="宋体"/>
          <w:color w:val="auto"/>
          <w:kern w:val="0"/>
          <w:szCs w:val="21"/>
          <w:highlight w:val="none"/>
        </w:rPr>
        <w:t xml:space="preserve">  F.法定代表人或负责人或实际控制人存在股份控制或实际控制关系；</w:t>
      </w:r>
    </w:p>
    <w:p>
      <w:pPr>
        <w:pStyle w:val="122"/>
        <w:widowControl w:val="0"/>
        <w:adjustRightInd w:val="0"/>
        <w:snapToGrid w:val="0"/>
        <w:spacing w:line="360" w:lineRule="auto"/>
        <w:ind w:firstLine="200"/>
        <w:jc w:val="both"/>
        <w:rPr>
          <w:rFonts w:hAnsi="宋体" w:cs="宋体"/>
          <w:color w:val="auto"/>
          <w:kern w:val="0"/>
          <w:szCs w:val="21"/>
          <w:highlight w:val="none"/>
        </w:rPr>
      </w:pPr>
      <w:r>
        <w:rPr>
          <w:rFonts w:hint="eastAsia" w:hAnsi="宋体" w:cs="宋体"/>
          <w:color w:val="auto"/>
          <w:kern w:val="0"/>
          <w:szCs w:val="21"/>
          <w:highlight w:val="none"/>
        </w:rPr>
        <w:t xml:space="preserve">  G.存在共同直接或间接投资设立子公司、联营企业和合营企业情况；</w:t>
      </w:r>
    </w:p>
    <w:p>
      <w:pPr>
        <w:pStyle w:val="122"/>
        <w:widowControl w:val="0"/>
        <w:adjustRightInd w:val="0"/>
        <w:snapToGrid w:val="0"/>
        <w:spacing w:line="360" w:lineRule="auto"/>
        <w:ind w:firstLine="200"/>
        <w:jc w:val="both"/>
        <w:rPr>
          <w:rFonts w:hAnsi="宋体" w:cs="宋体"/>
          <w:color w:val="auto"/>
          <w:szCs w:val="21"/>
          <w:highlight w:val="none"/>
        </w:rPr>
      </w:pPr>
      <w:r>
        <w:rPr>
          <w:rFonts w:hint="eastAsia" w:hAnsi="宋体" w:cs="宋体"/>
          <w:color w:val="auto"/>
          <w:kern w:val="0"/>
          <w:szCs w:val="21"/>
          <w:highlight w:val="none"/>
        </w:rPr>
        <w:t xml:space="preserve">  H.存在分级代理或代销关系、同一生产制造商关系、</w:t>
      </w:r>
      <w:r>
        <w:rPr>
          <w:rFonts w:hint="eastAsia" w:hAnsi="宋体" w:cs="宋体"/>
          <w:color w:val="auto"/>
          <w:szCs w:val="21"/>
          <w:highlight w:val="none"/>
        </w:rPr>
        <w:t>管理关系、重要业务（占主营业务收入50%以上）或重要财务往来关系（如融资）等其他实质性控制关系；</w:t>
      </w:r>
    </w:p>
    <w:p>
      <w:pPr>
        <w:pStyle w:val="122"/>
        <w:widowControl w:val="0"/>
        <w:adjustRightInd w:val="0"/>
        <w:snapToGrid w:val="0"/>
        <w:spacing w:line="360" w:lineRule="auto"/>
        <w:ind w:firstLine="200"/>
        <w:jc w:val="both"/>
        <w:rPr>
          <w:rFonts w:hAnsi="宋体" w:cs="宋体"/>
          <w:color w:val="auto"/>
          <w:spacing w:val="6"/>
          <w:szCs w:val="21"/>
          <w:highlight w:val="none"/>
        </w:rPr>
      </w:pPr>
      <w:r>
        <w:rPr>
          <w:rFonts w:hint="eastAsia" w:hAnsi="宋体" w:cs="宋体"/>
          <w:color w:val="auto"/>
          <w:szCs w:val="21"/>
          <w:highlight w:val="none"/>
        </w:rPr>
        <w:t xml:space="preserve">   I</w:t>
      </w:r>
      <w:r>
        <w:rPr>
          <w:rFonts w:hint="eastAsia" w:hAnsi="宋体" w:cs="宋体"/>
          <w:color w:val="auto"/>
          <w:kern w:val="0"/>
          <w:szCs w:val="21"/>
          <w:highlight w:val="none"/>
        </w:rPr>
        <w:t>.</w:t>
      </w:r>
      <w:r>
        <w:rPr>
          <w:rFonts w:hint="eastAsia" w:hAnsi="宋体" w:cs="宋体"/>
          <w:color w:val="auto"/>
          <w:szCs w:val="21"/>
          <w:highlight w:val="none"/>
        </w:rPr>
        <w:t>其他利害关系情况</w:t>
      </w:r>
      <w:r>
        <w:rPr>
          <w:rFonts w:hint="eastAsia" w:hAnsi="宋体" w:cs="宋体"/>
          <w:color w:val="auto"/>
          <w:szCs w:val="21"/>
          <w:highlight w:val="none"/>
          <w:u w:val="single"/>
        </w:rPr>
        <w:t xml:space="preserve">                              </w:t>
      </w:r>
      <w:r>
        <w:rPr>
          <w:rFonts w:hint="eastAsia" w:hAnsi="宋体" w:cs="宋体"/>
          <w:color w:val="auto"/>
          <w:kern w:val="0"/>
          <w:szCs w:val="21"/>
          <w:highlight w:val="none"/>
        </w:rPr>
        <w:t>。</w:t>
      </w:r>
    </w:p>
    <w:p>
      <w:pPr>
        <w:pStyle w:val="83"/>
        <w:widowControl/>
        <w:numPr>
          <w:ilvl w:val="0"/>
          <w:numId w:val="21"/>
        </w:numPr>
        <w:adjustRightInd w:val="0"/>
        <w:snapToGrid w:val="0"/>
        <w:spacing w:line="360" w:lineRule="auto"/>
        <w:ind w:firstLine="396" w:firstLineChars="189"/>
        <w:rPr>
          <w:rFonts w:ascii="宋体" w:hAnsi="宋体" w:cs="宋体"/>
          <w:color w:val="auto"/>
          <w:kern w:val="0"/>
          <w:szCs w:val="21"/>
          <w:highlight w:val="none"/>
        </w:rPr>
      </w:pPr>
      <w:r>
        <w:rPr>
          <w:rFonts w:hint="eastAsia" w:ascii="宋体" w:hAnsi="宋体" w:cs="宋体"/>
          <w:color w:val="auto"/>
          <w:szCs w:val="21"/>
          <w:highlight w:val="none"/>
        </w:rPr>
        <w:t>现已清楚知道并</w:t>
      </w:r>
      <w:r>
        <w:rPr>
          <w:rFonts w:hint="eastAsia" w:ascii="宋体" w:hAnsi="宋体" w:cs="宋体"/>
          <w:color w:val="auto"/>
          <w:kern w:val="0"/>
          <w:szCs w:val="21"/>
          <w:highlight w:val="none"/>
        </w:rPr>
        <w:t>严格遵守政府采购法律法规和现场纪律。</w:t>
      </w:r>
    </w:p>
    <w:p>
      <w:pPr>
        <w:pStyle w:val="83"/>
        <w:widowControl/>
        <w:numPr>
          <w:ilvl w:val="0"/>
          <w:numId w:val="21"/>
        </w:numPr>
        <w:adjustRightInd w:val="0"/>
        <w:snapToGrid w:val="0"/>
        <w:spacing w:line="360" w:lineRule="auto"/>
        <w:ind w:firstLine="396" w:firstLineChars="189"/>
        <w:rPr>
          <w:rFonts w:ascii="宋体" w:hAnsi="宋体" w:cs="宋体"/>
          <w:color w:val="auto"/>
          <w:kern w:val="0"/>
          <w:szCs w:val="21"/>
          <w:highlight w:val="none"/>
        </w:rPr>
      </w:pPr>
      <w:r>
        <w:rPr>
          <w:rFonts w:hint="eastAsia" w:ascii="宋体" w:hAnsi="宋体" w:cs="宋体"/>
          <w:color w:val="auto"/>
          <w:kern w:val="0"/>
          <w:szCs w:val="21"/>
          <w:highlight w:val="none"/>
        </w:rPr>
        <w:t>我发现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供应商之间存在或可能存在上述第二条第</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项利害关系。</w:t>
      </w:r>
    </w:p>
    <w:p>
      <w:pPr>
        <w:pStyle w:val="83"/>
        <w:widowControl/>
        <w:adjustRightInd w:val="0"/>
        <w:snapToGrid w:val="0"/>
        <w:spacing w:line="360" w:lineRule="auto"/>
        <w:rPr>
          <w:rFonts w:ascii="宋体" w:hAnsi="宋体" w:cs="宋体"/>
          <w:color w:val="auto"/>
          <w:kern w:val="0"/>
          <w:szCs w:val="21"/>
          <w:highlight w:val="none"/>
        </w:rPr>
      </w:pPr>
    </w:p>
    <w:p>
      <w:pPr>
        <w:pStyle w:val="122"/>
        <w:widowControl w:val="0"/>
        <w:adjustRightInd w:val="0"/>
        <w:snapToGrid w:val="0"/>
        <w:spacing w:line="360" w:lineRule="auto"/>
        <w:ind w:firstLine="420" w:firstLineChars="200"/>
        <w:jc w:val="both"/>
        <w:rPr>
          <w:rFonts w:hAnsi="宋体" w:cs="宋体"/>
          <w:color w:val="auto"/>
          <w:szCs w:val="21"/>
          <w:highlight w:val="none"/>
        </w:rPr>
      </w:pPr>
      <w:r>
        <w:rPr>
          <w:rFonts w:hint="eastAsia" w:hAnsi="宋体" w:cs="宋体"/>
          <w:color w:val="auto"/>
          <w:szCs w:val="21"/>
          <w:highlight w:val="none"/>
        </w:rPr>
        <w:t xml:space="preserve">                                （供应商代表签名）</w:t>
      </w:r>
    </w:p>
    <w:p>
      <w:pPr>
        <w:adjustRightInd w:val="0"/>
        <w:snapToGrid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                                 2023年  月  日 </w:t>
      </w:r>
    </w:p>
    <w:p>
      <w:pPr>
        <w:spacing w:line="360" w:lineRule="exact"/>
        <w:rPr>
          <w:rFonts w:ascii="宋体" w:hAnsi="宋体" w:cs="宋体"/>
          <w:b/>
          <w:bCs/>
          <w:color w:val="auto"/>
          <w:highlight w:val="none"/>
        </w:rPr>
      </w:pPr>
      <w:r>
        <w:rPr>
          <w:rFonts w:hint="eastAsia" w:ascii="宋体" w:hAnsi="宋体" w:cs="宋体"/>
          <w:b/>
          <w:bCs/>
          <w:color w:val="auto"/>
          <w:highlight w:val="none"/>
        </w:rPr>
        <w:t>特别说明：</w:t>
      </w:r>
      <w:r>
        <w:rPr>
          <w:rFonts w:hint="eastAsia" w:ascii="宋体" w:hAnsi="宋体" w:cs="宋体"/>
          <w:b/>
          <w:bCs/>
          <w:color w:val="auto"/>
          <w:szCs w:val="21"/>
          <w:highlight w:val="none"/>
        </w:rPr>
        <w:t>《政府采购活动现场确认声明书》必须在收到政采云系统中包含投标人名单等相关信息的相关询标函后30分钟内在线提交或发送至</w:t>
      </w:r>
      <w:r>
        <w:rPr>
          <w:rFonts w:hint="eastAsia" w:ascii="宋体" w:hAnsi="宋体" w:cs="宋体"/>
          <w:b/>
          <w:bCs/>
          <w:color w:val="auto"/>
          <w:szCs w:val="21"/>
          <w:highlight w:val="none"/>
          <w:lang w:eastAsia="zh-CN"/>
        </w:rPr>
        <w:t>zhouqf@zmeetb.com</w:t>
      </w:r>
      <w:r>
        <w:rPr>
          <w:rFonts w:hint="eastAsia" w:ascii="宋体" w:hAnsi="宋体" w:cs="宋体"/>
          <w:b/>
          <w:bCs/>
          <w:color w:val="auto"/>
          <w:szCs w:val="21"/>
          <w:highlight w:val="none"/>
        </w:rPr>
        <w:t>，本声明书作为符合性审查的依据。</w:t>
      </w:r>
    </w:p>
    <w:p>
      <w:pPr>
        <w:tabs>
          <w:tab w:val="left" w:pos="0"/>
        </w:tabs>
        <w:autoSpaceDE w:val="0"/>
        <w:autoSpaceDN w:val="0"/>
        <w:spacing w:line="360" w:lineRule="auto"/>
        <w:jc w:val="center"/>
        <w:rPr>
          <w:rFonts w:ascii="黑体" w:hAnsi="黑体" w:eastAsia="黑体" w:cs="黑体"/>
          <w:b/>
          <w:bCs/>
          <w:color w:val="auto"/>
          <w:sz w:val="30"/>
          <w:szCs w:val="30"/>
          <w:highlight w:val="none"/>
        </w:rPr>
      </w:pPr>
      <w:r>
        <w:rPr>
          <w:rFonts w:hint="eastAsia" w:ascii="宋体" w:hAnsi="宋体" w:cs="宋体"/>
          <w:color w:val="auto"/>
          <w:szCs w:val="21"/>
          <w:highlight w:val="none"/>
        </w:rPr>
        <w:br w:type="page"/>
      </w:r>
      <w:r>
        <w:rPr>
          <w:rFonts w:hint="eastAsia" w:ascii="宋体" w:hAnsi="宋体" w:cs="宋体"/>
          <w:b/>
          <w:color w:val="auto"/>
          <w:sz w:val="28"/>
          <w:szCs w:val="28"/>
          <w:highlight w:val="none"/>
        </w:rPr>
        <w:t>质疑函范本</w:t>
      </w:r>
    </w:p>
    <w:p>
      <w:pPr>
        <w:adjustRightInd w:val="0"/>
        <w:snapToGrid w:val="0"/>
        <w:spacing w:beforeLines="100" w:line="360" w:lineRule="auto"/>
        <w:rPr>
          <w:rFonts w:ascii="宋体" w:hAnsi="宋体" w:cs="宋体"/>
          <w:bCs/>
          <w:color w:val="auto"/>
          <w:szCs w:val="21"/>
          <w:highlight w:val="none"/>
        </w:rPr>
      </w:pPr>
      <w:r>
        <w:rPr>
          <w:rFonts w:hint="eastAsia" w:ascii="宋体" w:hAnsi="宋体" w:cs="宋体"/>
          <w:bCs/>
          <w:color w:val="auto"/>
          <w:szCs w:val="21"/>
          <w:highlight w:val="none"/>
        </w:rPr>
        <w:t>一、质疑供应商基本信息</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质疑供应商：</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地址：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 xml:space="preserve">地址： </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二、质疑项目基本情况</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质疑项目的名称：</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质疑项目的编号：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采购人名称：</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采购文件获取日期：</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三、质疑事项具体内容</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质疑事项1：</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事实依据：</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法律依据：</w:t>
      </w: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p>
    <w:p>
      <w:pPr>
        <w:adjustRightInd w:val="0"/>
        <w:snapToGrid w:val="0"/>
        <w:spacing w:line="360" w:lineRule="auto"/>
        <w:rPr>
          <w:rFonts w:ascii="宋体" w:hAnsi="宋体" w:cs="宋体"/>
          <w:color w:val="auto"/>
          <w:szCs w:val="21"/>
          <w:highlight w:val="none"/>
          <w:u w:val="dotted"/>
        </w:rPr>
      </w:pPr>
      <w:r>
        <w:rPr>
          <w:rFonts w:hint="eastAsia" w:ascii="宋体" w:hAnsi="宋体" w:cs="宋体"/>
          <w:color w:val="auto"/>
          <w:szCs w:val="21"/>
          <w:highlight w:val="none"/>
        </w:rPr>
        <w:t>质疑事项2</w:t>
      </w: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p>
    <w:p>
      <w:pPr>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四、与质疑事项相关的质疑请求</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签字(签章)：                   公章：                      </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日期：    </w:t>
      </w:r>
    </w:p>
    <w:p>
      <w:pPr>
        <w:adjustRightInd w:val="0"/>
        <w:snapToGrid w:val="0"/>
        <w:spacing w:line="360" w:lineRule="auto"/>
        <w:rPr>
          <w:rFonts w:ascii="宋体" w:hAnsi="宋体" w:cs="宋体"/>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质疑函制作说明：</w:t>
      </w:r>
    </w:p>
    <w:p>
      <w:pPr>
        <w:pStyle w:val="20"/>
        <w:rPr>
          <w:rFonts w:ascii="宋体" w:hAnsi="宋体" w:eastAsia="宋体" w:cs="宋体"/>
          <w:color w:val="auto"/>
          <w:sz w:val="21"/>
          <w:szCs w:val="21"/>
          <w:highlight w:val="none"/>
        </w:rPr>
      </w:pP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1.供应商提出质疑时，应提交质疑函和必要的证明材料。</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2.质疑供应商若委托代理人进行质疑的，质疑函应按要求列明“授权代表”的有关内容，并在附件中提交由质疑</w:t>
      </w:r>
      <w:r>
        <w:rPr>
          <w:rFonts w:hint="eastAsia" w:ascii="宋体" w:hAnsi="宋体" w:cs="宋体"/>
          <w:color w:val="auto"/>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4.质疑函的质疑事项应具体、明确，并有必要的事实依据和法律依据。</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5.质疑函的质疑请求应与质疑事项相关。</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6.质疑供应商为自然人的，质疑函应由本人签字；质疑供应商为法人或者其他组织的，质疑函应由法定代表人、主要负责人，或者其授权代表签字或者盖章，并加盖公章。</w:t>
      </w:r>
    </w:p>
    <w:p>
      <w:pPr>
        <w:widowControl/>
        <w:ind w:firstLine="480" w:firstLineChars="200"/>
        <w:jc w:val="left"/>
        <w:rPr>
          <w:rFonts w:ascii="仿宋_GB2312" w:eastAsia="仿宋_GB2312"/>
          <w:color w:val="auto"/>
          <w:sz w:val="24"/>
          <w:highlight w:val="none"/>
        </w:rPr>
      </w:pPr>
    </w:p>
    <w:p>
      <w:pPr>
        <w:rPr>
          <w:color w:val="auto"/>
          <w:highlight w:val="none"/>
        </w:rPr>
      </w:pPr>
    </w:p>
    <w:p>
      <w:pPr>
        <w:rPr>
          <w:rFonts w:ascii="宋体" w:hAnsi="宋体"/>
          <w:b/>
          <w:color w:val="auto"/>
          <w:sz w:val="28"/>
          <w:szCs w:val="28"/>
          <w:highlight w:val="none"/>
        </w:rPr>
      </w:pPr>
      <w:r>
        <w:rPr>
          <w:color w:val="auto"/>
          <w:highlight w:val="none"/>
        </w:rPr>
        <w:br w:type="page"/>
      </w:r>
    </w:p>
    <w:p>
      <w:pPr>
        <w:tabs>
          <w:tab w:val="left" w:pos="0"/>
        </w:tabs>
        <w:autoSpaceDE w:val="0"/>
        <w:autoSpaceDN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投诉书范本</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一、投诉相关主体基本情况</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投诉人：</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tabs>
          <w:tab w:val="left" w:pos="6510"/>
        </w:tabs>
        <w:spacing w:line="360" w:lineRule="auto"/>
        <w:jc w:val="left"/>
        <w:rPr>
          <w:rFonts w:ascii="宋体" w:hAnsi="宋体" w:cs="宋体"/>
          <w:color w:val="auto"/>
          <w:szCs w:val="21"/>
          <w:highlight w:val="none"/>
        </w:rPr>
      </w:pPr>
      <w:r>
        <w:rPr>
          <w:rFonts w:hint="eastAsia" w:ascii="宋体" w:hAnsi="宋体" w:cs="宋体"/>
          <w:color w:val="auto"/>
          <w:szCs w:val="21"/>
          <w:highlight w:val="none"/>
        </w:rPr>
        <w:t>法定代表人/主要负责人：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tabs>
          <w:tab w:val="left" w:pos="6510"/>
        </w:tabs>
        <w:spacing w:line="360" w:lineRule="auto"/>
        <w:rPr>
          <w:rFonts w:ascii="宋体" w:hAnsi="宋体" w:cs="宋体"/>
          <w:color w:val="auto"/>
          <w:szCs w:val="21"/>
          <w:highlight w:val="none"/>
          <w:u w:val="dotted"/>
        </w:rPr>
      </w:pP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授权代表：</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被投诉人1：</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被投诉人2</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相关供应商：</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邮编：</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联系人：</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二、投诉项目基本情况</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采购项目名称：</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采购项目编号：</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包号：</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采购人名称：</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代理机构名称：</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采购文件公告:</w:t>
      </w:r>
      <w:r>
        <w:rPr>
          <w:rFonts w:hint="eastAsia" w:ascii="宋体" w:hAnsi="宋体" w:cs="宋体"/>
          <w:color w:val="auto"/>
          <w:szCs w:val="21"/>
          <w:highlight w:val="none"/>
          <w:u w:val="dotted"/>
        </w:rPr>
        <w:t xml:space="preserve">是/否 </w:t>
      </w:r>
      <w:r>
        <w:rPr>
          <w:rFonts w:hint="eastAsia" w:ascii="宋体" w:hAnsi="宋体" w:cs="宋体"/>
          <w:color w:val="auto"/>
          <w:szCs w:val="21"/>
          <w:highlight w:val="none"/>
        </w:rPr>
        <w:t>公告期限：</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采购结果公告:</w:t>
      </w:r>
      <w:r>
        <w:rPr>
          <w:rFonts w:hint="eastAsia" w:ascii="宋体" w:hAnsi="宋体" w:cs="宋体"/>
          <w:color w:val="auto"/>
          <w:szCs w:val="21"/>
          <w:highlight w:val="none"/>
          <w:u w:val="dotted"/>
        </w:rPr>
        <w:t xml:space="preserve">是/否 </w:t>
      </w:r>
      <w:r>
        <w:rPr>
          <w:rFonts w:hint="eastAsia" w:ascii="宋体" w:hAnsi="宋体" w:cs="宋体"/>
          <w:color w:val="auto"/>
          <w:szCs w:val="21"/>
          <w:highlight w:val="none"/>
        </w:rPr>
        <w:t>公告期限：</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三、质疑基本情况</w:t>
      </w:r>
    </w:p>
    <w:p>
      <w:pPr>
        <w:spacing w:line="360" w:lineRule="auto"/>
        <w:ind w:firstLine="420" w:firstLineChars="200"/>
        <w:rPr>
          <w:rFonts w:ascii="宋体" w:hAnsi="宋体" w:cs="宋体"/>
          <w:color w:val="auto"/>
          <w:szCs w:val="21"/>
          <w:highlight w:val="none"/>
          <w:u w:val="dotted"/>
        </w:rPr>
      </w:pPr>
      <w:r>
        <w:rPr>
          <w:rFonts w:hint="eastAsia" w:ascii="宋体" w:hAnsi="宋体" w:cs="宋体"/>
          <w:color w:val="auto"/>
          <w:szCs w:val="21"/>
          <w:highlight w:val="none"/>
        </w:rPr>
        <w:t>投诉人于</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日,向</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提出质疑，质疑事项为：</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dotted"/>
        </w:rPr>
        <w:t>采购人/代理机构</w:t>
      </w:r>
      <w:r>
        <w:rPr>
          <w:rFonts w:hint="eastAsia" w:ascii="宋体" w:hAnsi="宋体" w:cs="宋体"/>
          <w:color w:val="auto"/>
          <w:szCs w:val="21"/>
          <w:highlight w:val="none"/>
        </w:rPr>
        <w:t>于</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日,就质疑事项作出了答复/没有在法定期限内作出答复。</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四、投诉事项具体内容</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投诉事项 1：</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事实依据：</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法律依据：</w:t>
      </w: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u w:val="dotted"/>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投诉事项2</w:t>
      </w:r>
    </w:p>
    <w:p>
      <w:pPr>
        <w:spacing w:line="360" w:lineRule="auto"/>
        <w:rPr>
          <w:rFonts w:ascii="宋体" w:hAnsi="宋体" w:cs="宋体"/>
          <w:color w:val="auto"/>
          <w:szCs w:val="21"/>
          <w:highlight w:val="none"/>
          <w:u w:val="dotted"/>
        </w:rPr>
      </w:pP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五、与投诉事项相关的投诉请求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请求：</w:t>
      </w:r>
      <w:r>
        <w:rPr>
          <w:rFonts w:hint="eastAsia" w:ascii="宋体" w:hAnsi="宋体" w:cs="宋体"/>
          <w:color w:val="auto"/>
          <w:szCs w:val="21"/>
          <w:highlight w:val="none"/>
          <w:u w:val="dotted"/>
        </w:rPr>
        <w:t xml:space="preserve">                                              </w:t>
      </w:r>
      <w:r>
        <w:rPr>
          <w:rFonts w:hint="eastAsia" w:ascii="宋体" w:hAnsi="宋体" w:cs="宋体"/>
          <w:color w:val="auto"/>
          <w:szCs w:val="21"/>
          <w:highlight w:val="none"/>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签字(签章)：                   公章：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日期：    </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rPr>
          <w:rFonts w:ascii="宋体" w:hAnsi="宋体" w:cs="宋体"/>
          <w:b/>
          <w:color w:val="auto"/>
          <w:szCs w:val="21"/>
          <w:highlight w:val="none"/>
        </w:rPr>
      </w:pPr>
      <w:r>
        <w:rPr>
          <w:rFonts w:hint="eastAsia" w:ascii="宋体" w:hAnsi="宋体" w:cs="宋体"/>
          <w:b/>
          <w:color w:val="auto"/>
          <w:szCs w:val="21"/>
          <w:highlight w:val="none"/>
        </w:rPr>
        <w:br w:type="page"/>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投诉书制作说明：</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2.投诉人若委托代理人进行投诉的，投诉书应按照要求列明“授权代表”的有关内容，并在附件中提交由</w:t>
      </w:r>
      <w:r>
        <w:rPr>
          <w:rFonts w:hint="eastAsia" w:ascii="宋体" w:hAnsi="宋体" w:cs="宋体"/>
          <w:color w:val="auto"/>
          <w:kern w:val="0"/>
          <w:szCs w:val="21"/>
          <w:highlight w:val="none"/>
        </w:rPr>
        <w:t>投诉人签署的授权委托书。授权委托书应当载明代</w:t>
      </w:r>
      <w:r>
        <w:rPr>
          <w:rFonts w:hint="eastAsia" w:ascii="宋体" w:hAnsi="宋体" w:cs="宋体"/>
          <w:color w:val="auto"/>
          <w:szCs w:val="21"/>
          <w:highlight w:val="none"/>
        </w:rPr>
        <w:t>理人的姓名或者名称、代理事项、具体权限、期限和相关事项。</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3.投诉人若对项目的某一分包进行投诉，投诉书应列明具体分包号。</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4.投诉书应简要列明质疑事项，质疑函、质疑答复等作为附件材料提供。</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5.投诉书的投诉事项应具体、明确，并有必要的事实依据和法律依据。</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6.投诉书的投诉请求应与投诉事项相关。</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7.投诉人为自然人的，投诉书应当由本人签字；投诉人为法人或者其他组织的，投诉书应当由法定代表人、主要负责人，或者其授权代表签字或者盖章，并加盖公章。</w:t>
      </w:r>
    </w:p>
    <w:p>
      <w:pPr>
        <w:spacing w:line="360" w:lineRule="auto"/>
        <w:jc w:val="center"/>
        <w:rPr>
          <w:rFonts w:ascii="宋体" w:hAnsi="宋体" w:cs="宋体"/>
          <w:color w:val="auto"/>
          <w:sz w:val="30"/>
          <w:szCs w:val="30"/>
          <w:highlight w:val="none"/>
        </w:rPr>
      </w:pPr>
    </w:p>
    <w:p>
      <w:pPr>
        <w:rPr>
          <w:rFonts w:ascii="宋体" w:hAnsi="宋体"/>
          <w:color w:val="auto"/>
          <w:szCs w:val="21"/>
          <w:highlight w:val="none"/>
        </w:rPr>
      </w:pPr>
    </w:p>
    <w:p>
      <w:pPr>
        <w:adjustRightInd w:val="0"/>
        <w:snapToGrid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             </w:t>
      </w:r>
    </w:p>
    <w:p>
      <w:pPr>
        <w:rPr>
          <w:rFonts w:ascii="宋体" w:hAnsi="宋体" w:cs="宋体"/>
          <w:color w:val="auto"/>
          <w:szCs w:val="21"/>
          <w:highlight w:val="none"/>
        </w:rPr>
      </w:pPr>
    </w:p>
    <w:p>
      <w:pPr>
        <w:rPr>
          <w:rFonts w:ascii="宋体" w:hAnsi="宋体" w:cs="宋体"/>
          <w:color w:val="auto"/>
          <w:highlight w:val="none"/>
        </w:rPr>
      </w:pPr>
    </w:p>
    <w:p>
      <w:pPr>
        <w:rPr>
          <w:color w:val="auto"/>
          <w:highlight w:val="none"/>
        </w:rPr>
      </w:pPr>
    </w:p>
    <w:p>
      <w:pPr>
        <w:rPr>
          <w:color w:val="auto"/>
          <w:highlight w:val="none"/>
        </w:rPr>
      </w:pPr>
    </w:p>
    <w:sectPr>
      <w:headerReference r:id="rId5" w:type="default"/>
      <w:footerReference r:id="rId6" w:type="default"/>
      <w:pgSz w:w="11906" w:h="16838"/>
      <w:pgMar w:top="1440" w:right="1800" w:bottom="1440" w:left="1800"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Narrow">
    <w:altName w:val="Times New Roman"/>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F4aj184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qeUaKbQ8Mv3b5cf vy4/v5JplKexfo6onUVcaN+aFkMz3HtcRtZt6VT8BR8CP8Q9X8UVbSA8PppNZ7MxXBy+4QD87PG5 dT68E0aRaOTUoXtJVHba+tCFDiExmzabWsrUQalJk9Ob12/G6cHVA3CpY6xIs9DDREpd6dEK7b7t ee5NcQZNZ7o58ZZvapSyZT48MIfBQPlYnXCPTykNUpreoqQy7su/7mM8+gUvJQ0GLacae0WJfK/R RwCGwXCDsR8MfVR3BpM7wUpankw8cEEOZumM+ox9WsUccDHNkSmnYTDvQjfs2EcuVqsUdLSuPlTd A0yhZWGrd5bHNFEqb1fHAGmT4lGgThV0Kh4wh6ln/c7EQf/znKIe/yeWvwF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XhqPXzgCAABvBAAADgAAAAAAAAABACAAAAAfAQAAZHJzL2Uyb0RvYy54 bWxQSwUGAAAAAAYABgBZAQAAyQUAAAAA ">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fldChar w:fldCharType="begin"/>
    </w:r>
    <w:r>
      <w:rPr>
        <w:rStyle w:val="40"/>
      </w:rPr>
      <w:instrText xml:space="preserve"> PAGE </w:instrText>
    </w:r>
    <w:r>
      <w:fldChar w:fldCharType="separate"/>
    </w:r>
    <w:r>
      <w:rPr>
        <w:rStyle w:val="40"/>
      </w:rPr>
      <w:t>80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3C1F7"/>
    <w:multiLevelType w:val="multilevel"/>
    <w:tmpl w:val="9443C1F7"/>
    <w:lvl w:ilvl="0" w:tentative="0">
      <w:start w:val="1"/>
      <w:numFmt w:val="decimal"/>
      <w:lvlText w:val="（%1）"/>
      <w:lvlJc w:val="left"/>
      <w:pPr>
        <w:tabs>
          <w:tab w:val="left" w:pos="1273"/>
        </w:tabs>
        <w:ind w:left="1262" w:hanging="500"/>
      </w:pPr>
    </w:lvl>
    <w:lvl w:ilvl="1" w:tentative="0">
      <w:start w:val="1"/>
      <w:numFmt w:val="japaneseCounting"/>
      <w:lvlText w:val="（%2）"/>
      <w:lvlJc w:val="left"/>
      <w:pPr>
        <w:ind w:left="1562" w:hanging="7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
    <w:nsid w:val="98C19939"/>
    <w:multiLevelType w:val="singleLevel"/>
    <w:tmpl w:val="98C19939"/>
    <w:lvl w:ilvl="0" w:tentative="0">
      <w:start w:val="1"/>
      <w:numFmt w:val="decimal"/>
      <w:suff w:val="nothing"/>
      <w:lvlText w:val="（%1）"/>
      <w:lvlJc w:val="left"/>
      <w:pPr>
        <w:ind w:left="0" w:firstLine="0"/>
      </w:pPr>
    </w:lvl>
  </w:abstractNum>
  <w:abstractNum w:abstractNumId="2">
    <w:nsid w:val="A748B2BA"/>
    <w:multiLevelType w:val="singleLevel"/>
    <w:tmpl w:val="A748B2BA"/>
    <w:lvl w:ilvl="0" w:tentative="0">
      <w:start w:val="1"/>
      <w:numFmt w:val="decimal"/>
      <w:lvlText w:val="%1."/>
      <w:lvlJc w:val="left"/>
      <w:pPr>
        <w:tabs>
          <w:tab w:val="left" w:pos="312"/>
        </w:tabs>
        <w:ind w:left="0" w:firstLine="0"/>
      </w:pPr>
    </w:lvl>
  </w:abstractNum>
  <w:abstractNum w:abstractNumId="3">
    <w:nsid w:val="AB92FBAC"/>
    <w:multiLevelType w:val="singleLevel"/>
    <w:tmpl w:val="AB92FBAC"/>
    <w:lvl w:ilvl="0" w:tentative="0">
      <w:start w:val="1"/>
      <w:numFmt w:val="decimalEnclosedCircleChinese"/>
      <w:suff w:val="nothing"/>
      <w:lvlText w:val="%1　"/>
      <w:lvlJc w:val="left"/>
      <w:pPr>
        <w:ind w:left="0" w:firstLine="400"/>
      </w:pPr>
    </w:lvl>
  </w:abstractNum>
  <w:abstractNum w:abstractNumId="4">
    <w:nsid w:val="C8E4A651"/>
    <w:multiLevelType w:val="singleLevel"/>
    <w:tmpl w:val="C8E4A651"/>
    <w:lvl w:ilvl="0" w:tentative="0">
      <w:start w:val="1"/>
      <w:numFmt w:val="decimal"/>
      <w:lvlText w:val="(%1)"/>
      <w:lvlJc w:val="left"/>
      <w:pPr>
        <w:ind w:left="425" w:hanging="425"/>
      </w:pPr>
    </w:lvl>
  </w:abstractNum>
  <w:abstractNum w:abstractNumId="5">
    <w:nsid w:val="D5B14AB9"/>
    <w:multiLevelType w:val="multilevel"/>
    <w:tmpl w:val="D5B14AB9"/>
    <w:lvl w:ilvl="0" w:tentative="0">
      <w:start w:val="1"/>
      <w:numFmt w:val="decimal"/>
      <w:lvlText w:val="（%1）"/>
      <w:lvlJc w:val="left"/>
      <w:pPr>
        <w:tabs>
          <w:tab w:val="left" w:pos="1273"/>
        </w:tabs>
        <w:ind w:left="1262" w:hanging="500"/>
      </w:pPr>
    </w:lvl>
    <w:lvl w:ilvl="1" w:tentative="0">
      <w:start w:val="1"/>
      <w:numFmt w:val="japaneseCounting"/>
      <w:lvlText w:val="（%2）"/>
      <w:lvlJc w:val="left"/>
      <w:pPr>
        <w:ind w:left="1562" w:hanging="7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6">
    <w:nsid w:val="F1D14BBD"/>
    <w:multiLevelType w:val="multilevel"/>
    <w:tmpl w:val="F1D14BBD"/>
    <w:lvl w:ilvl="0" w:tentative="0">
      <w:start w:val="1"/>
      <w:numFmt w:val="decimal"/>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F6CE8F93"/>
    <w:multiLevelType w:val="singleLevel"/>
    <w:tmpl w:val="F6CE8F93"/>
    <w:lvl w:ilvl="0" w:tentative="0">
      <w:start w:val="1"/>
      <w:numFmt w:val="decimalEnclosedCircleChinese"/>
      <w:suff w:val="nothing"/>
      <w:lvlText w:val="%1　"/>
      <w:lvlJc w:val="left"/>
      <w:pPr>
        <w:ind w:left="0" w:firstLine="400"/>
      </w:pPr>
    </w:lvl>
  </w:abstractNum>
  <w:abstractNum w:abstractNumId="8">
    <w:nsid w:val="F78DD0EA"/>
    <w:multiLevelType w:val="singleLevel"/>
    <w:tmpl w:val="F78DD0EA"/>
    <w:lvl w:ilvl="0" w:tentative="0">
      <w:start w:val="8"/>
      <w:numFmt w:val="decimal"/>
      <w:suff w:val="nothing"/>
      <w:lvlText w:val="%1、"/>
      <w:lvlJc w:val="left"/>
    </w:lvl>
  </w:abstractNum>
  <w:abstractNum w:abstractNumId="9">
    <w:nsid w:val="FD3D5028"/>
    <w:multiLevelType w:val="singleLevel"/>
    <w:tmpl w:val="FD3D5028"/>
    <w:lvl w:ilvl="0" w:tentative="0">
      <w:start w:val="1"/>
      <w:numFmt w:val="decimal"/>
      <w:lvlText w:val="(%1)"/>
      <w:lvlJc w:val="left"/>
      <w:pPr>
        <w:ind w:left="425" w:hanging="425"/>
      </w:pPr>
    </w:lvl>
  </w:abstractNum>
  <w:abstractNum w:abstractNumId="10">
    <w:nsid w:val="00000003"/>
    <w:multiLevelType w:val="multilevel"/>
    <w:tmpl w:val="00000003"/>
    <w:lvl w:ilvl="0" w:tentative="0">
      <w:start w:val="1"/>
      <w:numFmt w:val="decimal"/>
      <w:lvlText w:val="（%1）"/>
      <w:lvlJc w:val="left"/>
      <w:pPr>
        <w:tabs>
          <w:tab w:val="left" w:pos="937"/>
        </w:tabs>
        <w:ind w:left="926" w:hanging="50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7"/>
    <w:multiLevelType w:val="multilevel"/>
    <w:tmpl w:val="00000007"/>
    <w:lvl w:ilvl="0" w:tentative="0">
      <w:start w:val="1"/>
      <w:numFmt w:val="bullet"/>
      <w:pStyle w:val="4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02FCA2B6"/>
    <w:multiLevelType w:val="singleLevel"/>
    <w:tmpl w:val="02FCA2B6"/>
    <w:lvl w:ilvl="0" w:tentative="0">
      <w:start w:val="1"/>
      <w:numFmt w:val="decimal"/>
      <w:suff w:val="space"/>
      <w:lvlText w:val="%1."/>
      <w:lvlJc w:val="left"/>
      <w:pPr>
        <w:ind w:left="0" w:firstLine="0"/>
      </w:pPr>
    </w:lvl>
  </w:abstractNum>
  <w:abstractNum w:abstractNumId="13">
    <w:nsid w:val="0AB90C6B"/>
    <w:multiLevelType w:val="multilevel"/>
    <w:tmpl w:val="0AB90C6B"/>
    <w:lvl w:ilvl="0" w:tentative="0">
      <w:start w:val="1"/>
      <w:numFmt w:val="decimal"/>
      <w:lvlText w:val="（%1）"/>
      <w:lvlJc w:val="left"/>
      <w:pPr>
        <w:tabs>
          <w:tab w:val="left" w:pos="1273"/>
        </w:tabs>
        <w:ind w:left="1262" w:hanging="500"/>
      </w:pPr>
    </w:lvl>
    <w:lvl w:ilvl="1" w:tentative="0">
      <w:start w:val="1"/>
      <w:numFmt w:val="japaneseCounting"/>
      <w:lvlText w:val="（%2）"/>
      <w:lvlJc w:val="left"/>
      <w:pPr>
        <w:ind w:left="1562" w:hanging="7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4">
    <w:nsid w:val="39E4E3C9"/>
    <w:multiLevelType w:val="singleLevel"/>
    <w:tmpl w:val="39E4E3C9"/>
    <w:lvl w:ilvl="0" w:tentative="0">
      <w:start w:val="13"/>
      <w:numFmt w:val="decimal"/>
      <w:suff w:val="nothing"/>
      <w:lvlText w:val="%1．"/>
      <w:lvlJc w:val="left"/>
      <w:pPr>
        <w:ind w:left="0" w:firstLine="0"/>
      </w:pPr>
    </w:lvl>
  </w:abstractNum>
  <w:abstractNum w:abstractNumId="15">
    <w:nsid w:val="54F403B5"/>
    <w:multiLevelType w:val="singleLevel"/>
    <w:tmpl w:val="54F403B5"/>
    <w:lvl w:ilvl="0" w:tentative="0">
      <w:start w:val="1"/>
      <w:numFmt w:val="chineseCounting"/>
      <w:suff w:val="nothing"/>
      <w:lvlText w:val="%1、"/>
      <w:lvlJc w:val="left"/>
      <w:pPr>
        <w:ind w:left="0" w:firstLine="0"/>
      </w:pPr>
    </w:lvl>
  </w:abstractNum>
  <w:abstractNum w:abstractNumId="16">
    <w:nsid w:val="557FD3DA"/>
    <w:multiLevelType w:val="singleLevel"/>
    <w:tmpl w:val="557FD3DA"/>
    <w:lvl w:ilvl="0" w:tentative="0">
      <w:start w:val="3"/>
      <w:numFmt w:val="chineseCounting"/>
      <w:suff w:val="nothing"/>
      <w:lvlText w:val="%1、"/>
      <w:lvlJc w:val="left"/>
      <w:pPr>
        <w:ind w:left="0" w:firstLine="0"/>
      </w:pPr>
    </w:lvl>
  </w:abstractNum>
  <w:abstractNum w:abstractNumId="17">
    <w:nsid w:val="5A3C02B2"/>
    <w:multiLevelType w:val="singleLevel"/>
    <w:tmpl w:val="5A3C02B2"/>
    <w:lvl w:ilvl="0" w:tentative="0">
      <w:start w:val="1"/>
      <w:numFmt w:val="lowerLetter"/>
      <w:lvlText w:val="%1."/>
      <w:lvlJc w:val="left"/>
      <w:pPr>
        <w:ind w:left="425" w:hanging="425"/>
      </w:pPr>
    </w:lvl>
  </w:abstractNum>
  <w:abstractNum w:abstractNumId="18">
    <w:nsid w:val="61AE1CED"/>
    <w:multiLevelType w:val="singleLevel"/>
    <w:tmpl w:val="61AE1CED"/>
    <w:lvl w:ilvl="0" w:tentative="0">
      <w:start w:val="1"/>
      <w:numFmt w:val="decimalEnclosedCircleChinese"/>
      <w:suff w:val="nothing"/>
      <w:lvlText w:val="%1　"/>
      <w:lvlJc w:val="left"/>
      <w:pPr>
        <w:ind w:left="0" w:firstLine="400"/>
      </w:pPr>
      <w:rPr>
        <w:rFonts w:hint="eastAsia"/>
      </w:rPr>
    </w:lvl>
  </w:abstractNum>
  <w:abstractNum w:abstractNumId="19">
    <w:nsid w:val="76881C88"/>
    <w:multiLevelType w:val="singleLevel"/>
    <w:tmpl w:val="76881C88"/>
    <w:lvl w:ilvl="0" w:tentative="0">
      <w:start w:val="5"/>
      <w:numFmt w:val="chineseCounting"/>
      <w:suff w:val="nothing"/>
      <w:lvlText w:val="%1、"/>
      <w:lvlJc w:val="left"/>
      <w:rPr>
        <w:rFonts w:hint="eastAsia"/>
      </w:rPr>
    </w:lvl>
  </w:abstractNum>
  <w:abstractNum w:abstractNumId="20">
    <w:nsid w:val="7D4C19BB"/>
    <w:multiLevelType w:val="multilevel"/>
    <w:tmpl w:val="7D4C19BB"/>
    <w:lvl w:ilvl="0" w:tentative="0">
      <w:start w:val="1"/>
      <w:numFmt w:val="decimal"/>
      <w:lvlText w:val="（%1）"/>
      <w:lvlJc w:val="left"/>
      <w:pPr>
        <w:ind w:left="1249" w:hanging="420"/>
      </w:pPr>
    </w:lvl>
    <w:lvl w:ilvl="1" w:tentative="0">
      <w:start w:val="1"/>
      <w:numFmt w:val="decimal"/>
      <w:lvlText w:val="（%2）"/>
      <w:lvlJc w:val="left"/>
      <w:pPr>
        <w:ind w:left="3398" w:hanging="420"/>
      </w:pPr>
    </w:lvl>
    <w:lvl w:ilvl="2" w:tentative="0">
      <w:start w:val="1"/>
      <w:numFmt w:val="lowerRoman"/>
      <w:lvlText w:val="%3."/>
      <w:lvlJc w:val="right"/>
      <w:pPr>
        <w:ind w:left="2089" w:hanging="420"/>
      </w:pPr>
    </w:lvl>
    <w:lvl w:ilvl="3" w:tentative="0">
      <w:start w:val="1"/>
      <w:numFmt w:val="decimal"/>
      <w:lvlText w:val="%4."/>
      <w:lvlJc w:val="left"/>
      <w:pPr>
        <w:ind w:left="2509" w:hanging="420"/>
      </w:pPr>
    </w:lvl>
    <w:lvl w:ilvl="4" w:tentative="0">
      <w:start w:val="1"/>
      <w:numFmt w:val="lowerLetter"/>
      <w:lvlText w:val="%5)"/>
      <w:lvlJc w:val="left"/>
      <w:pPr>
        <w:ind w:left="2929" w:hanging="420"/>
      </w:pPr>
    </w:lvl>
    <w:lvl w:ilvl="5" w:tentative="0">
      <w:start w:val="1"/>
      <w:numFmt w:val="lowerRoman"/>
      <w:lvlText w:val="%6."/>
      <w:lvlJc w:val="right"/>
      <w:pPr>
        <w:ind w:left="3349" w:hanging="420"/>
      </w:pPr>
    </w:lvl>
    <w:lvl w:ilvl="6" w:tentative="0">
      <w:start w:val="1"/>
      <w:numFmt w:val="decimal"/>
      <w:lvlText w:val="%7."/>
      <w:lvlJc w:val="left"/>
      <w:pPr>
        <w:ind w:left="3769" w:hanging="420"/>
      </w:pPr>
    </w:lvl>
    <w:lvl w:ilvl="7" w:tentative="0">
      <w:start w:val="1"/>
      <w:numFmt w:val="lowerLetter"/>
      <w:lvlText w:val="%8)"/>
      <w:lvlJc w:val="left"/>
      <w:pPr>
        <w:ind w:left="4189" w:hanging="420"/>
      </w:pPr>
    </w:lvl>
    <w:lvl w:ilvl="8" w:tentative="0">
      <w:start w:val="1"/>
      <w:numFmt w:val="lowerRoman"/>
      <w:lvlText w:val="%9."/>
      <w:lvlJc w:val="right"/>
      <w:pPr>
        <w:ind w:left="4609" w:hanging="420"/>
      </w:pPr>
    </w:lvl>
  </w:abstractNum>
  <w:num w:numId="1">
    <w:abstractNumId w:val="11"/>
  </w:num>
  <w:num w:numId="2">
    <w:abstractNumId w:val="12"/>
    <w:lvlOverride w:ilvl="0">
      <w:startOverride w:val="1"/>
    </w:lvlOverride>
  </w:num>
  <w:num w:numId="3">
    <w:abstractNumId w:val="2"/>
    <w:lvlOverride w:ilvl="0">
      <w:startOverride w:val="1"/>
    </w:lvlOverride>
  </w:num>
  <w:num w:numId="4">
    <w:abstractNumId w:val="17"/>
    <w:lvlOverride w:ilvl="0">
      <w:startOverride w:val="1"/>
    </w:lvlOverride>
  </w:num>
  <w:num w:numId="5">
    <w:abstractNumId w:val="3"/>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3"/>
    </w:lvlOverride>
  </w:num>
  <w:num w:numId="10">
    <w:abstractNumId w:val="18"/>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4"/>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lvlOverride w:ilvl="0">
      <w:startOverride w:val="1"/>
    </w:lvlOverride>
  </w:num>
  <w:num w:numId="20">
    <w:abstractNumId w:val="15"/>
    <w:lvlOverride w:ilvl="0">
      <w:startOverride w:val="1"/>
    </w:lvlOverride>
  </w:num>
  <w:num w:numId="21">
    <w:abstractNumId w:val="1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dit="readOnly" w:formatting="1" w:enforcement="1"/>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ZDNhOWE2YmI1NzhmNDhiOTY3NzA1ZmExNmMzODEifQ=="/>
  </w:docVars>
  <w:rsids>
    <w:rsidRoot w:val="00751A03"/>
    <w:rsid w:val="000A333B"/>
    <w:rsid w:val="00122F0B"/>
    <w:rsid w:val="002F0531"/>
    <w:rsid w:val="006A3706"/>
    <w:rsid w:val="006B3722"/>
    <w:rsid w:val="00701EFF"/>
    <w:rsid w:val="00751A03"/>
    <w:rsid w:val="00836DEA"/>
    <w:rsid w:val="008C0937"/>
    <w:rsid w:val="00955C60"/>
    <w:rsid w:val="00CA21EC"/>
    <w:rsid w:val="00D043C5"/>
    <w:rsid w:val="00DE59C7"/>
    <w:rsid w:val="00E84208"/>
    <w:rsid w:val="00ED643C"/>
    <w:rsid w:val="00FE7330"/>
    <w:rsid w:val="02745604"/>
    <w:rsid w:val="02A54DED"/>
    <w:rsid w:val="04B1618E"/>
    <w:rsid w:val="07921F45"/>
    <w:rsid w:val="07EB5654"/>
    <w:rsid w:val="08896C0B"/>
    <w:rsid w:val="09750F6D"/>
    <w:rsid w:val="0A9A61D9"/>
    <w:rsid w:val="0AEE3C07"/>
    <w:rsid w:val="0BEB4AD8"/>
    <w:rsid w:val="0E3B55C4"/>
    <w:rsid w:val="0E552F87"/>
    <w:rsid w:val="0F3F00BC"/>
    <w:rsid w:val="0F551104"/>
    <w:rsid w:val="0F8C39F4"/>
    <w:rsid w:val="0FDBC3A5"/>
    <w:rsid w:val="10A73AF1"/>
    <w:rsid w:val="11852D97"/>
    <w:rsid w:val="12A70A1A"/>
    <w:rsid w:val="14962FCF"/>
    <w:rsid w:val="159B77D8"/>
    <w:rsid w:val="16961E7C"/>
    <w:rsid w:val="16E14859"/>
    <w:rsid w:val="17E01981"/>
    <w:rsid w:val="1BE34B6F"/>
    <w:rsid w:val="1FB95EFB"/>
    <w:rsid w:val="1FF71B09"/>
    <w:rsid w:val="21386BE7"/>
    <w:rsid w:val="225211C1"/>
    <w:rsid w:val="24C745BD"/>
    <w:rsid w:val="26402065"/>
    <w:rsid w:val="2694004C"/>
    <w:rsid w:val="26D0518E"/>
    <w:rsid w:val="28C42452"/>
    <w:rsid w:val="29013255"/>
    <w:rsid w:val="29CC3D1D"/>
    <w:rsid w:val="2D5C05DE"/>
    <w:rsid w:val="30256C9C"/>
    <w:rsid w:val="308A39E2"/>
    <w:rsid w:val="30EE373F"/>
    <w:rsid w:val="328B6984"/>
    <w:rsid w:val="32AB69F3"/>
    <w:rsid w:val="32B74223"/>
    <w:rsid w:val="32C454DC"/>
    <w:rsid w:val="33172C22"/>
    <w:rsid w:val="347722A6"/>
    <w:rsid w:val="35459B26"/>
    <w:rsid w:val="36EE9F58"/>
    <w:rsid w:val="371A71DB"/>
    <w:rsid w:val="382D71B4"/>
    <w:rsid w:val="38BE2B84"/>
    <w:rsid w:val="38E2237C"/>
    <w:rsid w:val="3ADF5AD5"/>
    <w:rsid w:val="3C77523E"/>
    <w:rsid w:val="3DB56F17"/>
    <w:rsid w:val="3DF82000"/>
    <w:rsid w:val="4092690E"/>
    <w:rsid w:val="42943083"/>
    <w:rsid w:val="429C278D"/>
    <w:rsid w:val="42E3660E"/>
    <w:rsid w:val="44964E9B"/>
    <w:rsid w:val="45640F2B"/>
    <w:rsid w:val="48474D8A"/>
    <w:rsid w:val="48745CB4"/>
    <w:rsid w:val="49096DA1"/>
    <w:rsid w:val="4A02381D"/>
    <w:rsid w:val="4B0166D5"/>
    <w:rsid w:val="50F87728"/>
    <w:rsid w:val="51506396"/>
    <w:rsid w:val="51CD017A"/>
    <w:rsid w:val="51FED7AB"/>
    <w:rsid w:val="565A053D"/>
    <w:rsid w:val="568E3006"/>
    <w:rsid w:val="56916F5A"/>
    <w:rsid w:val="579C41BC"/>
    <w:rsid w:val="58204141"/>
    <w:rsid w:val="582924CD"/>
    <w:rsid w:val="590C1BEE"/>
    <w:rsid w:val="5A332504"/>
    <w:rsid w:val="5A3A6718"/>
    <w:rsid w:val="5A684CB6"/>
    <w:rsid w:val="5B5F1F78"/>
    <w:rsid w:val="5BD462C2"/>
    <w:rsid w:val="5C2326A8"/>
    <w:rsid w:val="5EBE079C"/>
    <w:rsid w:val="5EFA7CCD"/>
    <w:rsid w:val="5F183621"/>
    <w:rsid w:val="60BF6C92"/>
    <w:rsid w:val="614511A9"/>
    <w:rsid w:val="62260702"/>
    <w:rsid w:val="63BFD95A"/>
    <w:rsid w:val="678371C8"/>
    <w:rsid w:val="681849D9"/>
    <w:rsid w:val="6C367E00"/>
    <w:rsid w:val="6CE67AF4"/>
    <w:rsid w:val="6CE7143A"/>
    <w:rsid w:val="6CFCFA9A"/>
    <w:rsid w:val="6E631D5E"/>
    <w:rsid w:val="6EF2E33A"/>
    <w:rsid w:val="6F6A122A"/>
    <w:rsid w:val="6FBB27F8"/>
    <w:rsid w:val="6FFF438D"/>
    <w:rsid w:val="70A0448A"/>
    <w:rsid w:val="71583B8C"/>
    <w:rsid w:val="757DE146"/>
    <w:rsid w:val="75ED5D32"/>
    <w:rsid w:val="76ADDE40"/>
    <w:rsid w:val="7BB33F27"/>
    <w:rsid w:val="7CA3E458"/>
    <w:rsid w:val="7CE5428C"/>
    <w:rsid w:val="7DF5C8F7"/>
    <w:rsid w:val="7F0F13C3"/>
    <w:rsid w:val="7F7D58EC"/>
    <w:rsid w:val="7FF9128A"/>
    <w:rsid w:val="7FFBDF26"/>
    <w:rsid w:val="9D4B5CFF"/>
    <w:rsid w:val="BA7B23C6"/>
    <w:rsid w:val="BF5E8C75"/>
    <w:rsid w:val="BFDB5932"/>
    <w:rsid w:val="CFFA1364"/>
    <w:rsid w:val="CFFF7263"/>
    <w:rsid w:val="DFEFD79F"/>
    <w:rsid w:val="DFF7E9E8"/>
    <w:rsid w:val="E7FECF27"/>
    <w:rsid w:val="E9F71EFB"/>
    <w:rsid w:val="EBB5F5F1"/>
    <w:rsid w:val="ECEF2227"/>
    <w:rsid w:val="F38D895D"/>
    <w:rsid w:val="FA7FF56E"/>
    <w:rsid w:val="FB3BD7B7"/>
    <w:rsid w:val="FB6E079A"/>
    <w:rsid w:val="FB7E255A"/>
    <w:rsid w:val="FE734873"/>
    <w:rsid w:val="FF276B5D"/>
    <w:rsid w:val="FFEF43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0" w:name="toc 3"/>
    <w:lsdException w:uiPriority="0" w:name="toc 4"/>
    <w:lsdException w:qFormat="1" w:unhideWhenUsed="0" w:uiPriority="0" w:semiHidden="0" w:name="toc 5"/>
    <w:lsdException w:qFormat="1" w:uiPriority="0" w:name="toc 6"/>
    <w:lsdException w:qFormat="1" w:uiPriority="0" w:name="toc 7"/>
    <w:lsdException w:qFormat="1" w:unhideWhenUsed="0" w:uiPriority="0" w:semiHidden="0" w:name="toc 8"/>
    <w:lsdException w:uiPriority="0" w:name="toc 9"/>
    <w:lsdException w:qFormat="1" w:uiPriority="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0" w:name="List Number"/>
    <w:lsdException w:uiPriority="99" w:name="List 2"/>
    <w:lsdException w:uiPriority="99" w:name="List 3"/>
    <w:lsdException w:uiPriority="99" w:name="List 4"/>
    <w:lsdException w:uiPriority="0" w:name="List 5"/>
    <w:lsdException w:uiPriority="99" w:name="List Bullet 2"/>
    <w:lsdException w:uiPriority="99" w:name="List Bullet 3"/>
    <w:lsdException w:uiPriority="99" w:name="List Bullet 4"/>
    <w:lsdException w:uiPriority="99" w:name="List Bullet 5"/>
    <w:lsdException w:uiPriority="99" w:name="List Number 2"/>
    <w:lsdException w:uiPriority="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qFormat="1" w:uiPriority="0" w:name="Body Text First Indent"/>
    <w:lsdException w:qFormat="1" w:uiPriority="99" w:name="Body Text First Indent 2"/>
    <w:lsdException w:uiPriority="99" w:name="Note Heading"/>
    <w:lsdException w:qFormat="1" w:uiPriority="0" w:name="Body Text 2"/>
    <w:lsdException w:uiPriority="99" w:name="Body Text 3"/>
    <w:lsdException w:qFormat="1" w:uiPriority="0" w:name="Body Text Indent 2"/>
    <w:lsdException w:qFormat="1"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6" w:lineRule="auto"/>
      <w:outlineLvl w:val="0"/>
    </w:pPr>
    <w:rPr>
      <w:rFonts w:eastAsia="Century Gothic" w:cs="宋体"/>
      <w:kern w:val="44"/>
      <w:sz w:val="44"/>
      <w:szCs w:val="44"/>
    </w:rPr>
  </w:style>
  <w:style w:type="paragraph" w:styleId="3">
    <w:name w:val="heading 2"/>
    <w:basedOn w:val="1"/>
    <w:next w:val="1"/>
    <w:link w:val="47"/>
    <w:unhideWhenUsed/>
    <w:qFormat/>
    <w:uiPriority w:val="0"/>
    <w:pPr>
      <w:keepNext/>
      <w:keepLines/>
      <w:adjustRightInd w:val="0"/>
      <w:spacing w:before="260" w:after="260" w:line="412" w:lineRule="auto"/>
      <w:jc w:val="left"/>
      <w:outlineLvl w:val="1"/>
    </w:pPr>
    <w:rPr>
      <w:rFonts w:ascii="黑体" w:hAnsi="黑体" w:eastAsia="楷体" w:cs="宋体"/>
      <w:b/>
      <w:bCs/>
      <w:kern w:val="0"/>
      <w:sz w:val="32"/>
      <w:szCs w:val="32"/>
    </w:rPr>
  </w:style>
  <w:style w:type="paragraph" w:styleId="4">
    <w:name w:val="heading 3"/>
    <w:basedOn w:val="1"/>
    <w:next w:val="1"/>
    <w:link w:val="48"/>
    <w:semiHidden/>
    <w:unhideWhenUsed/>
    <w:qFormat/>
    <w:uiPriority w:val="0"/>
    <w:pPr>
      <w:keepNext/>
      <w:keepLines/>
      <w:spacing w:before="260" w:after="260" w:line="415" w:lineRule="auto"/>
      <w:outlineLvl w:val="2"/>
    </w:pPr>
    <w:rPr>
      <w:rFonts w:cs="宋体"/>
      <w:b/>
      <w:bCs/>
      <w:sz w:val="32"/>
      <w:szCs w:val="32"/>
    </w:rPr>
  </w:style>
  <w:style w:type="paragraph" w:styleId="5">
    <w:name w:val="heading 4"/>
    <w:basedOn w:val="1"/>
    <w:next w:val="1"/>
    <w:link w:val="50"/>
    <w:semiHidden/>
    <w:unhideWhenUsed/>
    <w:qFormat/>
    <w:uiPriority w:val="0"/>
    <w:pPr>
      <w:keepNext/>
      <w:widowControl/>
      <w:snapToGrid w:val="0"/>
      <w:jc w:val="center"/>
      <w:outlineLvl w:val="3"/>
    </w:pPr>
    <w:rPr>
      <w:rFonts w:ascii="MS Sans Serif" w:hAnsi="仿宋_GB2312" w:eastAsia="MS Sans Serif" w:cs="宋体"/>
      <w:kern w:val="0"/>
      <w:sz w:val="24"/>
      <w:szCs w:val="20"/>
    </w:rPr>
  </w:style>
  <w:style w:type="paragraph" w:styleId="6">
    <w:name w:val="heading 5"/>
    <w:basedOn w:val="1"/>
    <w:next w:val="1"/>
    <w:link w:val="53"/>
    <w:semiHidden/>
    <w:unhideWhenUsed/>
    <w:qFormat/>
    <w:uiPriority w:val="0"/>
    <w:pPr>
      <w:widowControl/>
      <w:spacing w:before="240" w:after="60"/>
      <w:jc w:val="left"/>
      <w:outlineLvl w:val="4"/>
    </w:pPr>
    <w:rPr>
      <w:rFonts w:ascii="MS Sans Serif" w:eastAsia="MS Sans Serif" w:cs="宋体"/>
      <w:kern w:val="0"/>
      <w:sz w:val="24"/>
      <w:szCs w:val="20"/>
    </w:rPr>
  </w:style>
  <w:style w:type="paragraph" w:styleId="7">
    <w:name w:val="heading 6"/>
    <w:basedOn w:val="1"/>
    <w:next w:val="8"/>
    <w:link w:val="54"/>
    <w:semiHidden/>
    <w:unhideWhenUsed/>
    <w:qFormat/>
    <w:uiPriority w:val="0"/>
    <w:pPr>
      <w:keepNext/>
      <w:keepLines/>
      <w:spacing w:before="240" w:after="64" w:line="319" w:lineRule="auto"/>
      <w:outlineLvl w:val="5"/>
    </w:pPr>
    <w:rPr>
      <w:rFonts w:ascii="黑体" w:hAnsi="黑体" w:eastAsia="楷体" w:cs="宋体"/>
      <w:b/>
      <w:sz w:val="24"/>
      <w:szCs w:val="20"/>
    </w:rPr>
  </w:style>
  <w:style w:type="paragraph" w:styleId="10">
    <w:name w:val="heading 7"/>
    <w:basedOn w:val="1"/>
    <w:next w:val="8"/>
    <w:link w:val="55"/>
    <w:semiHidden/>
    <w:unhideWhenUsed/>
    <w:qFormat/>
    <w:uiPriority w:val="0"/>
    <w:pPr>
      <w:keepNext/>
      <w:keepLines/>
      <w:spacing w:before="240" w:after="64" w:line="319" w:lineRule="auto"/>
      <w:outlineLvl w:val="6"/>
    </w:pPr>
    <w:rPr>
      <w:b/>
      <w:sz w:val="24"/>
      <w:szCs w:val="20"/>
    </w:rPr>
  </w:style>
  <w:style w:type="paragraph" w:styleId="11">
    <w:name w:val="heading 8"/>
    <w:basedOn w:val="1"/>
    <w:next w:val="8"/>
    <w:link w:val="56"/>
    <w:semiHidden/>
    <w:unhideWhenUsed/>
    <w:qFormat/>
    <w:uiPriority w:val="0"/>
    <w:pPr>
      <w:keepNext/>
      <w:keepLines/>
      <w:spacing w:before="240" w:after="64" w:line="319" w:lineRule="auto"/>
      <w:outlineLvl w:val="7"/>
    </w:pPr>
    <w:rPr>
      <w:rFonts w:ascii="黑体" w:hAnsi="黑体" w:eastAsia="楷体"/>
      <w:sz w:val="24"/>
      <w:szCs w:val="20"/>
    </w:rPr>
  </w:style>
  <w:style w:type="paragraph" w:styleId="12">
    <w:name w:val="heading 9"/>
    <w:basedOn w:val="1"/>
    <w:next w:val="8"/>
    <w:link w:val="57"/>
    <w:semiHidden/>
    <w:unhideWhenUsed/>
    <w:qFormat/>
    <w:uiPriority w:val="0"/>
    <w:pPr>
      <w:keepNext/>
      <w:keepLines/>
      <w:spacing w:before="240" w:after="64" w:line="319" w:lineRule="auto"/>
      <w:outlineLvl w:val="8"/>
    </w:pPr>
    <w:rPr>
      <w:rFonts w:ascii="黑体" w:hAnsi="黑体" w:eastAsia="楷体"/>
      <w:szCs w:val="20"/>
    </w:rPr>
  </w:style>
  <w:style w:type="character" w:default="1" w:styleId="38">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8">
    <w:name w:val="Normal Indent"/>
    <w:basedOn w:val="1"/>
    <w:next w:val="9"/>
    <w:link w:val="49"/>
    <w:semiHidden/>
    <w:unhideWhenUsed/>
    <w:qFormat/>
    <w:uiPriority w:val="0"/>
    <w:pPr>
      <w:widowControl/>
      <w:ind w:firstLine="420"/>
      <w:jc w:val="left"/>
    </w:pPr>
    <w:rPr>
      <w:rFonts w:ascii="Arial" w:hAnsi="Arial" w:cs="Arial"/>
      <w:kern w:val="0"/>
      <w:sz w:val="20"/>
      <w:szCs w:val="20"/>
    </w:rPr>
  </w:style>
  <w:style w:type="paragraph" w:styleId="9">
    <w:name w:val="toc 8"/>
    <w:basedOn w:val="1"/>
    <w:next w:val="1"/>
    <w:qFormat/>
    <w:uiPriority w:val="0"/>
    <w:pPr>
      <w:wordWrap w:val="0"/>
      <w:ind w:left="1270"/>
      <w:jc w:val="both"/>
    </w:pPr>
    <w:rPr>
      <w:rFonts w:ascii="Calibri" w:hAnsi="Calibri" w:eastAsia="宋体" w:cs="Times New Roman"/>
      <w:lang w:val="en-US" w:eastAsia="zh-CN" w:bidi="ar-SA"/>
    </w:rPr>
  </w:style>
  <w:style w:type="paragraph" w:styleId="13">
    <w:name w:val="toc 7"/>
    <w:basedOn w:val="1"/>
    <w:next w:val="1"/>
    <w:semiHidden/>
    <w:unhideWhenUsed/>
    <w:qFormat/>
    <w:uiPriority w:val="0"/>
    <w:pPr>
      <w:ind w:left="1260"/>
      <w:jc w:val="left"/>
    </w:pPr>
    <w:rPr>
      <w:sz w:val="18"/>
      <w:szCs w:val="18"/>
    </w:rPr>
  </w:style>
  <w:style w:type="paragraph" w:styleId="14">
    <w:name w:val="List Number"/>
    <w:basedOn w:val="1"/>
    <w:semiHidden/>
    <w:unhideWhenUsed/>
    <w:qFormat/>
    <w:uiPriority w:val="0"/>
    <w:pPr>
      <w:widowControl/>
      <w:tabs>
        <w:tab w:val="left" w:pos="420"/>
        <w:tab w:val="left" w:pos="454"/>
      </w:tabs>
      <w:spacing w:afterLines="50"/>
      <w:ind w:left="454" w:hanging="284"/>
      <w:jc w:val="left"/>
    </w:pPr>
    <w:rPr>
      <w:kern w:val="0"/>
      <w:sz w:val="24"/>
      <w:szCs w:val="20"/>
    </w:rPr>
  </w:style>
  <w:style w:type="paragraph" w:styleId="15">
    <w:name w:val="Document Map"/>
    <w:basedOn w:val="1"/>
    <w:link w:val="69"/>
    <w:semiHidden/>
    <w:unhideWhenUsed/>
    <w:qFormat/>
    <w:uiPriority w:val="0"/>
    <w:pPr>
      <w:shd w:val="clear" w:color="auto" w:fill="000080"/>
    </w:pPr>
  </w:style>
  <w:style w:type="paragraph" w:styleId="16">
    <w:name w:val="annotation text"/>
    <w:basedOn w:val="1"/>
    <w:link w:val="59"/>
    <w:semiHidden/>
    <w:unhideWhenUsed/>
    <w:qFormat/>
    <w:uiPriority w:val="0"/>
    <w:pPr>
      <w:jc w:val="left"/>
    </w:pPr>
  </w:style>
  <w:style w:type="paragraph" w:styleId="17">
    <w:name w:val="Body Text"/>
    <w:basedOn w:val="1"/>
    <w:next w:val="18"/>
    <w:link w:val="62"/>
    <w:semiHidden/>
    <w:unhideWhenUsed/>
    <w:qFormat/>
    <w:uiPriority w:val="0"/>
    <w:pPr>
      <w:spacing w:after="120"/>
    </w:pPr>
  </w:style>
  <w:style w:type="paragraph" w:styleId="18">
    <w:name w:val="Body Text First Indent"/>
    <w:basedOn w:val="17"/>
    <w:next w:val="19"/>
    <w:link w:val="61"/>
    <w:semiHidden/>
    <w:unhideWhenUsed/>
    <w:qFormat/>
    <w:uiPriority w:val="0"/>
    <w:pPr>
      <w:ind w:firstLine="420"/>
    </w:pPr>
  </w:style>
  <w:style w:type="paragraph" w:styleId="19">
    <w:name w:val="toc 6"/>
    <w:basedOn w:val="1"/>
    <w:next w:val="1"/>
    <w:semiHidden/>
    <w:unhideWhenUsed/>
    <w:qFormat/>
    <w:uiPriority w:val="0"/>
    <w:pPr>
      <w:ind w:left="1050"/>
      <w:jc w:val="left"/>
    </w:pPr>
    <w:rPr>
      <w:sz w:val="18"/>
      <w:szCs w:val="18"/>
    </w:rPr>
  </w:style>
  <w:style w:type="paragraph" w:styleId="20">
    <w:name w:val="Body Text Indent"/>
    <w:basedOn w:val="1"/>
    <w:next w:val="1"/>
    <w:link w:val="63"/>
    <w:semiHidden/>
    <w:unhideWhenUsed/>
    <w:qFormat/>
    <w:uiPriority w:val="0"/>
    <w:pPr>
      <w:adjustRightInd w:val="0"/>
      <w:spacing w:line="360" w:lineRule="auto"/>
      <w:ind w:firstLine="490"/>
      <w:jc w:val="left"/>
    </w:pPr>
    <w:rPr>
      <w:rFonts w:ascii="Century Gothic" w:hAnsi="Century Gothic" w:eastAsia="Century Gothic"/>
      <w:sz w:val="24"/>
      <w:szCs w:val="20"/>
    </w:rPr>
  </w:style>
  <w:style w:type="paragraph" w:styleId="21">
    <w:name w:val="toc 5"/>
    <w:basedOn w:val="1"/>
    <w:next w:val="1"/>
    <w:qFormat/>
    <w:uiPriority w:val="0"/>
    <w:pPr>
      <w:ind w:left="1680" w:leftChars="800"/>
    </w:pPr>
  </w:style>
  <w:style w:type="paragraph" w:styleId="22">
    <w:name w:val="toc 3"/>
    <w:basedOn w:val="1"/>
    <w:next w:val="1"/>
    <w:semiHidden/>
    <w:unhideWhenUsed/>
    <w:qFormat/>
    <w:uiPriority w:val="0"/>
    <w:pPr>
      <w:ind w:left="420"/>
      <w:jc w:val="left"/>
    </w:pPr>
    <w:rPr>
      <w:i/>
      <w:iCs/>
      <w:sz w:val="20"/>
      <w:szCs w:val="20"/>
    </w:rPr>
  </w:style>
  <w:style w:type="paragraph" w:styleId="23">
    <w:name w:val="Plain Text"/>
    <w:basedOn w:val="1"/>
    <w:next w:val="1"/>
    <w:link w:val="70"/>
    <w:semiHidden/>
    <w:unhideWhenUsed/>
    <w:qFormat/>
    <w:uiPriority w:val="0"/>
    <w:rPr>
      <w:rFonts w:ascii="Century Gothic" w:hAnsi="楷体_GB2312" w:eastAsia="Century Gothic" w:cs="楷体_GB2312"/>
      <w:szCs w:val="21"/>
    </w:rPr>
  </w:style>
  <w:style w:type="paragraph" w:styleId="24">
    <w:name w:val="Date"/>
    <w:basedOn w:val="1"/>
    <w:next w:val="1"/>
    <w:link w:val="64"/>
    <w:semiHidden/>
    <w:unhideWhenUsed/>
    <w:qFormat/>
    <w:uiPriority w:val="0"/>
    <w:pPr>
      <w:ind w:left="100" w:leftChars="2500"/>
    </w:pPr>
  </w:style>
  <w:style w:type="paragraph" w:styleId="25">
    <w:name w:val="Body Text Indent 2"/>
    <w:basedOn w:val="1"/>
    <w:link w:val="67"/>
    <w:semiHidden/>
    <w:unhideWhenUsed/>
    <w:qFormat/>
    <w:uiPriority w:val="0"/>
    <w:pPr>
      <w:adjustRightInd w:val="0"/>
      <w:spacing w:line="360" w:lineRule="auto"/>
      <w:ind w:firstLine="504" w:firstLineChars="210"/>
      <w:jc w:val="left"/>
    </w:pPr>
    <w:rPr>
      <w:rFonts w:ascii="Century Gothic" w:hAnsi="Century Gothic"/>
      <w:sz w:val="24"/>
      <w:szCs w:val="20"/>
    </w:rPr>
  </w:style>
  <w:style w:type="paragraph" w:styleId="26">
    <w:name w:val="Balloon Text"/>
    <w:basedOn w:val="1"/>
    <w:link w:val="72"/>
    <w:semiHidden/>
    <w:unhideWhenUsed/>
    <w:qFormat/>
    <w:uiPriority w:val="0"/>
    <w:rPr>
      <w:sz w:val="18"/>
      <w:szCs w:val="18"/>
    </w:rPr>
  </w:style>
  <w:style w:type="paragraph" w:styleId="27">
    <w:name w:val="footer"/>
    <w:basedOn w:val="1"/>
    <w:link w:val="52"/>
    <w:unhideWhenUsed/>
    <w:qFormat/>
    <w:uiPriority w:val="0"/>
    <w:pPr>
      <w:tabs>
        <w:tab w:val="center" w:pos="4153"/>
        <w:tab w:val="right" w:pos="8306"/>
      </w:tabs>
      <w:snapToGrid w:val="0"/>
      <w:jc w:val="left"/>
    </w:pPr>
    <w:rPr>
      <w:sz w:val="18"/>
      <w:szCs w:val="18"/>
    </w:rPr>
  </w:style>
  <w:style w:type="paragraph" w:styleId="28">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unhideWhenUsed/>
    <w:qFormat/>
    <w:uiPriority w:val="39"/>
    <w:pPr>
      <w:tabs>
        <w:tab w:val="right" w:leader="dot" w:pos="8720"/>
      </w:tabs>
      <w:spacing w:before="120" w:after="120"/>
      <w:jc w:val="left"/>
    </w:pPr>
    <w:rPr>
      <w:rFonts w:ascii="Century Gothic" w:hAnsi="Century Gothic"/>
      <w:bCs/>
      <w:caps/>
      <w:sz w:val="20"/>
      <w:szCs w:val="20"/>
    </w:rPr>
  </w:style>
  <w:style w:type="paragraph" w:styleId="30">
    <w:name w:val="Body Text Indent 3"/>
    <w:basedOn w:val="1"/>
    <w:link w:val="68"/>
    <w:semiHidden/>
    <w:unhideWhenUsed/>
    <w:qFormat/>
    <w:uiPriority w:val="0"/>
    <w:pPr>
      <w:spacing w:after="120"/>
      <w:ind w:left="420" w:leftChars="200"/>
    </w:pPr>
    <w:rPr>
      <w:sz w:val="16"/>
      <w:szCs w:val="16"/>
    </w:rPr>
  </w:style>
  <w:style w:type="paragraph" w:styleId="31">
    <w:name w:val="toc 2"/>
    <w:basedOn w:val="1"/>
    <w:next w:val="1"/>
    <w:semiHidden/>
    <w:unhideWhenUsed/>
    <w:qFormat/>
    <w:uiPriority w:val="39"/>
    <w:pPr>
      <w:tabs>
        <w:tab w:val="right" w:leader="dot" w:pos="8720"/>
      </w:tabs>
      <w:adjustRightInd w:val="0"/>
      <w:snapToGrid w:val="0"/>
      <w:jc w:val="left"/>
    </w:pPr>
    <w:rPr>
      <w:smallCaps/>
      <w:sz w:val="20"/>
      <w:szCs w:val="20"/>
    </w:rPr>
  </w:style>
  <w:style w:type="paragraph" w:styleId="32">
    <w:name w:val="Body Text 2"/>
    <w:basedOn w:val="1"/>
    <w:link w:val="66"/>
    <w:semiHidden/>
    <w:unhideWhenUsed/>
    <w:qFormat/>
    <w:uiPriority w:val="0"/>
    <w:rPr>
      <w:sz w:val="24"/>
    </w:rPr>
  </w:style>
  <w:style w:type="paragraph" w:styleId="33">
    <w:name w:val="Normal (Web)"/>
    <w:basedOn w:val="1"/>
    <w:semiHidden/>
    <w:unhideWhenUsed/>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34">
    <w:name w:val="Title"/>
    <w:basedOn w:val="1"/>
    <w:link w:val="60"/>
    <w:qFormat/>
    <w:uiPriority w:val="0"/>
    <w:pPr>
      <w:tabs>
        <w:tab w:val="left" w:pos="1200"/>
      </w:tabs>
      <w:spacing w:afterLines="200"/>
      <w:ind w:left="1440" w:hanging="720"/>
      <w:jc w:val="center"/>
    </w:pPr>
    <w:rPr>
      <w:b/>
      <w:bCs/>
      <w:spacing w:val="60"/>
      <w:sz w:val="32"/>
    </w:rPr>
  </w:style>
  <w:style w:type="paragraph" w:styleId="35">
    <w:name w:val="annotation subject"/>
    <w:basedOn w:val="16"/>
    <w:next w:val="16"/>
    <w:link w:val="71"/>
    <w:semiHidden/>
    <w:unhideWhenUsed/>
    <w:qFormat/>
    <w:uiPriority w:val="0"/>
    <w:rPr>
      <w:b/>
      <w:bCs/>
    </w:rPr>
  </w:style>
  <w:style w:type="paragraph" w:styleId="36">
    <w:name w:val="Body Text First Indent 2"/>
    <w:basedOn w:val="20"/>
    <w:next w:val="1"/>
    <w:link w:val="65"/>
    <w:semiHidden/>
    <w:unhideWhenUsed/>
    <w:qFormat/>
    <w:uiPriority w:val="99"/>
    <w:pPr>
      <w:ind w:firstLine="420" w:firstLineChars="200"/>
    </w:pPr>
  </w:style>
  <w:style w:type="character" w:styleId="39">
    <w:name w:val="Strong"/>
    <w:qFormat/>
    <w:uiPriority w:val="0"/>
    <w:rPr>
      <w:b/>
    </w:rPr>
  </w:style>
  <w:style w:type="character" w:styleId="40">
    <w:name w:val="page number"/>
    <w:basedOn w:val="38"/>
    <w:qFormat/>
    <w:uiPriority w:val="0"/>
  </w:style>
  <w:style w:type="character" w:styleId="41">
    <w:name w:val="Hyperlink"/>
    <w:semiHidden/>
    <w:unhideWhenUsed/>
    <w:qFormat/>
    <w:uiPriority w:val="0"/>
    <w:rPr>
      <w:color w:val="0000FF"/>
      <w:u w:val="single"/>
    </w:rPr>
  </w:style>
  <w:style w:type="character" w:styleId="42">
    <w:name w:val="annotation reference"/>
    <w:semiHidden/>
    <w:unhideWhenUsed/>
    <w:qFormat/>
    <w:uiPriority w:val="0"/>
    <w:rPr>
      <w:sz w:val="21"/>
      <w:szCs w:val="21"/>
    </w:rPr>
  </w:style>
  <w:style w:type="paragraph" w:customStyle="1" w:styleId="43">
    <w:name w:val="样式 正文文本缩进 + 左  0 字符"/>
    <w:basedOn w:val="1"/>
    <w:next w:val="44"/>
    <w:qFormat/>
    <w:uiPriority w:val="0"/>
    <w:pPr>
      <w:ind w:firstLine="645"/>
    </w:pPr>
    <w:rPr>
      <w:rFonts w:ascii="楷体_GB2312" w:eastAsia="楷体_GB2312"/>
      <w:sz w:val="24"/>
      <w:szCs w:val="20"/>
    </w:rPr>
  </w:style>
  <w:style w:type="paragraph" w:customStyle="1" w:styleId="44">
    <w:name w:val="MM Topic 4"/>
    <w:basedOn w:val="5"/>
    <w:qFormat/>
    <w:uiPriority w:val="0"/>
    <w:pPr>
      <w:numPr>
        <w:ilvl w:val="0"/>
        <w:numId w:val="1"/>
      </w:numPr>
      <w:tabs>
        <w:tab w:val="left" w:pos="2100"/>
      </w:tabs>
      <w:adjustRightInd/>
    </w:pPr>
    <w:rPr>
      <w:lang w:val="en-US"/>
    </w:rPr>
  </w:style>
  <w:style w:type="paragraph" w:styleId="45">
    <w:name w:val="No Spacing"/>
    <w:qFormat/>
    <w:uiPriority w:val="1"/>
    <w:pPr>
      <w:widowControl w:val="0"/>
      <w:ind w:firstLine="200" w:firstLineChars="200"/>
      <w:jc w:val="both"/>
    </w:pPr>
    <w:rPr>
      <w:rFonts w:eastAsia="微软雅黑" w:asciiTheme="minorHAnsi" w:hAnsiTheme="minorHAnsi" w:cstheme="minorBidi"/>
      <w:kern w:val="2"/>
      <w:sz w:val="21"/>
      <w:szCs w:val="24"/>
      <w:lang w:val="en-US" w:eastAsia="zh-CN" w:bidi="ar-SA"/>
      <w14:ligatures w14:val="standardContextual"/>
    </w:rPr>
  </w:style>
  <w:style w:type="character" w:customStyle="1" w:styleId="46">
    <w:name w:val="标题 1 Char"/>
    <w:basedOn w:val="38"/>
    <w:link w:val="2"/>
    <w:qFormat/>
    <w:uiPriority w:val="0"/>
    <w:rPr>
      <w:rFonts w:ascii="Calibri" w:hAnsi="Calibri" w:eastAsia="Century Gothic" w:cs="宋体"/>
      <w:b/>
      <w:bCs/>
      <w:kern w:val="44"/>
      <w:sz w:val="44"/>
      <w:szCs w:val="44"/>
    </w:rPr>
  </w:style>
  <w:style w:type="character" w:customStyle="1" w:styleId="47">
    <w:name w:val="标题 2 Char"/>
    <w:basedOn w:val="38"/>
    <w:link w:val="3"/>
    <w:qFormat/>
    <w:uiPriority w:val="0"/>
    <w:rPr>
      <w:rFonts w:ascii="黑体" w:hAnsi="黑体" w:eastAsia="楷体" w:cs="宋体"/>
      <w:b/>
      <w:bCs/>
      <w:kern w:val="0"/>
      <w:sz w:val="32"/>
      <w:szCs w:val="32"/>
    </w:rPr>
  </w:style>
  <w:style w:type="character" w:customStyle="1" w:styleId="48">
    <w:name w:val="标题 3 Char"/>
    <w:basedOn w:val="38"/>
    <w:link w:val="4"/>
    <w:semiHidden/>
    <w:qFormat/>
    <w:uiPriority w:val="0"/>
    <w:rPr>
      <w:rFonts w:ascii="Calibri" w:hAnsi="Calibri" w:eastAsia="宋体" w:cs="宋体"/>
      <w:b/>
      <w:bCs/>
      <w:sz w:val="32"/>
      <w:szCs w:val="32"/>
    </w:rPr>
  </w:style>
  <w:style w:type="character" w:customStyle="1" w:styleId="49">
    <w:name w:val="正文缩进 Char"/>
    <w:link w:val="8"/>
    <w:semiHidden/>
    <w:qFormat/>
    <w:locked/>
    <w:uiPriority w:val="0"/>
    <w:rPr>
      <w:rFonts w:ascii="Arial" w:hAnsi="Arial" w:eastAsia="宋体" w:cs="Arial"/>
      <w:kern w:val="0"/>
      <w:sz w:val="20"/>
      <w:szCs w:val="20"/>
    </w:rPr>
  </w:style>
  <w:style w:type="character" w:customStyle="1" w:styleId="50">
    <w:name w:val="标题 4 Char"/>
    <w:basedOn w:val="38"/>
    <w:link w:val="5"/>
    <w:semiHidden/>
    <w:qFormat/>
    <w:uiPriority w:val="0"/>
    <w:rPr>
      <w:rFonts w:ascii="MS Sans Serif" w:hAnsi="仿宋_GB2312" w:eastAsia="MS Sans Serif" w:cs="宋体"/>
      <w:kern w:val="0"/>
      <w:sz w:val="24"/>
      <w:szCs w:val="20"/>
    </w:rPr>
  </w:style>
  <w:style w:type="character" w:customStyle="1" w:styleId="51">
    <w:name w:val="页眉 Char"/>
    <w:basedOn w:val="38"/>
    <w:link w:val="28"/>
    <w:qFormat/>
    <w:uiPriority w:val="0"/>
    <w:rPr>
      <w:sz w:val="18"/>
      <w:szCs w:val="18"/>
    </w:rPr>
  </w:style>
  <w:style w:type="character" w:customStyle="1" w:styleId="52">
    <w:name w:val="页脚 Char"/>
    <w:basedOn w:val="38"/>
    <w:link w:val="27"/>
    <w:qFormat/>
    <w:uiPriority w:val="0"/>
    <w:rPr>
      <w:sz w:val="18"/>
      <w:szCs w:val="18"/>
    </w:rPr>
  </w:style>
  <w:style w:type="character" w:customStyle="1" w:styleId="53">
    <w:name w:val="标题 5 Char"/>
    <w:basedOn w:val="38"/>
    <w:link w:val="6"/>
    <w:semiHidden/>
    <w:qFormat/>
    <w:uiPriority w:val="0"/>
    <w:rPr>
      <w:rFonts w:ascii="MS Sans Serif" w:hAnsi="Calibri" w:eastAsia="MS Sans Serif" w:cs="宋体"/>
      <w:kern w:val="0"/>
      <w:sz w:val="24"/>
      <w:szCs w:val="20"/>
    </w:rPr>
  </w:style>
  <w:style w:type="character" w:customStyle="1" w:styleId="54">
    <w:name w:val="标题 6 Char"/>
    <w:basedOn w:val="38"/>
    <w:link w:val="7"/>
    <w:semiHidden/>
    <w:qFormat/>
    <w:uiPriority w:val="0"/>
    <w:rPr>
      <w:rFonts w:ascii="黑体" w:hAnsi="黑体" w:eastAsia="楷体" w:cs="宋体"/>
      <w:b/>
      <w:sz w:val="24"/>
      <w:szCs w:val="20"/>
    </w:rPr>
  </w:style>
  <w:style w:type="character" w:customStyle="1" w:styleId="55">
    <w:name w:val="标题 7 Char"/>
    <w:basedOn w:val="38"/>
    <w:link w:val="10"/>
    <w:semiHidden/>
    <w:qFormat/>
    <w:uiPriority w:val="0"/>
    <w:rPr>
      <w:rFonts w:ascii="Calibri" w:hAnsi="Calibri" w:eastAsia="宋体" w:cs="Times New Roman"/>
      <w:b/>
      <w:sz w:val="24"/>
      <w:szCs w:val="20"/>
    </w:rPr>
  </w:style>
  <w:style w:type="character" w:customStyle="1" w:styleId="56">
    <w:name w:val="标题 8 Char"/>
    <w:basedOn w:val="38"/>
    <w:link w:val="11"/>
    <w:semiHidden/>
    <w:qFormat/>
    <w:uiPriority w:val="0"/>
    <w:rPr>
      <w:rFonts w:ascii="黑体" w:hAnsi="黑体" w:eastAsia="楷体" w:cs="Times New Roman"/>
      <w:sz w:val="24"/>
      <w:szCs w:val="20"/>
    </w:rPr>
  </w:style>
  <w:style w:type="character" w:customStyle="1" w:styleId="57">
    <w:name w:val="标题 9 Char"/>
    <w:basedOn w:val="38"/>
    <w:link w:val="12"/>
    <w:semiHidden/>
    <w:qFormat/>
    <w:uiPriority w:val="0"/>
    <w:rPr>
      <w:rFonts w:ascii="黑体" w:hAnsi="黑体" w:eastAsia="楷体" w:cs="Times New Roman"/>
      <w:szCs w:val="20"/>
    </w:rPr>
  </w:style>
  <w:style w:type="paragraph" w:customStyle="1" w:styleId="58">
    <w:name w:val="msonormal"/>
    <w:basedOn w:val="1"/>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character" w:customStyle="1" w:styleId="59">
    <w:name w:val="批注文字 Char"/>
    <w:basedOn w:val="38"/>
    <w:link w:val="16"/>
    <w:semiHidden/>
    <w:qFormat/>
    <w:uiPriority w:val="0"/>
    <w:rPr>
      <w:rFonts w:ascii="Calibri" w:hAnsi="Calibri" w:eastAsia="宋体" w:cs="Times New Roman"/>
      <w:szCs w:val="24"/>
    </w:rPr>
  </w:style>
  <w:style w:type="character" w:customStyle="1" w:styleId="60">
    <w:name w:val="标题 Char"/>
    <w:basedOn w:val="38"/>
    <w:link w:val="34"/>
    <w:qFormat/>
    <w:uiPriority w:val="0"/>
    <w:rPr>
      <w:rFonts w:ascii="Calibri" w:hAnsi="Calibri" w:eastAsia="宋体" w:cs="Times New Roman"/>
      <w:b/>
      <w:bCs/>
      <w:spacing w:val="60"/>
      <w:sz w:val="32"/>
      <w:szCs w:val="24"/>
    </w:rPr>
  </w:style>
  <w:style w:type="character" w:customStyle="1" w:styleId="61">
    <w:name w:val="正文首行缩进 Char"/>
    <w:basedOn w:val="62"/>
    <w:link w:val="18"/>
    <w:semiHidden/>
    <w:qFormat/>
    <w:uiPriority w:val="0"/>
    <w:rPr>
      <w:rFonts w:ascii="Calibri" w:hAnsi="Calibri" w:eastAsia="宋体" w:cs="Times New Roman"/>
      <w:szCs w:val="24"/>
    </w:rPr>
  </w:style>
  <w:style w:type="character" w:customStyle="1" w:styleId="62">
    <w:name w:val="正文文本 Char"/>
    <w:basedOn w:val="38"/>
    <w:link w:val="17"/>
    <w:semiHidden/>
    <w:qFormat/>
    <w:uiPriority w:val="0"/>
    <w:rPr>
      <w:rFonts w:ascii="Calibri" w:hAnsi="Calibri" w:eastAsia="宋体" w:cs="Times New Roman"/>
      <w:szCs w:val="24"/>
    </w:rPr>
  </w:style>
  <w:style w:type="character" w:customStyle="1" w:styleId="63">
    <w:name w:val="正文文本缩进 Char"/>
    <w:basedOn w:val="38"/>
    <w:link w:val="20"/>
    <w:semiHidden/>
    <w:qFormat/>
    <w:uiPriority w:val="0"/>
    <w:rPr>
      <w:rFonts w:ascii="Century Gothic" w:hAnsi="Century Gothic" w:eastAsia="Century Gothic" w:cs="Times New Roman"/>
      <w:sz w:val="24"/>
      <w:szCs w:val="20"/>
    </w:rPr>
  </w:style>
  <w:style w:type="character" w:customStyle="1" w:styleId="64">
    <w:name w:val="日期 Char"/>
    <w:basedOn w:val="38"/>
    <w:link w:val="24"/>
    <w:semiHidden/>
    <w:qFormat/>
    <w:uiPriority w:val="0"/>
    <w:rPr>
      <w:rFonts w:ascii="Calibri" w:hAnsi="Calibri" w:eastAsia="宋体" w:cs="Times New Roman"/>
      <w:szCs w:val="24"/>
    </w:rPr>
  </w:style>
  <w:style w:type="character" w:customStyle="1" w:styleId="65">
    <w:name w:val="正文首行缩进 2 Char"/>
    <w:basedOn w:val="63"/>
    <w:link w:val="36"/>
    <w:semiHidden/>
    <w:qFormat/>
    <w:uiPriority w:val="99"/>
    <w:rPr>
      <w:rFonts w:ascii="Century Gothic" w:hAnsi="Century Gothic" w:eastAsia="Century Gothic" w:cs="Times New Roman"/>
      <w:sz w:val="24"/>
      <w:szCs w:val="20"/>
    </w:rPr>
  </w:style>
  <w:style w:type="character" w:customStyle="1" w:styleId="66">
    <w:name w:val="正文文本 2 Char"/>
    <w:basedOn w:val="38"/>
    <w:link w:val="32"/>
    <w:semiHidden/>
    <w:qFormat/>
    <w:uiPriority w:val="0"/>
    <w:rPr>
      <w:rFonts w:ascii="Calibri" w:hAnsi="Calibri" w:eastAsia="宋体" w:cs="Times New Roman"/>
      <w:sz w:val="24"/>
      <w:szCs w:val="24"/>
    </w:rPr>
  </w:style>
  <w:style w:type="character" w:customStyle="1" w:styleId="67">
    <w:name w:val="正文文本缩进 2 Char"/>
    <w:basedOn w:val="38"/>
    <w:link w:val="25"/>
    <w:semiHidden/>
    <w:qFormat/>
    <w:uiPriority w:val="0"/>
    <w:rPr>
      <w:rFonts w:ascii="Century Gothic" w:hAnsi="Century Gothic" w:eastAsia="宋体" w:cs="Times New Roman"/>
      <w:sz w:val="24"/>
      <w:szCs w:val="20"/>
    </w:rPr>
  </w:style>
  <w:style w:type="character" w:customStyle="1" w:styleId="68">
    <w:name w:val="正文文本缩进 3 Char"/>
    <w:basedOn w:val="38"/>
    <w:link w:val="30"/>
    <w:semiHidden/>
    <w:qFormat/>
    <w:uiPriority w:val="0"/>
    <w:rPr>
      <w:rFonts w:ascii="Calibri" w:hAnsi="Calibri" w:eastAsia="宋体" w:cs="Times New Roman"/>
      <w:sz w:val="16"/>
      <w:szCs w:val="16"/>
    </w:rPr>
  </w:style>
  <w:style w:type="character" w:customStyle="1" w:styleId="69">
    <w:name w:val="文档结构图 Char"/>
    <w:basedOn w:val="38"/>
    <w:link w:val="15"/>
    <w:semiHidden/>
    <w:qFormat/>
    <w:uiPriority w:val="0"/>
    <w:rPr>
      <w:rFonts w:ascii="Calibri" w:hAnsi="Calibri" w:eastAsia="宋体" w:cs="Times New Roman"/>
      <w:szCs w:val="24"/>
      <w:shd w:val="clear" w:color="auto" w:fill="000080"/>
    </w:rPr>
  </w:style>
  <w:style w:type="character" w:customStyle="1" w:styleId="70">
    <w:name w:val="纯文本 Char"/>
    <w:basedOn w:val="38"/>
    <w:link w:val="23"/>
    <w:semiHidden/>
    <w:qFormat/>
    <w:uiPriority w:val="0"/>
    <w:rPr>
      <w:rFonts w:ascii="Century Gothic" w:hAnsi="楷体_GB2312" w:eastAsia="Century Gothic" w:cs="楷体_GB2312"/>
      <w:szCs w:val="21"/>
    </w:rPr>
  </w:style>
  <w:style w:type="character" w:customStyle="1" w:styleId="71">
    <w:name w:val="批注主题 Char"/>
    <w:basedOn w:val="59"/>
    <w:link w:val="35"/>
    <w:semiHidden/>
    <w:qFormat/>
    <w:uiPriority w:val="0"/>
    <w:rPr>
      <w:rFonts w:ascii="Calibri" w:hAnsi="Calibri" w:eastAsia="宋体" w:cs="Times New Roman"/>
      <w:b/>
      <w:bCs/>
      <w:szCs w:val="24"/>
    </w:rPr>
  </w:style>
  <w:style w:type="character" w:customStyle="1" w:styleId="72">
    <w:name w:val="批注框文本 Char"/>
    <w:basedOn w:val="38"/>
    <w:link w:val="26"/>
    <w:semiHidden/>
    <w:qFormat/>
    <w:uiPriority w:val="0"/>
    <w:rPr>
      <w:rFonts w:ascii="Calibri" w:hAnsi="Calibri" w:eastAsia="宋体" w:cs="Times New Roman"/>
      <w:sz w:val="18"/>
      <w:szCs w:val="18"/>
    </w:rPr>
  </w:style>
  <w:style w:type="paragraph" w:styleId="73">
    <w:name w:val="List Paragraph"/>
    <w:basedOn w:val="1"/>
    <w:qFormat/>
    <w:uiPriority w:val="34"/>
    <w:pPr>
      <w:ind w:firstLine="420" w:firstLineChars="200"/>
    </w:pPr>
    <w:rPr>
      <w:rFonts w:ascii="Times New Roman" w:hAnsi="Times New Roman"/>
    </w:rPr>
  </w:style>
  <w:style w:type="paragraph" w:customStyle="1" w:styleId="74">
    <w:name w:val="首行缩进"/>
    <w:basedOn w:val="1"/>
    <w:qFormat/>
    <w:uiPriority w:val="0"/>
    <w:pPr>
      <w:spacing w:line="360" w:lineRule="auto"/>
      <w:ind w:firstLine="480" w:firstLineChars="200"/>
    </w:pPr>
    <w:rPr>
      <w:sz w:val="24"/>
      <w:szCs w:val="22"/>
      <w:lang w:val="zh-CN"/>
    </w:rPr>
  </w:style>
  <w:style w:type="character" w:customStyle="1" w:styleId="75">
    <w:name w:val="正文2 Char"/>
    <w:link w:val="76"/>
    <w:qFormat/>
    <w:locked/>
    <w:uiPriority w:val="0"/>
    <w:rPr>
      <w:sz w:val="24"/>
    </w:rPr>
  </w:style>
  <w:style w:type="paragraph" w:customStyle="1" w:styleId="76">
    <w:name w:val="正文2"/>
    <w:basedOn w:val="1"/>
    <w:link w:val="75"/>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77">
    <w:name w:val="标准文本 Char"/>
    <w:link w:val="78"/>
    <w:qFormat/>
    <w:locked/>
    <w:uiPriority w:val="0"/>
    <w:rPr>
      <w:rFonts w:ascii="宋体" w:hAnsi="宋体" w:eastAsia="宋体" w:cs="宋体"/>
      <w:sz w:val="24"/>
    </w:rPr>
  </w:style>
  <w:style w:type="paragraph" w:customStyle="1" w:styleId="78">
    <w:name w:val="标准文本"/>
    <w:basedOn w:val="1"/>
    <w:link w:val="77"/>
    <w:qFormat/>
    <w:uiPriority w:val="0"/>
    <w:pPr>
      <w:spacing w:line="360" w:lineRule="auto"/>
      <w:ind w:firstLine="480" w:firstLineChars="200"/>
    </w:pPr>
    <w:rPr>
      <w:rFonts w:ascii="宋体" w:hAnsi="宋体" w:cs="宋体"/>
      <w:sz w:val="24"/>
      <w:szCs w:val="22"/>
    </w:rPr>
  </w:style>
  <w:style w:type="paragraph" w:customStyle="1" w:styleId="79">
    <w:name w:val="Body Text Indent1"/>
    <w:basedOn w:val="1"/>
    <w:qFormat/>
    <w:uiPriority w:val="0"/>
    <w:pPr>
      <w:spacing w:line="200" w:lineRule="exact"/>
      <w:ind w:firstLine="301"/>
    </w:pPr>
    <w:rPr>
      <w:rFonts w:ascii="宋体" w:hAnsi="Courier New"/>
      <w:spacing w:val="-4"/>
      <w:sz w:val="18"/>
    </w:rPr>
  </w:style>
  <w:style w:type="paragraph" w:customStyle="1" w:styleId="80">
    <w:name w:val="List Paragraph1"/>
    <w:basedOn w:val="1"/>
    <w:qFormat/>
    <w:uiPriority w:val="0"/>
    <w:pPr>
      <w:ind w:firstLine="420" w:firstLineChars="200"/>
    </w:pPr>
  </w:style>
  <w:style w:type="paragraph" w:customStyle="1" w:styleId="81">
    <w:name w:val="正文1"/>
    <w:basedOn w:val="22"/>
    <w:qFormat/>
    <w:uiPriority w:val="0"/>
    <w:pPr>
      <w:tabs>
        <w:tab w:val="right" w:leader="dot" w:pos="8268"/>
      </w:tabs>
      <w:ind w:left="0" w:firstLine="480" w:firstLineChars="200"/>
    </w:pPr>
    <w:rPr>
      <w:rFonts w:ascii="仿宋_GB2312" w:hAnsi="Courier New" w:eastAsia="仿宋_GB2312"/>
      <w:kern w:val="28"/>
      <w:sz w:val="24"/>
    </w:rPr>
  </w:style>
  <w:style w:type="paragraph" w:customStyle="1" w:styleId="82">
    <w:name w:val="A_正文"/>
    <w:basedOn w:val="23"/>
    <w:qFormat/>
    <w:uiPriority w:val="0"/>
    <w:pPr>
      <w:topLinePunct/>
      <w:adjustRightInd w:val="0"/>
      <w:snapToGrid w:val="0"/>
      <w:spacing w:beforeLines="50" w:afterLines="50" w:line="600" w:lineRule="exact"/>
      <w:ind w:firstLine="600" w:firstLineChars="200"/>
      <w:jc w:val="left"/>
    </w:pPr>
    <w:rPr>
      <w:rFonts w:ascii="Times New Roman" w:hAnsi="Times New Roman" w:eastAsia="仿宋" w:cs="仿宋"/>
      <w:sz w:val="30"/>
      <w:szCs w:val="30"/>
    </w:rPr>
  </w:style>
  <w:style w:type="paragraph" w:customStyle="1" w:styleId="83">
    <w:name w:val="正文3"/>
    <w:qFormat/>
    <w:uiPriority w:val="0"/>
    <w:pPr>
      <w:widowControl w:val="0"/>
      <w:jc w:val="both"/>
    </w:pPr>
    <w:rPr>
      <w:rFonts w:ascii="Calibri" w:hAnsi="Calibri" w:eastAsia="宋体" w:cs="Times New Roman"/>
      <w:kern w:val="2"/>
      <w:sz w:val="21"/>
      <w:lang w:val="en-US" w:eastAsia="zh-CN" w:bidi="ar-SA"/>
    </w:rPr>
  </w:style>
  <w:style w:type="paragraph" w:customStyle="1" w:styleId="84">
    <w:name w:val="Proposals body"/>
    <w:basedOn w:val="1"/>
    <w:next w:val="1"/>
    <w:qFormat/>
    <w:uiPriority w:val="0"/>
    <w:pPr>
      <w:widowControl/>
      <w:snapToGrid w:val="0"/>
      <w:spacing w:after="120" w:line="460" w:lineRule="exact"/>
      <w:jc w:val="center"/>
    </w:pPr>
    <w:rPr>
      <w:rFonts w:ascii="宋体"/>
      <w:color w:val="000000"/>
      <w:kern w:val="0"/>
      <w:sz w:val="24"/>
      <w:szCs w:val="20"/>
    </w:rPr>
  </w:style>
  <w:style w:type="paragraph" w:customStyle="1" w:styleId="85">
    <w:name w:val="Char Char Char Char"/>
    <w:basedOn w:val="1"/>
    <w:qFormat/>
    <w:uiPriority w:val="0"/>
    <w:rPr>
      <w:szCs w:val="20"/>
    </w:rPr>
  </w:style>
  <w:style w:type="paragraph" w:customStyle="1" w:styleId="8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87">
    <w:name w:val="p0"/>
    <w:basedOn w:val="1"/>
    <w:qFormat/>
    <w:uiPriority w:val="0"/>
    <w:pPr>
      <w:widowControl/>
    </w:pPr>
  </w:style>
  <w:style w:type="paragraph" w:customStyle="1" w:styleId="88">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89">
    <w:name w:val="正文文字格式"/>
    <w:basedOn w:val="1"/>
    <w:qFormat/>
    <w:uiPriority w:val="0"/>
    <w:pPr>
      <w:spacing w:line="460" w:lineRule="exact"/>
      <w:ind w:firstLine="505"/>
      <w:jc w:val="left"/>
    </w:pPr>
    <w:rPr>
      <w:rFonts w:ascii="Century Gothic"/>
      <w:kern w:val="24"/>
      <w:sz w:val="24"/>
      <w:szCs w:val="20"/>
    </w:rPr>
  </w:style>
  <w:style w:type="paragraph" w:customStyle="1" w:styleId="9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91">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font6"/>
    <w:basedOn w:val="1"/>
    <w:qFormat/>
    <w:uiPriority w:val="0"/>
    <w:pPr>
      <w:widowControl/>
      <w:spacing w:before="100" w:beforeAutospacing="1" w:after="100" w:afterAutospacing="1"/>
      <w:jc w:val="left"/>
    </w:pPr>
    <w:rPr>
      <w:kern w:val="0"/>
      <w:sz w:val="18"/>
      <w:szCs w:val="18"/>
    </w:rPr>
  </w:style>
  <w:style w:type="paragraph" w:customStyle="1" w:styleId="93">
    <w:name w:val="normal"/>
    <w:basedOn w:val="1"/>
    <w:qFormat/>
    <w:uiPriority w:val="0"/>
    <w:pPr>
      <w:widowControl/>
      <w:spacing w:after="200" w:line="300" w:lineRule="atLeast"/>
      <w:jc w:val="left"/>
    </w:pPr>
    <w:rPr>
      <w:rFonts w:cs="宋体"/>
      <w:kern w:val="0"/>
      <w:sz w:val="22"/>
      <w:szCs w:val="22"/>
    </w:rPr>
  </w:style>
  <w:style w:type="paragraph" w:customStyle="1" w:styleId="94">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95">
    <w:name w:val="Char Char11 Char Char Char Char Char Char Char Char Char Char Char"/>
    <w:basedOn w:val="1"/>
    <w:qFormat/>
    <w:uiPriority w:val="0"/>
    <w:pPr>
      <w:snapToGrid w:val="0"/>
      <w:spacing w:line="360" w:lineRule="auto"/>
    </w:pPr>
    <w:rPr>
      <w:rFonts w:eastAsia="黑体"/>
      <w:kern w:val="0"/>
      <w:szCs w:val="21"/>
    </w:rPr>
  </w:style>
  <w:style w:type="paragraph" w:customStyle="1" w:styleId="9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97">
    <w:name w:val="Char"/>
    <w:basedOn w:val="1"/>
    <w:qFormat/>
    <w:uiPriority w:val="0"/>
    <w:rPr>
      <w:rFonts w:ascii="Courier New" w:eastAsia="Courier New"/>
      <w:b/>
      <w:sz w:val="32"/>
      <w:szCs w:val="32"/>
    </w:rPr>
  </w:style>
  <w:style w:type="paragraph" w:customStyle="1" w:styleId="98">
    <w:name w:val="节"/>
    <w:basedOn w:val="3"/>
    <w:qFormat/>
    <w:uiPriority w:val="0"/>
    <w:pPr>
      <w:adjustRightInd/>
      <w:spacing w:before="160" w:after="160" w:line="720" w:lineRule="exact"/>
      <w:jc w:val="center"/>
    </w:pPr>
    <w:rPr>
      <w:rFonts w:ascii="Arial" w:hAnsi="Arial" w:cs="Times New Roman"/>
      <w:b w:val="0"/>
      <w:color w:val="000000"/>
      <w:spacing w:val="14"/>
      <w:kern w:val="24"/>
      <w:sz w:val="28"/>
      <w:szCs w:val="2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Default"/>
    <w:qFormat/>
    <w:uiPriority w:val="0"/>
    <w:pPr>
      <w:widowControl w:val="0"/>
      <w:autoSpaceDE w:val="0"/>
      <w:autoSpaceDN w:val="0"/>
      <w:adjustRightInd w:val="0"/>
    </w:pPr>
    <w:rPr>
      <w:rFonts w:ascii="楷体" w:hAnsi="Calibri" w:eastAsia="楷体" w:cs="Times New Roman"/>
      <w:color w:val="000000"/>
      <w:sz w:val="24"/>
      <w:szCs w:val="24"/>
      <w:lang w:val="en-US" w:eastAsia="zh-CN" w:bidi="ar-SA"/>
    </w:rPr>
  </w:style>
  <w:style w:type="paragraph" w:customStyle="1" w:styleId="101">
    <w:name w:val="Char Char Char Char Char"/>
    <w:basedOn w:val="1"/>
    <w:qFormat/>
    <w:uiPriority w:val="0"/>
    <w:pPr>
      <w:widowControl/>
      <w:spacing w:after="160" w:line="240" w:lineRule="exact"/>
      <w:jc w:val="left"/>
    </w:pPr>
    <w:rPr>
      <w:rFonts w:ascii="Verdana" w:hAnsi="Verdana" w:eastAsia="华文细黑"/>
    </w:rPr>
  </w:style>
  <w:style w:type="paragraph" w:customStyle="1" w:styleId="102">
    <w:name w:val="表头"/>
    <w:basedOn w:val="1"/>
    <w:qFormat/>
    <w:uiPriority w:val="0"/>
    <w:pPr>
      <w:adjustRightInd w:val="0"/>
      <w:spacing w:before="60" w:after="60" w:line="420" w:lineRule="atLeast"/>
      <w:jc w:val="left"/>
    </w:pPr>
    <w:rPr>
      <w:rFonts w:ascii="黑体" w:hAnsi="Times New Roman" w:eastAsia="黑体"/>
      <w:b/>
      <w:kern w:val="0"/>
      <w:szCs w:val="20"/>
    </w:rPr>
  </w:style>
  <w:style w:type="paragraph" w:customStyle="1" w:styleId="103">
    <w:name w:val="_Style 27"/>
    <w:basedOn w:val="1"/>
    <w:next w:val="73"/>
    <w:qFormat/>
    <w:uiPriority w:val="99"/>
    <w:pPr>
      <w:ind w:firstLine="420" w:firstLineChars="200"/>
    </w:pPr>
    <w:rPr>
      <w:szCs w:val="22"/>
    </w:rPr>
  </w:style>
  <w:style w:type="paragraph" w:customStyle="1" w:styleId="10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05">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06">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07">
    <w:name w:val="List Paragraph21"/>
    <w:basedOn w:val="1"/>
    <w:qFormat/>
    <w:uiPriority w:val="0"/>
    <w:pPr>
      <w:ind w:firstLine="420" w:firstLineChars="200"/>
    </w:pPr>
  </w:style>
  <w:style w:type="paragraph" w:customStyle="1" w:styleId="108">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09">
    <w:name w:val="xl27"/>
    <w:basedOn w:val="1"/>
    <w:qFormat/>
    <w:uiPriority w:val="0"/>
    <w:pPr>
      <w:widowControl/>
      <w:pBdr>
        <w:bottom w:val="single" w:color="auto" w:sz="4" w:space="0"/>
      </w:pBdr>
      <w:spacing w:before="100" w:beforeAutospacing="1" w:after="100" w:afterAutospacing="1"/>
      <w:jc w:val="center"/>
    </w:pPr>
    <w:rPr>
      <w:rFonts w:ascii="Arial Narrow" w:hAnsi="Century Gothic" w:eastAsia="Arial Narrow" w:cs="Century Gothic"/>
      <w:kern w:val="0"/>
      <w:sz w:val="36"/>
      <w:szCs w:val="36"/>
    </w:rPr>
  </w:style>
  <w:style w:type="paragraph" w:customStyle="1" w:styleId="110">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szCs w:val="20"/>
    </w:rPr>
  </w:style>
  <w:style w:type="paragraph" w:customStyle="1" w:styleId="111">
    <w:name w:val="样式5"/>
    <w:basedOn w:val="5"/>
    <w:qFormat/>
    <w:uiPriority w:val="0"/>
    <w:pPr>
      <w:keepLines/>
      <w:widowControl w:val="0"/>
      <w:snapToGrid/>
      <w:spacing w:before="280" w:after="290" w:line="374" w:lineRule="auto"/>
    </w:pPr>
    <w:rPr>
      <w:rFonts w:ascii="Century Gothic" w:hAnsi="Century Gothic" w:eastAsia="Century Gothic" w:cs="Times New Roman"/>
      <w:b/>
      <w:bCs/>
      <w:kern w:val="2"/>
      <w:sz w:val="32"/>
      <w:szCs w:val="32"/>
    </w:rPr>
  </w:style>
  <w:style w:type="paragraph" w:customStyle="1" w:styleId="112">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13">
    <w:name w:val="_Style 25"/>
    <w:basedOn w:val="1"/>
    <w:next w:val="73"/>
    <w:qFormat/>
    <w:uiPriority w:val="99"/>
    <w:pPr>
      <w:ind w:firstLine="420" w:firstLineChars="200"/>
    </w:pPr>
    <w:rPr>
      <w:szCs w:val="22"/>
    </w:rPr>
  </w:style>
  <w:style w:type="paragraph" w:customStyle="1" w:styleId="114">
    <w:name w:val="title11"/>
    <w:basedOn w:val="1"/>
    <w:qFormat/>
    <w:uiPriority w:val="0"/>
    <w:pPr>
      <w:spacing w:before="150"/>
      <w:jc w:val="left"/>
    </w:pPr>
    <w:rPr>
      <w:b/>
      <w:kern w:val="0"/>
    </w:rPr>
  </w:style>
  <w:style w:type="paragraph" w:customStyle="1" w:styleId="115">
    <w:name w:val="Char3 Char Char Char"/>
    <w:basedOn w:val="1"/>
    <w:qFormat/>
    <w:uiPriority w:val="0"/>
    <w:pPr>
      <w:widowControl/>
      <w:spacing w:after="160" w:line="240" w:lineRule="exact"/>
      <w:jc w:val="left"/>
    </w:pPr>
    <w:rPr>
      <w:szCs w:val="20"/>
    </w:rPr>
  </w:style>
  <w:style w:type="paragraph" w:customStyle="1" w:styleId="116">
    <w:name w:val="正文文本 21"/>
    <w:basedOn w:val="1"/>
    <w:qFormat/>
    <w:uiPriority w:val="0"/>
    <w:pPr>
      <w:adjustRightInd w:val="0"/>
      <w:spacing w:line="300" w:lineRule="auto"/>
      <w:jc w:val="center"/>
    </w:pPr>
    <w:rPr>
      <w:rFonts w:ascii="Century Gothic" w:hAnsi="Century Gothic"/>
      <w:sz w:val="24"/>
      <w:szCs w:val="20"/>
    </w:rPr>
  </w:style>
  <w:style w:type="paragraph" w:customStyle="1" w:styleId="11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18">
    <w:name w:val="Char1"/>
    <w:basedOn w:val="1"/>
    <w:qFormat/>
    <w:uiPriority w:val="0"/>
    <w:pPr>
      <w:widowControl/>
      <w:spacing w:after="160" w:line="240" w:lineRule="exact"/>
      <w:jc w:val="left"/>
    </w:pPr>
    <w:rPr>
      <w:szCs w:val="20"/>
    </w:rPr>
  </w:style>
  <w:style w:type="paragraph" w:customStyle="1" w:styleId="1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20">
    <w:name w:val="正文段"/>
    <w:basedOn w:val="1"/>
    <w:qFormat/>
    <w:uiPriority w:val="0"/>
    <w:pPr>
      <w:widowControl/>
      <w:snapToGrid w:val="0"/>
      <w:spacing w:afterLines="50"/>
      <w:ind w:firstLine="200" w:firstLineChars="200"/>
    </w:pPr>
    <w:rPr>
      <w:kern w:val="0"/>
      <w:sz w:val="24"/>
      <w:szCs w:val="20"/>
    </w:rPr>
  </w:style>
  <w:style w:type="paragraph" w:customStyle="1" w:styleId="121">
    <w:name w:val="样式 纯文本 + 仿宋_GB2312 四号 加粗 行距: 1.5 倍行距"/>
    <w:basedOn w:val="23"/>
    <w:qFormat/>
    <w:uiPriority w:val="0"/>
    <w:rPr>
      <w:rFonts w:ascii="仿宋_GB2312" w:hAnsi="宋体" w:eastAsia="仿宋_GB2312" w:cs="宋体"/>
      <w:b/>
      <w:bCs/>
      <w:sz w:val="28"/>
    </w:rPr>
  </w:style>
  <w:style w:type="paragraph" w:customStyle="1" w:styleId="122">
    <w:name w:val="纯文本1"/>
    <w:basedOn w:val="83"/>
    <w:qFormat/>
    <w:uiPriority w:val="0"/>
    <w:pPr>
      <w:widowControl/>
      <w:jc w:val="left"/>
    </w:pPr>
    <w:rPr>
      <w:rFonts w:ascii="宋体" w:hAnsi="Courier New"/>
    </w:rPr>
  </w:style>
  <w:style w:type="paragraph" w:customStyle="1" w:styleId="123">
    <w:name w:val="Char Char Char Char Char Char Char Char"/>
    <w:basedOn w:val="1"/>
    <w:qFormat/>
    <w:uiPriority w:val="0"/>
    <w:pPr>
      <w:tabs>
        <w:tab w:val="left" w:pos="360"/>
      </w:tabs>
    </w:pPr>
    <w:rPr>
      <w:szCs w:val="20"/>
    </w:rPr>
  </w:style>
  <w:style w:type="paragraph" w:customStyle="1" w:styleId="124">
    <w:name w:val="xl33"/>
    <w:basedOn w:val="1"/>
    <w:qFormat/>
    <w:uiPriority w:val="0"/>
    <w:pPr>
      <w:widowControl/>
      <w:pBdr>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25">
    <w:name w:val="无间隔1"/>
    <w:qFormat/>
    <w:uiPriority w:val="0"/>
    <w:rPr>
      <w:rFonts w:ascii="Calibri" w:hAnsi="Calibri" w:eastAsia="宋体" w:cs="Times New Roman"/>
      <w:sz w:val="22"/>
      <w:szCs w:val="22"/>
      <w:lang w:val="en-US" w:eastAsia="en-US" w:bidi="ar-SA"/>
    </w:rPr>
  </w:style>
  <w:style w:type="paragraph" w:customStyle="1" w:styleId="12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27">
    <w:name w:val="标书标题3"/>
    <w:basedOn w:val="4"/>
    <w:qFormat/>
    <w:uiPriority w:val="0"/>
    <w:pPr>
      <w:keepLines w:val="0"/>
      <w:widowControl/>
      <w:adjustRightInd w:val="0"/>
      <w:snapToGrid w:val="0"/>
      <w:spacing w:before="120" w:after="60" w:line="300" w:lineRule="auto"/>
      <w:jc w:val="left"/>
    </w:pPr>
    <w:rPr>
      <w:rFonts w:eastAsia="Courier New" w:cs="Times New Roman"/>
      <w:b w:val="0"/>
      <w:bCs w:val="0"/>
      <w:color w:val="000000"/>
      <w:kern w:val="0"/>
      <w:sz w:val="28"/>
    </w:rPr>
  </w:style>
  <w:style w:type="paragraph" w:customStyle="1" w:styleId="128">
    <w:name w:val="列出段落1"/>
    <w:basedOn w:val="1"/>
    <w:qFormat/>
    <w:uiPriority w:val="0"/>
    <w:pPr>
      <w:ind w:firstLine="420" w:firstLineChars="200"/>
    </w:pPr>
    <w:rPr>
      <w:szCs w:val="22"/>
    </w:rPr>
  </w:style>
  <w:style w:type="paragraph" w:customStyle="1" w:styleId="129">
    <w:name w:val="标书标题4"/>
    <w:basedOn w:val="5"/>
    <w:qFormat/>
    <w:uiPriority w:val="0"/>
    <w:pPr>
      <w:widowControl w:val="0"/>
      <w:adjustRightInd w:val="0"/>
      <w:spacing w:line="300" w:lineRule="auto"/>
      <w:jc w:val="both"/>
    </w:pPr>
    <w:rPr>
      <w:rFonts w:eastAsia="Courier New" w:cs="Times New Roman"/>
      <w:b/>
      <w:color w:val="000000"/>
      <w:sz w:val="28"/>
      <w:szCs w:val="32"/>
    </w:rPr>
  </w:style>
  <w:style w:type="paragraph" w:customStyle="1" w:styleId="130">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31">
    <w:name w:val="List Paragraph2"/>
    <w:basedOn w:val="1"/>
    <w:qFormat/>
    <w:uiPriority w:val="99"/>
    <w:pPr>
      <w:ind w:firstLine="420" w:firstLineChars="200"/>
    </w:pPr>
  </w:style>
  <w:style w:type="paragraph" w:customStyle="1" w:styleId="132">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33">
    <w:name w:val="xl36"/>
    <w:basedOn w:val="1"/>
    <w:qFormat/>
    <w:uiPriority w:val="0"/>
    <w:pPr>
      <w:widowControl/>
      <w:pBdr>
        <w:left w:val="single" w:color="auto" w:sz="4" w:space="0"/>
        <w:right w:val="single" w:color="auto" w:sz="4" w:space="0"/>
      </w:pBdr>
      <w:spacing w:before="100" w:beforeAutospacing="1" w:after="100" w:afterAutospacing="1"/>
      <w:jc w:val="center"/>
    </w:pPr>
    <w:rPr>
      <w:rFonts w:ascii="Arial Narrow" w:hAnsi="Century Gothic" w:eastAsia="Arial Narrow" w:cs="Century Gothic"/>
      <w:kern w:val="0"/>
      <w:sz w:val="24"/>
    </w:rPr>
  </w:style>
  <w:style w:type="paragraph" w:customStyle="1" w:styleId="134">
    <w:name w:val="纯文本3"/>
    <w:basedOn w:val="1"/>
    <w:qFormat/>
    <w:uiPriority w:val="0"/>
    <w:pPr>
      <w:adjustRightInd w:val="0"/>
      <w:jc w:val="left"/>
    </w:pPr>
    <w:rPr>
      <w:rFonts w:ascii="宋体" w:hAnsi="Courier New"/>
      <w:sz w:val="24"/>
      <w:szCs w:val="20"/>
    </w:rPr>
  </w:style>
  <w:style w:type="paragraph" w:customStyle="1" w:styleId="135">
    <w:name w:val="小节"/>
    <w:basedOn w:val="4"/>
    <w:qFormat/>
    <w:uiPriority w:val="0"/>
    <w:pPr>
      <w:spacing w:before="200" w:after="200" w:line="560" w:lineRule="exact"/>
      <w:jc w:val="left"/>
    </w:pPr>
    <w:rPr>
      <w:rFonts w:ascii="Century Gothic" w:hAnsi="Century Gothic" w:cs="Times New Roman"/>
      <w:bCs w:val="0"/>
      <w:color w:val="000000"/>
      <w:spacing w:val="10"/>
      <w:kern w:val="24"/>
      <w:sz w:val="28"/>
    </w:rPr>
  </w:style>
  <w:style w:type="paragraph" w:customStyle="1" w:styleId="136">
    <w:name w:val="标书标题2"/>
    <w:basedOn w:val="3"/>
    <w:qFormat/>
    <w:uiPriority w:val="0"/>
    <w:pPr>
      <w:keepLines w:val="0"/>
      <w:widowControl/>
      <w:tabs>
        <w:tab w:val="left" w:pos="1320"/>
      </w:tabs>
      <w:snapToGrid w:val="0"/>
      <w:spacing w:beforeLines="50" w:after="60" w:line="300" w:lineRule="auto"/>
      <w:ind w:left="1320" w:hanging="420"/>
      <w:jc w:val="both"/>
    </w:pPr>
    <w:rPr>
      <w:rFonts w:eastAsia="Courier New" w:cs="Times New Roman"/>
      <w:color w:val="000000"/>
      <w:sz w:val="28"/>
      <w:szCs w:val="20"/>
    </w:rPr>
  </w:style>
  <w:style w:type="paragraph" w:customStyle="1" w:styleId="137">
    <w:name w:val="正文一"/>
    <w:basedOn w:val="1"/>
    <w:qFormat/>
    <w:uiPriority w:val="0"/>
    <w:pPr>
      <w:widowControl/>
      <w:spacing w:line="360" w:lineRule="auto"/>
      <w:ind w:firstLine="480" w:firstLineChars="200"/>
      <w:jc w:val="left"/>
    </w:pPr>
    <w:rPr>
      <w:kern w:val="0"/>
      <w:lang w:bidi="he-IL"/>
    </w:rPr>
  </w:style>
  <w:style w:type="paragraph" w:customStyle="1" w:styleId="138">
    <w:name w:val="正文缩进1"/>
    <w:basedOn w:val="1"/>
    <w:qFormat/>
    <w:uiPriority w:val="0"/>
    <w:pPr>
      <w:widowControl/>
      <w:spacing w:before="120" w:after="120"/>
      <w:ind w:left="992"/>
    </w:pPr>
    <w:rPr>
      <w:rFonts w:ascii="Verdana" w:hAnsi="Verdana"/>
      <w:kern w:val="0"/>
      <w:sz w:val="20"/>
      <w:szCs w:val="20"/>
      <w:lang w:eastAsia="en-US"/>
    </w:rPr>
  </w:style>
  <w:style w:type="character" w:customStyle="1" w:styleId="139">
    <w:name w:val="tpc_content1"/>
    <w:qFormat/>
    <w:uiPriority w:val="0"/>
    <w:rPr>
      <w:sz w:val="20"/>
      <w:szCs w:val="20"/>
    </w:rPr>
  </w:style>
  <w:style w:type="character" w:customStyle="1" w:styleId="140">
    <w:name w:val="Char Char"/>
    <w:qFormat/>
    <w:uiPriority w:val="0"/>
    <w:rPr>
      <w:rFonts w:hint="default" w:ascii="Courier New" w:hAnsi="Courier New" w:eastAsia="Courier New" w:cs="Courier New"/>
      <w:color w:val="FF0000"/>
      <w:kern w:val="2"/>
      <w:sz w:val="24"/>
      <w:szCs w:val="24"/>
      <w:u w:val="single"/>
      <w:lang w:val="en-US" w:eastAsia="zh-CN" w:bidi="ar-SA"/>
    </w:rPr>
  </w:style>
  <w:style w:type="character" w:customStyle="1" w:styleId="141">
    <w:name w:val="bulletintext1"/>
    <w:qFormat/>
    <w:uiPriority w:val="0"/>
    <w:rPr>
      <w:color w:val="000000"/>
      <w:sz w:val="18"/>
    </w:rPr>
  </w:style>
  <w:style w:type="character" w:customStyle="1" w:styleId="142">
    <w:name w:val="普通文字 Char Char1"/>
    <w:qFormat/>
    <w:uiPriority w:val="0"/>
    <w:rPr>
      <w:rFonts w:hint="default" w:ascii="Century Gothic" w:hAnsi="楷体_GB2312" w:eastAsia="Century Gothic" w:cs="楷体_GB2312"/>
      <w:kern w:val="2"/>
      <w:sz w:val="21"/>
      <w:szCs w:val="21"/>
      <w:lang w:val="en-US" w:eastAsia="zh-CN" w:bidi="ar-SA"/>
    </w:rPr>
  </w:style>
  <w:style w:type="character" w:customStyle="1" w:styleId="143">
    <w:name w:val="Char Char21"/>
    <w:qFormat/>
    <w:uiPriority w:val="0"/>
    <w:rPr>
      <w:rFonts w:hint="default" w:ascii="Century Gothic" w:hAnsi="Century Gothic" w:eastAsia="Century Gothic"/>
      <w:b/>
      <w:bCs/>
      <w:kern w:val="44"/>
      <w:sz w:val="32"/>
      <w:szCs w:val="44"/>
      <w:lang w:val="en-US" w:eastAsia="zh-CN" w:bidi="ar-SA"/>
    </w:rPr>
  </w:style>
  <w:style w:type="character" w:customStyle="1" w:styleId="144">
    <w:name w:val="style1"/>
    <w:basedOn w:val="38"/>
    <w:qFormat/>
    <w:uiPriority w:val="0"/>
  </w:style>
  <w:style w:type="character" w:customStyle="1" w:styleId="145">
    <w:name w:val="font21"/>
    <w:qFormat/>
    <w:uiPriority w:val="0"/>
    <w:rPr>
      <w:rFonts w:hint="eastAsia" w:ascii="仿宋" w:hAnsi="仿宋" w:eastAsia="仿宋" w:cs="仿宋"/>
      <w:color w:val="000000"/>
      <w:sz w:val="22"/>
      <w:szCs w:val="22"/>
      <w:u w:val="none"/>
    </w:rPr>
  </w:style>
  <w:style w:type="character" w:customStyle="1" w:styleId="146">
    <w:name w:val="Char Char12"/>
    <w:qFormat/>
    <w:uiPriority w:val="0"/>
    <w:rPr>
      <w:rFonts w:hint="default" w:ascii="Century Gothic" w:hAnsi="楷体_GB2312" w:eastAsia="Century Gothic" w:cs="楷体_GB2312"/>
      <w:kern w:val="2"/>
      <w:sz w:val="21"/>
      <w:szCs w:val="21"/>
      <w:lang w:val="en-US" w:eastAsia="zh-CN" w:bidi="ar-SA"/>
    </w:rPr>
  </w:style>
  <w:style w:type="character" w:customStyle="1" w:styleId="147">
    <w:name w:val="zbggtop11 style5"/>
    <w:basedOn w:val="38"/>
    <w:qFormat/>
    <w:uiPriority w:val="0"/>
  </w:style>
  <w:style w:type="character" w:customStyle="1" w:styleId="148">
    <w:name w:val="zbggmain style9"/>
    <w:qFormat/>
    <w:uiPriority w:val="0"/>
    <w:rPr>
      <w:rFonts w:hint="default" w:ascii="Courier New" w:hAnsi="Courier New" w:eastAsia="Courier New" w:cs="Courier New"/>
      <w:b/>
      <w:kern w:val="2"/>
      <w:sz w:val="32"/>
      <w:szCs w:val="32"/>
      <w:lang w:val="en-US" w:eastAsia="zh-CN" w:bidi="ar-SA"/>
    </w:rPr>
  </w:style>
  <w:style w:type="character" w:customStyle="1" w:styleId="149">
    <w:name w:val="fontstyle01"/>
    <w:qFormat/>
    <w:uiPriority w:val="0"/>
    <w:rPr>
      <w:rFonts w:hint="eastAsia" w:ascii="宋体" w:hAnsi="宋体" w:eastAsia="宋体"/>
      <w:color w:val="000000"/>
      <w:sz w:val="22"/>
      <w:szCs w:val="22"/>
    </w:rPr>
  </w:style>
  <w:style w:type="paragraph" w:customStyle="1" w:styleId="150">
    <w:name w:val="Body Text First Indent 21"/>
    <w:basedOn w:val="79"/>
    <w:qFormat/>
    <w:uiPriority w:val="0"/>
    <w:pPr>
      <w:spacing w:after="120" w:line="240" w:lineRule="auto"/>
      <w:ind w:left="420" w:leftChars="200" w:firstLine="420" w:firstLineChars="200"/>
    </w:pPr>
    <w:rPr>
      <w:sz w:val="21"/>
    </w:rPr>
  </w:style>
  <w:style w:type="paragraph" w:customStyle="1" w:styleId="151">
    <w:name w:val="纯文本2"/>
    <w:basedOn w:val="81"/>
    <w:qFormat/>
    <w:uiPriority w:val="0"/>
    <w:pPr>
      <w:adjustRightInd w:val="0"/>
    </w:pPr>
    <w:rPr>
      <w:rFonts w:ascii="宋体"/>
    </w:rPr>
  </w:style>
  <w:style w:type="paragraph" w:customStyle="1" w:styleId="152">
    <w:name w:val="A_正文_注释"/>
    <w:basedOn w:val="1"/>
    <w:qFormat/>
    <w:uiPriority w:val="0"/>
    <w:pPr>
      <w:tabs>
        <w:tab w:val="left" w:pos="1547"/>
      </w:tabs>
      <w:ind w:firstLine="600"/>
    </w:pPr>
    <w:rPr>
      <w:color w:val="0070C0"/>
    </w:rPr>
  </w:style>
  <w:style w:type="paragraph" w:customStyle="1" w:styleId="153">
    <w:name w:val="表格文字"/>
    <w:basedOn w:val="1"/>
    <w:next w:val="17"/>
    <w:qFormat/>
    <w:uiPriority w:val="0"/>
    <w:pPr>
      <w:adjustRightInd w:val="0"/>
      <w:spacing w:line="420" w:lineRule="atLeast"/>
      <w:jc w:val="left"/>
      <w:textAlignment w:val="baseline"/>
    </w:pPr>
  </w:style>
  <w:style w:type="paragraph" w:customStyle="1" w:styleId="154">
    <w:name w:val="可研正文"/>
    <w:basedOn w:val="1"/>
    <w:unhideWhenUsed/>
    <w:qFormat/>
    <w:uiPriority w:val="0"/>
    <w:pPr>
      <w:spacing w:line="360" w:lineRule="auto"/>
      <w:ind w:firstLine="200" w:firstLineChars="200"/>
    </w:pPr>
    <w:rPr>
      <w:rFonts w:hint="eastAsia" w:ascii="仿宋" w:hAnsi="仿宋"/>
    </w:rPr>
  </w:style>
  <w:style w:type="character" w:customStyle="1" w:styleId="155">
    <w:name w:val="font01"/>
    <w:basedOn w:val="38"/>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footer3.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111</Pages>
  <Words>68725</Words>
  <Characters>74036</Characters>
  <Lines>445</Lines>
  <Paragraphs>125</Paragraphs>
  <TotalTime>90</TotalTime>
  <ScaleCrop>false</ScaleCrop>
  <LinksUpToDate>false</LinksUpToDate>
  <CharactersWithSpaces>78383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2023-03-05T00:52:00Z</dcterms:created>
  <dc:creator>admin</dc:creator>
  <cp:lastModifiedBy>阿葛</cp:lastModifiedBy>
  <cp:lastPrinted>2023-07-10T17:17:00Z</cp:lastPrinted>
  <dcterms:modified xsi:type="dcterms:W3CDTF">2023-08-28T03:22:33Z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5BB2987766164970B2E9270DA2C759C5_13</vt:lpwstr>
  </property>
  <property fmtid="{D5CDD505-2E9C-101B-9397-08002B2CF9AE}" pid="4" name="woTemplateTypoMode" linkTarget="0">
    <vt:lpwstr>web</vt:lpwstr>
  </property>
  <property fmtid="{D5CDD505-2E9C-101B-9397-08002B2CF9AE}" pid="5" name="woTemplate" linkTarget="0">
    <vt:i4>1</vt:i4>
  </property>
</Properties>
</file>