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color w:val="auto"/>
          <w:sz w:val="24"/>
        </w:rPr>
      </w:pPr>
    </w:p>
    <w:p>
      <w:pPr>
        <w:spacing w:line="360" w:lineRule="auto"/>
        <w:jc w:val="center"/>
        <w:rPr>
          <w:rFonts w:ascii="仿宋" w:hAnsi="仿宋" w:eastAsia="仿宋" w:cs="仿宋"/>
          <w:b/>
          <w:color w:val="auto"/>
          <w:sz w:val="24"/>
        </w:rPr>
      </w:pPr>
    </w:p>
    <w:p>
      <w:pPr>
        <w:adjustRightInd/>
        <w:spacing w:line="360" w:lineRule="auto"/>
        <w:jc w:val="center"/>
        <w:rPr>
          <w:rFonts w:ascii="仿宋" w:hAnsi="仿宋" w:eastAsia="仿宋" w:cs="仿宋"/>
          <w:b/>
          <w:color w:val="auto"/>
          <w:sz w:val="48"/>
          <w:szCs w:val="48"/>
        </w:rPr>
      </w:pPr>
    </w:p>
    <w:p>
      <w:pPr>
        <w:adjustRightInd/>
        <w:snapToGrid w:val="0"/>
        <w:spacing w:line="360" w:lineRule="auto"/>
        <w:jc w:val="center"/>
        <w:rPr>
          <w:rFonts w:ascii="仿宋" w:hAnsi="仿宋" w:eastAsia="仿宋" w:cs="仿宋"/>
          <w:color w:val="auto"/>
          <w:w w:val="80"/>
          <w:sz w:val="44"/>
          <w:szCs w:val="44"/>
          <w:lang w:bidi="th-TH"/>
        </w:rPr>
      </w:pPr>
      <w:r>
        <w:rPr>
          <w:rFonts w:hint="eastAsia" w:ascii="仿宋" w:hAnsi="仿宋" w:eastAsia="仿宋" w:cs="仿宋"/>
          <w:color w:val="auto"/>
          <w:w w:val="80"/>
          <w:sz w:val="44"/>
          <w:szCs w:val="44"/>
          <w:lang w:bidi="th-TH"/>
        </w:rPr>
        <w:t>2023年浙江省省级药品抽检委托检验服务项目</w:t>
      </w:r>
    </w:p>
    <w:p>
      <w:pPr>
        <w:pStyle w:val="3"/>
        <w:rPr>
          <w:rFonts w:ascii="仿宋" w:eastAsia="仿宋" w:cs="仿宋"/>
          <w:color w:val="auto"/>
        </w:rPr>
      </w:pPr>
    </w:p>
    <w:p>
      <w:pPr>
        <w:adjustRightInd/>
        <w:spacing w:line="360" w:lineRule="auto"/>
        <w:jc w:val="center"/>
        <w:rPr>
          <w:rFonts w:ascii="仿宋" w:hAnsi="仿宋" w:eastAsia="仿宋" w:cs="仿宋"/>
          <w:color w:val="auto"/>
          <w:sz w:val="48"/>
          <w:szCs w:val="48"/>
        </w:rPr>
      </w:pPr>
      <w:r>
        <w:rPr>
          <w:rFonts w:hint="eastAsia" w:ascii="仿宋" w:hAnsi="仿宋" w:eastAsia="仿宋" w:cs="仿宋"/>
          <w:color w:val="auto"/>
          <w:spacing w:val="40"/>
          <w:w w:val="80"/>
          <w:sz w:val="96"/>
          <w:szCs w:val="96"/>
          <w:lang w:bidi="th-TH"/>
        </w:rPr>
        <w:t>招 标 文 件</w:t>
      </w:r>
    </w:p>
    <w:p>
      <w:pPr>
        <w:adjustRightInd/>
        <w:snapToGrid w:val="0"/>
        <w:spacing w:line="360" w:lineRule="auto"/>
        <w:jc w:val="center"/>
        <w:rPr>
          <w:rFonts w:ascii="仿宋" w:hAnsi="仿宋" w:eastAsia="仿宋" w:cs="仿宋"/>
          <w:color w:val="auto"/>
          <w:w w:val="80"/>
          <w:sz w:val="48"/>
          <w:szCs w:val="48"/>
          <w:lang w:bidi="th-TH"/>
        </w:rPr>
      </w:pPr>
      <w:r>
        <w:rPr>
          <w:rFonts w:hint="eastAsia" w:ascii="仿宋" w:hAnsi="仿宋" w:eastAsia="仿宋" w:cs="仿宋"/>
          <w:color w:val="auto"/>
          <w:w w:val="80"/>
          <w:sz w:val="48"/>
          <w:szCs w:val="48"/>
          <w:lang w:bidi="th-TH"/>
        </w:rPr>
        <w:t xml:space="preserve"> （电子交易）</w:t>
      </w:r>
    </w:p>
    <w:p>
      <w:pPr>
        <w:adjustRightInd/>
        <w:snapToGrid w:val="0"/>
        <w:spacing w:line="360" w:lineRule="auto"/>
        <w:jc w:val="center"/>
        <w:rPr>
          <w:rFonts w:ascii="仿宋" w:hAnsi="仿宋" w:eastAsia="仿宋" w:cs="仿宋"/>
          <w:color w:val="auto"/>
          <w:w w:val="80"/>
          <w:sz w:val="30"/>
          <w:szCs w:val="30"/>
          <w:lang w:bidi="th-TH"/>
        </w:rPr>
      </w:pPr>
      <w:r>
        <w:rPr>
          <w:rFonts w:hint="eastAsia" w:ascii="仿宋" w:hAnsi="仿宋" w:eastAsia="仿宋" w:cs="仿宋"/>
          <w:color w:val="auto"/>
          <w:w w:val="80"/>
          <w:sz w:val="30"/>
          <w:szCs w:val="30"/>
          <w:lang w:bidi="th-TH"/>
        </w:rPr>
        <w:t>项目编号:ZJ-2370240-02</w:t>
      </w:r>
      <w:bookmarkStart w:id="430" w:name="_GoBack"/>
      <w:bookmarkEnd w:id="430"/>
    </w:p>
    <w:p>
      <w:pPr>
        <w:adjustRightInd/>
        <w:spacing w:line="360" w:lineRule="auto"/>
        <w:rPr>
          <w:rFonts w:ascii="仿宋" w:hAnsi="仿宋" w:eastAsia="仿宋" w:cs="仿宋"/>
          <w:color w:val="auto"/>
          <w:sz w:val="28"/>
          <w:szCs w:val="20"/>
        </w:rPr>
      </w:pPr>
    </w:p>
    <w:p>
      <w:pPr>
        <w:pStyle w:val="26"/>
        <w:rPr>
          <w:rFonts w:ascii="仿宋" w:hAnsi="仿宋" w:eastAsia="仿宋" w:cs="仿宋"/>
          <w:color w:val="auto"/>
        </w:rPr>
      </w:pPr>
    </w:p>
    <w:p>
      <w:pPr>
        <w:spacing w:line="360" w:lineRule="auto"/>
        <w:jc w:val="center"/>
        <w:rPr>
          <w:rFonts w:ascii="仿宋" w:hAnsi="仿宋" w:eastAsia="仿宋" w:cs="仿宋"/>
          <w:b/>
          <w:color w:val="auto"/>
          <w:sz w:val="44"/>
          <w:szCs w:val="44"/>
        </w:rPr>
      </w:pPr>
    </w:p>
    <w:p>
      <w:pPr>
        <w:pStyle w:val="5"/>
        <w:rPr>
          <w:rFonts w:ascii="仿宋" w:hAnsi="仿宋" w:eastAsia="仿宋" w:cs="仿宋"/>
          <w:color w:val="auto"/>
        </w:rPr>
      </w:pPr>
    </w:p>
    <w:p>
      <w:pPr>
        <w:spacing w:line="360" w:lineRule="auto"/>
        <w:jc w:val="center"/>
        <w:rPr>
          <w:rFonts w:ascii="仿宋" w:hAnsi="仿宋" w:eastAsia="仿宋" w:cs="仿宋"/>
          <w:color w:val="auto"/>
          <w:sz w:val="24"/>
        </w:rPr>
      </w:pPr>
    </w:p>
    <w:tbl>
      <w:tblPr>
        <w:tblStyle w:val="63"/>
        <w:tblW w:w="7878" w:type="dxa"/>
        <w:jc w:val="center"/>
        <w:tblLayout w:type="fixed"/>
        <w:tblCellMar>
          <w:top w:w="0" w:type="dxa"/>
          <w:left w:w="108" w:type="dxa"/>
          <w:bottom w:w="0" w:type="dxa"/>
          <w:right w:w="108" w:type="dxa"/>
        </w:tblCellMar>
      </w:tblPr>
      <w:tblGrid>
        <w:gridCol w:w="2032"/>
        <w:gridCol w:w="516"/>
        <w:gridCol w:w="5330"/>
      </w:tblGrid>
      <w:tr>
        <w:tblPrEx>
          <w:tblCellMar>
            <w:top w:w="0" w:type="dxa"/>
            <w:left w:w="108" w:type="dxa"/>
            <w:bottom w:w="0" w:type="dxa"/>
            <w:right w:w="108" w:type="dxa"/>
          </w:tblCellMar>
        </w:tblPrEx>
        <w:trPr>
          <w:trHeight w:val="680" w:hRule="atLeast"/>
          <w:jc w:val="center"/>
        </w:trPr>
        <w:tc>
          <w:tcPr>
            <w:tcW w:w="2032" w:type="dxa"/>
            <w:vAlign w:val="center"/>
          </w:tcPr>
          <w:p>
            <w:pPr>
              <w:snapToGrid w:val="0"/>
              <w:jc w:val="distribute"/>
              <w:rPr>
                <w:rFonts w:ascii="仿宋" w:hAnsi="仿宋" w:eastAsia="仿宋" w:cs="仿宋"/>
                <w:color w:val="auto"/>
                <w:sz w:val="30"/>
                <w:szCs w:val="30"/>
              </w:rPr>
            </w:pPr>
            <w:r>
              <w:rPr>
                <w:rFonts w:hint="eastAsia" w:ascii="仿宋" w:hAnsi="仿宋" w:eastAsia="仿宋" w:cs="仿宋"/>
                <w:color w:val="auto"/>
                <w:sz w:val="30"/>
                <w:szCs w:val="30"/>
              </w:rPr>
              <w:t>采购人</w:t>
            </w:r>
          </w:p>
        </w:tc>
        <w:tc>
          <w:tcPr>
            <w:tcW w:w="516" w:type="dxa"/>
            <w:vAlign w:val="center"/>
          </w:tcPr>
          <w:p>
            <w:pPr>
              <w:snapToGrid w:val="0"/>
              <w:jc w:val="distribute"/>
              <w:rPr>
                <w:rFonts w:ascii="仿宋" w:hAnsi="仿宋" w:eastAsia="仿宋" w:cs="仿宋"/>
                <w:color w:val="auto"/>
                <w:sz w:val="30"/>
                <w:szCs w:val="30"/>
              </w:rPr>
            </w:pPr>
            <w:r>
              <w:rPr>
                <w:rFonts w:hint="eastAsia" w:ascii="仿宋" w:hAnsi="仿宋" w:eastAsia="仿宋" w:cs="仿宋"/>
                <w:color w:val="auto"/>
                <w:sz w:val="30"/>
                <w:szCs w:val="30"/>
              </w:rPr>
              <w:t>：</w:t>
            </w:r>
          </w:p>
        </w:tc>
        <w:tc>
          <w:tcPr>
            <w:tcW w:w="5330" w:type="dxa"/>
            <w:vAlign w:val="center"/>
          </w:tcPr>
          <w:p>
            <w:pPr>
              <w:snapToGrid w:val="0"/>
              <w:jc w:val="distribute"/>
              <w:rPr>
                <w:rFonts w:ascii="仿宋" w:hAnsi="仿宋" w:eastAsia="仿宋" w:cs="仿宋"/>
                <w:color w:val="auto"/>
                <w:sz w:val="30"/>
                <w:szCs w:val="30"/>
              </w:rPr>
            </w:pPr>
            <w:r>
              <w:rPr>
                <w:rFonts w:hint="eastAsia" w:ascii="仿宋" w:hAnsi="仿宋" w:eastAsia="仿宋" w:cs="仿宋"/>
                <w:color w:val="auto"/>
                <w:sz w:val="30"/>
                <w:szCs w:val="30"/>
              </w:rPr>
              <w:t>浙江省药品监督管理局</w:t>
            </w:r>
          </w:p>
        </w:tc>
      </w:tr>
      <w:tr>
        <w:tblPrEx>
          <w:tblCellMar>
            <w:top w:w="0" w:type="dxa"/>
            <w:left w:w="108" w:type="dxa"/>
            <w:bottom w:w="0" w:type="dxa"/>
            <w:right w:w="108" w:type="dxa"/>
          </w:tblCellMar>
        </w:tblPrEx>
        <w:trPr>
          <w:trHeight w:val="297" w:hRule="atLeast"/>
          <w:jc w:val="center"/>
        </w:trPr>
        <w:tc>
          <w:tcPr>
            <w:tcW w:w="2032" w:type="dxa"/>
            <w:vAlign w:val="center"/>
          </w:tcPr>
          <w:p>
            <w:pPr>
              <w:snapToGrid w:val="0"/>
              <w:jc w:val="distribute"/>
              <w:rPr>
                <w:rFonts w:ascii="仿宋" w:hAnsi="仿宋" w:eastAsia="仿宋" w:cs="仿宋"/>
                <w:color w:val="auto"/>
                <w:szCs w:val="21"/>
              </w:rPr>
            </w:pPr>
          </w:p>
        </w:tc>
        <w:tc>
          <w:tcPr>
            <w:tcW w:w="516" w:type="dxa"/>
            <w:vAlign w:val="center"/>
          </w:tcPr>
          <w:p>
            <w:pPr>
              <w:snapToGrid w:val="0"/>
              <w:jc w:val="distribute"/>
              <w:rPr>
                <w:rFonts w:ascii="仿宋" w:hAnsi="仿宋" w:eastAsia="仿宋" w:cs="仿宋"/>
                <w:color w:val="auto"/>
                <w:szCs w:val="21"/>
              </w:rPr>
            </w:pPr>
          </w:p>
        </w:tc>
        <w:tc>
          <w:tcPr>
            <w:tcW w:w="5330" w:type="dxa"/>
            <w:vAlign w:val="center"/>
          </w:tcPr>
          <w:p>
            <w:pPr>
              <w:snapToGrid w:val="0"/>
              <w:jc w:val="distribute"/>
              <w:rPr>
                <w:rFonts w:ascii="仿宋" w:hAnsi="仿宋" w:eastAsia="仿宋" w:cs="仿宋"/>
                <w:color w:val="auto"/>
                <w:szCs w:val="21"/>
              </w:rPr>
            </w:pPr>
          </w:p>
        </w:tc>
      </w:tr>
      <w:tr>
        <w:tblPrEx>
          <w:tblCellMar>
            <w:top w:w="0" w:type="dxa"/>
            <w:left w:w="108" w:type="dxa"/>
            <w:bottom w:w="0" w:type="dxa"/>
            <w:right w:w="108" w:type="dxa"/>
          </w:tblCellMar>
        </w:tblPrEx>
        <w:trPr>
          <w:trHeight w:val="680" w:hRule="atLeast"/>
          <w:jc w:val="center"/>
        </w:trPr>
        <w:tc>
          <w:tcPr>
            <w:tcW w:w="2032" w:type="dxa"/>
            <w:vAlign w:val="center"/>
          </w:tcPr>
          <w:p>
            <w:pPr>
              <w:snapToGrid w:val="0"/>
              <w:jc w:val="distribute"/>
              <w:rPr>
                <w:rFonts w:ascii="仿宋" w:hAnsi="仿宋" w:eastAsia="仿宋" w:cs="仿宋"/>
                <w:color w:val="auto"/>
                <w:sz w:val="30"/>
                <w:szCs w:val="30"/>
              </w:rPr>
            </w:pPr>
            <w:r>
              <w:rPr>
                <w:rFonts w:hint="eastAsia" w:ascii="仿宋" w:hAnsi="仿宋" w:eastAsia="仿宋" w:cs="仿宋"/>
                <w:color w:val="auto"/>
                <w:sz w:val="30"/>
                <w:szCs w:val="30"/>
              </w:rPr>
              <w:t>采购代理机构</w:t>
            </w:r>
          </w:p>
        </w:tc>
        <w:tc>
          <w:tcPr>
            <w:tcW w:w="516" w:type="dxa"/>
            <w:vAlign w:val="center"/>
          </w:tcPr>
          <w:p>
            <w:pPr>
              <w:snapToGrid w:val="0"/>
              <w:jc w:val="distribute"/>
              <w:rPr>
                <w:rFonts w:ascii="仿宋" w:hAnsi="仿宋" w:eastAsia="仿宋" w:cs="仿宋"/>
                <w:color w:val="auto"/>
                <w:sz w:val="30"/>
                <w:szCs w:val="30"/>
              </w:rPr>
            </w:pPr>
            <w:r>
              <w:rPr>
                <w:rFonts w:hint="eastAsia" w:ascii="仿宋" w:hAnsi="仿宋" w:eastAsia="仿宋" w:cs="仿宋"/>
                <w:color w:val="auto"/>
                <w:sz w:val="30"/>
                <w:szCs w:val="30"/>
              </w:rPr>
              <w:t>：</w:t>
            </w:r>
          </w:p>
        </w:tc>
        <w:tc>
          <w:tcPr>
            <w:tcW w:w="5330" w:type="dxa"/>
            <w:vAlign w:val="center"/>
          </w:tcPr>
          <w:p>
            <w:pPr>
              <w:snapToGrid w:val="0"/>
              <w:jc w:val="distribute"/>
              <w:rPr>
                <w:rFonts w:ascii="仿宋" w:hAnsi="仿宋" w:eastAsia="仿宋" w:cs="仿宋"/>
                <w:color w:val="auto"/>
                <w:sz w:val="30"/>
                <w:szCs w:val="30"/>
              </w:rPr>
            </w:pPr>
            <w:r>
              <w:rPr>
                <w:rFonts w:hint="eastAsia" w:ascii="仿宋" w:hAnsi="仿宋" w:eastAsia="仿宋" w:cs="仿宋"/>
                <w:color w:val="auto"/>
                <w:sz w:val="30"/>
                <w:szCs w:val="30"/>
              </w:rPr>
              <w:t>浙江国际招投标有限公司</w:t>
            </w:r>
          </w:p>
        </w:tc>
      </w:tr>
      <w:tr>
        <w:tblPrEx>
          <w:tblCellMar>
            <w:top w:w="0" w:type="dxa"/>
            <w:left w:w="108" w:type="dxa"/>
            <w:bottom w:w="0" w:type="dxa"/>
            <w:right w:w="108" w:type="dxa"/>
          </w:tblCellMar>
        </w:tblPrEx>
        <w:trPr>
          <w:trHeight w:val="680" w:hRule="atLeast"/>
          <w:jc w:val="center"/>
        </w:trPr>
        <w:tc>
          <w:tcPr>
            <w:tcW w:w="7878" w:type="dxa"/>
            <w:gridSpan w:val="3"/>
            <w:vAlign w:val="bottom"/>
          </w:tcPr>
          <w:p>
            <w:pPr>
              <w:snapToGrid w:val="0"/>
              <w:jc w:val="center"/>
              <w:rPr>
                <w:rFonts w:ascii="仿宋" w:hAnsi="仿宋" w:eastAsia="仿宋" w:cs="仿宋"/>
                <w:color w:val="auto"/>
                <w:sz w:val="30"/>
                <w:szCs w:val="30"/>
              </w:rPr>
            </w:pPr>
            <w:r>
              <w:rPr>
                <w:rFonts w:hint="eastAsia" w:ascii="仿宋" w:hAnsi="仿宋" w:eastAsia="仿宋" w:cs="仿宋"/>
                <w:color w:val="auto"/>
                <w:sz w:val="30"/>
                <w:szCs w:val="30"/>
              </w:rPr>
              <w:t>2023年07月</w:t>
            </w:r>
          </w:p>
        </w:tc>
      </w:tr>
    </w:tbl>
    <w:p>
      <w:pPr>
        <w:spacing w:line="360" w:lineRule="auto"/>
        <w:jc w:val="center"/>
        <w:rPr>
          <w:rFonts w:ascii="仿宋" w:hAnsi="仿宋" w:eastAsia="仿宋" w:cs="仿宋"/>
          <w:color w:val="auto"/>
          <w:sz w:val="24"/>
        </w:rPr>
      </w:pPr>
    </w:p>
    <w:p>
      <w:pPr>
        <w:spacing w:line="360" w:lineRule="auto"/>
        <w:jc w:val="center"/>
        <w:rPr>
          <w:rFonts w:ascii="仿宋" w:hAnsi="仿宋" w:eastAsia="仿宋" w:cs="仿宋"/>
          <w:color w:val="auto"/>
          <w:sz w:val="24"/>
        </w:rPr>
      </w:pPr>
      <w:bookmarkStart w:id="0" w:name="_Hlt67893495"/>
      <w:bookmarkEnd w:id="0"/>
    </w:p>
    <w:p>
      <w:pPr>
        <w:spacing w:line="360" w:lineRule="auto"/>
        <w:jc w:val="center"/>
        <w:rPr>
          <w:rFonts w:ascii="仿宋" w:hAnsi="仿宋" w:eastAsia="仿宋" w:cs="仿宋"/>
          <w:b/>
          <w:color w:val="auto"/>
          <w:sz w:val="48"/>
          <w:szCs w:val="48"/>
        </w:rPr>
        <w:sectPr>
          <w:headerReference r:id="rId4" w:type="first"/>
          <w:footerReference r:id="rId7" w:type="first"/>
          <w:headerReference r:id="rId3" w:type="default"/>
          <w:footerReference r:id="rId5" w:type="default"/>
          <w:footerReference r:id="rId6" w:type="even"/>
          <w:pgSz w:w="11906" w:h="16838"/>
          <w:pgMar w:top="1287" w:right="1757" w:bottom="1440" w:left="1757" w:header="651" w:footer="992" w:gutter="0"/>
          <w:pgNumType w:start="0"/>
          <w:cols w:space="720" w:num="1"/>
          <w:docGrid w:linePitch="312" w:charSpace="0"/>
        </w:sectPr>
      </w:pPr>
    </w:p>
    <w:p>
      <w:pPr>
        <w:pStyle w:val="2"/>
        <w:rPr>
          <w:rFonts w:ascii="仿宋" w:hAnsi="仿宋" w:eastAsia="仿宋" w:cs="仿宋"/>
          <w:color w:val="auto"/>
        </w:rPr>
      </w:pPr>
    </w:p>
    <w:p>
      <w:pPr>
        <w:spacing w:line="360" w:lineRule="auto"/>
        <w:jc w:val="center"/>
        <w:rPr>
          <w:rFonts w:ascii="仿宋" w:hAnsi="仿宋" w:eastAsia="仿宋" w:cs="仿宋"/>
          <w:b/>
          <w:color w:val="auto"/>
          <w:sz w:val="48"/>
          <w:szCs w:val="48"/>
        </w:rPr>
      </w:pPr>
      <w:r>
        <w:rPr>
          <w:rFonts w:hint="eastAsia" w:ascii="仿宋" w:hAnsi="仿宋" w:eastAsia="仿宋" w:cs="仿宋"/>
          <w:b/>
          <w:color w:val="auto"/>
          <w:sz w:val="48"/>
          <w:szCs w:val="48"/>
        </w:rPr>
        <w:t>目  录</w:t>
      </w:r>
    </w:p>
    <w:p>
      <w:pPr>
        <w:spacing w:line="360" w:lineRule="auto"/>
        <w:rPr>
          <w:rFonts w:ascii="仿宋" w:hAnsi="仿宋" w:eastAsia="仿宋" w:cs="仿宋"/>
          <w:color w:val="auto"/>
          <w:sz w:val="32"/>
          <w:szCs w:val="32"/>
        </w:rPr>
      </w:pPr>
    </w:p>
    <w:p>
      <w:pPr>
        <w:spacing w:line="360" w:lineRule="auto"/>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第一部分      招标公告</w:t>
      </w:r>
    </w:p>
    <w:p>
      <w:pPr>
        <w:spacing w:line="360" w:lineRule="auto"/>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第二部分      投标人须知</w:t>
      </w:r>
    </w:p>
    <w:p>
      <w:pPr>
        <w:spacing w:line="360" w:lineRule="auto"/>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第三部分      采购需求</w:t>
      </w:r>
    </w:p>
    <w:p>
      <w:pPr>
        <w:spacing w:line="360" w:lineRule="auto"/>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第四部分      评标办法</w:t>
      </w:r>
    </w:p>
    <w:p>
      <w:pPr>
        <w:spacing w:line="360" w:lineRule="auto"/>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第五部分      拟签订的合同文本</w:t>
      </w:r>
    </w:p>
    <w:p>
      <w:pPr>
        <w:spacing w:line="360" w:lineRule="auto"/>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第六部分      应提交的有关格式范例</w:t>
      </w:r>
    </w:p>
    <w:p>
      <w:pPr>
        <w:spacing w:line="360" w:lineRule="auto"/>
        <w:ind w:firstLine="549" w:firstLineChars="229"/>
        <w:rPr>
          <w:rFonts w:ascii="仿宋" w:hAnsi="仿宋" w:eastAsia="仿宋" w:cs="仿宋"/>
          <w:color w:val="auto"/>
          <w:sz w:val="24"/>
        </w:rPr>
      </w:pPr>
      <w:bookmarkStart w:id="1" w:name="_Hlt91233176"/>
      <w:bookmarkEnd w:id="1"/>
      <w:bookmarkStart w:id="2" w:name="_Toc91899869"/>
    </w:p>
    <w:p>
      <w:pPr>
        <w:spacing w:line="360" w:lineRule="auto"/>
        <w:ind w:firstLine="549" w:firstLineChars="229"/>
        <w:rPr>
          <w:rFonts w:ascii="仿宋" w:hAnsi="仿宋" w:eastAsia="仿宋" w:cs="仿宋"/>
          <w:color w:val="auto"/>
          <w:sz w:val="24"/>
        </w:rPr>
      </w:pPr>
    </w:p>
    <w:p>
      <w:pPr>
        <w:spacing w:line="360" w:lineRule="auto"/>
        <w:ind w:firstLine="549" w:firstLineChars="229"/>
        <w:rPr>
          <w:rFonts w:ascii="仿宋" w:hAnsi="仿宋" w:eastAsia="仿宋" w:cs="仿宋"/>
          <w:color w:val="auto"/>
          <w:sz w:val="24"/>
        </w:rPr>
      </w:pPr>
    </w:p>
    <w:p>
      <w:pPr>
        <w:spacing w:line="360" w:lineRule="auto"/>
        <w:ind w:firstLine="549" w:firstLineChars="229"/>
        <w:rPr>
          <w:rFonts w:ascii="仿宋" w:hAnsi="仿宋" w:eastAsia="仿宋" w:cs="仿宋"/>
          <w:color w:val="auto"/>
          <w:sz w:val="24"/>
        </w:rPr>
      </w:pPr>
    </w:p>
    <w:p>
      <w:pPr>
        <w:spacing w:line="360" w:lineRule="auto"/>
        <w:ind w:firstLine="549" w:firstLineChars="229"/>
        <w:rPr>
          <w:rFonts w:ascii="仿宋" w:hAnsi="仿宋" w:eastAsia="仿宋" w:cs="仿宋"/>
          <w:color w:val="auto"/>
          <w:sz w:val="24"/>
        </w:rPr>
      </w:pPr>
    </w:p>
    <w:p>
      <w:pPr>
        <w:spacing w:line="360" w:lineRule="auto"/>
        <w:ind w:firstLine="549" w:firstLineChars="229"/>
        <w:rPr>
          <w:rFonts w:ascii="仿宋" w:hAnsi="仿宋" w:eastAsia="仿宋" w:cs="仿宋"/>
          <w:color w:val="auto"/>
          <w:sz w:val="24"/>
        </w:rPr>
      </w:pPr>
    </w:p>
    <w:p>
      <w:pPr>
        <w:spacing w:line="360" w:lineRule="auto"/>
        <w:ind w:firstLine="549" w:firstLineChars="229"/>
        <w:rPr>
          <w:rFonts w:ascii="仿宋" w:hAnsi="仿宋" w:eastAsia="仿宋" w:cs="仿宋"/>
          <w:color w:val="auto"/>
          <w:sz w:val="24"/>
        </w:rPr>
      </w:pPr>
    </w:p>
    <w:p>
      <w:pPr>
        <w:spacing w:line="360" w:lineRule="auto"/>
        <w:ind w:firstLine="549" w:firstLineChars="229"/>
        <w:rPr>
          <w:rFonts w:ascii="仿宋" w:hAnsi="仿宋" w:eastAsia="仿宋" w:cs="仿宋"/>
          <w:color w:val="auto"/>
          <w:sz w:val="24"/>
        </w:rPr>
      </w:pPr>
    </w:p>
    <w:p>
      <w:pPr>
        <w:spacing w:line="360" w:lineRule="auto"/>
        <w:ind w:firstLine="549" w:firstLineChars="229"/>
        <w:rPr>
          <w:rFonts w:ascii="仿宋" w:hAnsi="仿宋" w:eastAsia="仿宋" w:cs="仿宋"/>
          <w:color w:val="auto"/>
          <w:sz w:val="24"/>
        </w:rPr>
      </w:pPr>
    </w:p>
    <w:p>
      <w:pPr>
        <w:spacing w:line="360" w:lineRule="auto"/>
        <w:ind w:firstLine="549" w:firstLineChars="229"/>
        <w:rPr>
          <w:rFonts w:ascii="仿宋" w:hAnsi="仿宋" w:eastAsia="仿宋" w:cs="仿宋"/>
          <w:color w:val="auto"/>
          <w:sz w:val="24"/>
        </w:rPr>
      </w:pPr>
    </w:p>
    <w:p>
      <w:pPr>
        <w:spacing w:line="360" w:lineRule="auto"/>
        <w:ind w:firstLine="549" w:firstLineChars="229"/>
        <w:rPr>
          <w:rFonts w:ascii="仿宋" w:hAnsi="仿宋" w:eastAsia="仿宋" w:cs="仿宋"/>
          <w:color w:val="auto"/>
          <w:sz w:val="24"/>
        </w:rPr>
      </w:pPr>
    </w:p>
    <w:p>
      <w:pPr>
        <w:spacing w:line="360" w:lineRule="auto"/>
        <w:ind w:firstLine="549" w:firstLineChars="229"/>
        <w:rPr>
          <w:rFonts w:ascii="仿宋" w:hAnsi="仿宋" w:eastAsia="仿宋" w:cs="仿宋"/>
          <w:color w:val="auto"/>
          <w:sz w:val="24"/>
        </w:rPr>
      </w:pPr>
    </w:p>
    <w:p>
      <w:pPr>
        <w:spacing w:line="360" w:lineRule="auto"/>
        <w:ind w:firstLine="549" w:firstLineChars="229"/>
        <w:rPr>
          <w:rFonts w:ascii="仿宋" w:hAnsi="仿宋" w:eastAsia="仿宋" w:cs="仿宋"/>
          <w:color w:val="auto"/>
          <w:sz w:val="24"/>
        </w:rPr>
      </w:pPr>
    </w:p>
    <w:p>
      <w:pPr>
        <w:adjustRightInd/>
        <w:spacing w:line="360" w:lineRule="auto"/>
        <w:jc w:val="center"/>
        <w:outlineLvl w:val="0"/>
        <w:rPr>
          <w:rFonts w:ascii="仿宋" w:hAnsi="仿宋" w:eastAsia="仿宋" w:cs="仿宋"/>
          <w:b/>
          <w:color w:val="auto"/>
          <w:sz w:val="36"/>
          <w:szCs w:val="20"/>
        </w:rPr>
      </w:pPr>
      <w:bookmarkStart w:id="3" w:name="第一部分"/>
      <w:r>
        <w:rPr>
          <w:rFonts w:hint="eastAsia" w:ascii="仿宋" w:hAnsi="仿宋" w:eastAsia="仿宋" w:cs="仿宋"/>
          <w:b/>
          <w:color w:val="auto"/>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_Toc29265"/>
      <w:bookmarkStart w:id="9" w:name="第二部分"/>
      <w:bookmarkStart w:id="10" w:name="_Toc91899870"/>
      <w:bookmarkStart w:id="11" w:name="_Toc91899871"/>
      <w:r>
        <w:rPr>
          <w:rFonts w:hint="eastAsia" w:ascii="仿宋" w:hAnsi="仿宋" w:eastAsia="仿宋" w:cs="仿宋"/>
          <w:b/>
          <w:color w:val="auto"/>
          <w:sz w:val="36"/>
          <w:szCs w:val="20"/>
        </w:rPr>
        <w:t>第一部分 招标公告</w:t>
      </w:r>
      <w:bookmarkEnd w:id="8"/>
    </w:p>
    <w:p>
      <w:pPr>
        <w:pBdr>
          <w:top w:val="single" w:color="auto" w:sz="4" w:space="1"/>
          <w:left w:val="single" w:color="auto" w:sz="4" w:space="4"/>
          <w:bottom w:val="single" w:color="auto" w:sz="4" w:space="1"/>
          <w:right w:val="single" w:color="auto" w:sz="4" w:space="4"/>
        </w:pBdr>
        <w:spacing w:line="360" w:lineRule="auto"/>
        <w:rPr>
          <w:rFonts w:ascii="仿宋" w:hAnsi="仿宋" w:eastAsia="仿宋" w:cs="仿宋"/>
          <w:color w:val="auto"/>
          <w:sz w:val="24"/>
        </w:rPr>
      </w:pPr>
      <w:r>
        <w:rPr>
          <w:rFonts w:hint="eastAsia" w:ascii="仿宋" w:hAnsi="仿宋" w:eastAsia="仿宋" w:cs="仿宋"/>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u w:val="single"/>
        </w:rPr>
        <w:t>2023年浙江省省级药品抽检委托检验服务项目</w:t>
      </w:r>
      <w:r>
        <w:rPr>
          <w:rFonts w:hint="eastAsia" w:ascii="仿宋" w:hAnsi="仿宋" w:eastAsia="仿宋" w:cs="仿宋"/>
          <w:color w:val="auto"/>
          <w:sz w:val="24"/>
        </w:rPr>
        <w:t>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7"/>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color w:val="auto"/>
          <w:sz w:val="24"/>
          <w:u w:val="single"/>
        </w:rPr>
        <w:t>2023年</w:t>
      </w:r>
      <w:r>
        <w:rPr>
          <w:rFonts w:hint="eastAsia" w:ascii="仿宋" w:hAnsi="仿宋" w:eastAsia="仿宋" w:cs="仿宋"/>
          <w:color w:val="auto"/>
          <w:sz w:val="24"/>
          <w:u w:val="single"/>
          <w:lang w:eastAsia="zh-CN"/>
        </w:rPr>
        <w:t>08月10日</w:t>
      </w:r>
      <w:r>
        <w:rPr>
          <w:rFonts w:hint="eastAsia" w:ascii="仿宋" w:hAnsi="仿宋" w:eastAsia="仿宋" w:cs="仿宋"/>
          <w:color w:val="auto"/>
          <w:sz w:val="24"/>
          <w:u w:val="single"/>
        </w:rPr>
        <w:t>09点00分00秒</w:t>
      </w:r>
      <w:r>
        <w:rPr>
          <w:rFonts w:hint="eastAsia" w:ascii="仿宋" w:hAnsi="仿宋" w:eastAsia="仿宋" w:cs="仿宋"/>
          <w:color w:val="auto"/>
          <w:sz w:val="24"/>
          <w:u w:val="single"/>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pPr>
        <w:spacing w:line="360" w:lineRule="auto"/>
        <w:rPr>
          <w:rFonts w:ascii="仿宋" w:hAnsi="仿宋" w:eastAsia="仿宋" w:cs="仿宋"/>
          <w:b/>
          <w:color w:val="auto"/>
          <w:sz w:val="24"/>
        </w:rPr>
      </w:pPr>
      <w:r>
        <w:rPr>
          <w:rFonts w:hint="eastAsia" w:ascii="仿宋" w:hAnsi="仿宋" w:eastAsia="仿宋" w:cs="仿宋"/>
          <w:b/>
          <w:color w:val="auto"/>
          <w:sz w:val="24"/>
        </w:rPr>
        <w:t xml:space="preserve">一、项目基本情况   </w:t>
      </w:r>
    </w:p>
    <w:p>
      <w:pPr>
        <w:spacing w:line="360" w:lineRule="auto"/>
        <w:ind w:firstLine="422" w:firstLineChars="175"/>
        <w:rPr>
          <w:rFonts w:ascii="仿宋" w:hAnsi="仿宋" w:eastAsia="仿宋" w:cs="仿宋"/>
          <w:color w:val="auto"/>
          <w:sz w:val="24"/>
        </w:rPr>
      </w:pPr>
      <w:r>
        <w:rPr>
          <w:rFonts w:hint="eastAsia" w:ascii="仿宋" w:hAnsi="仿宋" w:eastAsia="仿宋" w:cs="仿宋"/>
          <w:b/>
          <w:color w:val="auto"/>
          <w:sz w:val="24"/>
        </w:rPr>
        <w:t>项目编号：</w:t>
      </w:r>
      <w:r>
        <w:rPr>
          <w:rFonts w:hint="eastAsia" w:ascii="仿宋" w:hAnsi="仿宋" w:eastAsia="仿宋" w:cs="仿宋"/>
          <w:color w:val="auto"/>
          <w:sz w:val="24"/>
        </w:rPr>
        <w:t>ZJ-2370240-02</w:t>
      </w:r>
    </w:p>
    <w:p>
      <w:pPr>
        <w:spacing w:line="360" w:lineRule="auto"/>
        <w:ind w:firstLine="422" w:firstLineChars="175"/>
        <w:rPr>
          <w:rFonts w:ascii="仿宋" w:hAnsi="仿宋" w:eastAsia="仿宋" w:cs="仿宋"/>
          <w:color w:val="auto"/>
          <w:sz w:val="24"/>
        </w:rPr>
      </w:pPr>
      <w:r>
        <w:rPr>
          <w:rFonts w:hint="eastAsia" w:ascii="仿宋" w:hAnsi="仿宋" w:eastAsia="仿宋" w:cs="仿宋"/>
          <w:b/>
          <w:color w:val="auto"/>
          <w:sz w:val="24"/>
        </w:rPr>
        <w:t>项目名称：</w:t>
      </w:r>
      <w:r>
        <w:rPr>
          <w:rFonts w:hint="eastAsia" w:ascii="仿宋" w:hAnsi="仿宋" w:eastAsia="仿宋" w:cs="仿宋"/>
          <w:color w:val="auto"/>
          <w:sz w:val="24"/>
        </w:rPr>
        <w:t>2023年浙江省省级药品抽检委托检验服务项目</w:t>
      </w:r>
    </w:p>
    <w:p>
      <w:pPr>
        <w:spacing w:line="360" w:lineRule="auto"/>
        <w:ind w:firstLine="422" w:firstLineChars="175"/>
        <w:rPr>
          <w:rFonts w:ascii="仿宋" w:hAnsi="仿宋" w:eastAsia="仿宋" w:cs="仿宋"/>
          <w:color w:val="auto"/>
          <w:sz w:val="24"/>
        </w:rPr>
      </w:pPr>
      <w:r>
        <w:rPr>
          <w:rFonts w:hint="eastAsia" w:ascii="仿宋" w:hAnsi="仿宋" w:eastAsia="仿宋" w:cs="仿宋"/>
          <w:b/>
          <w:color w:val="auto"/>
          <w:sz w:val="24"/>
        </w:rPr>
        <w:t>预算金额（元）：</w:t>
      </w:r>
      <w:r>
        <w:rPr>
          <w:rFonts w:hint="eastAsia" w:ascii="仿宋" w:hAnsi="仿宋" w:eastAsia="仿宋" w:cs="仿宋"/>
          <w:color w:val="auto"/>
          <w:sz w:val="24"/>
        </w:rPr>
        <w:t>9776000</w:t>
      </w:r>
    </w:p>
    <w:p>
      <w:pPr>
        <w:spacing w:line="360" w:lineRule="auto"/>
        <w:ind w:firstLine="422" w:firstLineChars="175"/>
        <w:rPr>
          <w:rFonts w:ascii="仿宋" w:hAnsi="仿宋" w:eastAsia="仿宋" w:cs="仿宋"/>
          <w:color w:val="auto"/>
          <w:sz w:val="24"/>
        </w:rPr>
      </w:pPr>
      <w:r>
        <w:rPr>
          <w:rFonts w:hint="eastAsia" w:ascii="仿宋" w:hAnsi="仿宋" w:eastAsia="仿宋" w:cs="仿宋"/>
          <w:b/>
          <w:color w:val="auto"/>
          <w:sz w:val="24"/>
        </w:rPr>
        <w:t>最高限价（元）：</w:t>
      </w:r>
      <w:r>
        <w:rPr>
          <w:rFonts w:hint="eastAsia" w:ascii="仿宋" w:hAnsi="仿宋" w:eastAsia="仿宋" w:cs="仿宋"/>
          <w:color w:val="auto"/>
          <w:sz w:val="24"/>
        </w:rPr>
        <w:t>9776000</w:t>
      </w:r>
    </w:p>
    <w:p>
      <w:pPr>
        <w:pStyle w:val="5"/>
        <w:spacing w:line="360" w:lineRule="auto"/>
        <w:ind w:firstLine="422" w:firstLineChars="175"/>
        <w:rPr>
          <w:rFonts w:ascii="仿宋" w:hAnsi="仿宋" w:eastAsia="仿宋" w:cs="仿宋"/>
          <w:b/>
          <w:color w:val="auto"/>
          <w:sz w:val="24"/>
        </w:rPr>
      </w:pPr>
      <w:r>
        <w:rPr>
          <w:rFonts w:hint="eastAsia" w:ascii="仿宋" w:hAnsi="仿宋" w:eastAsia="仿宋" w:cs="仿宋"/>
          <w:b/>
          <w:color w:val="auto"/>
          <w:sz w:val="24"/>
        </w:rPr>
        <w:t>采购需求：</w:t>
      </w:r>
    </w:p>
    <w:p>
      <w:pPr>
        <w:pStyle w:val="5"/>
        <w:spacing w:line="360" w:lineRule="auto"/>
        <w:ind w:firstLine="480"/>
        <w:rPr>
          <w:rFonts w:ascii="仿宋" w:hAnsi="仿宋" w:eastAsia="仿宋" w:cs="仿宋"/>
          <w:b/>
          <w:color w:val="auto"/>
          <w:sz w:val="24"/>
        </w:rPr>
      </w:pPr>
    </w:p>
    <w:p>
      <w:pPr>
        <w:pStyle w:val="5"/>
        <w:spacing w:line="360" w:lineRule="auto"/>
        <w:ind w:firstLine="480"/>
        <w:rPr>
          <w:rFonts w:ascii="仿宋" w:hAnsi="仿宋" w:eastAsia="仿宋" w:cs="仿宋"/>
          <w:bCs/>
          <w:snapToGrid/>
          <w:color w:val="auto"/>
          <w:kern w:val="2"/>
          <w:sz w:val="24"/>
          <w:szCs w:val="24"/>
        </w:rPr>
      </w:pPr>
      <w:r>
        <w:rPr>
          <w:rFonts w:hint="eastAsia" w:ascii="仿宋" w:hAnsi="仿宋" w:eastAsia="仿宋" w:cs="仿宋"/>
          <w:b/>
          <w:color w:val="auto"/>
          <w:sz w:val="24"/>
        </w:rPr>
        <w:t>标项名称：</w:t>
      </w:r>
      <w:r>
        <w:rPr>
          <w:rFonts w:hint="eastAsia" w:ascii="仿宋" w:hAnsi="仿宋" w:eastAsia="仿宋" w:cs="仿宋"/>
          <w:bCs/>
          <w:snapToGrid/>
          <w:color w:val="auto"/>
          <w:kern w:val="2"/>
          <w:sz w:val="24"/>
          <w:szCs w:val="24"/>
        </w:rPr>
        <w:t>2023年浙江省省级药品抽检委托检验服务项目</w:t>
      </w:r>
    </w:p>
    <w:p>
      <w:pPr>
        <w:pStyle w:val="5"/>
        <w:spacing w:line="360" w:lineRule="auto"/>
        <w:ind w:firstLine="480"/>
        <w:rPr>
          <w:rFonts w:ascii="仿宋" w:hAnsi="仿宋" w:eastAsia="仿宋" w:cs="仿宋"/>
          <w:b/>
          <w:color w:val="auto"/>
          <w:sz w:val="24"/>
        </w:rPr>
      </w:pPr>
      <w:r>
        <w:rPr>
          <w:rFonts w:hint="eastAsia" w:ascii="仿宋" w:hAnsi="仿宋" w:eastAsia="仿宋" w:cs="仿宋"/>
          <w:b/>
          <w:color w:val="auto"/>
          <w:sz w:val="24"/>
        </w:rPr>
        <w:t>数量：</w:t>
      </w:r>
      <w:r>
        <w:rPr>
          <w:rFonts w:hint="eastAsia" w:ascii="仿宋" w:hAnsi="仿宋" w:eastAsia="仿宋" w:cs="仿宋"/>
          <w:bCs/>
          <w:color w:val="auto"/>
          <w:sz w:val="24"/>
        </w:rPr>
        <w:t>1</w:t>
      </w:r>
    </w:p>
    <w:p>
      <w:pPr>
        <w:pStyle w:val="5"/>
        <w:spacing w:line="360" w:lineRule="auto"/>
        <w:ind w:firstLine="480"/>
        <w:rPr>
          <w:rFonts w:ascii="仿宋" w:hAnsi="仿宋" w:eastAsia="仿宋" w:cs="仿宋"/>
          <w:b/>
          <w:color w:val="auto"/>
          <w:sz w:val="24"/>
        </w:rPr>
      </w:pPr>
      <w:r>
        <w:rPr>
          <w:rFonts w:hint="eastAsia" w:ascii="仿宋" w:hAnsi="仿宋" w:eastAsia="仿宋" w:cs="仿宋"/>
          <w:b/>
          <w:color w:val="auto"/>
          <w:sz w:val="24"/>
        </w:rPr>
        <w:t>预算金额（元）：</w:t>
      </w:r>
      <w:r>
        <w:rPr>
          <w:rFonts w:hint="eastAsia" w:ascii="仿宋" w:hAnsi="仿宋" w:eastAsia="仿宋" w:cs="仿宋"/>
          <w:color w:val="auto"/>
          <w:sz w:val="24"/>
        </w:rPr>
        <w:t>9776000</w:t>
      </w:r>
    </w:p>
    <w:p>
      <w:pPr>
        <w:pStyle w:val="5"/>
        <w:spacing w:line="360" w:lineRule="auto"/>
        <w:ind w:firstLine="480"/>
        <w:rPr>
          <w:rFonts w:ascii="仿宋" w:hAnsi="仿宋" w:eastAsia="仿宋" w:cs="仿宋"/>
          <w:bCs/>
          <w:snapToGrid/>
          <w:color w:val="auto"/>
          <w:kern w:val="2"/>
          <w:sz w:val="24"/>
          <w:szCs w:val="24"/>
        </w:rPr>
      </w:pPr>
      <w:r>
        <w:rPr>
          <w:rFonts w:hint="eastAsia" w:ascii="仿宋" w:hAnsi="仿宋" w:eastAsia="仿宋" w:cs="仿宋"/>
          <w:b/>
          <w:color w:val="auto"/>
          <w:sz w:val="24"/>
        </w:rPr>
        <w:t>简要规格描述或项目基本概况介绍、用途：</w:t>
      </w:r>
      <w:r>
        <w:rPr>
          <w:rFonts w:hint="eastAsia" w:ascii="仿宋" w:hAnsi="仿宋" w:eastAsia="仿宋" w:cs="仿宋"/>
          <w:bCs/>
          <w:snapToGrid/>
          <w:color w:val="auto"/>
          <w:kern w:val="2"/>
          <w:sz w:val="24"/>
          <w:szCs w:val="24"/>
        </w:rPr>
        <w:t>2023年浙江省省级药品抽检委托检验服务项目，具体以招标文件第三部分采购需求为准,供应商可点击本公告下方“浏览采购文件”查看采购需求。</w:t>
      </w:r>
    </w:p>
    <w:p>
      <w:pPr>
        <w:pStyle w:val="5"/>
        <w:spacing w:line="360" w:lineRule="auto"/>
        <w:ind w:firstLine="480"/>
        <w:rPr>
          <w:rFonts w:ascii="仿宋" w:hAnsi="仿宋" w:eastAsia="仿宋" w:cs="仿宋"/>
          <w:b/>
          <w:color w:val="auto"/>
          <w:sz w:val="24"/>
        </w:rPr>
      </w:pPr>
      <w:r>
        <w:rPr>
          <w:rFonts w:hint="eastAsia" w:ascii="仿宋" w:hAnsi="仿宋" w:eastAsia="仿宋" w:cs="仿宋"/>
          <w:b/>
          <w:color w:val="auto"/>
          <w:sz w:val="24"/>
        </w:rPr>
        <w:t>备注：</w:t>
      </w:r>
    </w:p>
    <w:p>
      <w:pPr>
        <w:pStyle w:val="5"/>
        <w:spacing w:line="360" w:lineRule="auto"/>
        <w:ind w:firstLine="480"/>
        <w:rPr>
          <w:rFonts w:ascii="仿宋" w:hAnsi="仿宋" w:eastAsia="仿宋" w:cs="仿宋"/>
          <w:bCs/>
          <w:snapToGrid/>
          <w:color w:val="auto"/>
          <w:kern w:val="2"/>
          <w:sz w:val="24"/>
          <w:szCs w:val="24"/>
        </w:rPr>
      </w:pPr>
    </w:p>
    <w:p>
      <w:pPr>
        <w:pStyle w:val="5"/>
        <w:spacing w:line="360" w:lineRule="auto"/>
        <w:ind w:firstLine="480"/>
        <w:rPr>
          <w:rFonts w:ascii="仿宋" w:hAnsi="仿宋" w:eastAsia="仿宋" w:cs="仿宋"/>
          <w:b/>
          <w:color w:val="auto"/>
          <w:sz w:val="24"/>
        </w:rPr>
      </w:pPr>
      <w:r>
        <w:rPr>
          <w:rFonts w:hint="eastAsia" w:ascii="仿宋" w:hAnsi="仿宋" w:eastAsia="仿宋" w:cs="仿宋"/>
          <w:b/>
          <w:color w:val="auto"/>
          <w:sz w:val="24"/>
        </w:rPr>
        <w:t>合同履约期限：</w:t>
      </w:r>
      <w:r>
        <w:rPr>
          <w:rFonts w:hint="eastAsia" w:ascii="仿宋" w:hAnsi="仿宋" w:eastAsia="仿宋" w:cs="仿宋"/>
          <w:bCs/>
          <w:snapToGrid/>
          <w:color w:val="auto"/>
          <w:kern w:val="2"/>
          <w:sz w:val="24"/>
          <w:szCs w:val="24"/>
        </w:rPr>
        <w:t>具体以招标文件第三部分采购需求为准</w:t>
      </w:r>
      <w:r>
        <w:rPr>
          <w:rFonts w:hint="eastAsia" w:ascii="仿宋" w:hAnsi="仿宋" w:eastAsia="仿宋" w:cs="仿宋"/>
          <w:bCs/>
          <w:color w:val="auto"/>
          <w:sz w:val="24"/>
        </w:rPr>
        <w:t>。</w:t>
      </w:r>
    </w:p>
    <w:p>
      <w:pPr>
        <w:pStyle w:val="5"/>
        <w:spacing w:line="360" w:lineRule="auto"/>
        <w:ind w:firstLine="480"/>
        <w:rPr>
          <w:rFonts w:ascii="仿宋" w:hAnsi="仿宋" w:eastAsia="仿宋" w:cs="仿宋"/>
          <w:color w:val="auto"/>
          <w:kern w:val="0"/>
          <w:sz w:val="24"/>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2035453831"/>
        </w:sdtPr>
        <w:sdtEndPr>
          <w:rPr>
            <w:rFonts w:hint="eastAsia" w:ascii="仿宋" w:hAnsi="仿宋" w:eastAsia="仿宋" w:cs="仿宋"/>
            <w:color w:val="auto"/>
            <w:kern w:val="0"/>
            <w:sz w:val="24"/>
          </w:rPr>
        </w:sdtEndPr>
        <w:sdtContent>
          <w:r>
            <w:rPr>
              <w:rFonts w:ascii="Wingdings" w:hAnsi="Wingdings" w:eastAsia="仿宋" w:cs="仿宋"/>
              <w:color w:val="auto"/>
              <w:kern w:val="0"/>
              <w:sz w:val="24"/>
            </w:rPr>
            <w:t></w:t>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765526721"/>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ascii="仿宋" w:hAnsi="仿宋" w:eastAsia="仿宋" w:cs="仿宋"/>
          <w:b/>
          <w:color w:val="auto"/>
          <w:sz w:val="24"/>
        </w:rPr>
      </w:pPr>
      <w:r>
        <w:rPr>
          <w:rFonts w:hint="eastAsia" w:ascii="仿宋" w:hAnsi="仿宋" w:eastAsia="仿宋" w:cs="仿宋"/>
          <w:b/>
          <w:color w:val="auto"/>
          <w:sz w:val="24"/>
        </w:rPr>
        <w:t>二、申请人的资格要求：</w:t>
      </w:r>
    </w:p>
    <w:p>
      <w:pPr>
        <w:spacing w:line="360" w:lineRule="auto"/>
        <w:ind w:firstLine="48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2.以联合体形式投标的，提供联合协议(本项目不接受联合体投标或者投标人不以联合体形式投标的，则不需要提供) ；</w:t>
      </w:r>
    </w:p>
    <w:p>
      <w:pPr>
        <w:spacing w:line="360" w:lineRule="auto"/>
        <w:ind w:firstLine="480"/>
        <w:rPr>
          <w:rFonts w:ascii="仿宋" w:hAnsi="仿宋" w:eastAsia="仿宋" w:cs="仿宋"/>
          <w:color w:val="auto"/>
          <w:sz w:val="24"/>
        </w:rPr>
      </w:pPr>
      <w:r>
        <w:rPr>
          <w:rFonts w:hint="eastAsia" w:ascii="仿宋" w:hAnsi="仿宋" w:eastAsia="仿宋" w:cs="仿宋"/>
          <w:snapToGrid w:val="0"/>
          <w:color w:val="auto"/>
          <w:kern w:val="28"/>
          <w:sz w:val="24"/>
          <w:szCs w:val="20"/>
        </w:rPr>
        <w:t>3.落实政府采购政策需满足的资格要求：</w:t>
      </w:r>
      <w:r>
        <w:rPr>
          <w:rFonts w:hint="eastAsia" w:ascii="仿宋" w:hAnsi="仿宋" w:eastAsia="仿宋" w:cs="仿宋"/>
          <w:color w:val="auto"/>
          <w:sz w:val="24"/>
        </w:rPr>
        <w:t>无；</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4.本项目的特定资格要求：无。</w:t>
      </w:r>
    </w:p>
    <w:p>
      <w:pPr>
        <w:spacing w:line="360" w:lineRule="auto"/>
        <w:rPr>
          <w:rFonts w:ascii="仿宋" w:hAnsi="仿宋" w:eastAsia="仿宋" w:cs="仿宋"/>
          <w:b/>
          <w:color w:val="auto"/>
          <w:sz w:val="24"/>
        </w:rPr>
      </w:pPr>
      <w:r>
        <w:rPr>
          <w:rFonts w:hint="eastAsia" w:ascii="仿宋" w:hAnsi="仿宋" w:eastAsia="仿宋" w:cs="仿宋"/>
          <w:b/>
          <w:color w:val="auto"/>
          <w:sz w:val="24"/>
        </w:rPr>
        <w:t xml:space="preserve">三、获取招标文件 </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rPr>
        <w:t>2023年</w:t>
      </w:r>
      <w:r>
        <w:rPr>
          <w:rFonts w:hint="eastAsia" w:ascii="仿宋" w:hAnsi="仿宋" w:eastAsia="仿宋" w:cs="仿宋"/>
          <w:color w:val="auto"/>
          <w:sz w:val="24"/>
          <w:u w:val="single"/>
          <w:lang w:eastAsia="zh-CN"/>
        </w:rPr>
        <w:t>08月10日</w:t>
      </w:r>
      <w:r>
        <w:rPr>
          <w:rFonts w:hint="eastAsia" w:ascii="仿宋" w:hAnsi="仿宋" w:eastAsia="仿宋" w:cs="仿宋"/>
          <w:color w:val="auto"/>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pPr>
        <w:spacing w:line="360" w:lineRule="auto"/>
        <w:rPr>
          <w:rFonts w:ascii="仿宋" w:hAnsi="仿宋" w:eastAsia="仿宋" w:cs="仿宋"/>
          <w:b/>
          <w:color w:val="auto"/>
          <w:sz w:val="24"/>
        </w:rPr>
      </w:pPr>
      <w:r>
        <w:rPr>
          <w:rFonts w:hint="eastAsia" w:ascii="仿宋" w:hAnsi="仿宋" w:eastAsia="仿宋" w:cs="仿宋"/>
          <w:b/>
          <w:color w:val="auto"/>
          <w:sz w:val="24"/>
        </w:rPr>
        <w:t>四、提交投标文件截止时间、开标时间和地点</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 xml:space="preserve"> 2023年</w:t>
      </w:r>
      <w:r>
        <w:rPr>
          <w:rFonts w:hint="eastAsia" w:ascii="仿宋" w:hAnsi="仿宋" w:eastAsia="仿宋" w:cs="仿宋"/>
          <w:color w:val="auto"/>
          <w:sz w:val="24"/>
          <w:u w:val="single"/>
          <w:lang w:eastAsia="zh-CN"/>
        </w:rPr>
        <w:t>08月10日</w:t>
      </w:r>
      <w:r>
        <w:rPr>
          <w:rFonts w:hint="eastAsia" w:ascii="仿宋" w:hAnsi="仿宋" w:eastAsia="仿宋" w:cs="仿宋"/>
          <w:color w:val="auto"/>
          <w:sz w:val="24"/>
          <w:u w:val="single"/>
        </w:rPr>
        <w:t>09点00分</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（北京时间）</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u w:val="single"/>
        </w:rPr>
        <w:t>2023年</w:t>
      </w:r>
      <w:r>
        <w:rPr>
          <w:rFonts w:hint="eastAsia" w:ascii="仿宋" w:hAnsi="仿宋" w:eastAsia="仿宋" w:cs="仿宋"/>
          <w:color w:val="auto"/>
          <w:sz w:val="24"/>
          <w:u w:val="single"/>
          <w:lang w:eastAsia="zh-CN"/>
        </w:rPr>
        <w:t>08月10日</w:t>
      </w:r>
      <w:r>
        <w:rPr>
          <w:rFonts w:hint="eastAsia" w:ascii="仿宋" w:hAnsi="仿宋" w:eastAsia="仿宋" w:cs="仿宋"/>
          <w:color w:val="auto"/>
          <w:sz w:val="24"/>
          <w:u w:val="single"/>
        </w:rPr>
        <w:t>09点00分</w:t>
      </w:r>
      <w:r>
        <w:rPr>
          <w:rFonts w:hint="eastAsia" w:ascii="仿宋" w:hAnsi="仿宋" w:eastAsia="仿宋" w:cs="仿宋"/>
          <w:bCs/>
          <w:color w:val="auto"/>
          <w:sz w:val="24"/>
          <w:u w:val="single"/>
        </w:rPr>
        <w:t xml:space="preserve">  </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pPr>
        <w:spacing w:line="360" w:lineRule="auto"/>
        <w:rPr>
          <w:rFonts w:ascii="仿宋" w:hAnsi="仿宋" w:eastAsia="仿宋" w:cs="仿宋"/>
          <w:color w:val="auto"/>
          <w:sz w:val="24"/>
        </w:rPr>
      </w:pPr>
      <w:r>
        <w:rPr>
          <w:rFonts w:hint="eastAsia" w:ascii="仿宋" w:hAnsi="仿宋" w:eastAsia="仿宋" w:cs="仿宋"/>
          <w:b/>
          <w:color w:val="auto"/>
          <w:sz w:val="24"/>
        </w:rPr>
        <w:t xml:space="preserve">五、公告期限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自本公告发布之日起5个工作日。</w:t>
      </w:r>
    </w:p>
    <w:p>
      <w:pPr>
        <w:spacing w:line="360" w:lineRule="auto"/>
        <w:rPr>
          <w:rFonts w:ascii="仿宋" w:hAnsi="仿宋" w:eastAsia="仿宋" w:cs="仿宋"/>
          <w:b/>
          <w:color w:val="auto"/>
          <w:sz w:val="24"/>
        </w:rPr>
      </w:pPr>
      <w:r>
        <w:rPr>
          <w:rFonts w:hint="eastAsia" w:ascii="仿宋" w:hAnsi="仿宋" w:eastAsia="仿宋" w:cs="仿宋"/>
          <w:b/>
          <w:color w:val="auto"/>
          <w:sz w:val="24"/>
        </w:rPr>
        <w:t>六、其他补充事宜</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pPr>
        <w:spacing w:line="360" w:lineRule="auto"/>
        <w:rPr>
          <w:rFonts w:ascii="仿宋" w:hAnsi="仿宋" w:eastAsia="仿宋" w:cs="仿宋"/>
          <w:b/>
          <w:color w:val="auto"/>
          <w:sz w:val="24"/>
        </w:rPr>
      </w:pPr>
      <w:r>
        <w:rPr>
          <w:rFonts w:hint="eastAsia" w:ascii="仿宋" w:hAnsi="仿宋" w:eastAsia="仿宋" w:cs="仿宋"/>
          <w:b/>
          <w:color w:val="auto"/>
          <w:sz w:val="24"/>
        </w:rPr>
        <w:t>七、对本次采购提出询问、质疑、投诉，请按以下方式联系</w:t>
      </w:r>
    </w:p>
    <w:p>
      <w:pPr>
        <w:spacing w:line="360" w:lineRule="auto"/>
        <w:ind w:firstLine="422" w:firstLineChars="175"/>
        <w:rPr>
          <w:rFonts w:ascii="仿宋" w:hAnsi="仿宋" w:eastAsia="仿宋" w:cs="仿宋"/>
          <w:b/>
          <w:bCs/>
          <w:color w:val="auto"/>
          <w:sz w:val="24"/>
        </w:rPr>
      </w:pPr>
      <w:r>
        <w:rPr>
          <w:rFonts w:hint="eastAsia" w:ascii="仿宋" w:hAnsi="仿宋" w:eastAsia="仿宋" w:cs="仿宋"/>
          <w:b/>
          <w:bCs/>
          <w:color w:val="auto"/>
          <w:sz w:val="24"/>
        </w:rPr>
        <w:t>1.采购人信息</w:t>
      </w:r>
    </w:p>
    <w:p>
      <w:pPr>
        <w:spacing w:line="360" w:lineRule="auto"/>
        <w:ind w:firstLine="420" w:firstLineChars="175"/>
        <w:rPr>
          <w:rFonts w:ascii="仿宋" w:hAnsi="仿宋" w:eastAsia="仿宋" w:cs="仿宋"/>
          <w:color w:val="auto"/>
          <w:sz w:val="24"/>
        </w:rPr>
      </w:pPr>
      <w:r>
        <w:rPr>
          <w:rFonts w:hint="eastAsia" w:ascii="仿宋" w:hAnsi="仿宋" w:eastAsia="仿宋" w:cs="仿宋"/>
          <w:color w:val="auto"/>
          <w:sz w:val="24"/>
        </w:rPr>
        <w:t>名    称：浙江省药品监督管理局</w:t>
      </w:r>
    </w:p>
    <w:p>
      <w:pPr>
        <w:spacing w:line="360" w:lineRule="auto"/>
        <w:ind w:firstLine="420" w:firstLineChars="175"/>
        <w:rPr>
          <w:rFonts w:ascii="仿宋" w:hAnsi="仿宋" w:eastAsia="仿宋" w:cs="仿宋"/>
          <w:color w:val="auto"/>
          <w:sz w:val="24"/>
        </w:rPr>
      </w:pPr>
      <w:r>
        <w:rPr>
          <w:rFonts w:hint="eastAsia" w:ascii="仿宋" w:hAnsi="仿宋" w:eastAsia="仿宋" w:cs="仿宋"/>
          <w:color w:val="auto"/>
          <w:sz w:val="24"/>
        </w:rPr>
        <w:t>地    址：杭州市莫干山路文北巷27号</w:t>
      </w:r>
    </w:p>
    <w:p>
      <w:pPr>
        <w:spacing w:line="360" w:lineRule="auto"/>
        <w:ind w:firstLine="420" w:firstLineChars="175"/>
        <w:rPr>
          <w:rFonts w:ascii="仿宋" w:hAnsi="仿宋" w:eastAsia="仿宋" w:cs="仿宋"/>
          <w:color w:val="auto"/>
          <w:sz w:val="24"/>
        </w:rPr>
      </w:pPr>
      <w:r>
        <w:rPr>
          <w:rFonts w:hint="eastAsia" w:ascii="仿宋" w:hAnsi="仿宋" w:eastAsia="仿宋" w:cs="仿宋"/>
          <w:color w:val="auto"/>
          <w:sz w:val="24"/>
        </w:rPr>
        <w:t>传    真：/</w:t>
      </w:r>
    </w:p>
    <w:p>
      <w:pPr>
        <w:spacing w:line="360" w:lineRule="auto"/>
        <w:ind w:firstLine="420" w:firstLineChars="175"/>
        <w:rPr>
          <w:rFonts w:ascii="仿宋" w:hAnsi="仿宋" w:eastAsia="仿宋" w:cs="仿宋"/>
          <w:color w:val="auto"/>
          <w:sz w:val="24"/>
        </w:rPr>
      </w:pPr>
      <w:r>
        <w:rPr>
          <w:rFonts w:hint="eastAsia" w:ascii="仿宋" w:hAnsi="仿宋" w:eastAsia="仿宋" w:cs="仿宋"/>
          <w:color w:val="auto"/>
          <w:sz w:val="24"/>
        </w:rPr>
        <w:t>项目联系人：王蓓</w:t>
      </w:r>
    </w:p>
    <w:p>
      <w:pPr>
        <w:spacing w:line="360" w:lineRule="auto"/>
        <w:ind w:firstLine="420" w:firstLineChars="175"/>
        <w:rPr>
          <w:rFonts w:ascii="仿宋" w:hAnsi="仿宋" w:eastAsia="仿宋" w:cs="仿宋"/>
          <w:color w:val="auto"/>
          <w:sz w:val="24"/>
        </w:rPr>
      </w:pPr>
      <w:r>
        <w:rPr>
          <w:rFonts w:hint="eastAsia" w:ascii="仿宋" w:hAnsi="仿宋" w:eastAsia="仿宋" w:cs="仿宋"/>
          <w:color w:val="auto"/>
          <w:sz w:val="24"/>
        </w:rPr>
        <w:t>项目联系方式：0571-88903355</w:t>
      </w:r>
    </w:p>
    <w:p>
      <w:pPr>
        <w:spacing w:line="360" w:lineRule="auto"/>
        <w:ind w:firstLine="420" w:firstLineChars="175"/>
        <w:rPr>
          <w:rFonts w:ascii="仿宋" w:hAnsi="仿宋" w:eastAsia="仿宋" w:cs="仿宋"/>
          <w:color w:val="auto"/>
          <w:sz w:val="24"/>
        </w:rPr>
      </w:pPr>
      <w:r>
        <w:rPr>
          <w:rFonts w:hint="eastAsia" w:ascii="仿宋" w:hAnsi="仿宋" w:eastAsia="仿宋" w:cs="仿宋"/>
          <w:color w:val="auto"/>
          <w:sz w:val="24"/>
        </w:rPr>
        <w:t>质疑联系人：陈老师</w:t>
      </w:r>
    </w:p>
    <w:p>
      <w:pPr>
        <w:spacing w:line="360" w:lineRule="auto"/>
        <w:ind w:firstLine="420" w:firstLineChars="175"/>
        <w:rPr>
          <w:rFonts w:ascii="仿宋" w:hAnsi="仿宋" w:eastAsia="仿宋" w:cs="仿宋"/>
          <w:color w:val="auto"/>
          <w:sz w:val="24"/>
        </w:rPr>
      </w:pPr>
      <w:r>
        <w:rPr>
          <w:rFonts w:hint="eastAsia" w:ascii="仿宋" w:hAnsi="仿宋" w:eastAsia="仿宋" w:cs="仿宋"/>
          <w:color w:val="auto"/>
          <w:sz w:val="24"/>
        </w:rPr>
        <w:t>质疑联系方式：0571-88903318</w:t>
      </w:r>
    </w:p>
    <w:p>
      <w:pPr>
        <w:spacing w:line="360" w:lineRule="auto"/>
        <w:ind w:firstLine="422" w:firstLineChars="175"/>
        <w:rPr>
          <w:rFonts w:ascii="仿宋" w:hAnsi="仿宋" w:eastAsia="仿宋" w:cs="仿宋"/>
          <w:color w:val="auto"/>
          <w:sz w:val="24"/>
        </w:rPr>
      </w:pPr>
      <w:r>
        <w:rPr>
          <w:rFonts w:hint="eastAsia" w:ascii="仿宋" w:hAnsi="仿宋" w:eastAsia="仿宋" w:cs="仿宋"/>
          <w:b/>
          <w:bCs/>
          <w:color w:val="auto"/>
          <w:sz w:val="24"/>
        </w:rPr>
        <w:t xml:space="preserve">2.采购代理机构信息  </w:t>
      </w:r>
      <w:r>
        <w:rPr>
          <w:rFonts w:hint="eastAsia" w:ascii="仿宋" w:hAnsi="仿宋" w:eastAsia="仿宋" w:cs="仿宋"/>
          <w:color w:val="auto"/>
          <w:sz w:val="24"/>
        </w:rPr>
        <w:t xml:space="preserve">          </w:t>
      </w:r>
    </w:p>
    <w:p>
      <w:pPr>
        <w:spacing w:line="360" w:lineRule="auto"/>
        <w:ind w:firstLine="420" w:firstLineChars="175"/>
        <w:rPr>
          <w:rFonts w:ascii="仿宋" w:hAnsi="仿宋" w:eastAsia="仿宋" w:cs="仿宋"/>
          <w:color w:val="auto"/>
          <w:sz w:val="24"/>
        </w:rPr>
      </w:pPr>
      <w:r>
        <w:rPr>
          <w:rFonts w:hint="eastAsia" w:ascii="仿宋" w:hAnsi="仿宋" w:eastAsia="仿宋" w:cs="仿宋"/>
          <w:color w:val="auto"/>
          <w:sz w:val="24"/>
        </w:rPr>
        <w:t>名称：浙江国际招投标有限公司</w:t>
      </w:r>
    </w:p>
    <w:p>
      <w:pPr>
        <w:spacing w:line="360" w:lineRule="auto"/>
        <w:ind w:firstLine="420" w:firstLineChars="175"/>
        <w:rPr>
          <w:rFonts w:ascii="仿宋" w:hAnsi="仿宋" w:eastAsia="仿宋" w:cs="仿宋"/>
          <w:color w:val="auto"/>
          <w:sz w:val="24"/>
        </w:rPr>
      </w:pPr>
      <w:r>
        <w:rPr>
          <w:rFonts w:hint="eastAsia" w:ascii="仿宋" w:hAnsi="仿宋" w:eastAsia="仿宋" w:cs="仿宋"/>
          <w:color w:val="auto"/>
          <w:sz w:val="24"/>
        </w:rPr>
        <w:t xml:space="preserve">地址：杭州市西湖区文三路90号东部软件园1号楼3楼 </w:t>
      </w:r>
    </w:p>
    <w:p>
      <w:pPr>
        <w:spacing w:line="360" w:lineRule="auto"/>
        <w:ind w:firstLine="420" w:firstLineChars="175"/>
        <w:rPr>
          <w:rFonts w:ascii="仿宋" w:hAnsi="仿宋" w:eastAsia="仿宋" w:cs="仿宋"/>
          <w:color w:val="auto"/>
          <w:sz w:val="24"/>
        </w:rPr>
      </w:pPr>
      <w:r>
        <w:rPr>
          <w:rFonts w:hint="eastAsia" w:ascii="仿宋" w:hAnsi="仿宋" w:eastAsia="仿宋" w:cs="仿宋"/>
          <w:color w:val="auto"/>
          <w:sz w:val="24"/>
        </w:rPr>
        <w:t>传真：0571-88473430</w:t>
      </w:r>
    </w:p>
    <w:p>
      <w:pPr>
        <w:spacing w:line="360" w:lineRule="auto"/>
        <w:ind w:firstLine="420" w:firstLineChars="175"/>
        <w:rPr>
          <w:rFonts w:ascii="仿宋" w:hAnsi="仿宋" w:eastAsia="仿宋" w:cs="仿宋"/>
          <w:color w:val="auto"/>
          <w:sz w:val="24"/>
        </w:rPr>
      </w:pPr>
      <w:r>
        <w:rPr>
          <w:rFonts w:hint="eastAsia" w:ascii="仿宋" w:hAnsi="仿宋" w:eastAsia="仿宋" w:cs="仿宋"/>
          <w:color w:val="auto"/>
          <w:sz w:val="24"/>
        </w:rPr>
        <w:t>项目联系人（询问）：周群峰、葛珍妮</w:t>
      </w:r>
    </w:p>
    <w:p>
      <w:pPr>
        <w:spacing w:line="360" w:lineRule="auto"/>
        <w:ind w:firstLine="420" w:firstLineChars="175"/>
        <w:rPr>
          <w:rFonts w:ascii="仿宋" w:hAnsi="仿宋" w:eastAsia="仿宋" w:cs="仿宋"/>
          <w:color w:val="auto"/>
          <w:sz w:val="24"/>
        </w:rPr>
      </w:pPr>
      <w:r>
        <w:rPr>
          <w:rFonts w:hint="eastAsia" w:ascii="仿宋" w:hAnsi="仿宋" w:eastAsia="仿宋" w:cs="仿宋"/>
          <w:color w:val="auto"/>
          <w:sz w:val="24"/>
        </w:rPr>
        <w:t xml:space="preserve">项目联系方式（询问）：0571-81061821、0571-81061804 </w:t>
      </w:r>
    </w:p>
    <w:p>
      <w:pPr>
        <w:spacing w:line="360" w:lineRule="auto"/>
        <w:ind w:firstLine="420" w:firstLineChars="175"/>
        <w:rPr>
          <w:rFonts w:ascii="仿宋" w:hAnsi="仿宋" w:eastAsia="仿宋" w:cs="仿宋"/>
          <w:color w:val="auto"/>
          <w:sz w:val="24"/>
        </w:rPr>
      </w:pPr>
      <w:r>
        <w:rPr>
          <w:rFonts w:hint="eastAsia" w:ascii="仿宋" w:hAnsi="仿宋" w:eastAsia="仿宋" w:cs="仿宋"/>
          <w:color w:val="auto"/>
          <w:sz w:val="24"/>
        </w:rPr>
        <w:t>质疑联系人：郑珊珊</w:t>
      </w:r>
    </w:p>
    <w:p>
      <w:pPr>
        <w:spacing w:line="360" w:lineRule="auto"/>
        <w:ind w:firstLine="420" w:firstLineChars="175"/>
        <w:rPr>
          <w:rFonts w:ascii="仿宋" w:hAnsi="仿宋" w:eastAsia="仿宋" w:cs="仿宋"/>
          <w:color w:val="auto"/>
          <w:sz w:val="24"/>
        </w:rPr>
      </w:pPr>
      <w:r>
        <w:rPr>
          <w:rFonts w:hint="eastAsia" w:ascii="仿宋" w:hAnsi="仿宋" w:eastAsia="仿宋" w:cs="仿宋"/>
          <w:color w:val="auto"/>
          <w:sz w:val="24"/>
        </w:rPr>
        <w:t>质疑联系方式：0571-81061842</w:t>
      </w:r>
    </w:p>
    <w:p>
      <w:pPr>
        <w:spacing w:line="360" w:lineRule="auto"/>
        <w:ind w:firstLine="422" w:firstLineChars="175"/>
        <w:rPr>
          <w:rFonts w:ascii="仿宋" w:hAnsi="仿宋" w:eastAsia="仿宋" w:cs="仿宋"/>
          <w:b/>
          <w:bCs/>
          <w:color w:val="auto"/>
          <w:sz w:val="24"/>
        </w:rPr>
      </w:pPr>
      <w:r>
        <w:rPr>
          <w:rFonts w:hint="eastAsia" w:ascii="仿宋" w:hAnsi="仿宋" w:eastAsia="仿宋" w:cs="仿宋"/>
          <w:b/>
          <w:bCs/>
          <w:color w:val="auto"/>
          <w:sz w:val="24"/>
        </w:rPr>
        <w:t>3.同级政府采购监督管理部门</w:t>
      </w:r>
    </w:p>
    <w:p>
      <w:pPr>
        <w:spacing w:line="360" w:lineRule="auto"/>
        <w:ind w:firstLine="420" w:firstLineChars="175"/>
        <w:rPr>
          <w:rFonts w:ascii="仿宋" w:hAnsi="仿宋" w:eastAsia="仿宋" w:cs="仿宋"/>
          <w:color w:val="auto"/>
          <w:sz w:val="24"/>
        </w:rPr>
      </w:pPr>
      <w:r>
        <w:rPr>
          <w:rFonts w:hint="eastAsia" w:ascii="仿宋" w:hAnsi="仿宋" w:eastAsia="仿宋" w:cs="仿宋"/>
          <w:color w:val="auto"/>
          <w:sz w:val="24"/>
        </w:rPr>
        <w:t>名称：浙江省财政厅政府采购监管处、浙江省政府采购行政裁决服务中心（杭州）</w:t>
      </w:r>
    </w:p>
    <w:p>
      <w:pPr>
        <w:spacing w:line="360" w:lineRule="auto"/>
        <w:ind w:firstLine="420" w:firstLineChars="175"/>
        <w:rPr>
          <w:rFonts w:ascii="仿宋" w:hAnsi="仿宋" w:eastAsia="仿宋" w:cs="仿宋"/>
          <w:color w:val="auto"/>
          <w:sz w:val="24"/>
        </w:rPr>
      </w:pPr>
      <w:r>
        <w:rPr>
          <w:rFonts w:hint="eastAsia" w:ascii="仿宋" w:hAnsi="仿宋" w:eastAsia="仿宋" w:cs="仿宋"/>
          <w:color w:val="auto"/>
          <w:sz w:val="24"/>
        </w:rPr>
        <w:t>地址：杭州市上城区四季青街道新业路市民之家G03办公室</w:t>
      </w:r>
    </w:p>
    <w:p>
      <w:pPr>
        <w:spacing w:line="360" w:lineRule="auto"/>
        <w:ind w:firstLine="420" w:firstLineChars="175"/>
        <w:rPr>
          <w:rFonts w:ascii="仿宋" w:hAnsi="仿宋" w:eastAsia="仿宋" w:cs="仿宋"/>
          <w:color w:val="auto"/>
          <w:sz w:val="24"/>
        </w:rPr>
      </w:pPr>
      <w:r>
        <w:rPr>
          <w:rFonts w:hint="eastAsia" w:ascii="仿宋" w:hAnsi="仿宋" w:eastAsia="仿宋" w:cs="仿宋"/>
          <w:color w:val="auto"/>
          <w:sz w:val="24"/>
        </w:rPr>
        <w:t>传真：</w:t>
      </w:r>
    </w:p>
    <w:p>
      <w:pPr>
        <w:spacing w:line="360" w:lineRule="auto"/>
        <w:ind w:firstLine="420" w:firstLineChars="175"/>
        <w:rPr>
          <w:rFonts w:ascii="仿宋" w:hAnsi="仿宋" w:eastAsia="仿宋" w:cs="仿宋"/>
          <w:color w:val="auto"/>
          <w:sz w:val="24"/>
        </w:rPr>
      </w:pPr>
      <w:r>
        <w:rPr>
          <w:rFonts w:hint="eastAsia" w:ascii="仿宋" w:hAnsi="仿宋" w:eastAsia="仿宋" w:cs="仿宋"/>
          <w:color w:val="auto"/>
          <w:sz w:val="24"/>
        </w:rPr>
        <w:t>联系人：朱女士、王女士</w:t>
      </w:r>
    </w:p>
    <w:p>
      <w:pPr>
        <w:spacing w:line="360" w:lineRule="auto"/>
        <w:ind w:firstLine="420" w:firstLineChars="175"/>
        <w:rPr>
          <w:rFonts w:ascii="仿宋" w:hAnsi="仿宋" w:eastAsia="仿宋" w:cs="仿宋"/>
          <w:color w:val="auto"/>
          <w:sz w:val="24"/>
        </w:rPr>
      </w:pPr>
      <w:r>
        <w:rPr>
          <w:rFonts w:hint="eastAsia" w:ascii="仿宋" w:hAnsi="仿宋" w:eastAsia="仿宋" w:cs="仿宋"/>
          <w:color w:val="auto"/>
          <w:sz w:val="24"/>
        </w:rPr>
        <w:t>监督投诉电话：0571-85252453</w:t>
      </w:r>
    </w:p>
    <w:p>
      <w:pPr>
        <w:spacing w:line="360" w:lineRule="auto"/>
        <w:ind w:firstLine="420" w:firstLineChars="175"/>
        <w:rPr>
          <w:rFonts w:ascii="仿宋" w:hAnsi="仿宋" w:eastAsia="仿宋" w:cs="仿宋"/>
          <w:color w:val="auto"/>
          <w:sz w:val="24"/>
        </w:rPr>
      </w:pPr>
      <w:r>
        <w:rPr>
          <w:rFonts w:hint="eastAsia" w:ascii="仿宋" w:hAnsi="仿宋" w:eastAsia="仿宋" w:cs="仿宋"/>
          <w:color w:val="auto"/>
          <w:sz w:val="24"/>
        </w:rPr>
        <w:t>政策咨询：何一平、冯华，0571-87058424、87055741</w:t>
      </w:r>
    </w:p>
    <w:p>
      <w:pPr>
        <w:spacing w:line="360" w:lineRule="auto"/>
        <w:ind w:firstLine="420" w:firstLineChars="175"/>
        <w:rPr>
          <w:rFonts w:ascii="仿宋" w:hAnsi="仿宋" w:eastAsia="仿宋" w:cs="仿宋"/>
          <w:color w:val="auto"/>
          <w:sz w:val="24"/>
        </w:rPr>
      </w:pPr>
      <w:r>
        <w:rPr>
          <w:rFonts w:hint="eastAsia" w:ascii="仿宋" w:hAnsi="仿宋" w:eastAsia="仿宋" w:cs="仿宋"/>
          <w:color w:val="auto"/>
          <w:sz w:val="24"/>
        </w:rPr>
        <w:t>预算金额未达100万元的采购项目，由采购人处理采购争议。</w:t>
      </w:r>
    </w:p>
    <w:p>
      <w:pPr>
        <w:spacing w:line="360" w:lineRule="auto"/>
        <w:ind w:firstLine="480" w:firstLineChars="200"/>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CA问题联系电话（人工）：汇信CA 400-888-4636；天谷CA 400-087-8198。                              </w:t>
      </w:r>
    </w:p>
    <w:p>
      <w:pPr>
        <w:adjustRightInd/>
        <w:spacing w:line="360" w:lineRule="auto"/>
        <w:jc w:val="center"/>
        <w:outlineLvl w:val="0"/>
        <w:rPr>
          <w:rFonts w:ascii="仿宋" w:hAnsi="仿宋" w:eastAsia="仿宋" w:cs="仿宋"/>
          <w:b/>
          <w:color w:val="auto"/>
          <w:sz w:val="36"/>
          <w:szCs w:val="20"/>
        </w:rPr>
      </w:pPr>
      <w:r>
        <w:rPr>
          <w:rFonts w:hint="eastAsia" w:ascii="仿宋" w:hAnsi="仿宋" w:eastAsia="仿宋" w:cs="仿宋"/>
          <w:b/>
          <w:color w:val="auto"/>
          <w:sz w:val="36"/>
          <w:szCs w:val="20"/>
        </w:rPr>
        <w:br w:type="page"/>
      </w:r>
      <w:bookmarkStart w:id="12" w:name="_Toc11261"/>
      <w:r>
        <w:rPr>
          <w:rFonts w:hint="eastAsia" w:ascii="仿宋" w:hAnsi="仿宋" w:eastAsia="仿宋" w:cs="仿宋"/>
          <w:b/>
          <w:color w:val="auto"/>
          <w:sz w:val="36"/>
          <w:szCs w:val="20"/>
        </w:rPr>
        <w:t>第二部分</w:t>
      </w:r>
      <w:bookmarkEnd w:id="9"/>
      <w:r>
        <w:rPr>
          <w:rFonts w:hint="eastAsia" w:ascii="仿宋" w:hAnsi="仿宋" w:eastAsia="仿宋" w:cs="仿宋"/>
          <w:b/>
          <w:color w:val="auto"/>
          <w:sz w:val="36"/>
          <w:szCs w:val="20"/>
        </w:rPr>
        <w:t xml:space="preserve"> 投标人须知</w:t>
      </w:r>
      <w:bookmarkEnd w:id="10"/>
      <w:bookmarkEnd w:id="12"/>
    </w:p>
    <w:p>
      <w:pPr>
        <w:snapToGrid w:val="0"/>
        <w:spacing w:line="360" w:lineRule="auto"/>
        <w:jc w:val="center"/>
        <w:rPr>
          <w:rFonts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63"/>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42" w:hRule="atLeast"/>
          <w:tblHeader/>
        </w:trPr>
        <w:tc>
          <w:tcPr>
            <w:tcW w:w="629" w:type="dxa"/>
            <w:tcBorders>
              <w:tl2br w:val="nil"/>
              <w:tr2bl w:val="nil"/>
            </w:tcBorders>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序号</w:t>
            </w:r>
          </w:p>
        </w:tc>
        <w:tc>
          <w:tcPr>
            <w:tcW w:w="1843" w:type="dxa"/>
            <w:tcBorders>
              <w:tl2br w:val="nil"/>
              <w:tr2bl w:val="nil"/>
            </w:tcBorders>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事项</w:t>
            </w:r>
          </w:p>
        </w:tc>
        <w:tc>
          <w:tcPr>
            <w:tcW w:w="6095" w:type="dxa"/>
            <w:tcBorders>
              <w:tl2br w:val="nil"/>
              <w:tr2bl w:val="nil"/>
            </w:tcBorders>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本项目的特别规定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1</w:t>
            </w:r>
          </w:p>
        </w:tc>
        <w:tc>
          <w:tcPr>
            <w:tcW w:w="1843" w:type="dxa"/>
            <w:tcBorders>
              <w:tl2br w:val="nil"/>
              <w:tr2bl w:val="nil"/>
            </w:tcBorders>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项目属性</w:t>
            </w:r>
          </w:p>
        </w:tc>
        <w:tc>
          <w:tcPr>
            <w:tcW w:w="6095" w:type="dxa"/>
            <w:tcBorders>
              <w:tl2br w:val="nil"/>
              <w:tr2bl w:val="nil"/>
            </w:tcBorders>
            <w:vAlign w:val="center"/>
          </w:tcPr>
          <w:p>
            <w:pPr>
              <w:snapToGrid w:val="0"/>
              <w:spacing w:line="400" w:lineRule="exact"/>
              <w:rPr>
                <w:rFonts w:ascii="仿宋" w:hAnsi="仿宋" w:eastAsia="仿宋" w:cs="仿宋"/>
                <w:color w:val="auto"/>
                <w:kern w:val="0"/>
                <w:sz w:val="24"/>
              </w:rPr>
            </w:pPr>
            <w:r>
              <w:rPr>
                <w:rFonts w:hint="eastAsia" w:ascii="仿宋" w:hAnsi="仿宋" w:eastAsia="仿宋" w:cs="仿宋"/>
                <w:color w:val="auto"/>
                <w:kern w:val="0"/>
                <w:sz w:val="24"/>
              </w:rPr>
              <w:t>服务类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2</w:t>
            </w:r>
          </w:p>
        </w:tc>
        <w:tc>
          <w:tcPr>
            <w:tcW w:w="1843" w:type="dxa"/>
            <w:tcBorders>
              <w:tl2br w:val="nil"/>
              <w:tr2bl w:val="nil"/>
            </w:tcBorders>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采购标的对应的中小企业划分标准所属行业</w:t>
            </w:r>
          </w:p>
        </w:tc>
        <w:tc>
          <w:tcPr>
            <w:tcW w:w="6095" w:type="dxa"/>
            <w:tcBorders>
              <w:tl2br w:val="nil"/>
              <w:tr2bl w:val="nil"/>
            </w:tcBorders>
            <w:vAlign w:val="center"/>
          </w:tcPr>
          <w:p>
            <w:pPr>
              <w:pStyle w:val="950"/>
              <w:adjustRightInd w:val="0"/>
              <w:spacing w:line="360" w:lineRule="auto"/>
              <w:ind w:firstLine="0" w:firstLineChars="0"/>
              <w:jc w:val="both"/>
              <w:rPr>
                <w:rFonts w:ascii="仿宋" w:hAnsi="仿宋" w:eastAsia="仿宋" w:cs="仿宋"/>
                <w:color w:val="auto"/>
                <w:kern w:val="0"/>
              </w:rPr>
            </w:pPr>
            <w:r>
              <w:rPr>
                <w:rFonts w:hint="eastAsia" w:ascii="仿宋" w:hAnsi="仿宋" w:eastAsia="仿宋" w:cs="仿宋"/>
                <w:color w:val="auto"/>
                <w:kern w:val="0"/>
              </w:rPr>
              <w:t>标的：</w:t>
            </w:r>
            <w:r>
              <w:rPr>
                <w:rFonts w:hint="eastAsia" w:ascii="仿宋" w:hAnsi="仿宋" w:eastAsia="仿宋" w:cs="仿宋"/>
                <w:b/>
                <w:bCs/>
                <w:color w:val="auto"/>
                <w:kern w:val="0"/>
                <w:u w:val="single"/>
              </w:rPr>
              <w:t>2023年浙江省省级药品抽检委托检验服务项目</w:t>
            </w:r>
            <w:r>
              <w:rPr>
                <w:rFonts w:hint="eastAsia" w:ascii="仿宋" w:hAnsi="仿宋" w:eastAsia="仿宋" w:cs="仿宋"/>
                <w:color w:val="auto"/>
                <w:kern w:val="0"/>
              </w:rPr>
              <w:t>，属于</w:t>
            </w:r>
            <w:r>
              <w:rPr>
                <w:rFonts w:hint="eastAsia" w:ascii="仿宋" w:hAnsi="仿宋" w:eastAsia="仿宋" w:cs="仿宋"/>
                <w:b/>
                <w:bCs/>
                <w:color w:val="auto"/>
                <w:kern w:val="0"/>
                <w:u w:val="single"/>
              </w:rPr>
              <w:t>其他未列明行业</w:t>
            </w:r>
            <w:r>
              <w:rPr>
                <w:rFonts w:hint="eastAsia" w:ascii="仿宋" w:hAnsi="仿宋" w:eastAsia="仿宋" w:cs="仿宋"/>
                <w:color w:val="auto"/>
                <w:kern w:val="0"/>
              </w:rPr>
              <w:t>行业，中小企业划分标准：</w:t>
            </w:r>
            <w:r>
              <w:rPr>
                <w:rFonts w:hint="eastAsia" w:ascii="仿宋" w:hAnsi="仿宋" w:eastAsia="仿宋" w:cs="仿宋"/>
                <w:b/>
                <w:bCs/>
                <w:color w:val="auto"/>
                <w:kern w:val="0"/>
                <w:u w:val="single"/>
              </w:rPr>
              <w:t>从业人员300人以下的为中小微型企业。其中，从业人员100人及以上的为中型企业;从业人员10人及以上的为小型企业;从业人员10人以下的为微型企业。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3</w:t>
            </w:r>
          </w:p>
        </w:tc>
        <w:tc>
          <w:tcPr>
            <w:tcW w:w="1843" w:type="dxa"/>
            <w:tcBorders>
              <w:tl2br w:val="nil"/>
              <w:tr2bl w:val="nil"/>
            </w:tcBorders>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是否允许采购进口产品</w:t>
            </w:r>
          </w:p>
        </w:tc>
        <w:tc>
          <w:tcPr>
            <w:tcW w:w="6095" w:type="dxa"/>
            <w:tcBorders>
              <w:tl2br w:val="nil"/>
              <w:tr2bl w:val="nil"/>
            </w:tcBorders>
            <w:vAlign w:val="center"/>
          </w:tcPr>
          <w:p>
            <w:pPr>
              <w:snapToGrid w:val="0"/>
              <w:spacing w:line="400" w:lineRule="exact"/>
              <w:rPr>
                <w:rFonts w:ascii="仿宋" w:hAnsi="仿宋" w:eastAsia="仿宋" w:cs="仿宋"/>
                <w:color w:val="auto"/>
                <w:kern w:val="0"/>
                <w:sz w:val="24"/>
              </w:rPr>
            </w:pPr>
            <w:sdt>
              <w:sdtPr>
                <w:rPr>
                  <w:rFonts w:hint="eastAsia" w:ascii="仿宋" w:hAnsi="仿宋" w:eastAsia="仿宋" w:cs="仿宋"/>
                  <w:color w:val="auto"/>
                  <w:kern w:val="0"/>
                  <w:sz w:val="24"/>
                </w:rPr>
                <w:id w:val="-1828425707"/>
              </w:sdtPr>
              <w:sdtEndPr>
                <w:rPr>
                  <w:rFonts w:hint="eastAsia" w:ascii="仿宋" w:hAnsi="仿宋" w:eastAsia="仿宋" w:cs="仿宋"/>
                  <w:b/>
                  <w:bCs/>
                  <w:color w:val="auto"/>
                  <w:kern w:val="0"/>
                  <w:sz w:val="24"/>
                </w:rPr>
              </w:sdtEndPr>
              <w:sdtContent>
                <w:r>
                  <w:rPr>
                    <w:rFonts w:ascii="Wingdings" w:hAnsi="Wingdings" w:eastAsia="仿宋" w:cs="仿宋"/>
                    <w:b/>
                    <w:bCs/>
                    <w:color w:val="auto"/>
                    <w:kern w:val="0"/>
                    <w:sz w:val="24"/>
                  </w:rPr>
                  <w:t></w:t>
                </w:r>
              </w:sdtContent>
            </w:sdt>
            <w:r>
              <w:rPr>
                <w:rFonts w:hint="eastAsia" w:ascii="仿宋" w:hAnsi="仿宋" w:eastAsia="仿宋" w:cs="仿宋"/>
                <w:b/>
                <w:bCs/>
                <w:color w:val="auto"/>
                <w:kern w:val="0"/>
                <w:sz w:val="24"/>
              </w:rPr>
              <w:t>本项目不允许采购进口产品。</w:t>
            </w:r>
          </w:p>
          <w:p>
            <w:pPr>
              <w:snapToGrid w:val="0"/>
              <w:spacing w:line="400" w:lineRule="exact"/>
              <w:rPr>
                <w:rFonts w:ascii="仿宋" w:hAnsi="仿宋" w:eastAsia="仿宋" w:cs="仿宋"/>
                <w:color w:val="auto"/>
              </w:rPr>
            </w:pPr>
            <w:sdt>
              <w:sdtPr>
                <w:rPr>
                  <w:rFonts w:hint="eastAsia" w:ascii="仿宋" w:hAnsi="仿宋" w:eastAsia="仿宋" w:cs="仿宋"/>
                  <w:color w:val="auto"/>
                  <w:kern w:val="0"/>
                  <w:sz w:val="24"/>
                </w:rPr>
                <w:id w:val="-52852824"/>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可以就</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采购进口产品。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4</w:t>
            </w:r>
          </w:p>
        </w:tc>
        <w:tc>
          <w:tcPr>
            <w:tcW w:w="1843" w:type="dxa"/>
            <w:tcBorders>
              <w:tl2br w:val="nil"/>
              <w:tr2bl w:val="nil"/>
            </w:tcBorders>
            <w:vAlign w:val="center"/>
          </w:tcPr>
          <w:p>
            <w:pPr>
              <w:snapToGrid w:val="0"/>
              <w:spacing w:line="400" w:lineRule="exact"/>
              <w:ind w:firstLine="482" w:firstLineChars="200"/>
              <w:rPr>
                <w:rFonts w:ascii="仿宋" w:hAnsi="仿宋" w:eastAsia="仿宋" w:cs="仿宋"/>
                <w:b/>
                <w:color w:val="auto"/>
                <w:sz w:val="24"/>
              </w:rPr>
            </w:pPr>
            <w:r>
              <w:rPr>
                <w:rFonts w:hint="eastAsia" w:ascii="仿宋" w:hAnsi="仿宋" w:eastAsia="仿宋" w:cs="仿宋"/>
                <w:b/>
                <w:color w:val="auto"/>
                <w:sz w:val="24"/>
              </w:rPr>
              <w:t>分包</w:t>
            </w:r>
          </w:p>
        </w:tc>
        <w:tc>
          <w:tcPr>
            <w:tcW w:w="6095" w:type="dxa"/>
            <w:tcBorders>
              <w:tl2br w:val="nil"/>
              <w:tr2bl w:val="nil"/>
            </w:tcBorders>
            <w:vAlign w:val="center"/>
          </w:tcPr>
          <w:p>
            <w:pPr>
              <w:snapToGrid w:val="0"/>
              <w:spacing w:line="400" w:lineRule="exact"/>
              <w:rPr>
                <w:rFonts w:ascii="仿宋" w:hAnsi="仿宋" w:eastAsia="仿宋" w:cs="仿宋"/>
                <w:color w:val="auto"/>
                <w:sz w:val="24"/>
              </w:rPr>
            </w:pPr>
            <w:sdt>
              <w:sdtPr>
                <w:rPr>
                  <w:rFonts w:hint="eastAsia" w:ascii="仿宋" w:hAnsi="仿宋" w:eastAsia="仿宋" w:cs="仿宋"/>
                  <w:color w:val="auto"/>
                  <w:kern w:val="0"/>
                  <w:sz w:val="24"/>
                </w:rPr>
                <w:id w:val="-1276331357"/>
              </w:sdtPr>
              <w:sdtEndPr>
                <w:rPr>
                  <w:rFonts w:hint="eastAsia" w:ascii="仿宋" w:hAnsi="仿宋" w:eastAsia="仿宋" w:cs="仿宋"/>
                  <w:color w:val="auto"/>
                  <w:kern w:val="0"/>
                  <w:sz w:val="24"/>
                </w:rPr>
              </w:sdtEndPr>
              <w:sdtContent>
                <w:r>
                  <w:rPr>
                    <w:rFonts w:ascii="Wingdings" w:hAnsi="Wingdings" w:eastAsia="仿宋" w:cs="仿宋"/>
                    <w:color w:val="auto"/>
                    <w:kern w:val="0"/>
                    <w:sz w:val="24"/>
                  </w:rPr>
                  <w:t></w:t>
                </w:r>
              </w:sdtContent>
            </w:sdt>
            <w:r>
              <w:rPr>
                <w:rFonts w:hint="eastAsia" w:ascii="仿宋" w:hAnsi="仿宋" w:eastAsia="仿宋" w:cs="仿宋"/>
                <w:color w:val="auto"/>
                <w:kern w:val="0"/>
                <w:sz w:val="24"/>
              </w:rPr>
              <w:t xml:space="preserve"> </w:t>
            </w:r>
            <w:r>
              <w:rPr>
                <w:rFonts w:hint="eastAsia" w:ascii="仿宋" w:hAnsi="仿宋" w:eastAsia="仿宋" w:cs="仿宋"/>
                <w:b/>
                <w:bCs/>
                <w:color w:val="auto"/>
                <w:sz w:val="24"/>
                <w:u w:val="single"/>
              </w:rPr>
              <w:t>同意将非主体、非关键性的工作分包。</w:t>
            </w:r>
          </w:p>
          <w:p>
            <w:pPr>
              <w:snapToGrid w:val="0"/>
              <w:spacing w:line="400" w:lineRule="exact"/>
              <w:rPr>
                <w:rFonts w:ascii="仿宋" w:hAnsi="仿宋" w:eastAsia="仿宋" w:cs="仿宋"/>
                <w:color w:val="auto"/>
                <w:sz w:val="24"/>
              </w:rPr>
            </w:pPr>
            <w:sdt>
              <w:sdtPr>
                <w:rPr>
                  <w:rFonts w:hint="eastAsia" w:ascii="仿宋" w:hAnsi="仿宋" w:eastAsia="仿宋" w:cs="仿宋"/>
                  <w:color w:val="auto"/>
                  <w:kern w:val="0"/>
                  <w:sz w:val="24"/>
                </w:rPr>
                <w:id w:val="96687018"/>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 xml:space="preserve"> </w:t>
            </w:r>
            <w:r>
              <w:rPr>
                <w:rFonts w:hint="eastAsia" w:ascii="仿宋" w:hAnsi="仿宋" w:eastAsia="仿宋" w:cs="仿宋"/>
                <w:color w:val="auto"/>
                <w:sz w:val="24"/>
              </w:rPr>
              <w:t>不同意分包。</w:t>
            </w:r>
          </w:p>
          <w:p>
            <w:pPr>
              <w:snapToGrid w:val="0"/>
              <w:spacing w:line="400" w:lineRule="exact"/>
              <w:rPr>
                <w:rFonts w:ascii="仿宋" w:hAnsi="仿宋" w:eastAsia="仿宋" w:cs="仿宋"/>
                <w:color w:val="auto"/>
                <w:sz w:val="24"/>
              </w:rPr>
            </w:pPr>
            <w:r>
              <w:rPr>
                <w:rFonts w:hint="eastAsia" w:ascii="仿宋" w:hAnsi="仿宋" w:eastAsia="仿宋" w:cs="仿宋"/>
                <w:color w:val="auto"/>
                <w:sz w:val="24"/>
              </w:rPr>
              <w:t>注：不得限制大中型企业向小微企业合理分包。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5</w:t>
            </w:r>
          </w:p>
        </w:tc>
        <w:tc>
          <w:tcPr>
            <w:tcW w:w="1843" w:type="dxa"/>
            <w:tcBorders>
              <w:tl2br w:val="nil"/>
              <w:tr2bl w:val="nil"/>
            </w:tcBorders>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开标前答疑会或现场考察</w:t>
            </w:r>
          </w:p>
        </w:tc>
        <w:tc>
          <w:tcPr>
            <w:tcW w:w="6095" w:type="dxa"/>
            <w:tcBorders>
              <w:tl2br w:val="nil"/>
              <w:tr2bl w:val="nil"/>
            </w:tcBorders>
            <w:vAlign w:val="center"/>
          </w:tcPr>
          <w:p>
            <w:pPr>
              <w:snapToGrid w:val="0"/>
              <w:spacing w:line="400" w:lineRule="exact"/>
              <w:rPr>
                <w:rFonts w:ascii="仿宋" w:hAnsi="仿宋" w:eastAsia="仿宋" w:cs="仿宋"/>
                <w:color w:val="auto"/>
                <w:sz w:val="24"/>
              </w:rPr>
            </w:pPr>
            <w:sdt>
              <w:sdtPr>
                <w:rPr>
                  <w:rFonts w:hint="eastAsia" w:ascii="仿宋" w:hAnsi="仿宋" w:eastAsia="仿宋" w:cs="仿宋"/>
                  <w:color w:val="auto"/>
                  <w:kern w:val="0"/>
                  <w:sz w:val="24"/>
                </w:rPr>
                <w:id w:val="-212966419"/>
              </w:sdtPr>
              <w:sdtEndPr>
                <w:rPr>
                  <w:rFonts w:hint="eastAsia" w:ascii="仿宋" w:hAnsi="仿宋" w:eastAsia="仿宋" w:cs="仿宋"/>
                  <w:b/>
                  <w:bCs/>
                  <w:color w:val="auto"/>
                  <w:kern w:val="0"/>
                  <w:sz w:val="24"/>
                </w:rPr>
              </w:sdtEndPr>
              <w:sdtContent>
                <w:r>
                  <w:rPr>
                    <w:rFonts w:ascii="Wingdings" w:hAnsi="Wingdings" w:eastAsia="仿宋" w:cs="仿宋"/>
                    <w:b/>
                    <w:bCs/>
                    <w:color w:val="auto"/>
                    <w:kern w:val="0"/>
                    <w:sz w:val="24"/>
                  </w:rPr>
                  <w:t></w:t>
                </w:r>
              </w:sdtContent>
            </w:sdt>
            <w:r>
              <w:rPr>
                <w:rFonts w:hint="eastAsia" w:ascii="仿宋" w:hAnsi="仿宋" w:eastAsia="仿宋" w:cs="仿宋"/>
                <w:b/>
                <w:bCs/>
                <w:color w:val="auto"/>
                <w:kern w:val="0"/>
                <w:sz w:val="24"/>
              </w:rPr>
              <w:t xml:space="preserve"> </w:t>
            </w:r>
            <w:r>
              <w:rPr>
                <w:rFonts w:hint="eastAsia" w:ascii="仿宋" w:hAnsi="仿宋" w:eastAsia="仿宋" w:cs="仿宋"/>
                <w:b/>
                <w:bCs/>
                <w:color w:val="auto"/>
                <w:sz w:val="24"/>
              </w:rPr>
              <w:t>不组织。</w:t>
            </w:r>
          </w:p>
          <w:p>
            <w:pPr>
              <w:snapToGrid w:val="0"/>
              <w:spacing w:line="400" w:lineRule="exact"/>
              <w:rPr>
                <w:rFonts w:ascii="仿宋" w:hAnsi="仿宋" w:eastAsia="仿宋" w:cs="仿宋"/>
                <w:color w:val="auto"/>
                <w:sz w:val="24"/>
                <w:szCs w:val="20"/>
              </w:rPr>
            </w:pPr>
            <w:sdt>
              <w:sdtPr>
                <w:rPr>
                  <w:rFonts w:hint="eastAsia" w:ascii="仿宋" w:hAnsi="仿宋" w:eastAsia="仿宋" w:cs="仿宋"/>
                  <w:color w:val="auto"/>
                  <w:kern w:val="0"/>
                  <w:sz w:val="24"/>
                </w:rPr>
                <w:id w:val="-999802974"/>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 xml:space="preserve"> 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19" w:hRule="atLeast"/>
        </w:trPr>
        <w:tc>
          <w:tcPr>
            <w:tcW w:w="629" w:type="dxa"/>
            <w:tcBorders>
              <w:tl2br w:val="nil"/>
              <w:tr2bl w:val="nil"/>
            </w:tcBorders>
            <w:vAlign w:val="center"/>
          </w:tcPr>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6</w:t>
            </w:r>
          </w:p>
        </w:tc>
        <w:tc>
          <w:tcPr>
            <w:tcW w:w="1843" w:type="dxa"/>
            <w:tcBorders>
              <w:tl2br w:val="nil"/>
              <w:tr2bl w:val="nil"/>
            </w:tcBorders>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样品提供</w:t>
            </w:r>
          </w:p>
        </w:tc>
        <w:tc>
          <w:tcPr>
            <w:tcW w:w="6095" w:type="dxa"/>
            <w:tcBorders>
              <w:tl2br w:val="nil"/>
              <w:tr2bl w:val="nil"/>
            </w:tcBorders>
            <w:vAlign w:val="center"/>
          </w:tcPr>
          <w:p>
            <w:pPr>
              <w:snapToGrid w:val="0"/>
              <w:spacing w:line="400" w:lineRule="exact"/>
              <w:rPr>
                <w:rFonts w:ascii="仿宋" w:hAnsi="仿宋" w:eastAsia="仿宋" w:cs="仿宋"/>
                <w:color w:val="auto"/>
                <w:sz w:val="24"/>
              </w:rPr>
            </w:pPr>
            <w:sdt>
              <w:sdtPr>
                <w:rPr>
                  <w:rFonts w:hint="eastAsia" w:ascii="仿宋" w:hAnsi="仿宋" w:eastAsia="仿宋" w:cs="仿宋"/>
                  <w:color w:val="auto"/>
                  <w:kern w:val="0"/>
                  <w:sz w:val="24"/>
                </w:rPr>
                <w:id w:val="-1639946486"/>
              </w:sdtPr>
              <w:sdtEndPr>
                <w:rPr>
                  <w:rFonts w:hint="eastAsia" w:ascii="仿宋" w:hAnsi="仿宋" w:eastAsia="仿宋" w:cs="仿宋"/>
                  <w:b/>
                  <w:bCs/>
                  <w:color w:val="auto"/>
                  <w:kern w:val="0"/>
                  <w:sz w:val="24"/>
                </w:rPr>
              </w:sdtEndPr>
              <w:sdtContent>
                <w:r>
                  <w:rPr>
                    <w:rFonts w:ascii="Wingdings" w:hAnsi="Wingdings" w:eastAsia="仿宋" w:cs="仿宋"/>
                    <w:b/>
                    <w:bCs/>
                    <w:color w:val="auto"/>
                    <w:kern w:val="0"/>
                    <w:sz w:val="24"/>
                  </w:rPr>
                  <w:t></w:t>
                </w:r>
              </w:sdtContent>
            </w:sdt>
            <w:r>
              <w:rPr>
                <w:rFonts w:hint="eastAsia" w:ascii="仿宋" w:hAnsi="仿宋" w:eastAsia="仿宋" w:cs="仿宋"/>
                <w:b/>
                <w:bCs/>
                <w:color w:val="auto"/>
                <w:kern w:val="0"/>
                <w:sz w:val="24"/>
              </w:rPr>
              <w:t xml:space="preserve"> </w:t>
            </w:r>
            <w:r>
              <w:rPr>
                <w:rFonts w:hint="eastAsia" w:ascii="仿宋" w:hAnsi="仿宋" w:eastAsia="仿宋" w:cs="仿宋"/>
                <w:b/>
                <w:bCs/>
                <w:color w:val="auto"/>
                <w:sz w:val="24"/>
              </w:rPr>
              <w:t>不要求提供。</w:t>
            </w:r>
          </w:p>
          <w:p>
            <w:pPr>
              <w:snapToGrid w:val="0"/>
              <w:spacing w:line="400" w:lineRule="exact"/>
              <w:rPr>
                <w:rFonts w:ascii="仿宋" w:hAnsi="仿宋" w:eastAsia="仿宋" w:cs="仿宋"/>
                <w:color w:val="auto"/>
                <w:kern w:val="0"/>
                <w:sz w:val="24"/>
              </w:rPr>
            </w:pPr>
            <w:sdt>
              <w:sdtPr>
                <w:rPr>
                  <w:rFonts w:hint="eastAsia" w:ascii="仿宋" w:hAnsi="仿宋" w:eastAsia="仿宋" w:cs="仿宋"/>
                  <w:color w:val="auto"/>
                  <w:kern w:val="0"/>
                  <w:sz w:val="24"/>
                </w:rPr>
                <w:id w:val="1026831988"/>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 xml:space="preserve"> 要求提供，</w:t>
            </w:r>
          </w:p>
          <w:p>
            <w:pPr>
              <w:numPr>
                <w:ilvl w:val="0"/>
                <w:numId w:val="1"/>
              </w:numPr>
              <w:snapToGrid w:val="0"/>
              <w:spacing w:line="400" w:lineRule="exact"/>
              <w:rPr>
                <w:rFonts w:ascii="仿宋" w:hAnsi="仿宋" w:eastAsia="仿宋" w:cs="仿宋"/>
                <w:color w:val="auto"/>
                <w:kern w:val="0"/>
                <w:sz w:val="24"/>
              </w:rPr>
            </w:pPr>
            <w:r>
              <w:rPr>
                <w:rFonts w:hint="eastAsia" w:ascii="仿宋" w:hAnsi="仿宋" w:eastAsia="仿宋" w:cs="仿宋"/>
                <w:snapToGrid w:val="0"/>
                <w:color w:val="auto"/>
                <w:kern w:val="28"/>
                <w:sz w:val="24"/>
              </w:rPr>
              <w:t>样品：</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numPr>
                <w:ilvl w:val="0"/>
                <w:numId w:val="1"/>
              </w:numPr>
              <w:snapToGrid w:val="0"/>
              <w:spacing w:line="400" w:lineRule="exact"/>
              <w:rPr>
                <w:rFonts w:ascii="仿宋" w:hAnsi="仿宋" w:eastAsia="仿宋" w:cs="仿宋"/>
                <w:color w:val="auto"/>
                <w:kern w:val="0"/>
                <w:sz w:val="24"/>
              </w:rPr>
            </w:pPr>
            <w:r>
              <w:rPr>
                <w:rFonts w:hint="eastAsia" w:ascii="仿宋" w:hAnsi="仿宋" w:eastAsia="仿宋" w:cs="仿宋"/>
                <w:snapToGrid w:val="0"/>
                <w:color w:val="auto"/>
                <w:kern w:val="28"/>
                <w:sz w:val="24"/>
              </w:rPr>
              <w:t>样品制作的标准和要求：</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numPr>
                <w:ilvl w:val="0"/>
                <w:numId w:val="1"/>
              </w:numPr>
              <w:snapToGrid w:val="0"/>
              <w:spacing w:line="400" w:lineRule="exact"/>
              <w:rPr>
                <w:rFonts w:ascii="仿宋" w:hAnsi="仿宋" w:eastAsia="仿宋" w:cs="仿宋"/>
                <w:color w:val="auto"/>
                <w:kern w:val="0"/>
                <w:sz w:val="24"/>
              </w:rPr>
            </w:pPr>
            <w:r>
              <w:rPr>
                <w:rFonts w:hint="eastAsia" w:ascii="仿宋" w:hAnsi="仿宋" w:eastAsia="仿宋" w:cs="仿宋"/>
                <w:color w:val="auto"/>
                <w:kern w:val="0"/>
                <w:sz w:val="24"/>
              </w:rPr>
              <w:t>样品的评审方法以及评审标准</w:t>
            </w:r>
            <w:r>
              <w:rPr>
                <w:rFonts w:hint="eastAsia" w:ascii="仿宋" w:hAnsi="仿宋" w:eastAsia="仿宋" w:cs="仿宋"/>
                <w:snapToGrid w:val="0"/>
                <w:color w:val="auto"/>
                <w:kern w:val="28"/>
                <w:sz w:val="24"/>
              </w:rPr>
              <w:t>：详见</w:t>
            </w:r>
            <w:r>
              <w:rPr>
                <w:rFonts w:hint="eastAsia" w:ascii="仿宋" w:hAnsi="仿宋" w:eastAsia="仿宋" w:cs="仿宋"/>
                <w:color w:val="auto"/>
                <w:sz w:val="24"/>
                <w:u w:val="single"/>
              </w:rPr>
              <w:t>评标办法</w:t>
            </w:r>
            <w:r>
              <w:rPr>
                <w:rFonts w:hint="eastAsia" w:ascii="仿宋" w:hAnsi="仿宋" w:eastAsia="仿宋" w:cs="仿宋"/>
                <w:color w:val="auto"/>
                <w:kern w:val="0"/>
                <w:sz w:val="24"/>
              </w:rPr>
              <w:t>；</w:t>
            </w:r>
          </w:p>
          <w:p>
            <w:pPr>
              <w:numPr>
                <w:ilvl w:val="0"/>
                <w:numId w:val="1"/>
              </w:numPr>
              <w:snapToGrid w:val="0"/>
              <w:spacing w:line="400" w:lineRule="exact"/>
              <w:rPr>
                <w:rFonts w:ascii="仿宋" w:hAnsi="仿宋" w:eastAsia="仿宋" w:cs="仿宋"/>
                <w:color w:val="auto"/>
                <w:kern w:val="0"/>
                <w:sz w:val="24"/>
              </w:rPr>
            </w:pPr>
            <w:r>
              <w:rPr>
                <w:rFonts w:hint="eastAsia" w:ascii="仿宋" w:hAnsi="仿宋" w:eastAsia="仿宋" w:cs="仿宋"/>
                <w:color w:val="auto"/>
                <w:kern w:val="0"/>
                <w:sz w:val="24"/>
              </w:rPr>
              <w:t>是否需要随样品提交检测报告：</w:t>
            </w:r>
            <w:sdt>
              <w:sdtPr>
                <w:rPr>
                  <w:rFonts w:hint="eastAsia" w:ascii="仿宋" w:hAnsi="仿宋" w:eastAsia="仿宋" w:cs="仿宋"/>
                  <w:color w:val="auto"/>
                  <w:kern w:val="0"/>
                  <w:sz w:val="24"/>
                </w:rPr>
                <w:id w:val="1303421454"/>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否；</w:t>
            </w:r>
            <w:sdt>
              <w:sdtPr>
                <w:rPr>
                  <w:rFonts w:hint="eastAsia" w:ascii="仿宋" w:hAnsi="仿宋" w:eastAsia="仿宋" w:cs="仿宋"/>
                  <w:color w:val="auto"/>
                  <w:kern w:val="0"/>
                  <w:sz w:val="24"/>
                </w:rPr>
                <w:id w:val="1621728433"/>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是，检测机构的要求</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numPr>
                <w:ilvl w:val="0"/>
                <w:numId w:val="1"/>
              </w:numPr>
              <w:snapToGrid w:val="0"/>
              <w:spacing w:line="400" w:lineRule="exact"/>
              <w:rPr>
                <w:rFonts w:ascii="仿宋" w:hAnsi="仿宋" w:eastAsia="仿宋" w:cs="仿宋"/>
                <w:color w:val="auto"/>
                <w:sz w:val="24"/>
              </w:rPr>
            </w:pPr>
            <w:r>
              <w:rPr>
                <w:rFonts w:hint="eastAsia" w:ascii="仿宋" w:hAnsi="仿宋" w:eastAsia="仿宋" w:cs="仿宋"/>
                <w:color w:val="auto"/>
                <w:sz w:val="24"/>
              </w:rPr>
              <w:t>提供样品的时间：</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；联系人</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28"/>
                <w:sz w:val="24"/>
              </w:rPr>
              <w:t>联系电话：</w:t>
            </w:r>
            <w:r>
              <w:rPr>
                <w:rFonts w:hint="eastAsia" w:ascii="仿宋" w:hAnsi="仿宋" w:eastAsia="仿宋" w:cs="仿宋"/>
                <w:color w:val="auto"/>
                <w:sz w:val="24"/>
                <w:u w:val="single"/>
              </w:rPr>
              <w:t xml:space="preserve">    </w:t>
            </w:r>
            <w:r>
              <w:rPr>
                <w:rFonts w:hint="eastAsia" w:ascii="仿宋" w:hAnsi="仿宋" w:eastAsia="仿宋" w:cs="仿宋"/>
                <w:color w:val="auto"/>
                <w:sz w:val="24"/>
              </w:rPr>
              <w:t>。请投标人在上述时间内提供样品并按规定位置安装完毕。超过截止时间的，采购人或采购代理机构将不予接收，并将清场并封闭样品现场。</w:t>
            </w:r>
          </w:p>
          <w:p>
            <w:pPr>
              <w:numPr>
                <w:ilvl w:val="0"/>
                <w:numId w:val="1"/>
              </w:numPr>
              <w:snapToGrid w:val="0"/>
              <w:spacing w:line="400" w:lineRule="exact"/>
              <w:rPr>
                <w:rFonts w:ascii="仿宋" w:hAnsi="仿宋" w:eastAsia="仿宋" w:cs="仿宋"/>
                <w:b/>
                <w:color w:val="auto"/>
                <w:sz w:val="24"/>
              </w:rPr>
            </w:pPr>
            <w:r>
              <w:rPr>
                <w:rFonts w:hint="eastAsia" w:ascii="仿宋" w:hAnsi="仿宋" w:eastAsia="仿宋" w:cs="仿宋"/>
                <w:color w:val="auto"/>
                <w:sz w:val="24"/>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numPr>
                <w:ilvl w:val="0"/>
                <w:numId w:val="1"/>
              </w:numPr>
              <w:snapToGrid w:val="0"/>
              <w:spacing w:line="400" w:lineRule="exact"/>
              <w:rPr>
                <w:rFonts w:ascii="仿宋" w:hAnsi="仿宋" w:eastAsia="仿宋" w:cs="仿宋"/>
                <w:b/>
                <w:color w:val="auto"/>
                <w:sz w:val="24"/>
              </w:rPr>
            </w:pPr>
            <w:r>
              <w:rPr>
                <w:rFonts w:hint="eastAsia" w:ascii="仿宋" w:hAnsi="仿宋" w:eastAsia="仿宋" w:cs="仿宋"/>
                <w:color w:val="auto"/>
                <w:sz w:val="24"/>
              </w:rPr>
              <w:t>制作、运输、安装和保管样品所发生的一切费用由投标人自理。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92" w:hRule="atLeast"/>
        </w:trPr>
        <w:tc>
          <w:tcPr>
            <w:tcW w:w="629" w:type="dxa"/>
            <w:tcBorders>
              <w:tl2br w:val="nil"/>
              <w:tr2bl w:val="nil"/>
            </w:tcBorders>
            <w:vAlign w:val="center"/>
          </w:tcPr>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7</w:t>
            </w:r>
          </w:p>
        </w:tc>
        <w:tc>
          <w:tcPr>
            <w:tcW w:w="1843" w:type="dxa"/>
            <w:tcBorders>
              <w:tl2br w:val="nil"/>
              <w:tr2bl w:val="nil"/>
            </w:tcBorders>
            <w:vAlign w:val="center"/>
          </w:tcPr>
          <w:p>
            <w:pPr>
              <w:snapToGrid w:val="0"/>
              <w:spacing w:line="400" w:lineRule="exact"/>
              <w:jc w:val="center"/>
              <w:rPr>
                <w:rFonts w:ascii="仿宋" w:hAnsi="仿宋" w:eastAsia="仿宋" w:cs="仿宋"/>
                <w:bCs/>
                <w:color w:val="auto"/>
                <w:sz w:val="24"/>
              </w:rPr>
            </w:pPr>
            <w:r>
              <w:rPr>
                <w:rFonts w:hint="eastAsia" w:ascii="仿宋" w:hAnsi="仿宋" w:eastAsia="仿宋" w:cs="仿宋"/>
                <w:b/>
                <w:color w:val="auto"/>
                <w:sz w:val="24"/>
              </w:rPr>
              <w:t>方案讲解演示</w:t>
            </w:r>
          </w:p>
        </w:tc>
        <w:tc>
          <w:tcPr>
            <w:tcW w:w="6095" w:type="dxa"/>
            <w:tcBorders>
              <w:tl2br w:val="nil"/>
              <w:tr2bl w:val="nil"/>
            </w:tcBorders>
            <w:vAlign w:val="center"/>
          </w:tcPr>
          <w:p>
            <w:pPr>
              <w:snapToGrid w:val="0"/>
              <w:spacing w:line="400" w:lineRule="exact"/>
              <w:rPr>
                <w:rFonts w:ascii="仿宋" w:hAnsi="仿宋" w:eastAsia="仿宋" w:cs="仿宋"/>
                <w:color w:val="auto"/>
                <w:sz w:val="24"/>
              </w:rPr>
            </w:pPr>
            <w:sdt>
              <w:sdtPr>
                <w:rPr>
                  <w:rFonts w:hint="eastAsia" w:ascii="仿宋" w:hAnsi="仿宋" w:eastAsia="仿宋" w:cs="仿宋"/>
                  <w:color w:val="auto"/>
                  <w:kern w:val="0"/>
                  <w:sz w:val="24"/>
                </w:rPr>
                <w:id w:val="-1859348549"/>
              </w:sdtPr>
              <w:sdtEndPr>
                <w:rPr>
                  <w:rFonts w:hint="eastAsia" w:ascii="仿宋" w:hAnsi="仿宋" w:eastAsia="仿宋" w:cs="仿宋"/>
                  <w:b/>
                  <w:bCs/>
                  <w:color w:val="auto"/>
                  <w:kern w:val="0"/>
                  <w:sz w:val="24"/>
                </w:rPr>
              </w:sdtEndPr>
              <w:sdtContent>
                <w:r>
                  <w:rPr>
                    <w:rFonts w:ascii="Wingdings" w:hAnsi="Wingdings" w:eastAsia="仿宋" w:cs="仿宋"/>
                    <w:b/>
                    <w:bCs/>
                    <w:color w:val="auto"/>
                    <w:kern w:val="0"/>
                    <w:sz w:val="24"/>
                  </w:rPr>
                  <w:t></w:t>
                </w:r>
              </w:sdtContent>
            </w:sdt>
            <w:r>
              <w:rPr>
                <w:rFonts w:hint="eastAsia" w:ascii="仿宋" w:hAnsi="仿宋" w:eastAsia="仿宋" w:cs="仿宋"/>
                <w:b/>
                <w:bCs/>
                <w:color w:val="auto"/>
                <w:sz w:val="24"/>
              </w:rPr>
              <w:t>不组织。</w:t>
            </w:r>
          </w:p>
          <w:p>
            <w:pPr>
              <w:snapToGrid w:val="0"/>
              <w:spacing w:line="400" w:lineRule="exact"/>
              <w:rPr>
                <w:rFonts w:ascii="仿宋" w:hAnsi="仿宋" w:eastAsia="仿宋" w:cs="仿宋"/>
                <w:color w:val="auto"/>
                <w:kern w:val="0"/>
                <w:sz w:val="24"/>
              </w:rPr>
            </w:pPr>
            <w:sdt>
              <w:sdtPr>
                <w:rPr>
                  <w:rFonts w:hint="eastAsia" w:ascii="仿宋" w:hAnsi="仿宋" w:eastAsia="仿宋" w:cs="仿宋"/>
                  <w:color w:val="auto"/>
                  <w:kern w:val="0"/>
                  <w:sz w:val="24"/>
                </w:rPr>
                <w:id w:val="1174071719"/>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rPr>
                  <w:t>☐</w:t>
                </w:r>
              </w:sdtContent>
            </w:sdt>
            <w:r>
              <w:rPr>
                <w:rFonts w:hint="eastAsia" w:ascii="仿宋" w:hAnsi="仿宋" w:eastAsia="仿宋" w:cs="仿宋"/>
                <w:color w:val="auto"/>
                <w:kern w:val="0"/>
                <w:sz w:val="24"/>
              </w:rPr>
              <w:t xml:space="preserve"> 组织。</w:t>
            </w:r>
          </w:p>
          <w:p>
            <w:pPr>
              <w:numPr>
                <w:ilvl w:val="0"/>
                <w:numId w:val="2"/>
              </w:numPr>
              <w:snapToGrid w:val="0"/>
              <w:spacing w:line="400" w:lineRule="exact"/>
              <w:rPr>
                <w:rFonts w:ascii="仿宋" w:hAnsi="仿宋" w:eastAsia="仿宋" w:cs="仿宋"/>
                <w:color w:val="auto"/>
                <w:sz w:val="24"/>
              </w:rPr>
            </w:pPr>
            <w:r>
              <w:rPr>
                <w:rFonts w:hint="eastAsia" w:ascii="仿宋" w:hAnsi="仿宋" w:eastAsia="仿宋" w:cs="仿宋"/>
                <w:color w:val="auto"/>
                <w:sz w:val="24"/>
              </w:rPr>
              <w:t>采用在评标现场播放供应商递交的录制视频方式进行讲解演示，讲解演示顺序按政采云系统中响应文件递交顺序进行，如遇未递交视频的则自动播放下一排序供应商视频。</w:t>
            </w:r>
          </w:p>
          <w:p>
            <w:pPr>
              <w:numPr>
                <w:ilvl w:val="0"/>
                <w:numId w:val="2"/>
              </w:numPr>
              <w:snapToGrid w:val="0"/>
              <w:spacing w:line="400" w:lineRule="exact"/>
              <w:rPr>
                <w:rFonts w:ascii="仿宋" w:hAnsi="仿宋" w:eastAsia="仿宋" w:cs="仿宋"/>
                <w:color w:val="auto"/>
                <w:sz w:val="24"/>
              </w:rPr>
            </w:pPr>
            <w:r>
              <w:rPr>
                <w:rFonts w:hint="eastAsia" w:ascii="仿宋" w:hAnsi="仿宋" w:eastAsia="仿宋" w:cs="仿宋"/>
                <w:color w:val="auto"/>
                <w:sz w:val="24"/>
              </w:rPr>
              <w:t>每个投标人时间不超过</w:t>
            </w:r>
            <w:r>
              <w:rPr>
                <w:rFonts w:hint="eastAsia" w:ascii="仿宋" w:hAnsi="仿宋" w:eastAsia="仿宋" w:cs="仿宋"/>
                <w:color w:val="auto"/>
                <w:sz w:val="24"/>
                <w:u w:val="single"/>
              </w:rPr>
              <w:t xml:space="preserve">   </w:t>
            </w:r>
            <w:r>
              <w:rPr>
                <w:rFonts w:hint="eastAsia" w:ascii="仿宋" w:hAnsi="仿宋" w:eastAsia="仿宋" w:cs="仿宋"/>
                <w:color w:val="auto"/>
                <w:sz w:val="24"/>
              </w:rPr>
              <w:t>分钟，超过部分不予评审。</w:t>
            </w:r>
          </w:p>
          <w:p>
            <w:pPr>
              <w:numPr>
                <w:ilvl w:val="0"/>
                <w:numId w:val="2"/>
              </w:numPr>
              <w:snapToGrid w:val="0"/>
              <w:spacing w:line="400" w:lineRule="exact"/>
              <w:rPr>
                <w:rFonts w:ascii="仿宋" w:hAnsi="仿宋" w:eastAsia="仿宋" w:cs="仿宋"/>
                <w:color w:val="auto"/>
                <w:sz w:val="24"/>
              </w:rPr>
            </w:pPr>
            <w:r>
              <w:rPr>
                <w:rFonts w:hint="eastAsia" w:ascii="仿宋" w:hAnsi="仿宋" w:eastAsia="仿宋" w:cs="仿宋"/>
                <w:color w:val="auto"/>
                <w:sz w:val="24"/>
              </w:rPr>
              <w:t>方案讲解演示的评分要求详见招标文件第四部分评标办法中的相应内容。</w:t>
            </w:r>
          </w:p>
          <w:p>
            <w:pPr>
              <w:numPr>
                <w:ilvl w:val="0"/>
                <w:numId w:val="2"/>
              </w:numPr>
              <w:snapToGrid w:val="0"/>
              <w:spacing w:line="400" w:lineRule="exact"/>
              <w:rPr>
                <w:rFonts w:ascii="仿宋" w:hAnsi="仿宋" w:eastAsia="仿宋" w:cs="仿宋"/>
                <w:color w:val="auto"/>
                <w:sz w:val="24"/>
              </w:rPr>
            </w:pPr>
            <w:r>
              <w:rPr>
                <w:rFonts w:hint="eastAsia" w:ascii="仿宋" w:hAnsi="仿宋" w:eastAsia="仿宋" w:cs="仿宋"/>
                <w:color w:val="auto"/>
                <w:sz w:val="24"/>
              </w:rPr>
              <w:t>方案讲解演示视频的递交截止时间同本项目提交投标文件截止时间，递交地点见本前附表第11项；递交截止时间后递交的不予接收。</w:t>
            </w:r>
          </w:p>
          <w:p>
            <w:pPr>
              <w:snapToGrid w:val="0"/>
              <w:spacing w:line="400" w:lineRule="exact"/>
              <w:rPr>
                <w:rFonts w:ascii="仿宋" w:hAnsi="仿宋" w:eastAsia="仿宋" w:cs="仿宋"/>
                <w:b/>
                <w:color w:val="auto"/>
                <w:kern w:val="0"/>
                <w:sz w:val="24"/>
                <w:lang w:val="zh-CN"/>
              </w:rPr>
            </w:pPr>
            <w:r>
              <w:rPr>
                <w:rFonts w:hint="eastAsia" w:ascii="仿宋" w:hAnsi="仿宋" w:eastAsia="仿宋" w:cs="仿宋"/>
                <w:color w:val="auto"/>
                <w:sz w:val="24"/>
              </w:rPr>
              <w:t>注：因投标人自身原因导致无法演示或者演示效果不理想的，责任自负。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61" w:hRule="atLeast"/>
        </w:trPr>
        <w:tc>
          <w:tcPr>
            <w:tcW w:w="629" w:type="dxa"/>
            <w:vMerge w:val="restart"/>
            <w:tcBorders>
              <w:tl2br w:val="nil"/>
              <w:tr2bl w:val="nil"/>
            </w:tcBorders>
            <w:vAlign w:val="center"/>
          </w:tcPr>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8</w:t>
            </w:r>
          </w:p>
        </w:tc>
        <w:tc>
          <w:tcPr>
            <w:tcW w:w="1843" w:type="dxa"/>
            <w:vMerge w:val="restart"/>
            <w:tcBorders>
              <w:tl2br w:val="nil"/>
              <w:tr2bl w:val="nil"/>
            </w:tcBorders>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投标人应当提供的资格、资信证明文件</w:t>
            </w:r>
          </w:p>
        </w:tc>
        <w:tc>
          <w:tcPr>
            <w:tcW w:w="6095" w:type="dxa"/>
            <w:tcBorders>
              <w:tl2br w:val="nil"/>
              <w:tr2bl w:val="nil"/>
            </w:tcBorders>
            <w:vAlign w:val="center"/>
          </w:tcPr>
          <w:p>
            <w:pPr>
              <w:snapToGrid w:val="0"/>
              <w:spacing w:line="400" w:lineRule="exact"/>
              <w:rPr>
                <w:rFonts w:ascii="仿宋" w:hAnsi="仿宋" w:eastAsia="仿宋" w:cs="仿宋"/>
                <w:color w:val="auto"/>
                <w:sz w:val="24"/>
              </w:rPr>
            </w:pPr>
            <w:r>
              <w:rPr>
                <w:rFonts w:hint="eastAsia" w:ascii="仿宋" w:hAnsi="仿宋" w:eastAsia="仿宋" w:cs="仿宋"/>
                <w:color w:val="auto"/>
                <w:sz w:val="24"/>
              </w:rPr>
              <w:t>（1）资格证明文件：见招标文件第二部分11.1。</w:t>
            </w:r>
          </w:p>
          <w:p>
            <w:pPr>
              <w:snapToGrid w:val="0"/>
              <w:spacing w:line="400" w:lineRule="exact"/>
              <w:rPr>
                <w:rFonts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vMerge w:val="continue"/>
            <w:tcBorders>
              <w:tl2br w:val="nil"/>
              <w:tr2bl w:val="nil"/>
            </w:tcBorders>
            <w:vAlign w:val="center"/>
          </w:tcPr>
          <w:p>
            <w:pPr>
              <w:snapToGrid w:val="0"/>
              <w:spacing w:line="400" w:lineRule="exact"/>
              <w:jc w:val="center"/>
              <w:rPr>
                <w:rFonts w:ascii="仿宋" w:hAnsi="仿宋" w:eastAsia="仿宋" w:cs="仿宋"/>
                <w:color w:val="auto"/>
                <w:sz w:val="24"/>
              </w:rPr>
            </w:pPr>
          </w:p>
        </w:tc>
        <w:tc>
          <w:tcPr>
            <w:tcW w:w="1843" w:type="dxa"/>
            <w:vMerge w:val="continue"/>
            <w:tcBorders>
              <w:tl2br w:val="nil"/>
              <w:tr2bl w:val="nil"/>
            </w:tcBorders>
            <w:vAlign w:val="center"/>
          </w:tcPr>
          <w:p>
            <w:pPr>
              <w:snapToGrid w:val="0"/>
              <w:spacing w:line="400" w:lineRule="exact"/>
              <w:jc w:val="center"/>
              <w:rPr>
                <w:rFonts w:ascii="仿宋" w:hAnsi="仿宋" w:eastAsia="仿宋" w:cs="仿宋"/>
                <w:b/>
                <w:color w:val="auto"/>
                <w:sz w:val="24"/>
              </w:rPr>
            </w:pPr>
          </w:p>
        </w:tc>
        <w:tc>
          <w:tcPr>
            <w:tcW w:w="6095" w:type="dxa"/>
            <w:tcBorders>
              <w:tl2br w:val="nil"/>
              <w:tr2bl w:val="nil"/>
            </w:tcBorders>
            <w:vAlign w:val="center"/>
          </w:tcPr>
          <w:p>
            <w:pPr>
              <w:snapToGrid w:val="0"/>
              <w:spacing w:line="400" w:lineRule="exact"/>
              <w:rPr>
                <w:rFonts w:ascii="仿宋" w:hAnsi="仿宋" w:eastAsia="仿宋" w:cs="仿宋"/>
                <w:color w:val="auto"/>
                <w:sz w:val="24"/>
              </w:rPr>
            </w:pPr>
            <w:r>
              <w:rPr>
                <w:rFonts w:hint="eastAsia" w:ascii="仿宋" w:hAnsi="仿宋" w:eastAsia="仿宋" w:cs="仿宋"/>
                <w:color w:val="auto"/>
                <w:sz w:val="24"/>
              </w:rPr>
              <w:t>（2）资信证明文件：根据招标文件第四部分评标标准提供。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tcBorders>
              <w:tl2br w:val="nil"/>
              <w:tr2bl w:val="nil"/>
            </w:tcBorders>
            <w:vAlign w:val="center"/>
          </w:tcPr>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9</w:t>
            </w:r>
          </w:p>
        </w:tc>
        <w:tc>
          <w:tcPr>
            <w:tcW w:w="1843" w:type="dxa"/>
            <w:tcBorders>
              <w:tl2br w:val="nil"/>
              <w:tr2bl w:val="nil"/>
            </w:tcBorders>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节能产品、环境标志产品</w:t>
            </w:r>
          </w:p>
        </w:tc>
        <w:tc>
          <w:tcPr>
            <w:tcW w:w="6095" w:type="dxa"/>
            <w:tcBorders>
              <w:tl2br w:val="nil"/>
              <w:tr2bl w:val="nil"/>
            </w:tcBorders>
            <w:vAlign w:val="center"/>
          </w:tcPr>
          <w:p>
            <w:pPr>
              <w:snapToGrid w:val="0"/>
              <w:spacing w:line="400" w:lineRule="exact"/>
              <w:rPr>
                <w:rFonts w:ascii="仿宋" w:hAnsi="仿宋" w:eastAsia="仿宋" w:cs="仿宋"/>
                <w:color w:val="auto"/>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tcBorders>
              <w:tl2br w:val="nil"/>
              <w:tr2bl w:val="nil"/>
            </w:tcBorders>
            <w:vAlign w:val="center"/>
          </w:tcPr>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10</w:t>
            </w:r>
          </w:p>
        </w:tc>
        <w:tc>
          <w:tcPr>
            <w:tcW w:w="1843" w:type="dxa"/>
            <w:tcBorders>
              <w:tl2br w:val="nil"/>
              <w:tr2bl w:val="nil"/>
            </w:tcBorders>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项目费用与报价要求</w:t>
            </w:r>
          </w:p>
        </w:tc>
        <w:tc>
          <w:tcPr>
            <w:tcW w:w="6095" w:type="dxa"/>
            <w:tcBorders>
              <w:tl2br w:val="nil"/>
              <w:tr2bl w:val="nil"/>
            </w:tcBorders>
            <w:vAlign w:val="center"/>
          </w:tcPr>
          <w:p>
            <w:pPr>
              <w:snapToGrid w:val="0"/>
              <w:spacing w:line="400" w:lineRule="exact"/>
              <w:jc w:val="left"/>
              <w:rPr>
                <w:rFonts w:ascii="仿宋" w:hAnsi="仿宋" w:eastAsia="仿宋" w:cs="仿宋"/>
                <w:bCs/>
                <w:color w:val="auto"/>
                <w:kern w:val="0"/>
                <w:sz w:val="24"/>
                <w:lang w:val="zh-CN"/>
              </w:rPr>
            </w:pPr>
            <w:r>
              <w:rPr>
                <w:rFonts w:hint="eastAsia" w:ascii="仿宋" w:hAnsi="仿宋" w:eastAsia="仿宋" w:cs="仿宋"/>
                <w:bCs/>
                <w:color w:val="auto"/>
                <w:kern w:val="0"/>
                <w:sz w:val="24"/>
                <w:lang w:val="zh-CN"/>
              </w:rPr>
              <w:t>1．本项目费用包括买样费、检验费、代理费等完成项目所需的所有费用以及相关税费。</w:t>
            </w:r>
          </w:p>
          <w:p>
            <w:pPr>
              <w:snapToGrid w:val="0"/>
              <w:spacing w:line="400" w:lineRule="exact"/>
              <w:jc w:val="left"/>
              <w:rPr>
                <w:rFonts w:ascii="仿宋" w:hAnsi="仿宋" w:eastAsia="仿宋" w:cs="仿宋"/>
                <w:bCs/>
                <w:color w:val="auto"/>
                <w:kern w:val="0"/>
                <w:sz w:val="24"/>
                <w:lang w:val="zh-CN"/>
              </w:rPr>
            </w:pPr>
            <w:r>
              <w:rPr>
                <w:rFonts w:hint="eastAsia" w:ascii="仿宋" w:hAnsi="仿宋" w:eastAsia="仿宋" w:cs="仿宋"/>
                <w:bCs/>
                <w:color w:val="auto"/>
                <w:kern w:val="0"/>
                <w:sz w:val="24"/>
                <w:lang w:val="zh-CN"/>
              </w:rPr>
              <w:t>买样费：用于支付药品抽检购买样品支付的费用，根据实际收检样品数量、购买凭证等支付。</w:t>
            </w:r>
          </w:p>
          <w:p>
            <w:pPr>
              <w:snapToGrid w:val="0"/>
              <w:spacing w:line="400" w:lineRule="exact"/>
              <w:jc w:val="left"/>
              <w:rPr>
                <w:rFonts w:ascii="仿宋" w:hAnsi="仿宋" w:eastAsia="仿宋" w:cs="仿宋"/>
                <w:bCs/>
                <w:color w:val="auto"/>
                <w:kern w:val="0"/>
                <w:sz w:val="24"/>
                <w:lang w:val="zh-CN"/>
              </w:rPr>
            </w:pPr>
            <w:r>
              <w:rPr>
                <w:rFonts w:hint="eastAsia" w:ascii="仿宋" w:hAnsi="仿宋" w:eastAsia="仿宋" w:cs="仿宋"/>
                <w:bCs/>
                <w:color w:val="auto"/>
                <w:kern w:val="0"/>
                <w:sz w:val="24"/>
                <w:lang w:val="zh-CN"/>
              </w:rPr>
              <w:t>检验费：是指检验机构开展省级药品抽检检验活动发生的费用，包括人员费用、试剂耗材、购买对照品费用、仪器设备折旧费用等各项费用。</w:t>
            </w:r>
          </w:p>
          <w:p>
            <w:pPr>
              <w:snapToGrid w:val="0"/>
              <w:spacing w:line="400" w:lineRule="exact"/>
              <w:jc w:val="left"/>
              <w:rPr>
                <w:rFonts w:ascii="仿宋" w:hAnsi="仿宋" w:eastAsia="仿宋" w:cs="仿宋"/>
                <w:bCs/>
                <w:color w:val="auto"/>
                <w:kern w:val="0"/>
                <w:sz w:val="24"/>
                <w:lang w:val="zh-CN"/>
              </w:rPr>
            </w:pPr>
            <w:r>
              <w:rPr>
                <w:rFonts w:hint="eastAsia" w:ascii="仿宋" w:hAnsi="仿宋" w:eastAsia="仿宋" w:cs="仿宋"/>
                <w:bCs/>
                <w:color w:val="auto"/>
                <w:kern w:val="0"/>
                <w:sz w:val="24"/>
                <w:lang w:val="zh-CN"/>
              </w:rPr>
              <w:t>2．本项目要求对浙江省生产环节、流通环节和使用环节抽取的化学药类、中药饮片类、中成药类、辅包类、生物制品类按照现行的质量标准进行检验，因缺少对照品、标准品等特殊原因不能进行全检的，应报采购人同意。投标人应参考中国药典等现行标准，分别测算化学药类、中药饮片类、中成药类、辅包类、生物制品类每批需要的固定平均综合单价，同时测算每批的快速检验固定平均综合单价。根据2022年药品抽检实施情况测算，采用下列公式计算报价：</w:t>
            </w:r>
          </w:p>
          <w:p>
            <w:pPr>
              <w:snapToGrid w:val="0"/>
              <w:spacing w:line="400" w:lineRule="exact"/>
              <w:jc w:val="left"/>
              <w:rPr>
                <w:rFonts w:ascii="仿宋" w:hAnsi="仿宋" w:eastAsia="仿宋" w:cs="仿宋"/>
                <w:bCs/>
                <w:color w:val="auto"/>
                <w:kern w:val="0"/>
                <w:sz w:val="24"/>
                <w:lang w:val="zh-CN"/>
              </w:rPr>
            </w:pPr>
            <w:r>
              <w:rPr>
                <w:rFonts w:hint="eastAsia" w:ascii="仿宋" w:hAnsi="仿宋" w:eastAsia="仿宋" w:cs="仿宋"/>
                <w:bCs/>
                <w:color w:val="auto"/>
                <w:kern w:val="0"/>
                <w:sz w:val="24"/>
                <w:lang w:val="zh-CN"/>
              </w:rPr>
              <w:t>（</w:t>
            </w:r>
            <w:r>
              <w:rPr>
                <w:rFonts w:hint="eastAsia" w:ascii="仿宋" w:hAnsi="仿宋" w:eastAsia="仿宋" w:cs="仿宋"/>
                <w:bCs/>
                <w:color w:val="auto"/>
                <w:kern w:val="0"/>
                <w:sz w:val="24"/>
              </w:rPr>
              <w:t>1</w:t>
            </w:r>
            <w:r>
              <w:rPr>
                <w:rFonts w:hint="eastAsia" w:ascii="仿宋" w:hAnsi="仿宋" w:eastAsia="仿宋" w:cs="仿宋"/>
                <w:bCs/>
                <w:color w:val="auto"/>
                <w:kern w:val="0"/>
                <w:sz w:val="24"/>
                <w:lang w:val="zh-CN"/>
              </w:rPr>
              <w:t>）专项监督检验报价=专项监督每批平均报价×900批。其中专项监督每批平均报价采用各类别固定平均综合单价加权而得，即专项监督每批平均报价=（化学药类固定平均综合单价）×0.46+（中成药类固定平均综合单价）×0.23+（中药饮片类固定平均综合单价）×0.21+（辅包类固定平均综合单价）×0.10。</w:t>
            </w:r>
          </w:p>
          <w:p>
            <w:pPr>
              <w:snapToGrid w:val="0"/>
              <w:spacing w:line="400" w:lineRule="exact"/>
              <w:jc w:val="left"/>
              <w:rPr>
                <w:rFonts w:ascii="仿宋" w:hAnsi="仿宋" w:eastAsia="仿宋" w:cs="仿宋"/>
                <w:bCs/>
                <w:color w:val="auto"/>
                <w:kern w:val="0"/>
                <w:sz w:val="24"/>
                <w:lang w:val="zh-CN"/>
              </w:rPr>
            </w:pPr>
            <w:r>
              <w:rPr>
                <w:rFonts w:hint="eastAsia" w:ascii="仿宋" w:hAnsi="仿宋" w:eastAsia="仿宋" w:cs="仿宋"/>
                <w:bCs/>
                <w:color w:val="auto"/>
                <w:kern w:val="0"/>
                <w:sz w:val="24"/>
                <w:lang w:val="zh-CN"/>
              </w:rPr>
              <w:t>（</w:t>
            </w:r>
            <w:r>
              <w:rPr>
                <w:rFonts w:hint="eastAsia" w:ascii="仿宋" w:hAnsi="仿宋" w:eastAsia="仿宋" w:cs="仿宋"/>
                <w:bCs/>
                <w:color w:val="auto"/>
                <w:kern w:val="0"/>
                <w:sz w:val="24"/>
              </w:rPr>
              <w:t>2</w:t>
            </w:r>
            <w:r>
              <w:rPr>
                <w:rFonts w:hint="eastAsia" w:ascii="仿宋" w:hAnsi="仿宋" w:eastAsia="仿宋" w:cs="仿宋"/>
                <w:bCs/>
                <w:color w:val="auto"/>
                <w:kern w:val="0"/>
                <w:sz w:val="24"/>
                <w:lang w:val="zh-CN"/>
              </w:rPr>
              <w:t>）基本药物检验报价=基本药物每批平均报价×1100批。其中基本药物每批平均报价采用各类别固定平均综合单价加权而得，即基本药物每批平均报价=（化学药类固定平均综合单价）×0.81+（中成药类固定平均综合单价）×0.18+（生物制品类固定平均综合单价）×0.01。</w:t>
            </w:r>
          </w:p>
          <w:p>
            <w:pPr>
              <w:snapToGrid w:val="0"/>
              <w:spacing w:line="400" w:lineRule="exact"/>
              <w:jc w:val="left"/>
              <w:rPr>
                <w:rFonts w:ascii="仿宋" w:hAnsi="仿宋" w:eastAsia="仿宋" w:cs="仿宋"/>
                <w:bCs/>
                <w:color w:val="auto"/>
                <w:kern w:val="0"/>
                <w:sz w:val="24"/>
                <w:lang w:val="zh-CN"/>
              </w:rPr>
            </w:pPr>
            <w:r>
              <w:rPr>
                <w:rFonts w:hint="eastAsia" w:ascii="仿宋" w:hAnsi="仿宋" w:eastAsia="仿宋" w:cs="仿宋"/>
                <w:bCs/>
                <w:color w:val="auto"/>
                <w:kern w:val="0"/>
                <w:sz w:val="24"/>
                <w:lang w:val="zh-CN"/>
              </w:rPr>
              <w:t>（</w:t>
            </w:r>
            <w:r>
              <w:rPr>
                <w:rFonts w:hint="eastAsia" w:ascii="仿宋" w:hAnsi="仿宋" w:eastAsia="仿宋" w:cs="仿宋"/>
                <w:bCs/>
                <w:color w:val="auto"/>
                <w:kern w:val="0"/>
                <w:sz w:val="24"/>
              </w:rPr>
              <w:t>3</w:t>
            </w:r>
            <w:r>
              <w:rPr>
                <w:rFonts w:hint="eastAsia" w:ascii="仿宋" w:hAnsi="仿宋" w:eastAsia="仿宋" w:cs="仿宋"/>
                <w:bCs/>
                <w:color w:val="auto"/>
                <w:kern w:val="0"/>
                <w:sz w:val="24"/>
                <w:lang w:val="zh-CN"/>
              </w:rPr>
              <w:t>）快速检验报价=快速检验固定平均综合单价×1500批。</w:t>
            </w:r>
          </w:p>
          <w:p>
            <w:pPr>
              <w:snapToGrid w:val="0"/>
              <w:spacing w:line="400" w:lineRule="exact"/>
              <w:jc w:val="left"/>
              <w:rPr>
                <w:rFonts w:ascii="仿宋" w:hAnsi="仿宋" w:eastAsia="仿宋" w:cs="仿宋"/>
                <w:bCs/>
                <w:color w:val="auto"/>
                <w:kern w:val="0"/>
                <w:sz w:val="24"/>
                <w:lang w:val="zh-CN"/>
              </w:rPr>
            </w:pPr>
            <w:r>
              <w:rPr>
                <w:rFonts w:hint="eastAsia" w:ascii="仿宋" w:hAnsi="仿宋" w:eastAsia="仿宋" w:cs="仿宋"/>
                <w:bCs/>
                <w:color w:val="auto"/>
                <w:kern w:val="0"/>
                <w:sz w:val="24"/>
                <w:lang w:val="zh-CN"/>
              </w:rPr>
              <w:t>（</w:t>
            </w:r>
            <w:r>
              <w:rPr>
                <w:rFonts w:hint="eastAsia" w:ascii="仿宋" w:hAnsi="仿宋" w:eastAsia="仿宋" w:cs="仿宋"/>
                <w:bCs/>
                <w:color w:val="auto"/>
                <w:kern w:val="0"/>
                <w:sz w:val="24"/>
              </w:rPr>
              <w:t>4</w:t>
            </w:r>
            <w:r>
              <w:rPr>
                <w:rFonts w:hint="eastAsia" w:ascii="仿宋" w:hAnsi="仿宋" w:eastAsia="仿宋" w:cs="仿宋"/>
                <w:bCs/>
                <w:color w:val="auto"/>
                <w:kern w:val="0"/>
                <w:sz w:val="24"/>
                <w:lang w:val="zh-CN"/>
              </w:rPr>
              <w:t>）同时报总报价：总报价=专项监督检验报价+基本药物检验报价+快速检验报价。</w:t>
            </w:r>
          </w:p>
          <w:p>
            <w:pPr>
              <w:snapToGrid w:val="0"/>
              <w:spacing w:line="400" w:lineRule="exact"/>
              <w:jc w:val="left"/>
              <w:rPr>
                <w:rFonts w:ascii="仿宋" w:hAnsi="仿宋" w:eastAsia="仿宋" w:cs="仿宋"/>
                <w:bCs/>
                <w:color w:val="auto"/>
                <w:kern w:val="0"/>
                <w:sz w:val="24"/>
                <w:lang w:val="zh-CN"/>
              </w:rPr>
            </w:pPr>
            <w:r>
              <w:rPr>
                <w:rFonts w:hint="eastAsia" w:ascii="仿宋" w:hAnsi="仿宋" w:eastAsia="仿宋" w:cs="仿宋"/>
                <w:bCs/>
                <w:color w:val="auto"/>
                <w:kern w:val="0"/>
                <w:sz w:val="24"/>
                <w:lang w:val="zh-CN"/>
              </w:rPr>
              <w:t>3．项目实际总费用根据实际开展的检验任务批次和投标人投标的各类别固定平均综合单价，按实进行结算。项目购样经费应不少于经费总额的15%。</w:t>
            </w:r>
          </w:p>
          <w:p>
            <w:pPr>
              <w:snapToGrid w:val="0"/>
              <w:spacing w:line="400" w:lineRule="exact"/>
              <w:jc w:val="left"/>
              <w:rPr>
                <w:rFonts w:ascii="仿宋" w:hAnsi="仿宋" w:eastAsia="仿宋" w:cs="仿宋"/>
                <w:b/>
                <w:color w:val="auto"/>
                <w:kern w:val="0"/>
                <w:sz w:val="24"/>
                <w:lang w:val="zh-CN"/>
              </w:rPr>
            </w:pPr>
            <w:r>
              <w:rPr>
                <w:rFonts w:hint="eastAsia" w:ascii="仿宋" w:hAnsi="仿宋" w:eastAsia="仿宋" w:cs="仿宋"/>
                <w:b/>
                <w:color w:val="auto"/>
                <w:kern w:val="0"/>
                <w:sz w:val="24"/>
              </w:rPr>
              <w:t>4.</w:t>
            </w:r>
            <w:r>
              <w:rPr>
                <w:rFonts w:hint="eastAsia" w:ascii="仿宋" w:hAnsi="仿宋" w:eastAsia="仿宋" w:cs="仿宋"/>
                <w:b/>
                <w:color w:val="auto"/>
                <w:kern w:val="0"/>
                <w:sz w:val="24"/>
                <w:lang w:val="zh-CN"/>
              </w:rPr>
              <w:t>投标报价出现下列情形的，投标无效：</w:t>
            </w:r>
          </w:p>
          <w:p>
            <w:pPr>
              <w:numPr>
                <w:ilvl w:val="0"/>
                <w:numId w:val="3"/>
              </w:numPr>
              <w:snapToGrid w:val="0"/>
              <w:spacing w:line="400" w:lineRule="exact"/>
              <w:jc w:val="left"/>
              <w:rPr>
                <w:rFonts w:ascii="仿宋" w:hAnsi="仿宋" w:eastAsia="仿宋" w:cs="仿宋"/>
                <w:b/>
                <w:color w:val="auto"/>
                <w:kern w:val="0"/>
                <w:sz w:val="24"/>
                <w:lang w:val="zh-CN"/>
              </w:rPr>
            </w:pPr>
            <w:r>
              <w:rPr>
                <w:rFonts w:hint="eastAsia" w:ascii="仿宋" w:hAnsi="仿宋" w:eastAsia="仿宋" w:cs="仿宋"/>
                <w:b/>
                <w:color w:val="auto"/>
                <w:kern w:val="0"/>
                <w:sz w:val="24"/>
                <w:lang w:val="zh-CN"/>
              </w:rPr>
              <w:t>投标文件出现不是唯一的、有选择性投标报价的（</w:t>
            </w:r>
            <w:r>
              <w:rPr>
                <w:rFonts w:hint="eastAsia" w:ascii="仿宋" w:hAnsi="仿宋" w:eastAsia="仿宋" w:cs="仿宋"/>
                <w:b/>
                <w:color w:val="auto"/>
                <w:kern w:val="0"/>
                <w:sz w:val="24"/>
              </w:rPr>
              <w:t>招标文件中约定的除外</w:t>
            </w:r>
            <w:r>
              <w:rPr>
                <w:rFonts w:hint="eastAsia" w:ascii="仿宋" w:hAnsi="仿宋" w:eastAsia="仿宋" w:cs="仿宋"/>
                <w:b/>
                <w:color w:val="auto"/>
                <w:kern w:val="0"/>
                <w:sz w:val="24"/>
                <w:lang w:val="zh-CN"/>
              </w:rPr>
              <w:t>）；</w:t>
            </w:r>
          </w:p>
          <w:p>
            <w:pPr>
              <w:numPr>
                <w:ilvl w:val="0"/>
                <w:numId w:val="3"/>
              </w:numPr>
              <w:snapToGrid w:val="0"/>
              <w:spacing w:line="400" w:lineRule="exact"/>
              <w:jc w:val="left"/>
              <w:rPr>
                <w:rFonts w:ascii="仿宋" w:hAnsi="仿宋" w:eastAsia="仿宋" w:cs="仿宋"/>
                <w:b/>
                <w:color w:val="auto"/>
                <w:kern w:val="0"/>
                <w:sz w:val="24"/>
                <w:lang w:val="zh-CN"/>
              </w:rPr>
            </w:pPr>
            <w:r>
              <w:rPr>
                <w:rFonts w:hint="eastAsia" w:ascii="仿宋" w:hAnsi="仿宋" w:eastAsia="仿宋" w:cs="仿宋"/>
                <w:b/>
                <w:color w:val="auto"/>
                <w:kern w:val="0"/>
                <w:sz w:val="24"/>
                <w:lang w:val="zh-CN"/>
              </w:rPr>
              <w:t>投标报价超过招标文件中规定的预算金额或者最高限价的;</w:t>
            </w:r>
          </w:p>
          <w:p>
            <w:pPr>
              <w:numPr>
                <w:ilvl w:val="0"/>
                <w:numId w:val="3"/>
              </w:numPr>
              <w:snapToGrid w:val="0"/>
              <w:spacing w:line="400" w:lineRule="exact"/>
              <w:rPr>
                <w:rFonts w:ascii="仿宋" w:hAnsi="仿宋" w:eastAsia="仿宋" w:cs="仿宋"/>
                <w:b/>
                <w:color w:val="auto"/>
                <w:sz w:val="24"/>
              </w:rPr>
            </w:pP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pPr>
              <w:numPr>
                <w:ilvl w:val="0"/>
                <w:numId w:val="3"/>
              </w:numPr>
              <w:snapToGrid w:val="0"/>
              <w:spacing w:line="400" w:lineRule="exact"/>
              <w:rPr>
                <w:rFonts w:ascii="仿宋" w:hAnsi="仿宋" w:eastAsia="仿宋" w:cs="仿宋"/>
                <w:color w:val="auto"/>
                <w:sz w:val="24"/>
              </w:rPr>
            </w:pPr>
            <w:r>
              <w:rPr>
                <w:rFonts w:hint="eastAsia" w:ascii="仿宋" w:hAnsi="仿宋" w:eastAsia="仿宋" w:cs="仿宋"/>
                <w:b/>
                <w:color w:val="auto"/>
                <w:kern w:val="0"/>
                <w:sz w:val="24"/>
              </w:rPr>
              <w:t>投标人对根据修正原则修正后的报价不确认的。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tcBorders>
              <w:tl2br w:val="nil"/>
              <w:tr2bl w:val="nil"/>
            </w:tcBorders>
            <w:vAlign w:val="center"/>
          </w:tcPr>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11</w:t>
            </w:r>
          </w:p>
        </w:tc>
        <w:tc>
          <w:tcPr>
            <w:tcW w:w="1843" w:type="dxa"/>
            <w:tcBorders>
              <w:tl2br w:val="nil"/>
              <w:tr2bl w:val="nil"/>
            </w:tcBorders>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 xml:space="preserve">备份投标文件送达地点和签收人员 </w:t>
            </w:r>
          </w:p>
        </w:tc>
        <w:tc>
          <w:tcPr>
            <w:tcW w:w="6095" w:type="dxa"/>
            <w:tcBorders>
              <w:tl2br w:val="nil"/>
              <w:tr2bl w:val="nil"/>
            </w:tcBorders>
            <w:vAlign w:val="center"/>
          </w:tcPr>
          <w:p>
            <w:pPr>
              <w:pStyle w:val="34"/>
              <w:snapToGrid w:val="0"/>
              <w:spacing w:line="400" w:lineRule="exact"/>
              <w:rPr>
                <w:rFonts w:ascii="仿宋" w:hAnsi="仿宋" w:eastAsia="仿宋" w:cs="仿宋"/>
                <w:color w:val="auto"/>
                <w:kern w:val="28"/>
                <w:sz w:val="24"/>
                <w:szCs w:val="24"/>
              </w:rPr>
            </w:pPr>
            <w:r>
              <w:rPr>
                <w:rFonts w:hint="eastAsia" w:ascii="仿宋" w:hAnsi="仿宋" w:eastAsia="仿宋" w:cs="仿宋"/>
                <w:color w:val="auto"/>
                <w:kern w:val="28"/>
                <w:sz w:val="24"/>
                <w:szCs w:val="24"/>
              </w:rPr>
              <w:t>备份投标文件送达地点：</w:t>
            </w:r>
            <w:r>
              <w:rPr>
                <w:rFonts w:hint="eastAsia" w:ascii="仿宋" w:hAnsi="仿宋" w:eastAsia="仿宋" w:cs="仿宋"/>
                <w:color w:val="auto"/>
                <w:sz w:val="24"/>
                <w:u w:val="single"/>
              </w:rPr>
              <w:t>浙江国际招投标有限公司305室（杭州市西湖区文三路90号东部软件园1号楼3楼）</w:t>
            </w:r>
            <w:r>
              <w:rPr>
                <w:rFonts w:hint="eastAsia" w:ascii="仿宋" w:hAnsi="仿宋" w:eastAsia="仿宋" w:cs="仿宋"/>
                <w:color w:val="auto"/>
                <w:kern w:val="28"/>
                <w:sz w:val="24"/>
                <w:szCs w:val="24"/>
              </w:rPr>
              <w:t>；</w:t>
            </w:r>
          </w:p>
          <w:p>
            <w:pPr>
              <w:pStyle w:val="34"/>
              <w:snapToGrid w:val="0"/>
              <w:spacing w:line="400" w:lineRule="exact"/>
              <w:rPr>
                <w:rFonts w:ascii="仿宋" w:hAnsi="仿宋" w:eastAsia="仿宋" w:cs="仿宋"/>
                <w:color w:val="auto"/>
                <w:sz w:val="24"/>
                <w:szCs w:val="24"/>
              </w:rPr>
            </w:pPr>
            <w:r>
              <w:rPr>
                <w:rFonts w:hint="eastAsia" w:ascii="仿宋" w:hAnsi="仿宋" w:eastAsia="仿宋" w:cs="仿宋"/>
                <w:color w:val="auto"/>
                <w:kern w:val="28"/>
                <w:sz w:val="24"/>
                <w:szCs w:val="24"/>
              </w:rPr>
              <w:t>备份投标文件签收联系人：</w:t>
            </w:r>
            <w:r>
              <w:rPr>
                <w:rFonts w:hint="eastAsia" w:ascii="仿宋" w:hAnsi="仿宋" w:eastAsia="仿宋" w:cs="仿宋"/>
                <w:color w:val="auto"/>
                <w:kern w:val="28"/>
                <w:sz w:val="24"/>
                <w:szCs w:val="24"/>
                <w:u w:val="single"/>
              </w:rPr>
              <w:t>周群峰、葛珍妮</w:t>
            </w:r>
            <w:r>
              <w:rPr>
                <w:rFonts w:hint="eastAsia" w:ascii="仿宋" w:hAnsi="仿宋" w:eastAsia="仿宋" w:cs="仿宋"/>
                <w:color w:val="auto"/>
                <w:kern w:val="28"/>
                <w:sz w:val="24"/>
                <w:szCs w:val="24"/>
              </w:rPr>
              <w:t>；联系电话：</w:t>
            </w:r>
            <w:r>
              <w:rPr>
                <w:rFonts w:hint="eastAsia" w:ascii="仿宋" w:hAnsi="仿宋" w:eastAsia="仿宋" w:cs="仿宋"/>
                <w:color w:val="auto"/>
                <w:kern w:val="28"/>
                <w:sz w:val="24"/>
                <w:szCs w:val="24"/>
                <w:u w:val="single"/>
              </w:rPr>
              <w:t>0571-81061821、0571-81061804</w:t>
            </w:r>
            <w:r>
              <w:rPr>
                <w:rFonts w:hint="eastAsia" w:ascii="仿宋" w:hAnsi="仿宋" w:eastAsia="仿宋" w:cs="仿宋"/>
                <w:color w:val="auto"/>
                <w:sz w:val="24"/>
                <w:szCs w:val="24"/>
              </w:rPr>
              <w:t>。</w:t>
            </w:r>
          </w:p>
          <w:p>
            <w:pPr>
              <w:pStyle w:val="34"/>
              <w:snapToGrid w:val="0"/>
              <w:spacing w:line="400" w:lineRule="exact"/>
              <w:rPr>
                <w:rFonts w:ascii="仿宋" w:hAnsi="仿宋" w:eastAsia="仿宋" w:cs="仿宋"/>
                <w:color w:val="auto"/>
                <w:kern w:val="28"/>
                <w:sz w:val="24"/>
              </w:rPr>
            </w:pPr>
            <w:r>
              <w:rPr>
                <w:rFonts w:hint="eastAsia" w:ascii="仿宋" w:hAnsi="仿宋" w:eastAsia="仿宋" w:cs="仿宋"/>
                <w:b/>
                <w:color w:val="auto"/>
                <w:sz w:val="24"/>
                <w:szCs w:val="24"/>
              </w:rPr>
              <w:t>采购人、采购代理机构不强制或变相强制投标人提交备份投标文件。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tcBorders>
              <w:tl2br w:val="nil"/>
              <w:tr2bl w:val="nil"/>
            </w:tcBorders>
            <w:vAlign w:val="center"/>
          </w:tcPr>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12</w:t>
            </w:r>
          </w:p>
        </w:tc>
        <w:tc>
          <w:tcPr>
            <w:tcW w:w="1843" w:type="dxa"/>
            <w:tcBorders>
              <w:tl2br w:val="nil"/>
              <w:tr2bl w:val="nil"/>
            </w:tcBorders>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采购代理服务费</w:t>
            </w:r>
          </w:p>
        </w:tc>
        <w:tc>
          <w:tcPr>
            <w:tcW w:w="6095" w:type="dxa"/>
            <w:tcBorders>
              <w:tl2br w:val="nil"/>
              <w:tr2bl w:val="nil"/>
            </w:tcBorders>
            <w:vAlign w:val="center"/>
          </w:tcPr>
          <w:p>
            <w:pPr>
              <w:snapToGrid w:val="0"/>
              <w:spacing w:line="400" w:lineRule="exact"/>
              <w:rPr>
                <w:rFonts w:ascii="仿宋" w:hAnsi="仿宋" w:eastAsia="仿宋" w:cs="仿宋"/>
                <w:color w:val="auto"/>
                <w:kern w:val="0"/>
                <w:sz w:val="24"/>
              </w:rPr>
            </w:pPr>
            <w:r>
              <w:rPr>
                <w:rFonts w:hint="eastAsia" w:ascii="仿宋" w:hAnsi="仿宋" w:eastAsia="仿宋" w:cs="仿宋"/>
                <w:color w:val="auto"/>
                <w:kern w:val="0"/>
                <w:sz w:val="24"/>
              </w:rPr>
              <w:t>1.代理服务费用收取方式：本项目的代理服务费由中标供应商在本项目合同签订前一次性全额支付。</w:t>
            </w:r>
          </w:p>
          <w:p>
            <w:pPr>
              <w:snapToGrid w:val="0"/>
              <w:spacing w:line="400" w:lineRule="exact"/>
              <w:rPr>
                <w:rFonts w:ascii="仿宋" w:hAnsi="仿宋" w:eastAsia="仿宋" w:cs="仿宋"/>
                <w:color w:val="auto"/>
                <w:kern w:val="0"/>
                <w:sz w:val="24"/>
              </w:rPr>
            </w:pPr>
            <w:r>
              <w:rPr>
                <w:rFonts w:hint="eastAsia" w:ascii="仿宋" w:hAnsi="仿宋" w:eastAsia="仿宋" w:cs="仿宋"/>
                <w:color w:val="auto"/>
                <w:kern w:val="0"/>
                <w:sz w:val="24"/>
              </w:rPr>
              <w:t>2.代理服务费用收取标准：本项目代理服务费用按照《招标代理服务收费管理暂行办法》(计价格【2002】1980号)的70%计取，以中标金额为计费基数，差额定率累进计算，单个项目按以上约定的收费标准计算代理服务费不足人民币3000元时，按人民币3000元计取。</w:t>
            </w:r>
          </w:p>
          <w:p>
            <w:pPr>
              <w:snapToGrid w:val="0"/>
              <w:spacing w:line="400" w:lineRule="exact"/>
              <w:rPr>
                <w:rFonts w:ascii="仿宋" w:hAnsi="仿宋" w:eastAsia="仿宋" w:cs="仿宋"/>
                <w:color w:val="auto"/>
                <w:kern w:val="0"/>
                <w:sz w:val="24"/>
              </w:rPr>
            </w:pPr>
            <w:r>
              <w:rPr>
                <w:rFonts w:hint="eastAsia" w:ascii="仿宋" w:hAnsi="仿宋" w:eastAsia="仿宋" w:cs="仿宋"/>
                <w:color w:val="auto"/>
                <w:kern w:val="0"/>
                <w:sz w:val="24"/>
              </w:rPr>
              <w:t>3.代理服务费支付：</w:t>
            </w:r>
          </w:p>
          <w:p>
            <w:pPr>
              <w:snapToGrid w:val="0"/>
              <w:spacing w:line="400" w:lineRule="exact"/>
              <w:rPr>
                <w:rFonts w:ascii="仿宋" w:hAnsi="仿宋" w:eastAsia="仿宋" w:cs="仿宋"/>
                <w:color w:val="auto"/>
                <w:kern w:val="0"/>
                <w:sz w:val="24"/>
              </w:rPr>
            </w:pPr>
            <w:r>
              <w:rPr>
                <w:rFonts w:hint="eastAsia" w:ascii="仿宋" w:hAnsi="仿宋" w:eastAsia="仿宋" w:cs="仿宋"/>
                <w:color w:val="auto"/>
                <w:kern w:val="0"/>
                <w:sz w:val="24"/>
              </w:rPr>
              <w:t>① 代理服务费支付形式：汇票/支票/电汇/现金</w:t>
            </w:r>
          </w:p>
          <w:p>
            <w:pPr>
              <w:snapToGrid w:val="0"/>
              <w:spacing w:line="400" w:lineRule="exact"/>
              <w:rPr>
                <w:rFonts w:ascii="仿宋" w:hAnsi="仿宋" w:eastAsia="仿宋" w:cs="仿宋"/>
                <w:color w:val="auto"/>
                <w:kern w:val="0"/>
                <w:sz w:val="24"/>
              </w:rPr>
            </w:pPr>
            <w:r>
              <w:rPr>
                <w:rFonts w:hint="eastAsia" w:ascii="仿宋" w:hAnsi="仿宋" w:eastAsia="仿宋" w:cs="仿宋"/>
                <w:color w:val="auto"/>
                <w:kern w:val="0"/>
                <w:sz w:val="24"/>
              </w:rPr>
              <w:t>② 代理服务费支付账户 ：</w:t>
            </w:r>
          </w:p>
          <w:p>
            <w:pPr>
              <w:snapToGrid w:val="0"/>
              <w:spacing w:line="400" w:lineRule="exact"/>
              <w:rPr>
                <w:rFonts w:ascii="仿宋" w:hAnsi="仿宋" w:eastAsia="仿宋" w:cs="仿宋"/>
                <w:color w:val="auto"/>
                <w:kern w:val="0"/>
                <w:sz w:val="24"/>
              </w:rPr>
            </w:pPr>
            <w:r>
              <w:rPr>
                <w:rFonts w:hint="eastAsia" w:ascii="仿宋" w:hAnsi="仿宋" w:eastAsia="仿宋" w:cs="仿宋"/>
                <w:color w:val="auto"/>
                <w:kern w:val="0"/>
                <w:sz w:val="24"/>
              </w:rPr>
              <w:t>收款单位（户名）：浙江国际招投标有限公司</w:t>
            </w:r>
          </w:p>
          <w:p>
            <w:pPr>
              <w:snapToGrid w:val="0"/>
              <w:spacing w:line="400" w:lineRule="exact"/>
              <w:rPr>
                <w:rFonts w:ascii="仿宋" w:hAnsi="仿宋" w:eastAsia="仿宋" w:cs="仿宋"/>
                <w:color w:val="auto"/>
                <w:kern w:val="0"/>
                <w:sz w:val="24"/>
              </w:rPr>
            </w:pPr>
            <w:r>
              <w:rPr>
                <w:rFonts w:hint="eastAsia" w:ascii="仿宋" w:hAnsi="仿宋" w:eastAsia="仿宋" w:cs="仿宋"/>
                <w:color w:val="auto"/>
                <w:kern w:val="0"/>
                <w:sz w:val="24"/>
              </w:rPr>
              <w:t>开  户：中国工商银行杭州市武林支行</w:t>
            </w:r>
          </w:p>
          <w:p>
            <w:pPr>
              <w:snapToGrid w:val="0"/>
              <w:spacing w:line="400" w:lineRule="exact"/>
              <w:rPr>
                <w:rFonts w:ascii="仿宋" w:hAnsi="仿宋" w:eastAsia="仿宋" w:cs="仿宋"/>
                <w:color w:val="auto"/>
                <w:kern w:val="0"/>
                <w:sz w:val="24"/>
              </w:rPr>
            </w:pPr>
            <w:r>
              <w:rPr>
                <w:rFonts w:hint="eastAsia" w:ascii="仿宋" w:hAnsi="仿宋" w:eastAsia="仿宋" w:cs="仿宋"/>
                <w:color w:val="auto"/>
                <w:kern w:val="0"/>
                <w:sz w:val="24"/>
              </w:rPr>
              <w:t>账  号：1202021209906782015</w:t>
            </w:r>
          </w:p>
          <w:p>
            <w:pPr>
              <w:snapToGrid w:val="0"/>
              <w:spacing w:line="400" w:lineRule="exact"/>
              <w:rPr>
                <w:rFonts w:ascii="仿宋" w:hAnsi="仿宋" w:eastAsia="仿宋" w:cs="仿宋"/>
                <w:snapToGrid w:val="0"/>
                <w:color w:val="auto"/>
                <w:szCs w:val="21"/>
              </w:rPr>
            </w:pPr>
            <w:r>
              <w:rPr>
                <w:rFonts w:hint="eastAsia" w:ascii="仿宋" w:hAnsi="仿宋" w:eastAsia="仿宋" w:cs="仿宋"/>
                <w:color w:val="auto"/>
                <w:kern w:val="0"/>
                <w:sz w:val="24"/>
              </w:rPr>
              <w:t>4.收取流程：中标供应商按照中标结果公告确定金额支付后将汇款底单、开票信息和发票邮寄地址发送至zhouqf@zmeetb.com，采购代理机构在收到邮件后开具发票并及时寄送给中标供应商。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10" w:hRule="atLeast"/>
        </w:trPr>
        <w:tc>
          <w:tcPr>
            <w:tcW w:w="629" w:type="dxa"/>
            <w:vMerge w:val="restart"/>
            <w:tcBorders>
              <w:tl2br w:val="nil"/>
              <w:tr2bl w:val="nil"/>
            </w:tcBorders>
            <w:vAlign w:val="center"/>
          </w:tcPr>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13</w:t>
            </w:r>
          </w:p>
        </w:tc>
        <w:tc>
          <w:tcPr>
            <w:tcW w:w="1843" w:type="dxa"/>
            <w:vMerge w:val="restart"/>
            <w:tcBorders>
              <w:tl2br w:val="nil"/>
              <w:tr2bl w:val="nil"/>
            </w:tcBorders>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联合体投标说明</w:t>
            </w:r>
          </w:p>
        </w:tc>
        <w:tc>
          <w:tcPr>
            <w:tcW w:w="6095" w:type="dxa"/>
            <w:tcBorders>
              <w:tl2br w:val="nil"/>
              <w:tr2bl w:val="nil"/>
            </w:tcBorders>
            <w:vAlign w:val="center"/>
          </w:tcPr>
          <w:p>
            <w:pPr>
              <w:pStyle w:val="34"/>
              <w:snapToGrid w:val="0"/>
              <w:spacing w:line="400" w:lineRule="exact"/>
              <w:rPr>
                <w:rFonts w:ascii="仿宋" w:hAnsi="仿宋" w:eastAsia="仿宋" w:cs="仿宋"/>
                <w:color w:val="auto"/>
                <w:kern w:val="28"/>
                <w:sz w:val="24"/>
                <w:szCs w:val="24"/>
              </w:rPr>
            </w:pPr>
            <w:r>
              <w:rPr>
                <w:rFonts w:hint="eastAsia" w:ascii="仿宋" w:hAnsi="仿宋" w:eastAsia="仿宋" w:cs="仿宋"/>
                <w:color w:val="auto"/>
                <w:kern w:val="28"/>
                <w:sz w:val="24"/>
                <w:szCs w:val="24"/>
              </w:rPr>
              <w:t>业绩证明材料</w:t>
            </w:r>
          </w:p>
          <w:p>
            <w:pPr>
              <w:pStyle w:val="34"/>
              <w:snapToGrid w:val="0"/>
              <w:spacing w:line="400" w:lineRule="exact"/>
              <w:rPr>
                <w:rFonts w:ascii="仿宋" w:hAnsi="仿宋" w:eastAsia="仿宋" w:cs="仿宋"/>
                <w:color w:val="auto"/>
                <w:kern w:val="28"/>
                <w:sz w:val="24"/>
                <w:szCs w:val="24"/>
              </w:rPr>
            </w:pPr>
            <w:sdt>
              <w:sdtPr>
                <w:rPr>
                  <w:rFonts w:hint="eastAsia" w:ascii="仿宋" w:hAnsi="仿宋" w:eastAsia="仿宋" w:cs="仿宋"/>
                  <w:color w:val="auto"/>
                  <w:kern w:val="0"/>
                  <w:sz w:val="24"/>
                </w:rPr>
                <w:id w:val="-1748569380"/>
              </w:sdtPr>
              <w:sdtEndPr>
                <w:rPr>
                  <w:rFonts w:hint="eastAsia" w:ascii="仿宋" w:hAnsi="仿宋" w:eastAsia="仿宋" w:cs="仿宋"/>
                  <w:color w:val="auto"/>
                  <w:kern w:val="0"/>
                  <w:sz w:val="24"/>
                </w:rPr>
              </w:sdtEndPr>
              <w:sdtContent>
                <w:r>
                  <w:rPr>
                    <w:rFonts w:ascii="Wingdings" w:hAnsi="Wingdings" w:eastAsia="仿宋" w:cs="仿宋"/>
                    <w:color w:val="auto"/>
                    <w:kern w:val="0"/>
                    <w:sz w:val="24"/>
                    <w:szCs w:val="24"/>
                  </w:rPr>
                  <w:t></w:t>
                </w:r>
              </w:sdtContent>
            </w:sdt>
            <w:r>
              <w:rPr>
                <w:rFonts w:hint="eastAsia" w:ascii="仿宋" w:hAnsi="仿宋" w:eastAsia="仿宋" w:cs="仿宋"/>
                <w:color w:val="auto"/>
                <w:kern w:val="28"/>
                <w:sz w:val="24"/>
                <w:szCs w:val="24"/>
              </w:rPr>
              <w:t>联合体投标的，按联合体协议约定的分工内容出具相应的业绩证明材料。承担相同工作的各方或工作内容存在部 分相同的，业绩数量以提供材料较少的一方为准。</w:t>
            </w:r>
          </w:p>
          <w:p>
            <w:pPr>
              <w:pStyle w:val="34"/>
              <w:snapToGrid w:val="0"/>
              <w:spacing w:line="400" w:lineRule="exact"/>
              <w:rPr>
                <w:rFonts w:ascii="仿宋" w:hAnsi="仿宋" w:eastAsia="仿宋" w:cs="仿宋"/>
                <w:color w:val="auto"/>
                <w:kern w:val="28"/>
                <w:sz w:val="24"/>
                <w:szCs w:val="24"/>
              </w:rPr>
            </w:pPr>
            <w:sdt>
              <w:sdtPr>
                <w:rPr>
                  <w:rFonts w:hint="eastAsia" w:ascii="仿宋" w:hAnsi="仿宋" w:eastAsia="仿宋" w:cs="仿宋"/>
                  <w:color w:val="auto"/>
                  <w:kern w:val="0"/>
                  <w:sz w:val="24"/>
                </w:rPr>
                <w:id w:val="-1478212049"/>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szCs w:val="24"/>
                  </w:rPr>
                  <w:t>☐</w:t>
                </w:r>
              </w:sdtContent>
            </w:sdt>
            <w:r>
              <w:rPr>
                <w:rFonts w:hint="eastAsia" w:ascii="仿宋" w:hAnsi="仿宋" w:eastAsia="仿宋" w:cs="仿宋"/>
                <w:color w:val="auto"/>
                <w:kern w:val="28"/>
                <w:sz w:val="24"/>
                <w:szCs w:val="24"/>
              </w:rPr>
              <w:t>联合体投标的，由联合体牵头方出具相应的业绩证明材料。</w:t>
            </w:r>
          </w:p>
          <w:p>
            <w:pPr>
              <w:pStyle w:val="34"/>
              <w:snapToGrid w:val="0"/>
              <w:spacing w:line="400" w:lineRule="exact"/>
              <w:rPr>
                <w:rFonts w:ascii="仿宋" w:hAnsi="仿宋" w:eastAsia="仿宋" w:cs="仿宋"/>
                <w:color w:val="auto"/>
                <w:kern w:val="28"/>
                <w:sz w:val="24"/>
                <w:szCs w:val="24"/>
              </w:rPr>
            </w:pPr>
            <w:r>
              <w:rPr>
                <w:rFonts w:hint="eastAsia" w:ascii="仿宋" w:hAnsi="仿宋" w:eastAsia="仿宋" w:cs="仿宋"/>
                <w:color w:val="auto"/>
                <w:kern w:val="28"/>
                <w:sz w:val="24"/>
                <w:szCs w:val="24"/>
              </w:rPr>
              <w:t>☐其他规定：</w:t>
            </w:r>
            <w:r>
              <w:rPr>
                <w:rFonts w:hint="eastAsia" w:ascii="仿宋" w:hAnsi="仿宋" w:eastAsia="仿宋" w:cs="仿宋"/>
                <w:color w:val="auto"/>
                <w:kern w:val="28"/>
                <w:sz w:val="24"/>
                <w:szCs w:val="24"/>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71" w:hRule="atLeast"/>
        </w:trPr>
        <w:tc>
          <w:tcPr>
            <w:tcW w:w="629" w:type="dxa"/>
            <w:vMerge w:val="continue"/>
            <w:tcBorders>
              <w:tl2br w:val="nil"/>
              <w:tr2bl w:val="nil"/>
            </w:tcBorders>
            <w:vAlign w:val="center"/>
          </w:tcPr>
          <w:p>
            <w:pPr>
              <w:snapToGrid w:val="0"/>
              <w:spacing w:line="400" w:lineRule="exact"/>
              <w:jc w:val="center"/>
              <w:rPr>
                <w:rFonts w:ascii="仿宋" w:hAnsi="仿宋" w:eastAsia="仿宋" w:cs="仿宋"/>
                <w:color w:val="auto"/>
                <w:sz w:val="24"/>
              </w:rPr>
            </w:pPr>
          </w:p>
        </w:tc>
        <w:tc>
          <w:tcPr>
            <w:tcW w:w="1843" w:type="dxa"/>
            <w:vMerge w:val="continue"/>
            <w:tcBorders>
              <w:tl2br w:val="nil"/>
              <w:tr2bl w:val="nil"/>
            </w:tcBorders>
            <w:vAlign w:val="center"/>
          </w:tcPr>
          <w:p>
            <w:pPr>
              <w:snapToGrid w:val="0"/>
              <w:spacing w:line="400" w:lineRule="exact"/>
              <w:jc w:val="center"/>
              <w:rPr>
                <w:rFonts w:ascii="仿宋" w:hAnsi="仿宋" w:eastAsia="仿宋" w:cs="仿宋"/>
                <w:b/>
                <w:color w:val="auto"/>
                <w:sz w:val="24"/>
              </w:rPr>
            </w:pPr>
          </w:p>
        </w:tc>
        <w:tc>
          <w:tcPr>
            <w:tcW w:w="6095" w:type="dxa"/>
            <w:tcBorders>
              <w:tl2br w:val="nil"/>
              <w:tr2bl w:val="nil"/>
            </w:tcBorders>
            <w:vAlign w:val="center"/>
          </w:tcPr>
          <w:p>
            <w:pPr>
              <w:pStyle w:val="34"/>
              <w:snapToGrid w:val="0"/>
              <w:spacing w:line="400" w:lineRule="exact"/>
              <w:rPr>
                <w:rFonts w:ascii="仿宋" w:hAnsi="仿宋" w:eastAsia="仿宋" w:cs="仿宋"/>
                <w:color w:val="auto"/>
                <w:kern w:val="28"/>
                <w:sz w:val="24"/>
                <w:szCs w:val="24"/>
              </w:rPr>
            </w:pPr>
            <w:r>
              <w:rPr>
                <w:rFonts w:hint="eastAsia" w:ascii="仿宋" w:hAnsi="仿宋" w:eastAsia="仿宋" w:cs="仿宋"/>
                <w:color w:val="auto"/>
                <w:kern w:val="28"/>
                <w:sz w:val="24"/>
                <w:szCs w:val="24"/>
              </w:rPr>
              <w:t>其他资信证明材料</w:t>
            </w:r>
          </w:p>
          <w:p>
            <w:pPr>
              <w:pStyle w:val="34"/>
              <w:snapToGrid w:val="0"/>
              <w:spacing w:line="400" w:lineRule="exact"/>
              <w:rPr>
                <w:rFonts w:ascii="仿宋" w:hAnsi="仿宋" w:eastAsia="仿宋" w:cs="仿宋"/>
                <w:color w:val="auto"/>
                <w:kern w:val="28"/>
                <w:sz w:val="24"/>
                <w:szCs w:val="24"/>
              </w:rPr>
            </w:pPr>
            <w:sdt>
              <w:sdtPr>
                <w:rPr>
                  <w:rFonts w:hint="eastAsia" w:ascii="仿宋" w:hAnsi="仿宋" w:eastAsia="仿宋" w:cs="仿宋"/>
                  <w:color w:val="auto"/>
                  <w:kern w:val="0"/>
                  <w:sz w:val="24"/>
                </w:rPr>
                <w:id w:val="-97564288"/>
              </w:sdtPr>
              <w:sdtEndPr>
                <w:rPr>
                  <w:rFonts w:hint="eastAsia" w:ascii="仿宋" w:hAnsi="仿宋" w:eastAsia="仿宋" w:cs="仿宋"/>
                  <w:color w:val="auto"/>
                  <w:kern w:val="0"/>
                  <w:sz w:val="24"/>
                </w:rPr>
              </w:sdtEndPr>
              <w:sdtContent>
                <w:r>
                  <w:rPr>
                    <w:rFonts w:ascii="Wingdings" w:hAnsi="Wingdings" w:eastAsia="仿宋" w:cs="仿宋"/>
                    <w:color w:val="auto"/>
                    <w:kern w:val="0"/>
                    <w:sz w:val="24"/>
                    <w:szCs w:val="24"/>
                  </w:rPr>
                  <w:t></w:t>
                </w:r>
              </w:sdtContent>
            </w:sdt>
            <w:r>
              <w:rPr>
                <w:rFonts w:hint="eastAsia" w:ascii="仿宋" w:hAnsi="仿宋" w:eastAsia="仿宋" w:cs="仿宋"/>
                <w:color w:val="auto"/>
                <w:kern w:val="28"/>
                <w:sz w:val="24"/>
                <w:szCs w:val="24"/>
              </w:rPr>
              <w:t>联合体投标的，联合体各方均需按招标文件第四部分评标标准要求提供资信证明文件，否则视为不符合相关要求。</w:t>
            </w:r>
          </w:p>
          <w:p>
            <w:pPr>
              <w:pStyle w:val="34"/>
              <w:snapToGrid w:val="0"/>
              <w:spacing w:line="400" w:lineRule="exact"/>
              <w:rPr>
                <w:rFonts w:ascii="仿宋" w:hAnsi="仿宋" w:eastAsia="仿宋" w:cs="仿宋"/>
                <w:color w:val="auto"/>
                <w:kern w:val="28"/>
                <w:sz w:val="24"/>
                <w:szCs w:val="24"/>
              </w:rPr>
            </w:pPr>
            <w:sdt>
              <w:sdtPr>
                <w:rPr>
                  <w:rFonts w:hint="eastAsia" w:ascii="仿宋" w:hAnsi="仿宋" w:eastAsia="仿宋" w:cs="仿宋"/>
                  <w:color w:val="auto"/>
                  <w:kern w:val="0"/>
                  <w:sz w:val="24"/>
                </w:rPr>
                <w:id w:val="-998268535"/>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szCs w:val="24"/>
                  </w:rPr>
                  <w:t>☐</w:t>
                </w:r>
              </w:sdtContent>
            </w:sdt>
            <w:r>
              <w:rPr>
                <w:rFonts w:hint="eastAsia" w:ascii="仿宋" w:hAnsi="仿宋" w:eastAsia="仿宋" w:cs="仿宋"/>
                <w:color w:val="auto"/>
                <w:kern w:val="28"/>
                <w:sz w:val="24"/>
                <w:szCs w:val="24"/>
              </w:rPr>
              <w:t>联合体投标的，联合体牵头方或者联合体成员根据分工按招标文件第四部分评标标准要求提供资信证明文件的，视为符合了相关要求。</w:t>
            </w:r>
          </w:p>
          <w:p>
            <w:pPr>
              <w:pStyle w:val="34"/>
              <w:snapToGrid w:val="0"/>
              <w:spacing w:line="400" w:lineRule="exact"/>
              <w:rPr>
                <w:rFonts w:ascii="仿宋" w:hAnsi="仿宋" w:eastAsia="仿宋" w:cs="仿宋"/>
                <w:color w:val="auto"/>
                <w:kern w:val="28"/>
                <w:sz w:val="24"/>
                <w:szCs w:val="24"/>
              </w:rPr>
            </w:pPr>
            <w:r>
              <w:rPr>
                <w:rFonts w:hint="eastAsia" w:ascii="仿宋" w:hAnsi="仿宋" w:eastAsia="仿宋" w:cs="仿宋"/>
                <w:color w:val="auto"/>
                <w:kern w:val="28"/>
                <w:sz w:val="24"/>
                <w:szCs w:val="24"/>
              </w:rPr>
              <w:t>☐其他规定：</w:t>
            </w:r>
            <w:r>
              <w:rPr>
                <w:rFonts w:hint="eastAsia" w:ascii="仿宋" w:hAnsi="仿宋" w:eastAsia="仿宋" w:cs="仿宋"/>
                <w:color w:val="auto"/>
                <w:kern w:val="28"/>
                <w:sz w:val="24"/>
                <w:szCs w:val="24"/>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14" w:hRule="atLeast"/>
        </w:trPr>
        <w:tc>
          <w:tcPr>
            <w:tcW w:w="629" w:type="dxa"/>
            <w:vMerge w:val="continue"/>
            <w:tcBorders>
              <w:tl2br w:val="nil"/>
              <w:tr2bl w:val="nil"/>
            </w:tcBorders>
            <w:vAlign w:val="center"/>
          </w:tcPr>
          <w:p>
            <w:pPr>
              <w:snapToGrid w:val="0"/>
              <w:spacing w:line="400" w:lineRule="exact"/>
              <w:jc w:val="center"/>
              <w:rPr>
                <w:rFonts w:ascii="仿宋" w:hAnsi="仿宋" w:eastAsia="仿宋" w:cs="仿宋"/>
                <w:color w:val="auto"/>
                <w:sz w:val="24"/>
              </w:rPr>
            </w:pPr>
          </w:p>
        </w:tc>
        <w:tc>
          <w:tcPr>
            <w:tcW w:w="1843" w:type="dxa"/>
            <w:vMerge w:val="continue"/>
            <w:tcBorders>
              <w:tl2br w:val="nil"/>
              <w:tr2bl w:val="nil"/>
            </w:tcBorders>
            <w:vAlign w:val="center"/>
          </w:tcPr>
          <w:p>
            <w:pPr>
              <w:snapToGrid w:val="0"/>
              <w:spacing w:line="400" w:lineRule="exact"/>
              <w:jc w:val="center"/>
              <w:rPr>
                <w:rFonts w:ascii="仿宋" w:hAnsi="仿宋" w:eastAsia="仿宋" w:cs="仿宋"/>
                <w:b/>
                <w:color w:val="auto"/>
                <w:sz w:val="24"/>
              </w:rPr>
            </w:pPr>
          </w:p>
        </w:tc>
        <w:tc>
          <w:tcPr>
            <w:tcW w:w="6095" w:type="dxa"/>
            <w:tcBorders>
              <w:tl2br w:val="nil"/>
              <w:tr2bl w:val="nil"/>
            </w:tcBorders>
            <w:vAlign w:val="center"/>
          </w:tcPr>
          <w:p>
            <w:pPr>
              <w:pStyle w:val="34"/>
              <w:snapToGrid w:val="0"/>
              <w:spacing w:line="400" w:lineRule="exact"/>
              <w:rPr>
                <w:rFonts w:ascii="仿宋" w:hAnsi="仿宋" w:eastAsia="仿宋" w:cs="仿宋"/>
                <w:color w:val="auto"/>
                <w:kern w:val="28"/>
                <w:sz w:val="24"/>
                <w:szCs w:val="24"/>
              </w:rPr>
            </w:pPr>
            <w:r>
              <w:rPr>
                <w:rFonts w:hint="eastAsia" w:ascii="仿宋" w:hAnsi="仿宋" w:eastAsia="仿宋" w:cs="仿宋"/>
                <w:color w:val="auto"/>
                <w:kern w:val="0"/>
                <w:sz w:val="24"/>
              </w:rPr>
              <w:t>▲</w:t>
            </w:r>
            <w:r>
              <w:rPr>
                <w:rFonts w:hint="eastAsia" w:ascii="仿宋" w:hAnsi="仿宋" w:eastAsia="仿宋" w:cs="仿宋"/>
                <w:b/>
                <w:bCs/>
                <w:color w:val="auto"/>
                <w:kern w:val="28"/>
                <w:sz w:val="24"/>
                <w:szCs w:val="24"/>
              </w:rPr>
              <w:t>本项目联合体数量不得超过两家，否则为无效投标。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rPr>
        <w:tc>
          <w:tcPr>
            <w:tcW w:w="629" w:type="dxa"/>
            <w:tcBorders>
              <w:tl2br w:val="nil"/>
              <w:tr2bl w:val="nil"/>
            </w:tcBorders>
            <w:vAlign w:val="center"/>
          </w:tcPr>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14</w:t>
            </w:r>
          </w:p>
        </w:tc>
        <w:tc>
          <w:tcPr>
            <w:tcW w:w="1843" w:type="dxa"/>
            <w:tcBorders>
              <w:tl2br w:val="nil"/>
              <w:tr2bl w:val="nil"/>
            </w:tcBorders>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相关说明</w:t>
            </w:r>
          </w:p>
        </w:tc>
        <w:tc>
          <w:tcPr>
            <w:tcW w:w="6095" w:type="dxa"/>
            <w:tcBorders>
              <w:tl2br w:val="nil"/>
              <w:tr2bl w:val="nil"/>
            </w:tcBorders>
            <w:vAlign w:val="center"/>
          </w:tcPr>
          <w:p>
            <w:pPr>
              <w:snapToGrid w:val="0"/>
              <w:spacing w:line="400" w:lineRule="exact"/>
              <w:rPr>
                <w:rFonts w:ascii="仿宋" w:hAnsi="仿宋" w:eastAsia="仿宋" w:cs="仿宋"/>
                <w:color w:val="auto"/>
                <w:kern w:val="0"/>
                <w:sz w:val="24"/>
              </w:rPr>
            </w:pPr>
            <w:r>
              <w:rPr>
                <w:rFonts w:hint="eastAsia" w:ascii="仿宋" w:hAnsi="仿宋" w:eastAsia="仿宋" w:cs="仿宋"/>
                <w:color w:val="auto"/>
                <w:kern w:val="0"/>
                <w:sz w:val="24"/>
              </w:rPr>
              <w:t>1.招标文件中凡标注“▲”的条款均为实质性要求，不响应的投标文件将作无效标处理。</w:t>
            </w:r>
          </w:p>
          <w:p>
            <w:pPr>
              <w:snapToGrid w:val="0"/>
              <w:spacing w:line="400" w:lineRule="exact"/>
              <w:rPr>
                <w:rFonts w:ascii="仿宋" w:hAnsi="仿宋" w:eastAsia="仿宋" w:cs="仿宋"/>
                <w:color w:val="auto"/>
                <w:kern w:val="0"/>
                <w:sz w:val="24"/>
              </w:rPr>
            </w:pPr>
            <w:r>
              <w:rPr>
                <w:rFonts w:hint="eastAsia" w:ascii="仿宋" w:hAnsi="仿宋" w:eastAsia="仿宋" w:cs="仿宋"/>
                <w:color w:val="auto"/>
                <w:kern w:val="0"/>
                <w:sz w:val="24"/>
              </w:rPr>
              <w:t>2.供应商未上传电子加密投标文件，其投标无效。</w:t>
            </w:r>
          </w:p>
          <w:p>
            <w:pPr>
              <w:snapToGrid w:val="0"/>
              <w:spacing w:line="400" w:lineRule="exact"/>
              <w:rPr>
                <w:rFonts w:ascii="仿宋" w:hAnsi="仿宋" w:eastAsia="仿宋" w:cs="仿宋"/>
                <w:color w:val="auto"/>
                <w:kern w:val="0"/>
                <w:sz w:val="24"/>
              </w:rPr>
            </w:pPr>
            <w:r>
              <w:rPr>
                <w:rFonts w:hint="eastAsia" w:ascii="仿宋" w:hAnsi="仿宋" w:eastAsia="仿宋" w:cs="仿宋"/>
                <w:color w:val="auto"/>
                <w:kern w:val="0"/>
                <w:sz w:val="24"/>
              </w:rPr>
              <w:t>3.供应商上传了电子加密投标文件，未提供备份投标文件，解密出现问题后，由此导致对该供应商投标无法评审的，其后果由该供应商自行承担。</w:t>
            </w:r>
          </w:p>
          <w:p>
            <w:pPr>
              <w:snapToGrid w:val="0"/>
              <w:spacing w:line="400" w:lineRule="exact"/>
              <w:rPr>
                <w:rFonts w:ascii="仿宋" w:hAnsi="仿宋" w:eastAsia="仿宋" w:cs="仿宋"/>
                <w:color w:val="auto"/>
                <w:kern w:val="0"/>
                <w:sz w:val="24"/>
              </w:rPr>
            </w:pPr>
            <w:r>
              <w:rPr>
                <w:rFonts w:hint="eastAsia" w:ascii="仿宋" w:hAnsi="仿宋" w:eastAsia="仿宋" w:cs="仿宋"/>
                <w:color w:val="auto"/>
                <w:kern w:val="0"/>
                <w:sz w:val="24"/>
              </w:rPr>
              <w:t>4.各供应商自行在浙江政府采购网下载或查阅采购文件和相关更正公告等，不另行通知，如有遗漏采购人、采购代理机构概不负责。</w:t>
            </w:r>
          </w:p>
          <w:p>
            <w:pPr>
              <w:snapToGrid w:val="0"/>
              <w:spacing w:line="400" w:lineRule="exact"/>
              <w:rPr>
                <w:rFonts w:ascii="仿宋" w:hAnsi="仿宋" w:eastAsia="仿宋" w:cs="仿宋"/>
                <w:color w:val="auto"/>
              </w:rPr>
            </w:pPr>
            <w:r>
              <w:rPr>
                <w:rFonts w:hint="eastAsia" w:ascii="仿宋" w:hAnsi="仿宋" w:eastAsia="仿宋" w:cs="仿宋"/>
                <w:color w:val="auto"/>
                <w:kern w:val="0"/>
                <w:sz w:val="24"/>
              </w:rPr>
              <w:t>（5）两家或两家以上供应商提供的投标文件出自同一终端设备的，或在相同Internet主机分配地址（相同IP地址）报名或网上投标的，后果由供应商自行承担。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rPr>
        <w:tc>
          <w:tcPr>
            <w:tcW w:w="629" w:type="dxa"/>
            <w:tcBorders>
              <w:tl2br w:val="nil"/>
              <w:tr2bl w:val="nil"/>
            </w:tcBorders>
            <w:vAlign w:val="center"/>
          </w:tcPr>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15</w:t>
            </w:r>
          </w:p>
        </w:tc>
        <w:tc>
          <w:tcPr>
            <w:tcW w:w="1843" w:type="dxa"/>
            <w:tcBorders>
              <w:tl2br w:val="nil"/>
              <w:tr2bl w:val="nil"/>
            </w:tcBorders>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特别说明</w:t>
            </w:r>
          </w:p>
        </w:tc>
        <w:tc>
          <w:tcPr>
            <w:tcW w:w="6095" w:type="dxa"/>
            <w:tcBorders>
              <w:tl2br w:val="nil"/>
              <w:tr2bl w:val="nil"/>
            </w:tcBorders>
            <w:vAlign w:val="center"/>
          </w:tcPr>
          <w:p>
            <w:pPr>
              <w:snapToGrid w:val="0"/>
              <w:spacing w:line="400" w:lineRule="exact"/>
              <w:rPr>
                <w:rFonts w:ascii="仿宋" w:hAnsi="仿宋" w:eastAsia="仿宋" w:cs="仿宋"/>
                <w:color w:val="auto"/>
                <w:kern w:val="0"/>
                <w:sz w:val="24"/>
              </w:rPr>
            </w:pPr>
            <w:r>
              <w:rPr>
                <w:rFonts w:hint="eastAsia" w:ascii="仿宋" w:hAnsi="仿宋" w:eastAsia="仿宋" w:cs="仿宋"/>
                <w:color w:val="auto"/>
                <w:kern w:val="0"/>
                <w:sz w:val="24"/>
              </w:rPr>
              <w:t>无。</w:t>
            </w:r>
          </w:p>
        </w:tc>
      </w:tr>
    </w:tbl>
    <w:p>
      <w:pPr>
        <w:snapToGrid w:val="0"/>
        <w:spacing w:line="360" w:lineRule="auto"/>
        <w:jc w:val="center"/>
        <w:rPr>
          <w:rFonts w:ascii="仿宋" w:hAnsi="仿宋" w:eastAsia="仿宋" w:cs="仿宋"/>
          <w:b/>
          <w:color w:val="auto"/>
          <w:sz w:val="32"/>
          <w:szCs w:val="20"/>
        </w:rPr>
      </w:pPr>
    </w:p>
    <w:bookmarkEnd w:id="11"/>
    <w:p>
      <w:pPr>
        <w:rPr>
          <w:rFonts w:ascii="仿宋" w:hAnsi="仿宋" w:eastAsia="仿宋" w:cs="仿宋"/>
          <w:b/>
          <w:color w:val="auto"/>
          <w:sz w:val="32"/>
          <w:szCs w:val="20"/>
        </w:rPr>
      </w:pPr>
      <w:bookmarkStart w:id="13" w:name="_Toc164416483"/>
      <w:bookmarkStart w:id="14" w:name="第三部分"/>
      <w:r>
        <w:rPr>
          <w:rFonts w:hint="eastAsia" w:ascii="仿宋" w:hAnsi="仿宋" w:eastAsia="仿宋" w:cs="仿宋"/>
          <w:b/>
          <w:color w:val="auto"/>
          <w:sz w:val="32"/>
          <w:szCs w:val="20"/>
        </w:rPr>
        <w:br w:type="page"/>
      </w:r>
    </w:p>
    <w:p>
      <w:pPr>
        <w:adjustRightInd/>
        <w:spacing w:line="360" w:lineRule="auto"/>
        <w:jc w:val="center"/>
        <w:outlineLvl w:val="1"/>
        <w:rPr>
          <w:rFonts w:ascii="仿宋" w:hAnsi="仿宋" w:eastAsia="仿宋" w:cs="仿宋"/>
          <w:b/>
          <w:color w:val="auto"/>
          <w:sz w:val="32"/>
          <w:szCs w:val="20"/>
        </w:rPr>
      </w:pPr>
      <w:r>
        <w:rPr>
          <w:rFonts w:hint="eastAsia" w:ascii="仿宋" w:hAnsi="仿宋" w:eastAsia="仿宋" w:cs="仿宋"/>
          <w:b/>
          <w:color w:val="auto"/>
          <w:sz w:val="32"/>
          <w:szCs w:val="20"/>
        </w:rPr>
        <w:t>一、总则</w:t>
      </w:r>
    </w:p>
    <w:p>
      <w:pPr>
        <w:numPr>
          <w:ilvl w:val="0"/>
          <w:numId w:val="4"/>
        </w:numPr>
        <w:tabs>
          <w:tab w:val="left" w:pos="210"/>
        </w:tabs>
        <w:snapToGrid w:val="0"/>
        <w:spacing w:line="360" w:lineRule="auto"/>
        <w:jc w:val="left"/>
        <w:outlineLvl w:val="2"/>
        <w:rPr>
          <w:rFonts w:ascii="仿宋" w:hAnsi="仿宋" w:eastAsia="仿宋" w:cs="仿宋"/>
          <w:b/>
          <w:color w:val="auto"/>
          <w:sz w:val="24"/>
        </w:rPr>
      </w:pPr>
      <w:r>
        <w:rPr>
          <w:rFonts w:hint="eastAsia" w:ascii="仿宋" w:hAnsi="仿宋" w:eastAsia="仿宋" w:cs="仿宋"/>
          <w:b/>
          <w:color w:val="auto"/>
          <w:sz w:val="24"/>
        </w:rPr>
        <w:t>适用范围</w:t>
      </w:r>
    </w:p>
    <w:p>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pPr>
        <w:numPr>
          <w:ilvl w:val="0"/>
          <w:numId w:val="4"/>
        </w:numPr>
        <w:tabs>
          <w:tab w:val="left" w:pos="210"/>
        </w:tabs>
        <w:snapToGrid w:val="0"/>
        <w:spacing w:line="360" w:lineRule="auto"/>
        <w:jc w:val="left"/>
        <w:outlineLvl w:val="2"/>
        <w:rPr>
          <w:rFonts w:ascii="仿宋" w:hAnsi="仿宋" w:eastAsia="仿宋" w:cs="仿宋"/>
          <w:b/>
          <w:color w:val="auto"/>
          <w:sz w:val="24"/>
        </w:rPr>
      </w:pPr>
      <w:r>
        <w:rPr>
          <w:rFonts w:hint="eastAsia" w:ascii="仿宋" w:hAnsi="仿宋" w:eastAsia="仿宋" w:cs="仿宋"/>
          <w:b/>
          <w:color w:val="auto"/>
          <w:sz w:val="24"/>
        </w:rPr>
        <w:t>定义</w:t>
      </w:r>
    </w:p>
    <w:p>
      <w:pPr>
        <w:numPr>
          <w:ilvl w:val="1"/>
          <w:numId w:val="4"/>
        </w:numPr>
        <w:spacing w:line="360" w:lineRule="auto"/>
        <w:rPr>
          <w:rFonts w:ascii="仿宋" w:hAnsi="仿宋" w:eastAsia="仿宋" w:cs="仿宋"/>
          <w:color w:val="auto"/>
          <w:sz w:val="24"/>
        </w:rPr>
      </w:pPr>
      <w:r>
        <w:rPr>
          <w:rFonts w:hint="eastAsia" w:ascii="仿宋" w:hAnsi="仿宋" w:eastAsia="仿宋" w:cs="仿宋"/>
          <w:color w:val="auto"/>
          <w:sz w:val="24"/>
        </w:rPr>
        <w:t>“采购人”系指招标公告中载明的本项目的采购人。</w:t>
      </w:r>
    </w:p>
    <w:p>
      <w:pPr>
        <w:numPr>
          <w:ilvl w:val="1"/>
          <w:numId w:val="4"/>
        </w:numPr>
        <w:spacing w:line="360" w:lineRule="auto"/>
        <w:rPr>
          <w:rFonts w:ascii="仿宋" w:hAnsi="仿宋" w:eastAsia="仿宋" w:cs="仿宋"/>
          <w:color w:val="auto"/>
          <w:sz w:val="24"/>
        </w:rPr>
      </w:pPr>
      <w:r>
        <w:rPr>
          <w:rFonts w:hint="eastAsia" w:ascii="仿宋" w:hAnsi="仿宋" w:eastAsia="仿宋" w:cs="仿宋"/>
          <w:color w:val="auto"/>
          <w:sz w:val="24"/>
        </w:rPr>
        <w:t>“采购代理机构”系指招标公告中载明的本项目的采购代理机构。</w:t>
      </w:r>
    </w:p>
    <w:p>
      <w:pPr>
        <w:numPr>
          <w:ilvl w:val="1"/>
          <w:numId w:val="4"/>
        </w:numPr>
        <w:spacing w:line="360" w:lineRule="auto"/>
        <w:rPr>
          <w:rFonts w:ascii="仿宋" w:hAnsi="仿宋" w:eastAsia="仿宋" w:cs="仿宋"/>
          <w:color w:val="auto"/>
          <w:sz w:val="24"/>
        </w:rPr>
      </w:pPr>
      <w:r>
        <w:rPr>
          <w:rFonts w:hint="eastAsia" w:ascii="仿宋" w:hAnsi="仿宋" w:eastAsia="仿宋" w:cs="仿宋"/>
          <w:color w:val="auto"/>
          <w:sz w:val="24"/>
        </w:rPr>
        <w:t>“投标人”系指是指响应招标、参加投标竞争的法人、其他组织或者自然人。</w:t>
      </w:r>
    </w:p>
    <w:p>
      <w:pPr>
        <w:numPr>
          <w:ilvl w:val="1"/>
          <w:numId w:val="4"/>
        </w:numPr>
        <w:spacing w:line="360" w:lineRule="auto"/>
        <w:rPr>
          <w:rFonts w:ascii="仿宋" w:hAnsi="仿宋" w:eastAsia="仿宋" w:cs="仿宋"/>
          <w:color w:val="auto"/>
          <w:sz w:val="24"/>
        </w:rPr>
      </w:pPr>
      <w:r>
        <w:rPr>
          <w:rFonts w:hint="eastAsia" w:ascii="仿宋" w:hAnsi="仿宋" w:eastAsia="仿宋" w:cs="仿宋"/>
          <w:color w:val="auto"/>
          <w:sz w:val="24"/>
        </w:rPr>
        <w:t>“负责人”系指法人企业的法定负责人，或其他组织为法律、行政法规规定代表单位行使职权的主要负责人，或自然人本人。</w:t>
      </w:r>
    </w:p>
    <w:p>
      <w:pPr>
        <w:numPr>
          <w:ilvl w:val="1"/>
          <w:numId w:val="4"/>
        </w:numPr>
        <w:spacing w:line="360" w:lineRule="auto"/>
        <w:rPr>
          <w:rFonts w:ascii="仿宋" w:hAnsi="仿宋" w:eastAsia="仿宋" w:cs="仿宋"/>
          <w:color w:val="auto"/>
          <w:sz w:val="24"/>
        </w:rPr>
      </w:pPr>
      <w:r>
        <w:rPr>
          <w:rFonts w:hint="eastAsia" w:ascii="仿宋" w:hAnsi="仿宋" w:eastAsia="仿宋" w:cs="仿宋"/>
          <w:color w:val="auto"/>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numPr>
          <w:ilvl w:val="1"/>
          <w:numId w:val="4"/>
        </w:numPr>
        <w:spacing w:line="360" w:lineRule="auto"/>
        <w:rPr>
          <w:rFonts w:ascii="仿宋" w:hAnsi="仿宋" w:eastAsia="仿宋" w:cs="仿宋"/>
          <w:color w:val="auto"/>
          <w:sz w:val="24"/>
        </w:rPr>
      </w:pPr>
      <w:r>
        <w:rPr>
          <w:rFonts w:hint="eastAsia" w:ascii="仿宋" w:hAnsi="仿宋" w:eastAsia="仿宋" w:cs="仿宋"/>
          <w:color w:val="auto"/>
          <w:sz w:val="24"/>
        </w:rPr>
        <w:t>“电子交易平台”是指本项目政府采购活动所依托的政府采购云平台（https://www.zcygov.cn/）。</w:t>
      </w:r>
    </w:p>
    <w:p>
      <w:pPr>
        <w:numPr>
          <w:ilvl w:val="1"/>
          <w:numId w:val="4"/>
        </w:numPr>
        <w:spacing w:line="360" w:lineRule="auto"/>
        <w:rPr>
          <w:rFonts w:ascii="仿宋" w:hAnsi="仿宋" w:eastAsia="仿宋" w:cs="仿宋"/>
          <w:b/>
          <w:bCs/>
          <w:i/>
          <w:iCs/>
          <w:color w:val="auto"/>
          <w:sz w:val="24"/>
        </w:rPr>
      </w:pPr>
      <w:r>
        <w:rPr>
          <w:rFonts w:hint="eastAsia" w:ascii="仿宋" w:hAnsi="仿宋" w:eastAsia="仿宋" w:cs="仿宋"/>
          <w:b/>
          <w:bCs/>
          <w:color w:val="auto"/>
          <w:sz w:val="24"/>
        </w:rPr>
        <w:t>“▲” 系指实质性要求条款，“</w:t>
      </w:r>
      <w:sdt>
        <w:sdtPr>
          <w:rPr>
            <w:rFonts w:hint="eastAsia" w:ascii="仿宋" w:hAnsi="仿宋" w:eastAsia="仿宋" w:cs="仿宋"/>
            <w:b/>
            <w:bCs/>
            <w:color w:val="auto"/>
            <w:kern w:val="0"/>
            <w:sz w:val="24"/>
          </w:rPr>
          <w:id w:val="512970236"/>
        </w:sdtPr>
        <w:sdtEndPr>
          <w:rPr>
            <w:rFonts w:hint="eastAsia" w:ascii="仿宋" w:hAnsi="仿宋" w:eastAsia="仿宋" w:cs="仿宋"/>
            <w:b/>
            <w:bCs/>
            <w:color w:val="auto"/>
            <w:kern w:val="0"/>
            <w:sz w:val="24"/>
          </w:rPr>
        </w:sdtEndPr>
        <w:sdtContent>
          <w:r>
            <w:rPr>
              <w:rFonts w:ascii="Wingdings" w:hAnsi="Wingdings" w:eastAsia="仿宋" w:cs="仿宋"/>
              <w:b/>
              <w:bCs/>
              <w:color w:val="auto"/>
              <w:kern w:val="0"/>
              <w:sz w:val="24"/>
            </w:rPr>
            <w:t></w:t>
          </w:r>
        </w:sdtContent>
      </w:sdt>
      <w:r>
        <w:rPr>
          <w:rFonts w:hint="eastAsia" w:ascii="仿宋" w:hAnsi="仿宋" w:eastAsia="仿宋" w:cs="仿宋"/>
          <w:b/>
          <w:bCs/>
          <w:color w:val="auto"/>
          <w:sz w:val="24"/>
        </w:rPr>
        <w:t>” 系指适用本项目的要求，“</w:t>
      </w:r>
      <w:sdt>
        <w:sdtPr>
          <w:rPr>
            <w:rFonts w:hint="eastAsia" w:ascii="仿宋" w:hAnsi="仿宋" w:eastAsia="仿宋" w:cs="仿宋"/>
            <w:b/>
            <w:bCs/>
            <w:color w:val="auto"/>
            <w:kern w:val="0"/>
            <w:sz w:val="24"/>
          </w:rPr>
          <w:id w:val="404888855"/>
        </w:sdtPr>
        <w:sdtEndPr>
          <w:rPr>
            <w:rFonts w:hint="eastAsia" w:ascii="仿宋" w:hAnsi="仿宋" w:eastAsia="仿宋" w:cs="仿宋"/>
            <w:b/>
            <w:bCs/>
            <w:color w:val="auto"/>
            <w:kern w:val="0"/>
            <w:sz w:val="24"/>
          </w:rPr>
        </w:sdtEndPr>
        <w:sdtContent>
          <w:r>
            <w:rPr>
              <w:rFonts w:hint="eastAsia" w:ascii="仿宋" w:hAnsi="仿宋" w:eastAsia="仿宋" w:cs="仿宋"/>
              <w:b/>
              <w:bCs/>
              <w:color w:val="auto"/>
              <w:kern w:val="0"/>
              <w:sz w:val="24"/>
            </w:rPr>
            <w:t>☐</w:t>
          </w:r>
        </w:sdtContent>
      </w:sdt>
      <w:r>
        <w:rPr>
          <w:rFonts w:hint="eastAsia" w:ascii="仿宋" w:hAnsi="仿宋" w:eastAsia="仿宋" w:cs="仿宋"/>
          <w:b/>
          <w:bCs/>
          <w:color w:val="auto"/>
          <w:sz w:val="24"/>
        </w:rPr>
        <w:t>” 系指不适用本项目的要求。</w:t>
      </w:r>
    </w:p>
    <w:p>
      <w:pPr>
        <w:numPr>
          <w:ilvl w:val="0"/>
          <w:numId w:val="4"/>
        </w:numPr>
        <w:tabs>
          <w:tab w:val="left" w:pos="210"/>
        </w:tabs>
        <w:snapToGrid w:val="0"/>
        <w:spacing w:line="360" w:lineRule="auto"/>
        <w:jc w:val="left"/>
        <w:outlineLvl w:val="2"/>
        <w:rPr>
          <w:rFonts w:ascii="仿宋" w:hAnsi="仿宋" w:eastAsia="仿宋" w:cs="仿宋"/>
          <w:b/>
          <w:color w:val="auto"/>
          <w:sz w:val="24"/>
        </w:rPr>
      </w:pPr>
      <w:r>
        <w:rPr>
          <w:rFonts w:hint="eastAsia" w:ascii="仿宋" w:hAnsi="仿宋" w:eastAsia="仿宋" w:cs="仿宋"/>
          <w:b/>
          <w:color w:val="auto"/>
          <w:sz w:val="24"/>
        </w:rPr>
        <w:t>采购项目需要落实的政府采购政策</w:t>
      </w:r>
    </w:p>
    <w:p>
      <w:pPr>
        <w:numPr>
          <w:ilvl w:val="1"/>
          <w:numId w:val="4"/>
        </w:numPr>
        <w:spacing w:line="360" w:lineRule="auto"/>
        <w:rPr>
          <w:rFonts w:ascii="仿宋" w:hAnsi="仿宋" w:eastAsia="仿宋" w:cs="仿宋"/>
          <w:color w:val="auto"/>
          <w:sz w:val="24"/>
        </w:rPr>
      </w:pPr>
      <w:r>
        <w:rPr>
          <w:rFonts w:hint="eastAsia" w:ascii="仿宋" w:hAnsi="仿宋" w:eastAsia="仿宋" w:cs="仿宋"/>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numPr>
          <w:ilvl w:val="1"/>
          <w:numId w:val="4"/>
        </w:numPr>
        <w:spacing w:line="360" w:lineRule="auto"/>
        <w:rPr>
          <w:rFonts w:ascii="仿宋" w:hAnsi="仿宋" w:eastAsia="仿宋" w:cs="仿宋"/>
          <w:color w:val="auto"/>
          <w:sz w:val="24"/>
        </w:rPr>
      </w:pPr>
      <w:r>
        <w:rPr>
          <w:rFonts w:hint="eastAsia" w:ascii="仿宋" w:hAnsi="仿宋" w:eastAsia="仿宋" w:cs="仿宋"/>
          <w:color w:val="auto"/>
          <w:sz w:val="24"/>
        </w:rPr>
        <w:t>支持绿色发展</w:t>
      </w:r>
    </w:p>
    <w:p>
      <w:pPr>
        <w:numPr>
          <w:ilvl w:val="2"/>
          <w:numId w:val="4"/>
        </w:numPr>
        <w:spacing w:line="360" w:lineRule="auto"/>
        <w:rPr>
          <w:rFonts w:ascii="仿宋" w:hAnsi="仿宋" w:eastAsia="仿宋" w:cs="仿宋"/>
          <w:color w:val="auto"/>
          <w:sz w:val="24"/>
        </w:rPr>
      </w:pPr>
      <w:r>
        <w:rPr>
          <w:rFonts w:hint="eastAsia" w:ascii="仿宋" w:hAnsi="仿宋" w:eastAsia="仿宋" w:cs="仿宋"/>
          <w:color w:val="auto"/>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ascii="仿宋" w:hAnsi="仿宋" w:eastAsia="仿宋" w:cs="仿宋"/>
          <w:b/>
          <w:color w:val="auto"/>
          <w:sz w:val="24"/>
        </w:rPr>
      </w:pPr>
      <w:r>
        <w:rPr>
          <w:rFonts w:hint="eastAsia" w:ascii="仿宋" w:hAnsi="仿宋" w:eastAsia="仿宋" w:cs="仿宋"/>
          <w:color w:val="auto"/>
          <w:sz w:val="24"/>
        </w:rPr>
        <w:t>▲</w:t>
      </w:r>
      <w:r>
        <w:rPr>
          <w:rFonts w:hint="eastAsia" w:ascii="仿宋" w:hAnsi="仿宋" w:eastAsia="仿宋" w:cs="仿宋"/>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numPr>
          <w:ilvl w:val="2"/>
          <w:numId w:val="4"/>
        </w:numPr>
        <w:spacing w:line="360" w:lineRule="auto"/>
        <w:rPr>
          <w:rFonts w:ascii="仿宋" w:hAnsi="仿宋" w:eastAsia="仿宋" w:cs="仿宋"/>
          <w:color w:val="auto"/>
          <w:sz w:val="24"/>
        </w:rPr>
      </w:pPr>
      <w:r>
        <w:rPr>
          <w:rFonts w:hint="eastAsia" w:ascii="仿宋" w:hAnsi="仿宋" w:eastAsia="仿宋" w:cs="仿宋"/>
          <w:color w:val="auto"/>
          <w:sz w:val="24"/>
        </w:rPr>
        <w:t>纳入政府采购管理的修缮、装修类项目采购建材的，鼓励采购单位将绿色建材性能、指标等作为实质性条件纳入采购文件和合同，具体性能指标要求参考相关绿色建材政府采购需求标准。</w:t>
      </w:r>
    </w:p>
    <w:p>
      <w:pPr>
        <w:numPr>
          <w:ilvl w:val="2"/>
          <w:numId w:val="4"/>
        </w:numPr>
        <w:spacing w:line="360" w:lineRule="auto"/>
        <w:rPr>
          <w:rFonts w:ascii="仿宋" w:hAnsi="仿宋" w:eastAsia="仿宋" w:cs="仿宋"/>
          <w:color w:val="auto"/>
          <w:sz w:val="24"/>
        </w:rPr>
      </w:pPr>
      <w:r>
        <w:rPr>
          <w:rFonts w:hint="eastAsia" w:ascii="仿宋" w:hAnsi="仿宋" w:eastAsia="仿宋" w:cs="仿宋"/>
          <w:color w:val="auto"/>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numPr>
          <w:ilvl w:val="1"/>
          <w:numId w:val="4"/>
        </w:numPr>
        <w:spacing w:line="360" w:lineRule="auto"/>
        <w:rPr>
          <w:rFonts w:ascii="仿宋" w:hAnsi="仿宋" w:eastAsia="仿宋" w:cs="仿宋"/>
          <w:color w:val="auto"/>
          <w:sz w:val="24"/>
        </w:rPr>
      </w:pPr>
      <w:r>
        <w:rPr>
          <w:rFonts w:hint="eastAsia" w:ascii="仿宋" w:hAnsi="仿宋" w:eastAsia="仿宋" w:cs="仿宋"/>
          <w:color w:val="auto"/>
          <w:sz w:val="24"/>
        </w:rPr>
        <w:t>支持中小企业发展</w:t>
      </w:r>
    </w:p>
    <w:p>
      <w:pPr>
        <w:numPr>
          <w:ilvl w:val="2"/>
          <w:numId w:val="4"/>
        </w:numPr>
        <w:spacing w:line="360" w:lineRule="auto"/>
        <w:rPr>
          <w:rFonts w:ascii="仿宋" w:hAnsi="仿宋" w:eastAsia="仿宋" w:cs="仿宋"/>
          <w:color w:val="auto"/>
          <w:sz w:val="24"/>
        </w:rPr>
      </w:pPr>
      <w:r>
        <w:rPr>
          <w:rFonts w:hint="eastAsia" w:ascii="仿宋" w:hAnsi="仿宋" w:eastAsia="仿宋" w:cs="仿宋"/>
          <w:color w:val="auto"/>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840" w:firstLineChars="350"/>
        <w:rPr>
          <w:rFonts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pPr>
        <w:numPr>
          <w:ilvl w:val="2"/>
          <w:numId w:val="4"/>
        </w:numPr>
        <w:spacing w:line="360" w:lineRule="auto"/>
        <w:rPr>
          <w:rFonts w:ascii="仿宋" w:hAnsi="仿宋" w:eastAsia="仿宋" w:cs="仿宋"/>
          <w:color w:val="auto"/>
          <w:sz w:val="24"/>
        </w:rPr>
      </w:pPr>
      <w:r>
        <w:rPr>
          <w:rFonts w:hint="eastAsia" w:ascii="仿宋" w:hAnsi="仿宋" w:eastAsia="仿宋" w:cs="仿宋"/>
          <w:color w:val="auto"/>
          <w:sz w:val="24"/>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pPr>
        <w:numPr>
          <w:ilvl w:val="2"/>
          <w:numId w:val="4"/>
        </w:numPr>
        <w:spacing w:line="360" w:lineRule="auto"/>
        <w:rPr>
          <w:rFonts w:ascii="仿宋" w:hAnsi="仿宋" w:eastAsia="仿宋" w:cs="仿宋"/>
          <w:color w:val="auto"/>
          <w:sz w:val="24"/>
        </w:rPr>
      </w:pPr>
      <w:r>
        <w:rPr>
          <w:rFonts w:hint="eastAsia" w:ascii="仿宋" w:hAnsi="仿宋" w:eastAsia="仿宋" w:cs="仿宋"/>
          <w:color w:val="auto"/>
          <w:sz w:val="24"/>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b/>
          <w:bCs/>
          <w:color w:val="auto"/>
          <w:sz w:val="24"/>
        </w:rPr>
        <w:t>10%</w:t>
      </w:r>
      <w:r>
        <w:rPr>
          <w:rFonts w:hint="eastAsia" w:ascii="仿宋" w:hAnsi="仿宋" w:eastAsia="仿宋" w:cs="仿宋"/>
          <w:color w:val="auto"/>
          <w:sz w:val="24"/>
        </w:rPr>
        <w:t>的扣除，用扣除后的价格参与评审。接受大中型企业与小微企业组成联合体或者允许大中型企业向一家或者多家小微企业分包的政府服务项目，对于联合协议或者分包意向协议约定小微企业的合同份额占到合同总金额30%以上的，对联合体或者大中型企业的报价给予</w:t>
      </w:r>
      <w:r>
        <w:rPr>
          <w:rFonts w:hint="eastAsia" w:ascii="仿宋" w:hAnsi="仿宋" w:eastAsia="仿宋" w:cs="仿宋"/>
          <w:b/>
          <w:bCs/>
          <w:color w:val="auto"/>
          <w:sz w:val="24"/>
        </w:rPr>
        <w:t>4%</w:t>
      </w:r>
      <w:r>
        <w:rPr>
          <w:rFonts w:hint="eastAsia" w:ascii="仿宋" w:hAnsi="仿宋" w:eastAsia="仿宋" w:cs="仿宋"/>
          <w:color w:val="auto"/>
          <w:sz w:val="24"/>
        </w:rPr>
        <w:t>的扣除，用扣除后的价格参加评审。组成联合体或者接受分包的小微企业与联合体内其他企业、分包企业之间存在直接控股、管理关系的，不享受价格扣除优惠政策。</w:t>
      </w:r>
    </w:p>
    <w:p>
      <w:pPr>
        <w:numPr>
          <w:ilvl w:val="2"/>
          <w:numId w:val="4"/>
        </w:numPr>
        <w:spacing w:line="360" w:lineRule="auto"/>
        <w:rPr>
          <w:rFonts w:ascii="仿宋" w:hAnsi="仿宋" w:eastAsia="仿宋" w:cs="仿宋"/>
          <w:color w:val="auto"/>
          <w:sz w:val="24"/>
        </w:rPr>
      </w:pPr>
      <w:r>
        <w:rPr>
          <w:rFonts w:hint="eastAsia" w:ascii="仿宋" w:hAnsi="仿宋" w:eastAsia="仿宋" w:cs="仿宋"/>
          <w:color w:val="auto"/>
          <w:sz w:val="24"/>
        </w:rPr>
        <w:t>符合《关于促进残疾人就业政府采购政策的通知》（财库〔2017〕141号）规定的条件并提供《残疾人福利性单位声明函》（附件1）的残疾人福利性单位视同小型、微型企业；</w:t>
      </w:r>
    </w:p>
    <w:p>
      <w:pPr>
        <w:numPr>
          <w:ilvl w:val="2"/>
          <w:numId w:val="4"/>
        </w:numPr>
        <w:spacing w:line="360" w:lineRule="auto"/>
        <w:rPr>
          <w:rFonts w:ascii="仿宋" w:hAnsi="仿宋" w:eastAsia="仿宋" w:cs="仿宋"/>
          <w:color w:val="auto"/>
          <w:sz w:val="24"/>
        </w:rPr>
      </w:pPr>
      <w:r>
        <w:rPr>
          <w:rFonts w:hint="eastAsia" w:ascii="仿宋" w:hAnsi="仿宋" w:eastAsia="仿宋" w:cs="仿宋"/>
          <w:color w:val="auto"/>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numPr>
          <w:ilvl w:val="2"/>
          <w:numId w:val="4"/>
        </w:numPr>
        <w:spacing w:line="360" w:lineRule="auto"/>
        <w:rPr>
          <w:rFonts w:ascii="仿宋" w:hAnsi="仿宋" w:eastAsia="仿宋" w:cs="仿宋"/>
          <w:color w:val="auto"/>
          <w:sz w:val="24"/>
        </w:rPr>
      </w:pPr>
      <w:r>
        <w:rPr>
          <w:rFonts w:hint="eastAsia" w:ascii="仿宋" w:hAnsi="仿宋" w:eastAsia="仿宋" w:cs="仿宋"/>
          <w:color w:val="auto"/>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numPr>
          <w:ilvl w:val="2"/>
          <w:numId w:val="4"/>
        </w:numPr>
        <w:spacing w:line="360" w:lineRule="auto"/>
        <w:rPr>
          <w:rFonts w:ascii="仿宋" w:hAnsi="仿宋" w:eastAsia="仿宋" w:cs="仿宋"/>
          <w:color w:val="auto"/>
          <w:sz w:val="24"/>
        </w:rPr>
      </w:pPr>
      <w:r>
        <w:rPr>
          <w:rFonts w:hint="eastAsia" w:ascii="仿宋" w:hAnsi="仿宋" w:eastAsia="仿宋" w:cs="仿宋"/>
          <w:color w:val="auto"/>
          <w:sz w:val="24"/>
        </w:rPr>
        <w:t>中小企业享受扶持政策获得政府采购合同的，小微企业不得将合同分包给大中型企业，中型企业不得将合同分包给大型企业。</w:t>
      </w:r>
    </w:p>
    <w:p>
      <w:pPr>
        <w:numPr>
          <w:ilvl w:val="1"/>
          <w:numId w:val="4"/>
        </w:numPr>
        <w:spacing w:line="360" w:lineRule="auto"/>
        <w:rPr>
          <w:rFonts w:ascii="仿宋" w:hAnsi="仿宋" w:eastAsia="仿宋" w:cs="仿宋"/>
          <w:color w:val="auto"/>
          <w:sz w:val="24"/>
        </w:rPr>
      </w:pPr>
      <w:r>
        <w:rPr>
          <w:rFonts w:hint="eastAsia" w:ascii="仿宋" w:hAnsi="仿宋" w:eastAsia="仿宋" w:cs="仿宋"/>
          <w:color w:val="auto"/>
          <w:sz w:val="24"/>
        </w:rPr>
        <w:t>支持创新发展</w:t>
      </w:r>
    </w:p>
    <w:p>
      <w:pPr>
        <w:numPr>
          <w:ilvl w:val="2"/>
          <w:numId w:val="4"/>
        </w:numPr>
        <w:spacing w:line="360" w:lineRule="auto"/>
        <w:rPr>
          <w:rFonts w:ascii="仿宋" w:hAnsi="仿宋" w:eastAsia="仿宋" w:cs="仿宋"/>
          <w:color w:val="auto"/>
          <w:sz w:val="24"/>
        </w:rPr>
      </w:pPr>
      <w:r>
        <w:rPr>
          <w:rFonts w:hint="eastAsia" w:ascii="仿宋" w:hAnsi="仿宋" w:eastAsia="仿宋" w:cs="仿宋"/>
          <w:color w:val="auto"/>
          <w:sz w:val="24"/>
        </w:rPr>
        <w:t>采购人优先采购被认定为首台套产品和“制造精品”的自主创新产品。</w:t>
      </w:r>
    </w:p>
    <w:p>
      <w:pPr>
        <w:numPr>
          <w:ilvl w:val="2"/>
          <w:numId w:val="4"/>
        </w:numPr>
        <w:spacing w:line="360" w:lineRule="auto"/>
        <w:rPr>
          <w:rFonts w:ascii="仿宋" w:hAnsi="仿宋" w:eastAsia="仿宋" w:cs="仿宋"/>
          <w:color w:val="auto"/>
          <w:sz w:val="24"/>
        </w:rPr>
      </w:pPr>
      <w:r>
        <w:rPr>
          <w:rFonts w:hint="eastAsia" w:ascii="仿宋" w:hAnsi="仿宋" w:eastAsia="仿宋" w:cs="仿宋"/>
          <w:color w:val="auto"/>
          <w:sz w:val="24"/>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numPr>
          <w:ilvl w:val="1"/>
          <w:numId w:val="4"/>
        </w:numPr>
        <w:spacing w:line="360" w:lineRule="auto"/>
        <w:rPr>
          <w:rFonts w:ascii="仿宋" w:hAnsi="仿宋" w:eastAsia="仿宋" w:cs="仿宋"/>
          <w:color w:val="auto"/>
          <w:sz w:val="24"/>
        </w:rPr>
      </w:pPr>
      <w:r>
        <w:rPr>
          <w:rFonts w:hint="eastAsia" w:ascii="仿宋" w:hAnsi="仿宋" w:eastAsia="仿宋" w:cs="仿宋"/>
          <w:color w:val="auto"/>
          <w:sz w:val="24"/>
        </w:rPr>
        <w:t>平等对待内外资企业和符合条件的破产重整企业</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平等对待内外资企业和符合条件的破产重整企业，切实保障企业公平竞争，平等维护企业的合法利益。</w:t>
      </w:r>
    </w:p>
    <w:p>
      <w:pPr>
        <w:numPr>
          <w:ilvl w:val="0"/>
          <w:numId w:val="4"/>
        </w:numPr>
        <w:tabs>
          <w:tab w:val="left" w:pos="210"/>
        </w:tabs>
        <w:snapToGrid w:val="0"/>
        <w:spacing w:line="360" w:lineRule="auto"/>
        <w:jc w:val="left"/>
        <w:outlineLvl w:val="2"/>
        <w:rPr>
          <w:rFonts w:ascii="仿宋" w:hAnsi="仿宋" w:eastAsia="仿宋" w:cs="仿宋"/>
          <w:b/>
          <w:color w:val="auto"/>
          <w:sz w:val="24"/>
        </w:rPr>
      </w:pPr>
      <w:r>
        <w:rPr>
          <w:rFonts w:hint="eastAsia" w:ascii="仿宋" w:hAnsi="仿宋" w:eastAsia="仿宋" w:cs="仿宋"/>
          <w:b/>
          <w:color w:val="auto"/>
          <w:sz w:val="24"/>
        </w:rPr>
        <w:t>询问、质疑、投诉</w:t>
      </w:r>
    </w:p>
    <w:p>
      <w:pPr>
        <w:numPr>
          <w:ilvl w:val="1"/>
          <w:numId w:val="4"/>
        </w:numPr>
        <w:tabs>
          <w:tab w:val="left" w:pos="210"/>
        </w:tabs>
        <w:snapToGrid w:val="0"/>
        <w:spacing w:line="360" w:lineRule="auto"/>
        <w:jc w:val="left"/>
        <w:outlineLvl w:val="2"/>
        <w:rPr>
          <w:rFonts w:ascii="仿宋" w:hAnsi="仿宋" w:eastAsia="仿宋" w:cs="仿宋"/>
          <w:bCs/>
          <w:color w:val="auto"/>
          <w:sz w:val="24"/>
          <w:lang w:val="zh-CN"/>
        </w:rPr>
      </w:pPr>
      <w:r>
        <w:rPr>
          <w:rFonts w:hint="eastAsia" w:ascii="仿宋" w:hAnsi="仿宋" w:eastAsia="仿宋" w:cs="仿宋"/>
          <w:bCs/>
          <w:color w:val="auto"/>
          <w:sz w:val="24"/>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1"/>
          <w:numId w:val="4"/>
        </w:numPr>
        <w:tabs>
          <w:tab w:val="left" w:pos="210"/>
        </w:tabs>
        <w:snapToGrid w:val="0"/>
        <w:spacing w:line="360" w:lineRule="auto"/>
        <w:jc w:val="left"/>
        <w:outlineLvl w:val="2"/>
        <w:rPr>
          <w:rFonts w:ascii="仿宋" w:hAnsi="仿宋" w:eastAsia="仿宋" w:cs="仿宋"/>
          <w:bCs/>
          <w:color w:val="auto"/>
          <w:sz w:val="24"/>
          <w:lang w:val="zh-CN"/>
        </w:rPr>
      </w:pPr>
      <w:r>
        <w:rPr>
          <w:rFonts w:hint="eastAsia" w:ascii="仿宋" w:hAnsi="仿宋" w:eastAsia="仿宋" w:cs="仿宋"/>
          <w:bCs/>
          <w:color w:val="auto"/>
          <w:sz w:val="24"/>
          <w:lang w:val="zh-CN"/>
        </w:rPr>
        <w:t>供应商询问</w:t>
      </w:r>
    </w:p>
    <w:p>
      <w:pPr>
        <w:autoSpaceDE w:val="0"/>
        <w:autoSpaceDN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numPr>
          <w:ilvl w:val="1"/>
          <w:numId w:val="4"/>
        </w:numPr>
        <w:tabs>
          <w:tab w:val="left" w:pos="210"/>
        </w:tabs>
        <w:snapToGrid w:val="0"/>
        <w:spacing w:line="360" w:lineRule="auto"/>
        <w:jc w:val="left"/>
        <w:outlineLvl w:val="2"/>
        <w:rPr>
          <w:rFonts w:ascii="仿宋" w:hAnsi="仿宋" w:eastAsia="仿宋" w:cs="仿宋"/>
          <w:bCs/>
          <w:color w:val="auto"/>
          <w:sz w:val="24"/>
          <w:lang w:val="zh-CN"/>
        </w:rPr>
      </w:pPr>
      <w:r>
        <w:rPr>
          <w:rFonts w:hint="eastAsia" w:ascii="仿宋" w:hAnsi="仿宋" w:eastAsia="仿宋" w:cs="仿宋"/>
          <w:bCs/>
          <w:color w:val="auto"/>
          <w:sz w:val="24"/>
          <w:lang w:val="zh-CN"/>
        </w:rPr>
        <w:t>供应商质疑</w:t>
      </w:r>
    </w:p>
    <w:p>
      <w:pPr>
        <w:numPr>
          <w:ilvl w:val="2"/>
          <w:numId w:val="4"/>
        </w:numPr>
        <w:tabs>
          <w:tab w:val="left" w:pos="210"/>
        </w:tabs>
        <w:snapToGrid w:val="0"/>
        <w:spacing w:line="360" w:lineRule="auto"/>
        <w:jc w:val="left"/>
        <w:outlineLvl w:val="2"/>
        <w:rPr>
          <w:rFonts w:ascii="仿宋" w:hAnsi="仿宋" w:eastAsia="仿宋" w:cs="仿宋"/>
          <w:bCs/>
          <w:color w:val="auto"/>
          <w:sz w:val="24"/>
          <w:lang w:val="zh-CN"/>
        </w:rPr>
      </w:pPr>
      <w:r>
        <w:rPr>
          <w:rFonts w:hint="eastAsia" w:ascii="仿宋" w:hAnsi="仿宋" w:eastAsia="仿宋" w:cs="仿宋"/>
          <w:bCs/>
          <w:color w:val="auto"/>
          <w:sz w:val="24"/>
          <w:lang w:val="zh-CN"/>
        </w:rPr>
        <w:t>提出质疑的供应商应当是参与所质疑项目采购活动的供应商。潜在供应商已依法获取其可质疑的招标文件的，可以对该文件提出质疑。</w:t>
      </w:r>
    </w:p>
    <w:p>
      <w:pPr>
        <w:numPr>
          <w:ilvl w:val="2"/>
          <w:numId w:val="4"/>
        </w:numPr>
        <w:tabs>
          <w:tab w:val="left" w:pos="210"/>
        </w:tabs>
        <w:snapToGrid w:val="0"/>
        <w:spacing w:line="360" w:lineRule="auto"/>
        <w:jc w:val="left"/>
        <w:outlineLvl w:val="2"/>
        <w:rPr>
          <w:rFonts w:ascii="仿宋" w:hAnsi="仿宋" w:eastAsia="仿宋" w:cs="仿宋"/>
          <w:bCs/>
          <w:color w:val="auto"/>
          <w:sz w:val="24"/>
          <w:lang w:val="zh-CN"/>
        </w:rPr>
      </w:pPr>
      <w:r>
        <w:rPr>
          <w:rFonts w:hint="eastAsia" w:ascii="仿宋" w:hAnsi="仿宋" w:eastAsia="仿宋" w:cs="仿宋"/>
          <w:bCs/>
          <w:color w:val="auto"/>
          <w:sz w:val="24"/>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numPr>
          <w:ilvl w:val="3"/>
          <w:numId w:val="4"/>
        </w:numPr>
        <w:tabs>
          <w:tab w:val="left" w:pos="210"/>
          <w:tab w:val="left" w:pos="1050"/>
        </w:tabs>
        <w:snapToGrid w:val="0"/>
        <w:spacing w:line="360" w:lineRule="auto"/>
        <w:ind w:left="1050" w:hanging="1050"/>
        <w:jc w:val="left"/>
        <w:outlineLvl w:val="2"/>
        <w:rPr>
          <w:rFonts w:ascii="仿宋" w:hAnsi="仿宋" w:eastAsia="仿宋" w:cs="仿宋"/>
          <w:bCs/>
          <w:color w:val="auto"/>
          <w:sz w:val="24"/>
          <w:lang w:val="zh-CN"/>
        </w:rPr>
      </w:pPr>
      <w:r>
        <w:rPr>
          <w:rFonts w:hint="eastAsia" w:ascii="仿宋" w:hAnsi="仿宋" w:eastAsia="仿宋" w:cs="仿宋"/>
          <w:bCs/>
          <w:color w:val="auto"/>
          <w:sz w:val="24"/>
          <w:lang w:val="zh-CN"/>
        </w:rPr>
        <w:t>对招标文件提出质疑的，质疑期限为供应商获得招标文件之日或者招标文件公告期限届满之日起计算。</w:t>
      </w:r>
    </w:p>
    <w:p>
      <w:pPr>
        <w:numPr>
          <w:ilvl w:val="3"/>
          <w:numId w:val="4"/>
        </w:numPr>
        <w:tabs>
          <w:tab w:val="left" w:pos="210"/>
          <w:tab w:val="left" w:pos="1050"/>
        </w:tabs>
        <w:snapToGrid w:val="0"/>
        <w:spacing w:line="360" w:lineRule="auto"/>
        <w:ind w:left="1050" w:hanging="1050"/>
        <w:jc w:val="left"/>
        <w:outlineLvl w:val="2"/>
        <w:rPr>
          <w:rFonts w:ascii="仿宋" w:hAnsi="仿宋" w:eastAsia="仿宋" w:cs="仿宋"/>
          <w:bCs/>
          <w:color w:val="auto"/>
          <w:sz w:val="24"/>
          <w:lang w:val="zh-CN"/>
        </w:rPr>
      </w:pPr>
      <w:r>
        <w:rPr>
          <w:rFonts w:hint="eastAsia" w:ascii="仿宋" w:hAnsi="仿宋" w:eastAsia="仿宋" w:cs="仿宋"/>
          <w:bCs/>
          <w:color w:val="auto"/>
          <w:sz w:val="24"/>
          <w:lang w:val="zh-CN"/>
        </w:rPr>
        <w:t>对采购过程提出质疑的，质疑期限为各采购程序环节结束之日起计算。</w:t>
      </w:r>
    </w:p>
    <w:p>
      <w:pPr>
        <w:numPr>
          <w:ilvl w:val="3"/>
          <w:numId w:val="4"/>
        </w:numPr>
        <w:tabs>
          <w:tab w:val="left" w:pos="210"/>
          <w:tab w:val="left" w:pos="1050"/>
        </w:tabs>
        <w:snapToGrid w:val="0"/>
        <w:spacing w:line="360" w:lineRule="auto"/>
        <w:ind w:left="1050" w:hanging="1050"/>
        <w:jc w:val="left"/>
        <w:outlineLvl w:val="2"/>
        <w:rPr>
          <w:rFonts w:ascii="仿宋" w:hAnsi="仿宋" w:eastAsia="仿宋" w:cs="仿宋"/>
          <w:bCs/>
          <w:color w:val="auto"/>
          <w:sz w:val="24"/>
          <w:lang w:val="zh-CN"/>
        </w:rPr>
      </w:pPr>
      <w:r>
        <w:rPr>
          <w:rFonts w:hint="eastAsia" w:ascii="仿宋" w:hAnsi="仿宋" w:eastAsia="仿宋" w:cs="仿宋"/>
          <w:bCs/>
          <w:color w:val="auto"/>
          <w:sz w:val="24"/>
          <w:lang w:val="zh-CN"/>
        </w:rPr>
        <w:t>对采购结果提出质疑的，质疑期限自采购结果公告期限届满之日起计算。</w:t>
      </w:r>
    </w:p>
    <w:p>
      <w:pPr>
        <w:numPr>
          <w:ilvl w:val="2"/>
          <w:numId w:val="4"/>
        </w:numPr>
        <w:tabs>
          <w:tab w:val="left" w:pos="210"/>
        </w:tabs>
        <w:snapToGrid w:val="0"/>
        <w:spacing w:line="360" w:lineRule="auto"/>
        <w:jc w:val="left"/>
        <w:outlineLvl w:val="2"/>
        <w:rPr>
          <w:rFonts w:ascii="仿宋" w:hAnsi="仿宋" w:eastAsia="仿宋" w:cs="仿宋"/>
          <w:bCs/>
          <w:color w:val="auto"/>
          <w:sz w:val="24"/>
          <w:lang w:val="zh-CN"/>
        </w:rPr>
      </w:pPr>
      <w:r>
        <w:rPr>
          <w:rFonts w:hint="eastAsia" w:ascii="仿宋" w:hAnsi="仿宋" w:eastAsia="仿宋" w:cs="仿宋"/>
          <w:bCs/>
          <w:color w:val="auto"/>
          <w:sz w:val="24"/>
          <w:lang w:val="zh-CN"/>
        </w:rPr>
        <w:t>供应商提出质疑应当提交质疑函和必要的证明材料。质疑函应当包括下列内容：</w:t>
      </w:r>
    </w:p>
    <w:p>
      <w:pPr>
        <w:numPr>
          <w:ilvl w:val="3"/>
          <w:numId w:val="4"/>
        </w:numPr>
        <w:tabs>
          <w:tab w:val="left" w:pos="210"/>
          <w:tab w:val="left" w:pos="1050"/>
        </w:tabs>
        <w:snapToGrid w:val="0"/>
        <w:spacing w:line="360" w:lineRule="auto"/>
        <w:ind w:hanging="210"/>
        <w:jc w:val="left"/>
        <w:outlineLvl w:val="2"/>
        <w:rPr>
          <w:rFonts w:ascii="仿宋" w:hAnsi="仿宋" w:eastAsia="仿宋" w:cs="仿宋"/>
          <w:bCs/>
          <w:color w:val="auto"/>
          <w:sz w:val="24"/>
          <w:lang w:val="zh-CN"/>
        </w:rPr>
      </w:pPr>
      <w:r>
        <w:rPr>
          <w:rFonts w:hint="eastAsia" w:ascii="仿宋" w:hAnsi="仿宋" w:eastAsia="仿宋" w:cs="仿宋"/>
          <w:bCs/>
          <w:color w:val="auto"/>
          <w:sz w:val="24"/>
          <w:lang w:val="zh-CN"/>
        </w:rPr>
        <w:t>供应商的姓名或者名称、地址、邮编、联系人及联系电话；</w:t>
      </w:r>
    </w:p>
    <w:p>
      <w:pPr>
        <w:numPr>
          <w:ilvl w:val="3"/>
          <w:numId w:val="4"/>
        </w:numPr>
        <w:tabs>
          <w:tab w:val="left" w:pos="210"/>
          <w:tab w:val="left" w:pos="1050"/>
        </w:tabs>
        <w:snapToGrid w:val="0"/>
        <w:spacing w:line="360" w:lineRule="auto"/>
        <w:ind w:hanging="210"/>
        <w:jc w:val="left"/>
        <w:outlineLvl w:val="2"/>
        <w:rPr>
          <w:rFonts w:ascii="仿宋" w:hAnsi="仿宋" w:eastAsia="仿宋" w:cs="仿宋"/>
          <w:bCs/>
          <w:color w:val="auto"/>
          <w:sz w:val="24"/>
          <w:lang w:val="zh-CN"/>
        </w:rPr>
      </w:pPr>
      <w:r>
        <w:rPr>
          <w:rFonts w:hint="eastAsia" w:ascii="仿宋" w:hAnsi="仿宋" w:eastAsia="仿宋" w:cs="仿宋"/>
          <w:bCs/>
          <w:color w:val="auto"/>
          <w:sz w:val="24"/>
          <w:lang w:val="zh-CN"/>
        </w:rPr>
        <w:t>质疑项目的名称、编号；</w:t>
      </w:r>
    </w:p>
    <w:p>
      <w:pPr>
        <w:numPr>
          <w:ilvl w:val="3"/>
          <w:numId w:val="4"/>
        </w:numPr>
        <w:tabs>
          <w:tab w:val="left" w:pos="210"/>
          <w:tab w:val="left" w:pos="1050"/>
        </w:tabs>
        <w:snapToGrid w:val="0"/>
        <w:spacing w:line="360" w:lineRule="auto"/>
        <w:ind w:hanging="210"/>
        <w:jc w:val="left"/>
        <w:outlineLvl w:val="2"/>
        <w:rPr>
          <w:rFonts w:ascii="仿宋" w:hAnsi="仿宋" w:eastAsia="仿宋" w:cs="仿宋"/>
          <w:bCs/>
          <w:color w:val="auto"/>
          <w:sz w:val="24"/>
          <w:lang w:val="zh-CN"/>
        </w:rPr>
      </w:pPr>
      <w:r>
        <w:rPr>
          <w:rFonts w:hint="eastAsia" w:ascii="仿宋" w:hAnsi="仿宋" w:eastAsia="仿宋" w:cs="仿宋"/>
          <w:bCs/>
          <w:color w:val="auto"/>
          <w:sz w:val="24"/>
          <w:lang w:val="zh-CN"/>
        </w:rPr>
        <w:t>具体、明确的质疑事项和与质疑事项相关的请求；</w:t>
      </w:r>
    </w:p>
    <w:p>
      <w:pPr>
        <w:numPr>
          <w:ilvl w:val="3"/>
          <w:numId w:val="4"/>
        </w:numPr>
        <w:tabs>
          <w:tab w:val="left" w:pos="210"/>
          <w:tab w:val="left" w:pos="1050"/>
        </w:tabs>
        <w:snapToGrid w:val="0"/>
        <w:spacing w:line="360" w:lineRule="auto"/>
        <w:ind w:hanging="210"/>
        <w:jc w:val="left"/>
        <w:outlineLvl w:val="2"/>
        <w:rPr>
          <w:rFonts w:ascii="仿宋" w:hAnsi="仿宋" w:eastAsia="仿宋" w:cs="仿宋"/>
          <w:bCs/>
          <w:color w:val="auto"/>
          <w:sz w:val="24"/>
          <w:lang w:val="zh-CN"/>
        </w:rPr>
      </w:pPr>
      <w:r>
        <w:rPr>
          <w:rFonts w:hint="eastAsia" w:ascii="仿宋" w:hAnsi="仿宋" w:eastAsia="仿宋" w:cs="仿宋"/>
          <w:bCs/>
          <w:color w:val="auto"/>
          <w:sz w:val="24"/>
          <w:lang w:val="zh-CN"/>
        </w:rPr>
        <w:t>事实依据；</w:t>
      </w:r>
    </w:p>
    <w:p>
      <w:pPr>
        <w:numPr>
          <w:ilvl w:val="3"/>
          <w:numId w:val="4"/>
        </w:numPr>
        <w:tabs>
          <w:tab w:val="left" w:pos="210"/>
          <w:tab w:val="left" w:pos="1050"/>
        </w:tabs>
        <w:snapToGrid w:val="0"/>
        <w:spacing w:line="360" w:lineRule="auto"/>
        <w:ind w:hanging="210"/>
        <w:jc w:val="left"/>
        <w:outlineLvl w:val="2"/>
        <w:rPr>
          <w:rFonts w:ascii="仿宋" w:hAnsi="仿宋" w:eastAsia="仿宋" w:cs="仿宋"/>
          <w:bCs/>
          <w:color w:val="auto"/>
          <w:sz w:val="24"/>
          <w:lang w:val="zh-CN"/>
        </w:rPr>
      </w:pPr>
      <w:r>
        <w:rPr>
          <w:rFonts w:hint="eastAsia" w:ascii="仿宋" w:hAnsi="仿宋" w:eastAsia="仿宋" w:cs="仿宋"/>
          <w:bCs/>
          <w:color w:val="auto"/>
          <w:sz w:val="24"/>
          <w:lang w:val="zh-CN"/>
        </w:rPr>
        <w:t>必要的法律依据；</w:t>
      </w:r>
    </w:p>
    <w:p>
      <w:pPr>
        <w:numPr>
          <w:ilvl w:val="3"/>
          <w:numId w:val="4"/>
        </w:numPr>
        <w:tabs>
          <w:tab w:val="left" w:pos="210"/>
          <w:tab w:val="left" w:pos="1050"/>
        </w:tabs>
        <w:snapToGrid w:val="0"/>
        <w:spacing w:line="360" w:lineRule="auto"/>
        <w:ind w:hanging="210"/>
        <w:jc w:val="left"/>
        <w:outlineLvl w:val="2"/>
        <w:rPr>
          <w:rFonts w:ascii="仿宋" w:hAnsi="仿宋" w:eastAsia="仿宋" w:cs="仿宋"/>
          <w:bCs/>
          <w:color w:val="auto"/>
          <w:sz w:val="24"/>
          <w:lang w:val="zh-CN"/>
        </w:rPr>
      </w:pPr>
      <w:r>
        <w:rPr>
          <w:rFonts w:hint="eastAsia" w:ascii="仿宋" w:hAnsi="仿宋" w:eastAsia="仿宋" w:cs="仿宋"/>
          <w:bCs/>
          <w:color w:val="auto"/>
          <w:sz w:val="24"/>
          <w:lang w:val="zh-CN"/>
        </w:rPr>
        <w:t>提出质疑的日期。</w:t>
      </w:r>
    </w:p>
    <w:p>
      <w:pPr>
        <w:tabs>
          <w:tab w:val="left" w:pos="210"/>
        </w:tabs>
        <w:snapToGrid w:val="0"/>
        <w:spacing w:line="360" w:lineRule="auto"/>
        <w:ind w:firstLine="480" w:firstLineChars="200"/>
        <w:jc w:val="left"/>
        <w:outlineLvl w:val="2"/>
        <w:rPr>
          <w:rFonts w:ascii="仿宋" w:hAnsi="仿宋" w:eastAsia="仿宋" w:cs="仿宋"/>
          <w:bCs/>
          <w:color w:val="auto"/>
          <w:sz w:val="24"/>
          <w:lang w:val="zh-CN"/>
        </w:rPr>
      </w:pPr>
      <w:r>
        <w:rPr>
          <w:rFonts w:hint="eastAsia" w:ascii="仿宋" w:hAnsi="仿宋" w:eastAsia="仿宋" w:cs="仿宋"/>
          <w:bCs/>
          <w:color w:val="auto"/>
          <w:sz w:val="24"/>
          <w:lang w:val="zh-CN"/>
        </w:rPr>
        <w:t>供应商提交的质疑函需一式三份。供应商为自然人的，应当由本人签字；供应商为法人或者其他组织的，应当由法定代表人、主要负责人，或者其授权代表签字或者盖章，并加盖公章。</w:t>
      </w:r>
    </w:p>
    <w:p>
      <w:pPr>
        <w:tabs>
          <w:tab w:val="left" w:pos="210"/>
        </w:tabs>
        <w:snapToGrid w:val="0"/>
        <w:spacing w:line="360" w:lineRule="auto"/>
        <w:ind w:firstLine="480" w:firstLineChars="200"/>
        <w:jc w:val="left"/>
        <w:outlineLvl w:val="2"/>
        <w:rPr>
          <w:rFonts w:ascii="仿宋" w:hAnsi="仿宋" w:eastAsia="仿宋" w:cs="仿宋"/>
          <w:bCs/>
          <w:color w:val="auto"/>
          <w:sz w:val="24"/>
          <w:lang w:val="zh-CN"/>
        </w:rPr>
      </w:pPr>
      <w:r>
        <w:rPr>
          <w:rFonts w:hint="eastAsia" w:ascii="仿宋" w:hAnsi="仿宋" w:eastAsia="仿宋" w:cs="仿宋"/>
          <w:bCs/>
          <w:color w:val="auto"/>
          <w:sz w:val="24"/>
          <w:lang w:val="zh-CN"/>
        </w:rPr>
        <w:t>质疑函范本及制作说明详见附件2。</w:t>
      </w:r>
    </w:p>
    <w:p>
      <w:pPr>
        <w:numPr>
          <w:ilvl w:val="2"/>
          <w:numId w:val="4"/>
        </w:numPr>
        <w:tabs>
          <w:tab w:val="left" w:pos="210"/>
          <w:tab w:val="left" w:pos="840"/>
        </w:tabs>
        <w:snapToGrid w:val="0"/>
        <w:spacing w:line="360" w:lineRule="auto"/>
        <w:jc w:val="left"/>
        <w:outlineLvl w:val="2"/>
        <w:rPr>
          <w:rFonts w:ascii="仿宋" w:hAnsi="仿宋" w:eastAsia="仿宋" w:cs="仿宋"/>
          <w:bCs/>
          <w:color w:val="auto"/>
          <w:sz w:val="24"/>
          <w:lang w:val="zh-CN"/>
        </w:rPr>
      </w:pPr>
      <w:r>
        <w:rPr>
          <w:rFonts w:hint="eastAsia" w:ascii="仿宋" w:hAnsi="仿宋" w:eastAsia="仿宋" w:cs="仿宋"/>
          <w:bCs/>
          <w:color w:val="auto"/>
          <w:sz w:val="24"/>
          <w:lang w:val="zh-CN"/>
        </w:rPr>
        <w:t>对同一采购程序环节的质疑，供应商须在法定质疑期内一次性提出。</w:t>
      </w:r>
    </w:p>
    <w:p>
      <w:pPr>
        <w:numPr>
          <w:ilvl w:val="2"/>
          <w:numId w:val="4"/>
        </w:numPr>
        <w:tabs>
          <w:tab w:val="left" w:pos="210"/>
          <w:tab w:val="left" w:pos="840"/>
        </w:tabs>
        <w:snapToGrid w:val="0"/>
        <w:spacing w:line="360" w:lineRule="auto"/>
        <w:jc w:val="left"/>
        <w:outlineLvl w:val="2"/>
        <w:rPr>
          <w:rFonts w:ascii="仿宋" w:hAnsi="仿宋" w:eastAsia="仿宋" w:cs="仿宋"/>
          <w:bCs/>
          <w:color w:val="auto"/>
          <w:sz w:val="24"/>
          <w:lang w:val="zh-CN"/>
        </w:rPr>
      </w:pPr>
      <w:r>
        <w:rPr>
          <w:rFonts w:hint="eastAsia" w:ascii="仿宋" w:hAnsi="仿宋" w:eastAsia="仿宋" w:cs="仿宋"/>
          <w:bCs/>
          <w:color w:val="auto"/>
          <w:sz w:val="24"/>
          <w:lang w:val="zh-CN"/>
        </w:rPr>
        <w:t>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pPr>
        <w:numPr>
          <w:ilvl w:val="2"/>
          <w:numId w:val="4"/>
        </w:numPr>
        <w:tabs>
          <w:tab w:val="left" w:pos="210"/>
        </w:tabs>
        <w:snapToGrid w:val="0"/>
        <w:spacing w:line="360" w:lineRule="auto"/>
        <w:jc w:val="left"/>
        <w:outlineLvl w:val="2"/>
        <w:rPr>
          <w:rFonts w:ascii="仿宋" w:hAnsi="仿宋" w:eastAsia="仿宋" w:cs="仿宋"/>
          <w:bCs/>
          <w:color w:val="auto"/>
          <w:sz w:val="24"/>
          <w:lang w:val="zh-CN"/>
        </w:rPr>
      </w:pPr>
      <w:r>
        <w:rPr>
          <w:rFonts w:hint="eastAsia" w:ascii="仿宋" w:hAnsi="仿宋" w:eastAsia="仿宋" w:cs="仿宋"/>
          <w:bCs/>
          <w:color w:val="auto"/>
          <w:sz w:val="24"/>
          <w:lang w:val="zh-CN"/>
        </w:rPr>
        <w:t>询问或者质疑事项可能影响采购结果的，采购人应当暂停签订合同，已经签订合同的，应当中止履行合同。</w:t>
      </w:r>
    </w:p>
    <w:p>
      <w:pPr>
        <w:numPr>
          <w:ilvl w:val="1"/>
          <w:numId w:val="4"/>
        </w:numPr>
        <w:tabs>
          <w:tab w:val="left" w:pos="210"/>
        </w:tabs>
        <w:snapToGrid w:val="0"/>
        <w:spacing w:line="360" w:lineRule="auto"/>
        <w:jc w:val="left"/>
        <w:outlineLvl w:val="2"/>
        <w:rPr>
          <w:rFonts w:ascii="仿宋" w:hAnsi="仿宋" w:eastAsia="仿宋" w:cs="仿宋"/>
          <w:bCs/>
          <w:color w:val="auto"/>
          <w:sz w:val="24"/>
          <w:lang w:val="zh-CN"/>
        </w:rPr>
      </w:pPr>
      <w:r>
        <w:rPr>
          <w:rFonts w:hint="eastAsia" w:ascii="仿宋" w:hAnsi="仿宋" w:eastAsia="仿宋" w:cs="仿宋"/>
          <w:bCs/>
          <w:color w:val="auto"/>
          <w:sz w:val="24"/>
          <w:lang w:val="zh-CN"/>
        </w:rPr>
        <w:t>供应商投诉</w:t>
      </w:r>
    </w:p>
    <w:p>
      <w:pPr>
        <w:numPr>
          <w:ilvl w:val="2"/>
          <w:numId w:val="4"/>
        </w:numPr>
        <w:tabs>
          <w:tab w:val="left" w:pos="210"/>
        </w:tabs>
        <w:snapToGrid w:val="0"/>
        <w:spacing w:line="360" w:lineRule="auto"/>
        <w:jc w:val="left"/>
        <w:outlineLvl w:val="2"/>
        <w:rPr>
          <w:rFonts w:ascii="仿宋" w:hAnsi="仿宋" w:eastAsia="仿宋" w:cs="仿宋"/>
          <w:bCs/>
          <w:color w:val="auto"/>
          <w:sz w:val="24"/>
          <w:lang w:val="zh-CN"/>
        </w:rPr>
      </w:pPr>
      <w:r>
        <w:rPr>
          <w:rFonts w:hint="eastAsia" w:ascii="仿宋" w:hAnsi="仿宋" w:eastAsia="仿宋" w:cs="仿宋"/>
          <w:bCs/>
          <w:color w:val="auto"/>
          <w:sz w:val="24"/>
          <w:lang w:val="zh-CN"/>
        </w:rPr>
        <w:t>质疑供应商对采购人、采购代理机构的答复不满意或者采购人、采购代理机构未在规定的时间内作出答复的，可以在答复期满后十五个工作日内向同级政府采购监督管理部门提出投诉。</w:t>
      </w:r>
    </w:p>
    <w:p>
      <w:pPr>
        <w:numPr>
          <w:ilvl w:val="2"/>
          <w:numId w:val="4"/>
        </w:numPr>
        <w:tabs>
          <w:tab w:val="left" w:pos="210"/>
        </w:tabs>
        <w:snapToGrid w:val="0"/>
        <w:spacing w:line="360" w:lineRule="auto"/>
        <w:jc w:val="left"/>
        <w:outlineLvl w:val="2"/>
        <w:rPr>
          <w:rFonts w:ascii="仿宋" w:hAnsi="仿宋" w:eastAsia="仿宋" w:cs="仿宋"/>
          <w:bCs/>
          <w:color w:val="auto"/>
          <w:sz w:val="24"/>
          <w:lang w:val="zh-CN"/>
        </w:rPr>
      </w:pPr>
      <w:r>
        <w:rPr>
          <w:rFonts w:hint="eastAsia" w:ascii="仿宋" w:hAnsi="仿宋" w:eastAsia="仿宋" w:cs="仿宋"/>
          <w:bCs/>
          <w:color w:val="auto"/>
          <w:sz w:val="24"/>
          <w:lang w:val="zh-CN"/>
        </w:rPr>
        <w:t>供应商投诉的事项不得超出已质疑事项的范围，基于质疑答复内容提出的投诉事项除外。</w:t>
      </w:r>
    </w:p>
    <w:p>
      <w:pPr>
        <w:numPr>
          <w:ilvl w:val="2"/>
          <w:numId w:val="4"/>
        </w:numPr>
        <w:tabs>
          <w:tab w:val="left" w:pos="210"/>
        </w:tabs>
        <w:snapToGrid w:val="0"/>
        <w:spacing w:line="360" w:lineRule="auto"/>
        <w:jc w:val="left"/>
        <w:outlineLvl w:val="2"/>
        <w:rPr>
          <w:rFonts w:ascii="仿宋" w:hAnsi="仿宋" w:eastAsia="仿宋" w:cs="仿宋"/>
          <w:bCs/>
          <w:color w:val="auto"/>
          <w:sz w:val="24"/>
          <w:lang w:val="zh-CN"/>
        </w:rPr>
      </w:pPr>
      <w:r>
        <w:rPr>
          <w:rFonts w:hint="eastAsia" w:ascii="仿宋" w:hAnsi="仿宋" w:eastAsia="仿宋" w:cs="仿宋"/>
          <w:bCs/>
          <w:color w:val="auto"/>
          <w:sz w:val="24"/>
          <w:lang w:val="zh-CN"/>
        </w:rPr>
        <w:t>供应商投诉应当有明确的请求和必要的证明材料。</w:t>
      </w:r>
    </w:p>
    <w:p>
      <w:pPr>
        <w:numPr>
          <w:ilvl w:val="2"/>
          <w:numId w:val="4"/>
        </w:numPr>
        <w:tabs>
          <w:tab w:val="left" w:pos="210"/>
        </w:tabs>
        <w:snapToGrid w:val="0"/>
        <w:spacing w:line="360" w:lineRule="auto"/>
        <w:jc w:val="left"/>
        <w:outlineLvl w:val="2"/>
        <w:rPr>
          <w:rFonts w:ascii="仿宋" w:hAnsi="仿宋" w:eastAsia="仿宋" w:cs="仿宋"/>
          <w:bCs/>
          <w:color w:val="auto"/>
          <w:sz w:val="24"/>
          <w:lang w:val="zh-CN"/>
        </w:rPr>
      </w:pPr>
      <w:r>
        <w:rPr>
          <w:rFonts w:hint="eastAsia" w:ascii="仿宋" w:hAnsi="仿宋" w:eastAsia="仿宋" w:cs="仿宋"/>
          <w:bCs/>
          <w:color w:val="auto"/>
          <w:sz w:val="24"/>
          <w:lang w:val="zh-CN"/>
        </w:rPr>
        <w:t>以联合体形式参加政府采购活动的，其投诉应当由组成联合体的所有供应商共同提出。</w:t>
      </w:r>
    </w:p>
    <w:p>
      <w:pPr>
        <w:numPr>
          <w:ilvl w:val="2"/>
          <w:numId w:val="4"/>
        </w:numPr>
        <w:tabs>
          <w:tab w:val="left" w:pos="210"/>
        </w:tabs>
        <w:snapToGrid w:val="0"/>
        <w:spacing w:line="360" w:lineRule="auto"/>
        <w:jc w:val="left"/>
        <w:outlineLvl w:val="2"/>
        <w:rPr>
          <w:rFonts w:ascii="仿宋" w:hAnsi="仿宋" w:eastAsia="仿宋" w:cs="仿宋"/>
          <w:bCs/>
          <w:color w:val="auto"/>
          <w:sz w:val="24"/>
          <w:lang w:val="zh-CN"/>
        </w:rPr>
      </w:pPr>
      <w:r>
        <w:rPr>
          <w:rFonts w:hint="eastAsia" w:ascii="仿宋" w:hAnsi="仿宋" w:eastAsia="仿宋" w:cs="仿宋"/>
          <w:bCs/>
          <w:color w:val="auto"/>
          <w:sz w:val="24"/>
          <w:lang w:val="zh-CN"/>
        </w:rPr>
        <w:t>浙江省本级、杭州市本级、拱墅区、富阳区政府采购项目投诉材料可寄送浙江省政府采购行政裁决服务中心（杭州），地址：杭州市上城区四季青街道新业路市民之家G03办公室，收件人：朱女士，电话：15121014815。</w:t>
      </w:r>
    </w:p>
    <w:p>
      <w:pPr>
        <w:tabs>
          <w:tab w:val="left" w:pos="210"/>
        </w:tabs>
        <w:snapToGrid w:val="0"/>
        <w:spacing w:line="360" w:lineRule="auto"/>
        <w:ind w:firstLine="480" w:firstLineChars="200"/>
        <w:jc w:val="left"/>
        <w:outlineLvl w:val="2"/>
        <w:rPr>
          <w:rFonts w:ascii="仿宋" w:hAnsi="仿宋" w:eastAsia="仿宋" w:cs="仿宋"/>
          <w:color w:val="auto"/>
        </w:rPr>
      </w:pPr>
      <w:r>
        <w:rPr>
          <w:rFonts w:hint="eastAsia" w:ascii="仿宋" w:hAnsi="仿宋" w:eastAsia="仿宋" w:cs="仿宋"/>
          <w:bCs/>
          <w:color w:val="auto"/>
          <w:sz w:val="24"/>
          <w:lang w:val="zh-CN"/>
        </w:rPr>
        <w:t>投诉书范本及制作说明详见附件3。</w:t>
      </w:r>
    </w:p>
    <w:p>
      <w:pPr>
        <w:adjustRightInd/>
        <w:spacing w:line="360" w:lineRule="auto"/>
        <w:jc w:val="center"/>
        <w:outlineLvl w:val="1"/>
        <w:rPr>
          <w:rFonts w:ascii="仿宋" w:hAnsi="仿宋" w:eastAsia="仿宋" w:cs="仿宋"/>
          <w:b/>
          <w:color w:val="auto"/>
          <w:sz w:val="32"/>
          <w:szCs w:val="20"/>
        </w:rPr>
      </w:pPr>
      <w:r>
        <w:rPr>
          <w:rFonts w:hint="eastAsia" w:ascii="仿宋" w:hAnsi="仿宋" w:eastAsia="仿宋" w:cs="仿宋"/>
          <w:b/>
          <w:color w:val="auto"/>
          <w:sz w:val="32"/>
          <w:szCs w:val="20"/>
        </w:rPr>
        <w:t>二、招标文件的构成、澄清、修改</w:t>
      </w:r>
    </w:p>
    <w:p>
      <w:pPr>
        <w:numPr>
          <w:ilvl w:val="0"/>
          <w:numId w:val="4"/>
        </w:numPr>
        <w:tabs>
          <w:tab w:val="left" w:pos="210"/>
        </w:tabs>
        <w:snapToGrid w:val="0"/>
        <w:spacing w:line="360" w:lineRule="auto"/>
        <w:jc w:val="left"/>
        <w:outlineLvl w:val="2"/>
        <w:rPr>
          <w:rFonts w:ascii="仿宋" w:hAnsi="仿宋" w:eastAsia="仿宋" w:cs="仿宋"/>
          <w:b/>
          <w:color w:val="auto"/>
          <w:sz w:val="24"/>
        </w:rPr>
      </w:pPr>
      <w:r>
        <w:rPr>
          <w:rFonts w:hint="eastAsia" w:ascii="仿宋" w:hAnsi="仿宋" w:eastAsia="仿宋" w:cs="仿宋"/>
          <w:b/>
          <w:color w:val="auto"/>
          <w:sz w:val="24"/>
        </w:rPr>
        <w:t>招标文件的构成</w:t>
      </w:r>
    </w:p>
    <w:p>
      <w:pPr>
        <w:numPr>
          <w:ilvl w:val="1"/>
          <w:numId w:val="4"/>
        </w:numPr>
        <w:tabs>
          <w:tab w:val="left" w:pos="210"/>
        </w:tabs>
        <w:snapToGrid w:val="0"/>
        <w:spacing w:line="360" w:lineRule="auto"/>
        <w:jc w:val="left"/>
        <w:outlineLvl w:val="2"/>
        <w:rPr>
          <w:rFonts w:ascii="仿宋" w:hAnsi="仿宋" w:eastAsia="仿宋" w:cs="仿宋"/>
          <w:bCs/>
          <w:color w:val="auto"/>
          <w:sz w:val="24"/>
        </w:rPr>
      </w:pPr>
      <w:r>
        <w:rPr>
          <w:rFonts w:hint="eastAsia" w:ascii="仿宋" w:hAnsi="仿宋" w:eastAsia="仿宋" w:cs="仿宋"/>
          <w:bCs/>
          <w:color w:val="auto"/>
          <w:sz w:val="24"/>
        </w:rPr>
        <w:t>招标文件包括下列文件及附件：</w:t>
      </w:r>
    </w:p>
    <w:p>
      <w:pPr>
        <w:numPr>
          <w:ilvl w:val="2"/>
          <w:numId w:val="4"/>
        </w:numPr>
        <w:tabs>
          <w:tab w:val="left" w:pos="210"/>
        </w:tabs>
        <w:snapToGrid w:val="0"/>
        <w:spacing w:line="360" w:lineRule="auto"/>
        <w:jc w:val="left"/>
        <w:outlineLvl w:val="2"/>
        <w:rPr>
          <w:rFonts w:ascii="仿宋" w:hAnsi="仿宋" w:eastAsia="仿宋" w:cs="仿宋"/>
          <w:bCs/>
          <w:color w:val="auto"/>
          <w:sz w:val="24"/>
        </w:rPr>
      </w:pPr>
      <w:r>
        <w:rPr>
          <w:rFonts w:hint="eastAsia" w:ascii="仿宋" w:hAnsi="仿宋" w:eastAsia="仿宋" w:cs="仿宋"/>
          <w:bCs/>
          <w:color w:val="auto"/>
          <w:sz w:val="24"/>
        </w:rPr>
        <w:t>招标公告；</w:t>
      </w:r>
    </w:p>
    <w:p>
      <w:pPr>
        <w:numPr>
          <w:ilvl w:val="2"/>
          <w:numId w:val="4"/>
        </w:numPr>
        <w:tabs>
          <w:tab w:val="left" w:pos="210"/>
        </w:tabs>
        <w:snapToGrid w:val="0"/>
        <w:spacing w:line="360" w:lineRule="auto"/>
        <w:jc w:val="left"/>
        <w:outlineLvl w:val="2"/>
        <w:rPr>
          <w:rFonts w:ascii="仿宋" w:hAnsi="仿宋" w:eastAsia="仿宋" w:cs="仿宋"/>
          <w:bCs/>
          <w:color w:val="auto"/>
          <w:sz w:val="24"/>
        </w:rPr>
      </w:pPr>
      <w:r>
        <w:rPr>
          <w:rFonts w:hint="eastAsia" w:ascii="仿宋" w:hAnsi="仿宋" w:eastAsia="仿宋" w:cs="仿宋"/>
          <w:bCs/>
          <w:color w:val="auto"/>
          <w:sz w:val="24"/>
        </w:rPr>
        <w:t>投标人须知；</w:t>
      </w:r>
    </w:p>
    <w:p>
      <w:pPr>
        <w:numPr>
          <w:ilvl w:val="2"/>
          <w:numId w:val="4"/>
        </w:numPr>
        <w:tabs>
          <w:tab w:val="left" w:pos="210"/>
        </w:tabs>
        <w:snapToGrid w:val="0"/>
        <w:spacing w:line="360" w:lineRule="auto"/>
        <w:jc w:val="left"/>
        <w:outlineLvl w:val="2"/>
        <w:rPr>
          <w:rFonts w:ascii="仿宋" w:hAnsi="仿宋" w:eastAsia="仿宋" w:cs="仿宋"/>
          <w:bCs/>
          <w:color w:val="auto"/>
          <w:sz w:val="24"/>
        </w:rPr>
      </w:pPr>
      <w:r>
        <w:rPr>
          <w:rFonts w:hint="eastAsia" w:ascii="仿宋" w:hAnsi="仿宋" w:eastAsia="仿宋" w:cs="仿宋"/>
          <w:bCs/>
          <w:color w:val="auto"/>
          <w:sz w:val="24"/>
        </w:rPr>
        <w:t>采购需求；</w:t>
      </w:r>
    </w:p>
    <w:p>
      <w:pPr>
        <w:numPr>
          <w:ilvl w:val="2"/>
          <w:numId w:val="4"/>
        </w:numPr>
        <w:tabs>
          <w:tab w:val="left" w:pos="210"/>
        </w:tabs>
        <w:snapToGrid w:val="0"/>
        <w:spacing w:line="360" w:lineRule="auto"/>
        <w:jc w:val="left"/>
        <w:outlineLvl w:val="2"/>
        <w:rPr>
          <w:rFonts w:ascii="仿宋" w:hAnsi="仿宋" w:eastAsia="仿宋" w:cs="仿宋"/>
          <w:bCs/>
          <w:color w:val="auto"/>
          <w:sz w:val="24"/>
        </w:rPr>
      </w:pPr>
      <w:r>
        <w:rPr>
          <w:rFonts w:hint="eastAsia" w:ascii="仿宋" w:hAnsi="仿宋" w:eastAsia="仿宋" w:cs="仿宋"/>
          <w:bCs/>
          <w:color w:val="auto"/>
          <w:sz w:val="24"/>
        </w:rPr>
        <w:t>评标办法；</w:t>
      </w:r>
    </w:p>
    <w:p>
      <w:pPr>
        <w:numPr>
          <w:ilvl w:val="2"/>
          <w:numId w:val="4"/>
        </w:numPr>
        <w:tabs>
          <w:tab w:val="left" w:pos="210"/>
        </w:tabs>
        <w:snapToGrid w:val="0"/>
        <w:spacing w:line="360" w:lineRule="auto"/>
        <w:jc w:val="left"/>
        <w:outlineLvl w:val="2"/>
        <w:rPr>
          <w:rFonts w:ascii="仿宋" w:hAnsi="仿宋" w:eastAsia="仿宋" w:cs="仿宋"/>
          <w:bCs/>
          <w:color w:val="auto"/>
          <w:sz w:val="24"/>
        </w:rPr>
      </w:pPr>
      <w:r>
        <w:rPr>
          <w:rFonts w:hint="eastAsia" w:ascii="仿宋" w:hAnsi="仿宋" w:eastAsia="仿宋" w:cs="仿宋"/>
          <w:bCs/>
          <w:color w:val="auto"/>
          <w:sz w:val="24"/>
        </w:rPr>
        <w:t>拟签订的合同文本；</w:t>
      </w:r>
    </w:p>
    <w:p>
      <w:pPr>
        <w:numPr>
          <w:ilvl w:val="2"/>
          <w:numId w:val="4"/>
        </w:numPr>
        <w:tabs>
          <w:tab w:val="left" w:pos="210"/>
        </w:tabs>
        <w:snapToGrid w:val="0"/>
        <w:spacing w:line="360" w:lineRule="auto"/>
        <w:jc w:val="left"/>
        <w:outlineLvl w:val="2"/>
        <w:rPr>
          <w:rFonts w:ascii="仿宋" w:hAnsi="仿宋" w:eastAsia="仿宋" w:cs="仿宋"/>
          <w:bCs/>
          <w:color w:val="auto"/>
          <w:sz w:val="24"/>
        </w:rPr>
      </w:pPr>
      <w:r>
        <w:rPr>
          <w:rFonts w:hint="eastAsia" w:ascii="仿宋" w:hAnsi="仿宋" w:eastAsia="仿宋" w:cs="仿宋"/>
          <w:bCs/>
          <w:color w:val="auto"/>
          <w:sz w:val="24"/>
        </w:rPr>
        <w:t>应提交的有关格式范例。</w:t>
      </w:r>
    </w:p>
    <w:p>
      <w:pPr>
        <w:numPr>
          <w:ilvl w:val="1"/>
          <w:numId w:val="4"/>
        </w:numPr>
        <w:tabs>
          <w:tab w:val="left" w:pos="210"/>
        </w:tabs>
        <w:snapToGrid w:val="0"/>
        <w:spacing w:line="360" w:lineRule="auto"/>
        <w:jc w:val="left"/>
        <w:outlineLvl w:val="2"/>
        <w:rPr>
          <w:rFonts w:ascii="仿宋" w:hAnsi="仿宋" w:eastAsia="仿宋" w:cs="仿宋"/>
          <w:bCs/>
          <w:color w:val="auto"/>
          <w:sz w:val="24"/>
        </w:rPr>
      </w:pPr>
      <w:r>
        <w:rPr>
          <w:rFonts w:hint="eastAsia" w:ascii="仿宋" w:hAnsi="仿宋" w:eastAsia="仿宋" w:cs="仿宋"/>
          <w:bCs/>
          <w:color w:val="auto"/>
          <w:sz w:val="24"/>
        </w:rPr>
        <w:t>与本项目有关的澄清或者修改的内容为招标文件的组成部分。</w:t>
      </w:r>
    </w:p>
    <w:p>
      <w:pPr>
        <w:numPr>
          <w:ilvl w:val="0"/>
          <w:numId w:val="4"/>
        </w:numPr>
        <w:tabs>
          <w:tab w:val="left" w:pos="210"/>
        </w:tabs>
        <w:snapToGrid w:val="0"/>
        <w:spacing w:line="360" w:lineRule="auto"/>
        <w:jc w:val="left"/>
        <w:outlineLvl w:val="2"/>
        <w:rPr>
          <w:rFonts w:ascii="仿宋" w:hAnsi="仿宋" w:eastAsia="仿宋" w:cs="仿宋"/>
          <w:b/>
          <w:color w:val="auto"/>
          <w:sz w:val="24"/>
        </w:rPr>
      </w:pPr>
      <w:r>
        <w:rPr>
          <w:rFonts w:hint="eastAsia" w:ascii="仿宋" w:hAnsi="仿宋" w:eastAsia="仿宋" w:cs="仿宋"/>
          <w:b/>
          <w:color w:val="auto"/>
          <w:sz w:val="24"/>
        </w:rPr>
        <w:t>招标文件的澄清、修改</w:t>
      </w:r>
    </w:p>
    <w:p>
      <w:pPr>
        <w:numPr>
          <w:ilvl w:val="1"/>
          <w:numId w:val="4"/>
        </w:numPr>
        <w:tabs>
          <w:tab w:val="left" w:pos="210"/>
        </w:tabs>
        <w:snapToGrid w:val="0"/>
        <w:spacing w:line="360" w:lineRule="auto"/>
        <w:jc w:val="left"/>
        <w:outlineLvl w:val="2"/>
        <w:rPr>
          <w:rFonts w:ascii="仿宋" w:hAnsi="仿宋" w:eastAsia="仿宋" w:cs="仿宋"/>
          <w:bCs/>
          <w:color w:val="auto"/>
          <w:sz w:val="24"/>
        </w:rPr>
      </w:pPr>
      <w:r>
        <w:rPr>
          <w:rFonts w:hint="eastAsia" w:ascii="仿宋" w:hAnsi="仿宋" w:eastAsia="仿宋" w:cs="仿宋"/>
          <w:bCs/>
          <w:color w:val="auto"/>
          <w:sz w:val="24"/>
        </w:rPr>
        <w:t>已获取招标文件的潜在投标人，若有问题需要澄清，应于投标截止时间前，以书面形式向采购代理机构提出。</w:t>
      </w:r>
    </w:p>
    <w:p>
      <w:pPr>
        <w:numPr>
          <w:ilvl w:val="1"/>
          <w:numId w:val="4"/>
        </w:numPr>
        <w:tabs>
          <w:tab w:val="left" w:pos="210"/>
        </w:tabs>
        <w:snapToGrid w:val="0"/>
        <w:spacing w:line="360" w:lineRule="auto"/>
        <w:jc w:val="left"/>
        <w:outlineLvl w:val="2"/>
        <w:rPr>
          <w:rFonts w:ascii="仿宋" w:hAnsi="仿宋" w:eastAsia="仿宋" w:cs="仿宋"/>
          <w:color w:val="auto"/>
        </w:rPr>
      </w:pPr>
      <w:r>
        <w:rPr>
          <w:rFonts w:hint="eastAsia" w:ascii="仿宋" w:hAnsi="仿宋" w:eastAsia="仿宋" w:cs="仿宋"/>
          <w:bCs/>
          <w:color w:val="auto"/>
          <w:sz w:val="24"/>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1"/>
        <w:rPr>
          <w:rFonts w:ascii="仿宋" w:hAnsi="仿宋" w:eastAsia="仿宋" w:cs="仿宋"/>
          <w:b/>
          <w:color w:val="auto"/>
          <w:sz w:val="30"/>
          <w:szCs w:val="20"/>
        </w:rPr>
      </w:pPr>
      <w:r>
        <w:rPr>
          <w:rFonts w:hint="eastAsia" w:ascii="仿宋" w:hAnsi="仿宋" w:eastAsia="仿宋" w:cs="仿宋"/>
          <w:b/>
          <w:color w:val="auto"/>
          <w:sz w:val="30"/>
          <w:szCs w:val="20"/>
        </w:rPr>
        <w:t>三、投标</w:t>
      </w:r>
    </w:p>
    <w:p>
      <w:pPr>
        <w:numPr>
          <w:ilvl w:val="0"/>
          <w:numId w:val="4"/>
        </w:numPr>
        <w:tabs>
          <w:tab w:val="left" w:pos="210"/>
        </w:tabs>
        <w:snapToGrid w:val="0"/>
        <w:spacing w:line="360" w:lineRule="auto"/>
        <w:jc w:val="left"/>
        <w:outlineLvl w:val="2"/>
        <w:rPr>
          <w:rFonts w:ascii="仿宋" w:hAnsi="仿宋" w:eastAsia="仿宋" w:cs="仿宋"/>
          <w:b/>
          <w:color w:val="auto"/>
          <w:sz w:val="24"/>
        </w:rPr>
      </w:pPr>
      <w:r>
        <w:rPr>
          <w:rFonts w:hint="eastAsia" w:ascii="仿宋" w:hAnsi="仿宋" w:eastAsia="仿宋" w:cs="仿宋"/>
          <w:b/>
          <w:color w:val="auto"/>
          <w:sz w:val="24"/>
        </w:rPr>
        <w:t>招标文件的获取</w:t>
      </w:r>
    </w:p>
    <w:p>
      <w:pPr>
        <w:spacing w:line="360" w:lineRule="auto"/>
        <w:ind w:firstLine="420"/>
        <w:rPr>
          <w:rFonts w:ascii="仿宋" w:hAnsi="仿宋" w:eastAsia="仿宋" w:cs="仿宋"/>
          <w:snapToGrid w:val="0"/>
          <w:color w:val="auto"/>
          <w:kern w:val="28"/>
          <w:sz w:val="24"/>
        </w:rPr>
      </w:pPr>
      <w:r>
        <w:rPr>
          <w:rFonts w:hint="eastAsia" w:ascii="仿宋" w:hAnsi="仿宋" w:eastAsia="仿宋" w:cs="仿宋"/>
          <w:snapToGrid w:val="0"/>
          <w:color w:val="auto"/>
          <w:kern w:val="28"/>
          <w:sz w:val="24"/>
        </w:rPr>
        <w:t>详见招标公告中获取招标文件的时间期限、地点、方式及招标文件售价。</w:t>
      </w:r>
    </w:p>
    <w:p>
      <w:pPr>
        <w:numPr>
          <w:ilvl w:val="0"/>
          <w:numId w:val="4"/>
        </w:numPr>
        <w:tabs>
          <w:tab w:val="left" w:pos="210"/>
        </w:tabs>
        <w:snapToGrid w:val="0"/>
        <w:spacing w:line="360" w:lineRule="auto"/>
        <w:jc w:val="left"/>
        <w:outlineLvl w:val="2"/>
        <w:rPr>
          <w:rFonts w:ascii="仿宋" w:hAnsi="仿宋" w:eastAsia="仿宋" w:cs="仿宋"/>
          <w:b/>
          <w:color w:val="auto"/>
          <w:sz w:val="24"/>
        </w:rPr>
      </w:pPr>
      <w:r>
        <w:rPr>
          <w:rFonts w:hint="eastAsia" w:ascii="仿宋" w:hAnsi="仿宋" w:eastAsia="仿宋" w:cs="仿宋"/>
          <w:b/>
          <w:color w:val="auto"/>
          <w:sz w:val="24"/>
        </w:rPr>
        <w:t>开标前答疑会或现场考察</w:t>
      </w:r>
    </w:p>
    <w:p>
      <w:pPr>
        <w:pStyle w:val="34"/>
        <w:spacing w:line="360" w:lineRule="auto"/>
        <w:ind w:firstLine="420"/>
        <w:rPr>
          <w:rFonts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pPr>
        <w:numPr>
          <w:ilvl w:val="0"/>
          <w:numId w:val="4"/>
        </w:numPr>
        <w:tabs>
          <w:tab w:val="left" w:pos="210"/>
        </w:tabs>
        <w:snapToGrid w:val="0"/>
        <w:spacing w:line="360" w:lineRule="auto"/>
        <w:jc w:val="left"/>
        <w:outlineLvl w:val="2"/>
        <w:rPr>
          <w:rFonts w:ascii="仿宋" w:hAnsi="仿宋" w:eastAsia="仿宋" w:cs="仿宋"/>
          <w:b/>
          <w:color w:val="auto"/>
          <w:sz w:val="24"/>
        </w:rPr>
      </w:pPr>
      <w:r>
        <w:rPr>
          <w:rFonts w:hint="eastAsia" w:ascii="仿宋" w:hAnsi="仿宋" w:eastAsia="仿宋" w:cs="仿宋"/>
          <w:b/>
          <w:color w:val="auto"/>
          <w:sz w:val="24"/>
        </w:rPr>
        <w:t>投标保证金</w:t>
      </w:r>
    </w:p>
    <w:p>
      <w:pPr>
        <w:pStyle w:val="5"/>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numPr>
          <w:ilvl w:val="0"/>
          <w:numId w:val="4"/>
        </w:numPr>
        <w:tabs>
          <w:tab w:val="left" w:pos="210"/>
        </w:tabs>
        <w:snapToGrid w:val="0"/>
        <w:spacing w:line="360" w:lineRule="auto"/>
        <w:jc w:val="left"/>
        <w:outlineLvl w:val="2"/>
        <w:rPr>
          <w:rFonts w:ascii="仿宋" w:hAnsi="仿宋" w:eastAsia="仿宋" w:cs="仿宋"/>
          <w:b/>
          <w:color w:val="auto"/>
          <w:sz w:val="24"/>
        </w:rPr>
      </w:pPr>
      <w:r>
        <w:rPr>
          <w:rFonts w:hint="eastAsia" w:ascii="仿宋" w:hAnsi="仿宋" w:eastAsia="仿宋" w:cs="仿宋"/>
          <w:b/>
          <w:color w:val="auto"/>
          <w:sz w:val="24"/>
        </w:rPr>
        <w:t>投标文件的语言</w:t>
      </w:r>
    </w:p>
    <w:p>
      <w:pPr>
        <w:autoSpaceDE w:val="0"/>
        <w:autoSpaceDN w:val="0"/>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pPr>
        <w:numPr>
          <w:ilvl w:val="0"/>
          <w:numId w:val="4"/>
        </w:numPr>
        <w:tabs>
          <w:tab w:val="left" w:pos="210"/>
        </w:tabs>
        <w:snapToGrid w:val="0"/>
        <w:spacing w:line="360" w:lineRule="auto"/>
        <w:jc w:val="left"/>
        <w:outlineLvl w:val="2"/>
        <w:rPr>
          <w:rFonts w:ascii="仿宋" w:hAnsi="仿宋" w:eastAsia="仿宋" w:cs="仿宋"/>
          <w:b/>
          <w:color w:val="auto"/>
          <w:sz w:val="24"/>
        </w:rPr>
      </w:pPr>
      <w:r>
        <w:rPr>
          <w:rFonts w:hint="eastAsia" w:ascii="仿宋" w:hAnsi="仿宋" w:eastAsia="仿宋" w:cs="仿宋"/>
          <w:b/>
          <w:color w:val="auto"/>
          <w:sz w:val="24"/>
        </w:rPr>
        <w:t>投标文件的组成</w:t>
      </w:r>
    </w:p>
    <w:p>
      <w:pPr>
        <w:numPr>
          <w:ilvl w:val="1"/>
          <w:numId w:val="4"/>
        </w:numPr>
        <w:tabs>
          <w:tab w:val="left" w:pos="210"/>
          <w:tab w:val="left" w:pos="630"/>
          <w:tab w:val="left" w:pos="840"/>
        </w:tabs>
        <w:snapToGrid w:val="0"/>
        <w:spacing w:line="360" w:lineRule="auto"/>
        <w:jc w:val="left"/>
        <w:outlineLvl w:val="2"/>
        <w:rPr>
          <w:rFonts w:ascii="仿宋" w:hAnsi="仿宋" w:eastAsia="仿宋" w:cs="仿宋"/>
          <w:b/>
          <w:color w:val="auto"/>
          <w:sz w:val="24"/>
        </w:rPr>
      </w:pPr>
      <w:r>
        <w:rPr>
          <w:rFonts w:hint="eastAsia" w:ascii="仿宋" w:hAnsi="仿宋" w:eastAsia="仿宋" w:cs="仿宋"/>
          <w:b/>
          <w:color w:val="auto"/>
          <w:sz w:val="24"/>
        </w:rPr>
        <w:t>资格文件：</w:t>
      </w:r>
    </w:p>
    <w:p>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rPr>
      </w:pPr>
      <w:r>
        <w:rPr>
          <w:rFonts w:hint="eastAsia" w:ascii="仿宋" w:hAnsi="仿宋" w:eastAsia="仿宋" w:cs="仿宋"/>
          <w:bCs/>
          <w:color w:val="auto"/>
          <w:sz w:val="24"/>
        </w:rPr>
        <w:t>符合参加政府采购活动应当具备的一般条件的承诺函；</w:t>
      </w:r>
    </w:p>
    <w:p>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rPr>
      </w:pPr>
      <w:r>
        <w:rPr>
          <w:rFonts w:hint="eastAsia" w:ascii="仿宋" w:hAnsi="仿宋" w:eastAsia="仿宋" w:cs="仿宋"/>
          <w:bCs/>
          <w:color w:val="auto"/>
          <w:sz w:val="24"/>
        </w:rPr>
        <w:t>联合协议（如果有）；</w:t>
      </w:r>
    </w:p>
    <w:p>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rPr>
      </w:pPr>
      <w:r>
        <w:rPr>
          <w:rFonts w:hint="eastAsia" w:ascii="仿宋" w:hAnsi="仿宋" w:eastAsia="仿宋" w:cs="仿宋"/>
          <w:bCs/>
          <w:color w:val="auto"/>
          <w:sz w:val="24"/>
        </w:rPr>
        <w:t>落实政府采购政策需满足的资格要求（如果有）；</w:t>
      </w:r>
    </w:p>
    <w:p>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rPr>
      </w:pPr>
      <w:r>
        <w:rPr>
          <w:rFonts w:hint="eastAsia" w:ascii="仿宋" w:hAnsi="仿宋" w:eastAsia="仿宋" w:cs="仿宋"/>
          <w:bCs/>
          <w:color w:val="auto"/>
          <w:sz w:val="24"/>
        </w:rPr>
        <w:t>本项目的特定资格要求（如果有）</w:t>
      </w:r>
      <w:r>
        <w:rPr>
          <w:rFonts w:hint="eastAsia" w:ascii="仿宋" w:hAnsi="仿宋" w:eastAsia="仿宋" w:cs="仿宋"/>
          <w:bCs/>
          <w:i/>
          <w:iCs/>
          <w:color w:val="auto"/>
          <w:sz w:val="24"/>
        </w:rPr>
        <w:t>。</w:t>
      </w:r>
    </w:p>
    <w:p>
      <w:pPr>
        <w:numPr>
          <w:ilvl w:val="1"/>
          <w:numId w:val="4"/>
        </w:numPr>
        <w:tabs>
          <w:tab w:val="left" w:pos="210"/>
          <w:tab w:val="left" w:pos="630"/>
          <w:tab w:val="left" w:pos="840"/>
        </w:tabs>
        <w:snapToGrid w:val="0"/>
        <w:spacing w:line="360" w:lineRule="auto"/>
        <w:jc w:val="left"/>
        <w:outlineLvl w:val="2"/>
        <w:rPr>
          <w:rFonts w:ascii="仿宋" w:hAnsi="仿宋" w:eastAsia="仿宋" w:cs="仿宋"/>
          <w:b/>
          <w:color w:val="auto"/>
          <w:sz w:val="24"/>
          <w:lang w:val="zh-CN"/>
        </w:rPr>
      </w:pPr>
      <w:r>
        <w:rPr>
          <w:rFonts w:hint="eastAsia" w:ascii="仿宋" w:hAnsi="仿宋" w:eastAsia="仿宋" w:cs="仿宋"/>
          <w:b/>
          <w:color w:val="auto"/>
          <w:sz w:val="24"/>
        </w:rPr>
        <w:t>商务技术</w:t>
      </w:r>
      <w:r>
        <w:rPr>
          <w:rFonts w:hint="eastAsia" w:ascii="仿宋" w:hAnsi="仿宋" w:eastAsia="仿宋" w:cs="仿宋"/>
          <w:b/>
          <w:color w:val="auto"/>
          <w:sz w:val="24"/>
          <w:lang w:val="zh-CN"/>
        </w:rPr>
        <w:t>文件：</w:t>
      </w:r>
    </w:p>
    <w:p>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rPr>
      </w:pPr>
      <w:r>
        <w:rPr>
          <w:rFonts w:hint="eastAsia" w:ascii="仿宋" w:hAnsi="仿宋" w:eastAsia="仿宋" w:cs="仿宋"/>
          <w:bCs/>
          <w:color w:val="auto"/>
          <w:sz w:val="24"/>
        </w:rPr>
        <w:t>投标函；</w:t>
      </w:r>
      <w:r>
        <w:rPr>
          <w:rFonts w:hint="eastAsia" w:ascii="仿宋" w:hAnsi="仿宋" w:eastAsia="仿宋" w:cs="仿宋"/>
          <w:bCs/>
          <w:color w:val="auto"/>
          <w:sz w:val="24"/>
          <w:lang w:val="zh-CN"/>
        </w:rPr>
        <w:t xml:space="preserve"> </w:t>
      </w:r>
    </w:p>
    <w:p>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rPr>
      </w:pPr>
      <w:r>
        <w:rPr>
          <w:rFonts w:hint="eastAsia" w:ascii="仿宋" w:hAnsi="仿宋" w:eastAsia="仿宋" w:cs="仿宋"/>
          <w:bCs/>
          <w:color w:val="auto"/>
          <w:sz w:val="24"/>
        </w:rPr>
        <w:t>授权委托书或法定代表人（单位负责人、自然人本人）身份证明；</w:t>
      </w:r>
    </w:p>
    <w:p>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rPr>
      </w:pPr>
      <w:r>
        <w:rPr>
          <w:rFonts w:hint="eastAsia" w:ascii="仿宋" w:hAnsi="仿宋" w:eastAsia="仿宋" w:cs="仿宋"/>
          <w:bCs/>
          <w:color w:val="auto"/>
          <w:sz w:val="24"/>
        </w:rPr>
        <w:t>分包意向协议（如果有）；</w:t>
      </w:r>
    </w:p>
    <w:p>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rPr>
      </w:pPr>
      <w:r>
        <w:rPr>
          <w:rFonts w:hint="eastAsia" w:ascii="仿宋" w:hAnsi="仿宋" w:eastAsia="仿宋" w:cs="仿宋"/>
          <w:bCs/>
          <w:color w:val="auto"/>
          <w:sz w:val="24"/>
        </w:rPr>
        <w:t>符合性审查资料；</w:t>
      </w:r>
    </w:p>
    <w:p>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rPr>
      </w:pPr>
      <w:r>
        <w:rPr>
          <w:rFonts w:hint="eastAsia" w:ascii="仿宋" w:hAnsi="仿宋" w:eastAsia="仿宋" w:cs="仿宋"/>
          <w:bCs/>
          <w:color w:val="auto"/>
          <w:sz w:val="24"/>
        </w:rPr>
        <w:t>评标标准相应的商务技术资料；</w:t>
      </w:r>
    </w:p>
    <w:p>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rPr>
      </w:pPr>
      <w:r>
        <w:rPr>
          <w:rFonts w:hint="eastAsia" w:ascii="仿宋" w:hAnsi="仿宋" w:eastAsia="仿宋" w:cs="仿宋"/>
          <w:bCs/>
          <w:color w:val="auto"/>
          <w:sz w:val="24"/>
        </w:rPr>
        <w:t>投标标的清单；</w:t>
      </w:r>
    </w:p>
    <w:p>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rPr>
      </w:pPr>
      <w:r>
        <w:rPr>
          <w:rFonts w:hint="eastAsia" w:ascii="仿宋" w:hAnsi="仿宋" w:eastAsia="仿宋" w:cs="仿宋"/>
          <w:bCs/>
          <w:color w:val="auto"/>
          <w:sz w:val="24"/>
        </w:rPr>
        <w:t>商务技术偏离表；</w:t>
      </w:r>
    </w:p>
    <w:p>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lang w:val="zh-CN"/>
        </w:rPr>
      </w:pPr>
      <w:r>
        <w:rPr>
          <w:rFonts w:hint="eastAsia" w:ascii="仿宋" w:hAnsi="仿宋" w:eastAsia="仿宋" w:cs="仿宋"/>
          <w:bCs/>
          <w:color w:val="auto"/>
          <w:sz w:val="24"/>
          <w:lang w:val="zh-CN"/>
        </w:rPr>
        <w:t>政府采购供应商廉洁自律承诺书。</w:t>
      </w:r>
    </w:p>
    <w:p>
      <w:pPr>
        <w:numPr>
          <w:ilvl w:val="1"/>
          <w:numId w:val="4"/>
        </w:numPr>
        <w:tabs>
          <w:tab w:val="left" w:pos="210"/>
          <w:tab w:val="left" w:pos="630"/>
          <w:tab w:val="left" w:pos="840"/>
        </w:tabs>
        <w:snapToGrid w:val="0"/>
        <w:spacing w:line="360" w:lineRule="auto"/>
        <w:jc w:val="left"/>
        <w:outlineLvl w:val="2"/>
        <w:rPr>
          <w:rFonts w:ascii="仿宋" w:hAnsi="仿宋" w:eastAsia="仿宋" w:cs="仿宋"/>
          <w:b/>
          <w:color w:val="auto"/>
          <w:sz w:val="24"/>
          <w:lang w:val="zh-CN"/>
        </w:rPr>
      </w:pPr>
      <w:r>
        <w:rPr>
          <w:rFonts w:hint="eastAsia" w:ascii="仿宋" w:hAnsi="仿宋" w:eastAsia="仿宋" w:cs="仿宋"/>
          <w:b/>
          <w:color w:val="auto"/>
          <w:sz w:val="24"/>
        </w:rPr>
        <w:t xml:space="preserve">报价文件： </w:t>
      </w:r>
    </w:p>
    <w:p>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rPr>
      </w:pPr>
      <w:r>
        <w:rPr>
          <w:rFonts w:hint="eastAsia" w:ascii="仿宋" w:hAnsi="仿宋" w:eastAsia="仿宋" w:cs="仿宋"/>
          <w:bCs/>
          <w:color w:val="auto"/>
          <w:sz w:val="24"/>
        </w:rPr>
        <w:t>开标一览表（报价表）；</w:t>
      </w:r>
    </w:p>
    <w:p>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rPr>
      </w:pPr>
      <w:r>
        <w:rPr>
          <w:rFonts w:hint="eastAsia" w:ascii="仿宋" w:hAnsi="仿宋" w:eastAsia="仿宋" w:cs="仿宋"/>
          <w:bCs/>
          <w:color w:val="auto"/>
          <w:sz w:val="24"/>
        </w:rPr>
        <w:t>中小企业声明函（如果有）。</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投标文件含有采购人不能接受的附加条件的，投标无效；</w:t>
      </w:r>
    </w:p>
    <w:p>
      <w:pPr>
        <w:spacing w:line="360" w:lineRule="auto"/>
        <w:ind w:firstLine="482" w:firstLineChars="200"/>
        <w:rPr>
          <w:rFonts w:ascii="仿宋" w:hAnsi="仿宋" w:eastAsia="仿宋" w:cs="仿宋"/>
          <w:b/>
          <w:color w:val="auto"/>
          <w:sz w:val="24"/>
          <w:szCs w:val="21"/>
        </w:rPr>
      </w:pPr>
      <w:r>
        <w:rPr>
          <w:rFonts w:hint="eastAsia" w:ascii="仿宋" w:hAnsi="仿宋" w:eastAsia="仿宋" w:cs="仿宋"/>
          <w:b/>
          <w:color w:val="auto"/>
          <w:sz w:val="24"/>
        </w:rPr>
        <w:t>投标人提供虚假材料投标的，投标无效。</w:t>
      </w:r>
    </w:p>
    <w:p>
      <w:pPr>
        <w:numPr>
          <w:ilvl w:val="0"/>
          <w:numId w:val="4"/>
        </w:numPr>
        <w:tabs>
          <w:tab w:val="left" w:pos="210"/>
        </w:tabs>
        <w:snapToGrid w:val="0"/>
        <w:spacing w:line="360" w:lineRule="auto"/>
        <w:jc w:val="left"/>
        <w:outlineLvl w:val="2"/>
        <w:rPr>
          <w:rFonts w:ascii="仿宋" w:hAnsi="仿宋" w:eastAsia="仿宋" w:cs="仿宋"/>
          <w:b/>
          <w:color w:val="auto"/>
          <w:sz w:val="24"/>
        </w:rPr>
      </w:pPr>
      <w:r>
        <w:rPr>
          <w:rFonts w:hint="eastAsia" w:ascii="仿宋" w:hAnsi="仿宋" w:eastAsia="仿宋" w:cs="仿宋"/>
          <w:b/>
          <w:color w:val="auto"/>
          <w:sz w:val="24"/>
        </w:rPr>
        <w:t>投标文件的编制</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rPr>
      </w:pPr>
      <w:r>
        <w:rPr>
          <w:rFonts w:hint="eastAsia" w:ascii="仿宋" w:hAnsi="仿宋" w:eastAsia="仿宋" w:cs="仿宋"/>
          <w:bCs/>
          <w:color w:val="auto"/>
          <w:sz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lang w:val="zh-CN"/>
        </w:rPr>
      </w:pPr>
      <w:r>
        <w:rPr>
          <w:rFonts w:hint="eastAsia" w:ascii="仿宋" w:hAnsi="仿宋" w:eastAsia="仿宋" w:cs="仿宋"/>
          <w:bCs/>
          <w:color w:val="auto"/>
          <w:sz w:val="24"/>
          <w:lang w:val="zh-CN"/>
        </w:rPr>
        <w:t>投标人进行电子投标应安装客户端软件—“政采云电子交易客户端”，并按照招标文件和电子交易平台的要求编制并加密投标文件。投标人未按规定加密的投标文件，电子交易平台将拒收并提示。</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lang w:val="zh-CN"/>
        </w:rPr>
      </w:pPr>
      <w:r>
        <w:rPr>
          <w:rFonts w:hint="eastAsia" w:ascii="仿宋" w:hAnsi="仿宋" w:eastAsia="仿宋" w:cs="仿宋"/>
          <w:bCs/>
          <w:color w:val="auto"/>
          <w:sz w:val="24"/>
          <w:lang w:val="zh-CN"/>
        </w:rPr>
        <w:t>使用“政采云电子交易客户端”需要提前申领CA数字证书，申领流程请自行前往“浙江政府采购网-下载专区-电子交易客户端-CA驱动和申领流程”进行查阅。</w:t>
      </w:r>
    </w:p>
    <w:p>
      <w:pPr>
        <w:numPr>
          <w:ilvl w:val="0"/>
          <w:numId w:val="4"/>
        </w:numPr>
        <w:tabs>
          <w:tab w:val="left" w:pos="210"/>
        </w:tabs>
        <w:snapToGrid w:val="0"/>
        <w:spacing w:line="360" w:lineRule="auto"/>
        <w:jc w:val="left"/>
        <w:outlineLvl w:val="2"/>
        <w:rPr>
          <w:rFonts w:ascii="仿宋" w:hAnsi="仿宋" w:eastAsia="仿宋" w:cs="仿宋"/>
          <w:b/>
          <w:color w:val="auto"/>
          <w:sz w:val="24"/>
        </w:rPr>
      </w:pPr>
      <w:r>
        <w:rPr>
          <w:rFonts w:hint="eastAsia" w:ascii="仿宋" w:hAnsi="仿宋" w:eastAsia="仿宋" w:cs="仿宋"/>
          <w:b/>
          <w:color w:val="auto"/>
          <w:sz w:val="24"/>
        </w:rPr>
        <w:t>投标文件的签署、盖章</w:t>
      </w:r>
    </w:p>
    <w:p>
      <w:pPr>
        <w:numPr>
          <w:ilvl w:val="1"/>
          <w:numId w:val="4"/>
        </w:numPr>
        <w:tabs>
          <w:tab w:val="left" w:pos="210"/>
          <w:tab w:val="left" w:pos="640"/>
        </w:tabs>
        <w:snapToGrid w:val="0"/>
        <w:spacing w:line="360" w:lineRule="auto"/>
        <w:jc w:val="left"/>
        <w:outlineLvl w:val="2"/>
        <w:rPr>
          <w:rFonts w:ascii="仿宋" w:hAnsi="仿宋" w:eastAsia="仿宋" w:cs="仿宋"/>
          <w:bCs/>
          <w:color w:val="auto"/>
          <w:sz w:val="24"/>
        </w:rPr>
      </w:pPr>
      <w:r>
        <w:rPr>
          <w:rFonts w:hint="eastAsia" w:ascii="仿宋" w:hAnsi="仿宋" w:eastAsia="仿宋" w:cs="仿宋"/>
          <w:bCs/>
          <w:color w:val="auto"/>
          <w:sz w:val="24"/>
        </w:rPr>
        <w:t>投标文件按照招标文件第六部分格式要求进行签署、盖章。</w:t>
      </w:r>
    </w:p>
    <w:p>
      <w:pPr>
        <w:pStyle w:val="133"/>
        <w:snapToGrid w:val="0"/>
        <w:spacing w:before="0"/>
        <w:ind w:firstLine="482"/>
        <w:rPr>
          <w:rFonts w:ascii="仿宋" w:hAnsi="仿宋" w:eastAsia="仿宋" w:cs="仿宋"/>
          <w:b/>
          <w:color w:val="auto"/>
        </w:rPr>
      </w:pPr>
      <w:r>
        <w:rPr>
          <w:rFonts w:hint="eastAsia" w:ascii="仿宋" w:hAnsi="仿宋" w:eastAsia="仿宋" w:cs="仿宋"/>
          <w:b/>
          <w:color w:val="auto"/>
        </w:rPr>
        <w:t>▲投标人的投标文件未按照招标文件要求签署、盖章的，其投标无效</w:t>
      </w:r>
      <w:r>
        <w:rPr>
          <w:rFonts w:hint="eastAsia" w:ascii="仿宋" w:hAnsi="仿宋" w:eastAsia="仿宋" w:cs="仿宋"/>
          <w:color w:val="auto"/>
          <w:szCs w:val="24"/>
        </w:rPr>
        <w:t>。</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rPr>
      </w:pPr>
      <w:r>
        <w:rPr>
          <w:rFonts w:hint="eastAsia" w:ascii="仿宋" w:hAnsi="仿宋" w:eastAsia="仿宋" w:cs="仿宋"/>
          <w:bCs/>
          <w:color w:val="auto"/>
          <w:sz w:val="24"/>
        </w:rPr>
        <w:t>为确保网上操作合法、有效和安全，投标人应当在投标截止时间前完成在“政府采购云平台”的身份认证，确保在电子投标过程中能够对相关数据电文进行加密和使用电子签名。</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rPr>
      </w:pPr>
      <w:r>
        <w:rPr>
          <w:rFonts w:hint="eastAsia" w:ascii="仿宋" w:hAnsi="仿宋" w:eastAsia="仿宋" w:cs="仿宋"/>
          <w:bCs/>
          <w:color w:val="auto"/>
          <w:sz w:val="24"/>
        </w:rPr>
        <w:t>招标文件对投标文件签署、盖章的要求适用于电子签名。</w:t>
      </w:r>
    </w:p>
    <w:p>
      <w:pPr>
        <w:numPr>
          <w:ilvl w:val="0"/>
          <w:numId w:val="4"/>
        </w:numPr>
        <w:tabs>
          <w:tab w:val="left" w:pos="210"/>
        </w:tabs>
        <w:snapToGrid w:val="0"/>
        <w:spacing w:line="360" w:lineRule="auto"/>
        <w:jc w:val="left"/>
        <w:outlineLvl w:val="2"/>
        <w:rPr>
          <w:rFonts w:ascii="仿宋" w:hAnsi="仿宋" w:eastAsia="仿宋" w:cs="仿宋"/>
          <w:b/>
          <w:color w:val="auto"/>
          <w:sz w:val="24"/>
        </w:rPr>
      </w:pPr>
      <w:r>
        <w:rPr>
          <w:rFonts w:hint="eastAsia" w:ascii="仿宋" w:hAnsi="仿宋" w:eastAsia="仿宋" w:cs="仿宋"/>
          <w:b/>
          <w:color w:val="auto"/>
          <w:sz w:val="24"/>
        </w:rPr>
        <w:t>投标文件的提交、补充、修改、撤回</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rPr>
      </w:pPr>
      <w:r>
        <w:rPr>
          <w:rFonts w:hint="eastAsia" w:ascii="仿宋" w:hAnsi="仿宋" w:eastAsia="仿宋" w:cs="仿宋"/>
          <w:bCs/>
          <w:color w:val="auto"/>
          <w:sz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numPr>
          <w:ilvl w:val="1"/>
          <w:numId w:val="4"/>
        </w:numPr>
        <w:tabs>
          <w:tab w:val="left" w:pos="210"/>
          <w:tab w:val="left" w:pos="640"/>
        </w:tabs>
        <w:snapToGrid w:val="0"/>
        <w:spacing w:line="360" w:lineRule="auto"/>
        <w:jc w:val="left"/>
        <w:outlineLvl w:val="2"/>
        <w:rPr>
          <w:rFonts w:ascii="仿宋" w:hAnsi="仿宋" w:eastAsia="仿宋" w:cs="仿宋"/>
          <w:bCs/>
          <w:color w:val="auto"/>
          <w:sz w:val="24"/>
        </w:rPr>
      </w:pPr>
      <w:r>
        <w:rPr>
          <w:rFonts w:hint="eastAsia" w:ascii="仿宋" w:hAnsi="仿宋" w:eastAsia="仿宋" w:cs="仿宋"/>
          <w:bCs/>
          <w:color w:val="auto"/>
          <w:sz w:val="24"/>
        </w:rPr>
        <w:t>电子交易平台收到投标文件，将妥善保存并即时向供应商发出确认回执通知。在投标截止时间前，除供应商补充、修改或者撤回投标文件外，任何单位和个人不得解密或提取投标文件。</w:t>
      </w:r>
    </w:p>
    <w:p>
      <w:pPr>
        <w:numPr>
          <w:ilvl w:val="1"/>
          <w:numId w:val="4"/>
        </w:numPr>
        <w:tabs>
          <w:tab w:val="left" w:pos="210"/>
          <w:tab w:val="left" w:pos="640"/>
        </w:tabs>
        <w:snapToGrid w:val="0"/>
        <w:spacing w:line="360" w:lineRule="auto"/>
        <w:jc w:val="left"/>
        <w:outlineLvl w:val="2"/>
        <w:rPr>
          <w:rFonts w:ascii="仿宋" w:hAnsi="仿宋" w:eastAsia="仿宋" w:cs="仿宋"/>
          <w:bCs/>
          <w:color w:val="auto"/>
          <w:sz w:val="24"/>
        </w:rPr>
      </w:pPr>
      <w:r>
        <w:rPr>
          <w:rFonts w:hint="eastAsia" w:ascii="仿宋" w:hAnsi="仿宋" w:eastAsia="仿宋" w:cs="仿宋"/>
          <w:bCs/>
          <w:color w:val="auto"/>
          <w:sz w:val="24"/>
        </w:rPr>
        <w:t>采购人、采购代理机构可以视情况延长投标文件提交的截止时间。在上述情况下，采购代理机构与投标人以前在投标截止期方面的全部权利、责任和义务，将适用于延长至新的投标截止期。</w:t>
      </w:r>
    </w:p>
    <w:p>
      <w:pPr>
        <w:numPr>
          <w:ilvl w:val="0"/>
          <w:numId w:val="4"/>
        </w:numPr>
        <w:tabs>
          <w:tab w:val="left" w:pos="210"/>
        </w:tabs>
        <w:snapToGrid w:val="0"/>
        <w:spacing w:line="360" w:lineRule="auto"/>
        <w:jc w:val="left"/>
        <w:outlineLvl w:val="2"/>
        <w:rPr>
          <w:rFonts w:ascii="仿宋" w:hAnsi="仿宋" w:eastAsia="仿宋" w:cs="仿宋"/>
          <w:b/>
          <w:color w:val="auto"/>
          <w:sz w:val="24"/>
        </w:rPr>
      </w:pPr>
      <w:r>
        <w:rPr>
          <w:rFonts w:hint="eastAsia" w:ascii="仿宋" w:hAnsi="仿宋" w:eastAsia="仿宋" w:cs="仿宋"/>
          <w:b/>
          <w:color w:val="auto"/>
          <w:sz w:val="24"/>
        </w:rPr>
        <w:t>备份投标文件</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rPr>
      </w:pPr>
      <w:r>
        <w:rPr>
          <w:rFonts w:hint="eastAsia" w:ascii="仿宋" w:hAnsi="仿宋" w:eastAsia="仿宋" w:cs="仿宋"/>
          <w:bCs/>
          <w:color w:val="auto"/>
          <w:sz w:val="24"/>
        </w:rPr>
        <w:t>投标人在电子交易平台传输递交投标文件后，还可以在投标截止时间前直接提交或者以邮政快递方式递交备份投标文件1份，</w:t>
      </w:r>
      <w:r>
        <w:rPr>
          <w:rFonts w:hint="eastAsia" w:ascii="仿宋" w:hAnsi="仿宋" w:eastAsia="仿宋" w:cs="仿宋"/>
          <w:b/>
          <w:color w:val="auto"/>
          <w:sz w:val="24"/>
        </w:rPr>
        <w:t>但采购人、采购代理机构不强制或变相强制投标人提交备份投标文件</w:t>
      </w:r>
      <w:r>
        <w:rPr>
          <w:rFonts w:hint="eastAsia" w:ascii="仿宋" w:hAnsi="仿宋" w:eastAsia="仿宋" w:cs="仿宋"/>
          <w:bCs/>
          <w:color w:val="auto"/>
          <w:sz w:val="24"/>
        </w:rPr>
        <w:t>。</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rPr>
      </w:pPr>
      <w:r>
        <w:rPr>
          <w:rFonts w:hint="eastAsia" w:ascii="仿宋" w:hAnsi="仿宋" w:eastAsia="仿宋" w:cs="仿宋"/>
          <w:bCs/>
          <w:color w:val="auto"/>
          <w:sz w:val="24"/>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rPr>
        <w:t>不符合上述制作、存储、密封规定的备份投标文件将被视为无效或者被拒绝接收。</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rPr>
      </w:pPr>
      <w:r>
        <w:rPr>
          <w:rFonts w:hint="eastAsia" w:ascii="仿宋" w:hAnsi="仿宋" w:eastAsia="仿宋" w:cs="仿宋"/>
          <w:bCs/>
          <w:color w:val="auto"/>
          <w:sz w:val="24"/>
        </w:rPr>
        <w:t>直接提交备份投标文件的，投标人应于投标截止时间前在招标公告中载明的开标地点将备份投标文件提交给采购代理机构，</w:t>
      </w:r>
      <w:r>
        <w:rPr>
          <w:rFonts w:hint="eastAsia" w:ascii="仿宋" w:hAnsi="仿宋" w:eastAsia="仿宋" w:cs="仿宋"/>
          <w:b/>
          <w:color w:val="auto"/>
          <w:sz w:val="24"/>
        </w:rPr>
        <w:t>采购代理机构将拒绝接受逾期送达的备份投标文件</w:t>
      </w:r>
      <w:r>
        <w:rPr>
          <w:rFonts w:hint="eastAsia" w:ascii="仿宋" w:hAnsi="仿宋" w:eastAsia="仿宋" w:cs="仿宋"/>
          <w:bCs/>
          <w:color w:val="auto"/>
          <w:sz w:val="24"/>
        </w:rPr>
        <w:t>。</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rPr>
      </w:pPr>
      <w:r>
        <w:rPr>
          <w:rFonts w:hint="eastAsia" w:ascii="仿宋" w:hAnsi="仿宋" w:eastAsia="仿宋" w:cs="仿宋"/>
          <w:bCs/>
          <w:color w:val="auto"/>
          <w:sz w:val="24"/>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
          <w:color w:val="auto"/>
          <w:sz w:val="24"/>
        </w:rPr>
      </w:pPr>
      <w:r>
        <w:rPr>
          <w:rFonts w:hint="eastAsia" w:ascii="仿宋" w:hAnsi="仿宋" w:eastAsia="仿宋" w:cs="仿宋"/>
          <w:b/>
          <w:color w:val="auto"/>
          <w:sz w:val="24"/>
        </w:rPr>
        <w:t>投标人仅提交备份投标文件，未在电子交易平台传输递交投标文件的，投标无效。</w:t>
      </w:r>
    </w:p>
    <w:p>
      <w:pPr>
        <w:numPr>
          <w:ilvl w:val="0"/>
          <w:numId w:val="4"/>
        </w:numPr>
        <w:tabs>
          <w:tab w:val="left" w:pos="210"/>
        </w:tabs>
        <w:snapToGrid w:val="0"/>
        <w:spacing w:line="360" w:lineRule="auto"/>
        <w:jc w:val="left"/>
        <w:outlineLvl w:val="2"/>
        <w:rPr>
          <w:rFonts w:ascii="仿宋" w:hAnsi="仿宋" w:eastAsia="仿宋" w:cs="仿宋"/>
          <w:b/>
          <w:color w:val="auto"/>
          <w:sz w:val="24"/>
        </w:rPr>
      </w:pPr>
      <w:r>
        <w:rPr>
          <w:rFonts w:hint="eastAsia" w:ascii="仿宋" w:hAnsi="仿宋" w:eastAsia="仿宋" w:cs="仿宋"/>
          <w:b/>
          <w:color w:val="auto"/>
          <w:sz w:val="24"/>
        </w:rPr>
        <w:t>投标文件的无效处理</w:t>
      </w:r>
    </w:p>
    <w:p>
      <w:pPr>
        <w:pStyle w:val="26"/>
        <w:spacing w:line="360" w:lineRule="auto"/>
        <w:ind w:firstLine="360" w:firstLineChars="150"/>
        <w:rPr>
          <w:rFonts w:ascii="仿宋" w:hAnsi="仿宋" w:eastAsia="仿宋" w:cs="仿宋"/>
          <w:color w:val="auto"/>
          <w:szCs w:val="21"/>
        </w:rPr>
      </w:pPr>
      <w:r>
        <w:rPr>
          <w:rFonts w:hint="eastAsia" w:ascii="仿宋" w:hAnsi="仿宋" w:eastAsia="仿宋" w:cs="仿宋"/>
          <w:color w:val="auto"/>
          <w:szCs w:val="21"/>
        </w:rPr>
        <w:t>有招标文件第四部分</w:t>
      </w:r>
      <w:r>
        <w:rPr>
          <w:rFonts w:hint="eastAsia" w:ascii="仿宋" w:hAnsi="仿宋" w:eastAsia="仿宋" w:cs="仿宋"/>
          <w:color w:val="auto"/>
        </w:rPr>
        <w:t>第4.2项规定</w:t>
      </w:r>
      <w:r>
        <w:rPr>
          <w:rFonts w:hint="eastAsia" w:ascii="仿宋" w:hAnsi="仿宋" w:eastAsia="仿宋" w:cs="仿宋"/>
          <w:color w:val="auto"/>
          <w:szCs w:val="21"/>
        </w:rPr>
        <w:t>的情形之一的，投标无效：</w:t>
      </w:r>
    </w:p>
    <w:p>
      <w:pPr>
        <w:numPr>
          <w:ilvl w:val="0"/>
          <w:numId w:val="4"/>
        </w:numPr>
        <w:tabs>
          <w:tab w:val="left" w:pos="210"/>
        </w:tabs>
        <w:snapToGrid w:val="0"/>
        <w:spacing w:line="360" w:lineRule="auto"/>
        <w:jc w:val="left"/>
        <w:outlineLvl w:val="2"/>
        <w:rPr>
          <w:rFonts w:ascii="仿宋" w:hAnsi="仿宋" w:eastAsia="仿宋" w:cs="仿宋"/>
          <w:b/>
          <w:color w:val="auto"/>
          <w:sz w:val="24"/>
        </w:rPr>
      </w:pPr>
      <w:r>
        <w:rPr>
          <w:rFonts w:hint="eastAsia" w:ascii="仿宋" w:hAnsi="仿宋" w:eastAsia="仿宋" w:cs="仿宋"/>
          <w:b/>
          <w:color w:val="auto"/>
          <w:sz w:val="24"/>
        </w:rPr>
        <w:t>投标有效期</w:t>
      </w:r>
    </w:p>
    <w:p>
      <w:pPr>
        <w:numPr>
          <w:ilvl w:val="1"/>
          <w:numId w:val="4"/>
        </w:numPr>
        <w:tabs>
          <w:tab w:val="left" w:pos="210"/>
          <w:tab w:val="left" w:pos="640"/>
        </w:tabs>
        <w:snapToGrid w:val="0"/>
        <w:spacing w:line="360" w:lineRule="auto"/>
        <w:jc w:val="left"/>
        <w:outlineLvl w:val="2"/>
        <w:rPr>
          <w:rFonts w:ascii="仿宋" w:hAnsi="仿宋" w:eastAsia="仿宋" w:cs="仿宋"/>
          <w:bCs/>
          <w:color w:val="auto"/>
          <w:sz w:val="24"/>
        </w:rPr>
      </w:pPr>
      <w:r>
        <w:rPr>
          <w:rFonts w:hint="eastAsia" w:ascii="仿宋" w:hAnsi="仿宋" w:eastAsia="仿宋" w:cs="仿宋"/>
          <w:bCs/>
          <w:color w:val="auto"/>
          <w:sz w:val="24"/>
        </w:rPr>
        <w:t>投标有效期为从提交投标文件的截止之日起90天。</w:t>
      </w:r>
    </w:p>
    <w:p>
      <w:pPr>
        <w:spacing w:line="360" w:lineRule="auto"/>
        <w:ind w:firstLine="480" w:firstLineChars="200"/>
        <w:rPr>
          <w:rFonts w:ascii="仿宋" w:hAnsi="仿宋" w:eastAsia="仿宋" w:cs="仿宋"/>
          <w:b/>
          <w:color w:val="auto"/>
          <w:sz w:val="24"/>
          <w:szCs w:val="21"/>
        </w:rPr>
      </w:pPr>
      <w:r>
        <w:rPr>
          <w:rFonts w:hint="eastAsia" w:ascii="仿宋" w:hAnsi="仿宋" w:eastAsia="仿宋" w:cs="仿宋"/>
          <w:color w:val="auto"/>
          <w:sz w:val="24"/>
          <w:szCs w:val="20"/>
        </w:rPr>
        <w:t>▲</w:t>
      </w:r>
      <w:r>
        <w:rPr>
          <w:rFonts w:hint="eastAsia" w:ascii="仿宋" w:hAnsi="仿宋" w:eastAsia="仿宋" w:cs="仿宋"/>
          <w:b/>
          <w:color w:val="auto"/>
          <w:sz w:val="24"/>
          <w:szCs w:val="20"/>
        </w:rPr>
        <w:t>投标人的投标文件中承</w:t>
      </w:r>
      <w:r>
        <w:rPr>
          <w:rFonts w:hint="eastAsia" w:ascii="仿宋" w:hAnsi="仿宋" w:eastAsia="仿宋" w:cs="仿宋"/>
          <w:b/>
          <w:color w:val="auto"/>
          <w:sz w:val="24"/>
          <w:szCs w:val="21"/>
        </w:rPr>
        <w:t>诺的投标有效期少于招标文件中载明的投标有效期的，投标无效。</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rPr>
      </w:pPr>
      <w:r>
        <w:rPr>
          <w:rFonts w:hint="eastAsia" w:ascii="仿宋" w:hAnsi="仿宋" w:eastAsia="仿宋" w:cs="仿宋"/>
          <w:bCs/>
          <w:color w:val="auto"/>
          <w:sz w:val="24"/>
        </w:rPr>
        <w:t>投标文件合格投递后，自投标截止日期起，在投标有效期内有效。</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rPr>
      </w:pPr>
      <w:r>
        <w:rPr>
          <w:rFonts w:hint="eastAsia" w:ascii="仿宋" w:hAnsi="仿宋" w:eastAsia="仿宋" w:cs="仿宋"/>
          <w:bCs/>
          <w:color w:val="auto"/>
          <w:sz w:val="24"/>
        </w:rPr>
        <w:t>在原定投标有效期满之前，如果出现特殊情况，采购代理机构可以以书面形式通知投标人延长投标有效期。投标人同意延长的，不得要求或被允许修改其投标文件，投标人拒绝延长的，其投标无效。</w:t>
      </w:r>
    </w:p>
    <w:p>
      <w:pPr>
        <w:adjustRightInd/>
        <w:spacing w:line="360" w:lineRule="auto"/>
        <w:jc w:val="center"/>
        <w:outlineLvl w:val="1"/>
        <w:rPr>
          <w:rFonts w:ascii="仿宋" w:hAnsi="仿宋" w:eastAsia="仿宋" w:cs="仿宋"/>
          <w:b/>
          <w:color w:val="auto"/>
          <w:sz w:val="30"/>
          <w:szCs w:val="20"/>
        </w:rPr>
      </w:pPr>
      <w:r>
        <w:rPr>
          <w:rFonts w:hint="eastAsia" w:ascii="仿宋" w:hAnsi="仿宋" w:eastAsia="仿宋" w:cs="仿宋"/>
          <w:b/>
          <w:color w:val="auto"/>
          <w:sz w:val="30"/>
          <w:szCs w:val="20"/>
        </w:rPr>
        <w:t>四、开标、资格审查与信用信息查询</w:t>
      </w:r>
    </w:p>
    <w:p>
      <w:pPr>
        <w:numPr>
          <w:ilvl w:val="0"/>
          <w:numId w:val="4"/>
        </w:numPr>
        <w:tabs>
          <w:tab w:val="left" w:pos="210"/>
        </w:tabs>
        <w:snapToGrid w:val="0"/>
        <w:spacing w:line="360" w:lineRule="auto"/>
        <w:jc w:val="left"/>
        <w:outlineLvl w:val="2"/>
        <w:rPr>
          <w:rFonts w:ascii="仿宋" w:hAnsi="仿宋" w:eastAsia="仿宋" w:cs="仿宋"/>
          <w:b/>
          <w:color w:val="auto"/>
          <w:sz w:val="24"/>
        </w:rPr>
      </w:pPr>
      <w:r>
        <w:rPr>
          <w:rFonts w:hint="eastAsia" w:ascii="仿宋" w:hAnsi="仿宋" w:eastAsia="仿宋" w:cs="仿宋"/>
          <w:b/>
          <w:color w:val="auto"/>
          <w:sz w:val="24"/>
        </w:rPr>
        <w:t xml:space="preserve">开标 </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rPr>
      </w:pPr>
      <w:r>
        <w:rPr>
          <w:rFonts w:hint="eastAsia" w:ascii="仿宋" w:hAnsi="仿宋" w:eastAsia="仿宋" w:cs="仿宋"/>
          <w:bCs/>
          <w:color w:val="auto"/>
          <w:sz w:val="24"/>
        </w:rPr>
        <w:t>采购代理机构按照招标文件规定的时间通过电子交易平台组织开标，所有投标人均应当准时在线参加。投标人不足3家的，不得开标。</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rPr>
      </w:pPr>
      <w:r>
        <w:rPr>
          <w:rFonts w:hint="eastAsia" w:ascii="仿宋" w:hAnsi="仿宋" w:eastAsia="仿宋" w:cs="仿宋"/>
          <w:bCs/>
          <w:color w:val="auto"/>
          <w:sz w:val="24"/>
        </w:rPr>
        <w:t>开标时，电子交易平台按开标时间自动提取所有投标文件。采购代理机构依托电子交易平台发起开始解密指令，投标人按照平台提示和招标文件的规定在半小时内完成在线解密。</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
          <w:color w:val="auto"/>
          <w:sz w:val="24"/>
        </w:rPr>
      </w:pPr>
      <w:r>
        <w:rPr>
          <w:rFonts w:hint="eastAsia" w:ascii="仿宋" w:hAnsi="仿宋" w:eastAsia="仿宋" w:cs="仿宋"/>
          <w:b/>
          <w:color w:val="auto"/>
          <w:sz w:val="24"/>
        </w:rPr>
        <w:t>投标文件未按时解密，投标人提供了备份投标文件的，以备份投标文件作为依据，否则视为投标文件撤回。投标文件已按时解密的，备份投标文件自动失效。</w:t>
      </w:r>
    </w:p>
    <w:p>
      <w:pPr>
        <w:numPr>
          <w:ilvl w:val="0"/>
          <w:numId w:val="4"/>
        </w:numPr>
        <w:tabs>
          <w:tab w:val="left" w:pos="210"/>
        </w:tabs>
        <w:snapToGrid w:val="0"/>
        <w:spacing w:line="360" w:lineRule="auto"/>
        <w:jc w:val="left"/>
        <w:outlineLvl w:val="2"/>
        <w:rPr>
          <w:rFonts w:ascii="仿宋" w:hAnsi="仿宋" w:eastAsia="仿宋" w:cs="仿宋"/>
          <w:b/>
          <w:color w:val="auto"/>
          <w:sz w:val="24"/>
        </w:rPr>
      </w:pPr>
      <w:r>
        <w:rPr>
          <w:rFonts w:hint="eastAsia" w:ascii="仿宋" w:hAnsi="仿宋" w:eastAsia="仿宋" w:cs="仿宋"/>
          <w:b/>
          <w:color w:val="auto"/>
          <w:sz w:val="24"/>
        </w:rPr>
        <w:t>资格审查</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rPr>
      </w:pPr>
      <w:r>
        <w:rPr>
          <w:rFonts w:hint="eastAsia" w:ascii="仿宋" w:hAnsi="仿宋" w:eastAsia="仿宋" w:cs="仿宋"/>
          <w:bCs/>
          <w:color w:val="auto"/>
          <w:sz w:val="24"/>
        </w:rPr>
        <w:t>采购人或采购代理机构依据法律法规和招标文件的规定，对投标人的资格进行审查。</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rPr>
      </w:pPr>
      <w:r>
        <w:rPr>
          <w:rFonts w:hint="eastAsia" w:ascii="仿宋" w:hAnsi="仿宋" w:eastAsia="仿宋" w:cs="仿宋"/>
          <w:bCs/>
          <w:color w:val="auto"/>
          <w:sz w:val="24"/>
        </w:rPr>
        <w:t>投标人未按照招标文件要求提供与资格条件相应的有效资格证明材料的，视为投标人不具备招标文件中规定的资格要求，其投标无效。</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rPr>
      </w:pPr>
      <w:r>
        <w:rPr>
          <w:rFonts w:hint="eastAsia" w:ascii="仿宋" w:hAnsi="仿宋" w:eastAsia="仿宋" w:cs="仿宋"/>
          <w:bCs/>
          <w:color w:val="auto"/>
          <w:sz w:val="24"/>
        </w:rPr>
        <w:t>对未通过资格审查的投标人，采购人或采购代理机构告知其未通过的原因。</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rPr>
      </w:pPr>
      <w:r>
        <w:rPr>
          <w:rFonts w:hint="eastAsia" w:ascii="仿宋" w:hAnsi="仿宋" w:eastAsia="仿宋" w:cs="仿宋"/>
          <w:bCs/>
          <w:color w:val="auto"/>
          <w:sz w:val="24"/>
        </w:rPr>
        <w:t>合格投标人不足3家的，不再评标。</w:t>
      </w:r>
    </w:p>
    <w:p>
      <w:pPr>
        <w:numPr>
          <w:ilvl w:val="0"/>
          <w:numId w:val="4"/>
        </w:numPr>
        <w:tabs>
          <w:tab w:val="left" w:pos="210"/>
        </w:tabs>
        <w:snapToGrid w:val="0"/>
        <w:spacing w:line="360" w:lineRule="auto"/>
        <w:jc w:val="left"/>
        <w:outlineLvl w:val="2"/>
        <w:rPr>
          <w:rFonts w:ascii="仿宋" w:hAnsi="仿宋" w:eastAsia="仿宋" w:cs="仿宋"/>
          <w:b/>
          <w:color w:val="auto"/>
          <w:sz w:val="24"/>
        </w:rPr>
      </w:pPr>
      <w:r>
        <w:rPr>
          <w:rFonts w:hint="eastAsia" w:ascii="仿宋" w:hAnsi="仿宋" w:eastAsia="仿宋" w:cs="仿宋"/>
          <w:b/>
          <w:color w:val="auto"/>
          <w:sz w:val="24"/>
        </w:rPr>
        <w:t>信用信息查询</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rPr>
      </w:pPr>
      <w:r>
        <w:rPr>
          <w:rFonts w:hint="eastAsia" w:ascii="仿宋" w:hAnsi="仿宋" w:eastAsia="仿宋" w:cs="仿宋"/>
          <w:bCs/>
          <w:color w:val="auto"/>
          <w:sz w:val="24"/>
        </w:rPr>
        <w:t>信用信息查询渠道及截止时间：采购代理机构将通过“信用中国”网站(www.creditchina.gov.cn)、中国政府采购网(www.ccgp.gov.cn)渠道查询投标人投标截止时间当天的信用记录。</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rPr>
      </w:pPr>
      <w:r>
        <w:rPr>
          <w:rFonts w:hint="eastAsia" w:ascii="仿宋" w:hAnsi="仿宋" w:eastAsia="仿宋" w:cs="仿宋"/>
          <w:bCs/>
          <w:color w:val="auto"/>
          <w:sz w:val="24"/>
        </w:rPr>
        <w:t>信用信息查询记录和证据留存的具体方式：现场查询的投标人的信用记录、查询结果经确认后将与采购文件一起存档。</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rPr>
      </w:pPr>
      <w:r>
        <w:rPr>
          <w:rFonts w:hint="eastAsia" w:ascii="仿宋" w:hAnsi="仿宋" w:eastAsia="仿宋" w:cs="仿宋"/>
          <w:bCs/>
          <w:color w:val="auto"/>
          <w:sz w:val="24"/>
        </w:rPr>
        <w:t>信用信息的使用规则：经查询列入失信被执行人名单、重大税收违法案件当事人名单、政府采购严重违法失信行为记录名单的投标人将被拒绝参与政府采购活动。</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color w:val="auto"/>
          <w:kern w:val="0"/>
        </w:rPr>
      </w:pPr>
      <w:r>
        <w:rPr>
          <w:rFonts w:hint="eastAsia" w:ascii="仿宋" w:hAnsi="仿宋" w:eastAsia="仿宋" w:cs="仿宋"/>
          <w:bCs/>
          <w:color w:val="auto"/>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napToGrid w:val="0"/>
        <w:spacing w:line="360" w:lineRule="auto"/>
        <w:jc w:val="center"/>
        <w:outlineLvl w:val="1"/>
        <w:rPr>
          <w:rFonts w:ascii="仿宋" w:hAnsi="仿宋" w:eastAsia="仿宋" w:cs="仿宋"/>
          <w:b/>
          <w:color w:val="auto"/>
          <w:sz w:val="36"/>
          <w:szCs w:val="36"/>
        </w:rPr>
      </w:pPr>
      <w:r>
        <w:rPr>
          <w:rFonts w:hint="eastAsia" w:ascii="仿宋" w:hAnsi="仿宋" w:eastAsia="仿宋" w:cs="仿宋"/>
          <w:b/>
          <w:color w:val="auto"/>
          <w:sz w:val="36"/>
          <w:szCs w:val="36"/>
        </w:rPr>
        <w:t>五、评标</w:t>
      </w:r>
    </w:p>
    <w:p>
      <w:pPr>
        <w:numPr>
          <w:ilvl w:val="0"/>
          <w:numId w:val="4"/>
        </w:numPr>
        <w:tabs>
          <w:tab w:val="left" w:pos="210"/>
        </w:tabs>
        <w:snapToGrid w:val="0"/>
        <w:spacing w:line="360" w:lineRule="auto"/>
        <w:jc w:val="left"/>
        <w:outlineLvl w:val="2"/>
        <w:rPr>
          <w:rFonts w:ascii="仿宋" w:hAnsi="仿宋" w:eastAsia="仿宋" w:cs="仿宋"/>
          <w:b/>
          <w:color w:val="auto"/>
          <w:sz w:val="24"/>
        </w:rPr>
      </w:pPr>
      <w:bookmarkStart w:id="15" w:name="_Toc91899903"/>
      <w:r>
        <w:rPr>
          <w:rFonts w:hint="eastAsia" w:ascii="仿宋" w:hAnsi="仿宋" w:eastAsia="仿宋" w:cs="仿宋"/>
          <w:b/>
          <w:color w:val="auto"/>
          <w:sz w:val="24"/>
        </w:rPr>
        <w:t>评标</w:t>
      </w:r>
    </w:p>
    <w:p>
      <w:pPr>
        <w:spacing w:line="360" w:lineRule="auto"/>
        <w:ind w:firstLine="480" w:firstLineChars="200"/>
        <w:rPr>
          <w:rFonts w:ascii="仿宋" w:hAnsi="仿宋" w:eastAsia="仿宋" w:cs="仿宋"/>
          <w:b/>
          <w:color w:val="auto"/>
          <w:sz w:val="24"/>
        </w:rPr>
      </w:pPr>
      <w:r>
        <w:rPr>
          <w:rFonts w:hint="eastAsia" w:ascii="仿宋" w:hAnsi="仿宋" w:eastAsia="仿宋" w:cs="仿宋"/>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rPr>
        <w:t>详见招标文件第四部分评标办法。</w:t>
      </w:r>
    </w:p>
    <w:p>
      <w:pPr>
        <w:snapToGrid w:val="0"/>
        <w:spacing w:line="360" w:lineRule="auto"/>
        <w:jc w:val="center"/>
        <w:outlineLvl w:val="1"/>
        <w:rPr>
          <w:rFonts w:ascii="仿宋" w:hAnsi="仿宋" w:eastAsia="仿宋" w:cs="仿宋"/>
          <w:b/>
          <w:color w:val="auto"/>
          <w:sz w:val="36"/>
          <w:szCs w:val="36"/>
        </w:rPr>
      </w:pPr>
      <w:r>
        <w:rPr>
          <w:rFonts w:hint="eastAsia" w:ascii="仿宋" w:hAnsi="仿宋" w:eastAsia="仿宋" w:cs="仿宋"/>
          <w:b/>
          <w:color w:val="auto"/>
          <w:sz w:val="36"/>
          <w:szCs w:val="36"/>
        </w:rPr>
        <w:t>六、定 标</w:t>
      </w:r>
    </w:p>
    <w:p>
      <w:pPr>
        <w:numPr>
          <w:ilvl w:val="0"/>
          <w:numId w:val="4"/>
        </w:numPr>
        <w:tabs>
          <w:tab w:val="left" w:pos="210"/>
        </w:tabs>
        <w:snapToGrid w:val="0"/>
        <w:spacing w:line="360" w:lineRule="auto"/>
        <w:jc w:val="left"/>
        <w:outlineLvl w:val="2"/>
        <w:rPr>
          <w:rFonts w:ascii="仿宋" w:hAnsi="仿宋" w:eastAsia="仿宋" w:cs="仿宋"/>
          <w:b/>
          <w:color w:val="auto"/>
          <w:sz w:val="24"/>
        </w:rPr>
      </w:pPr>
      <w:r>
        <w:rPr>
          <w:rFonts w:hint="eastAsia" w:ascii="仿宋" w:hAnsi="仿宋" w:eastAsia="仿宋" w:cs="仿宋"/>
          <w:b/>
          <w:color w:val="auto"/>
          <w:sz w:val="24"/>
        </w:rPr>
        <w:t>确定中标供应商</w:t>
      </w:r>
    </w:p>
    <w:p>
      <w:pPr>
        <w:pStyle w:val="133"/>
        <w:snapToGrid w:val="0"/>
        <w:spacing w:before="0"/>
        <w:ind w:firstLine="420" w:firstLineChars="175"/>
        <w:rPr>
          <w:rFonts w:ascii="仿宋" w:hAnsi="仿宋" w:eastAsia="仿宋" w:cs="仿宋"/>
          <w:color w:val="auto"/>
          <w:szCs w:val="24"/>
        </w:rPr>
      </w:pPr>
      <w:r>
        <w:rPr>
          <w:rFonts w:hint="eastAsia" w:ascii="仿宋" w:hAnsi="仿宋" w:eastAsia="仿宋" w:cs="仿宋"/>
          <w:color w:val="auto"/>
          <w:szCs w:val="24"/>
        </w:rPr>
        <w:t>采购代理机构应当自评审结束之日起2个工作日内将评审报告送交采购人。采购单位应当自收到评审报告之日起5个工作日内在线确定中标或者中标供应商。中标、成交通知书和中标、成交结果公告应当在规定时间内同时发出。</w:t>
      </w:r>
    </w:p>
    <w:p>
      <w:pPr>
        <w:numPr>
          <w:ilvl w:val="0"/>
          <w:numId w:val="4"/>
        </w:numPr>
        <w:tabs>
          <w:tab w:val="left" w:pos="210"/>
        </w:tabs>
        <w:snapToGrid w:val="0"/>
        <w:spacing w:line="360" w:lineRule="auto"/>
        <w:jc w:val="left"/>
        <w:outlineLvl w:val="2"/>
        <w:rPr>
          <w:rFonts w:ascii="仿宋" w:hAnsi="仿宋" w:eastAsia="仿宋" w:cs="仿宋"/>
          <w:b/>
          <w:color w:val="auto"/>
          <w:sz w:val="24"/>
        </w:rPr>
      </w:pPr>
      <w:r>
        <w:rPr>
          <w:rFonts w:hint="eastAsia" w:ascii="仿宋" w:hAnsi="仿宋" w:eastAsia="仿宋" w:cs="仿宋"/>
          <w:b/>
          <w:color w:val="auto"/>
          <w:sz w:val="24"/>
        </w:rPr>
        <w:t>中标通知与中标结果公告</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rPr>
      </w:pPr>
      <w:r>
        <w:rPr>
          <w:rFonts w:hint="eastAsia" w:ascii="仿宋" w:hAnsi="仿宋" w:eastAsia="仿宋" w:cs="仿宋"/>
          <w:bCs/>
          <w:color w:val="auto"/>
          <w:sz w:val="24"/>
        </w:rPr>
        <w:t>自中标人确定之日起2个工作日内，采购代理机构编制发布采购结果公告，同时通过电子交易平台向中标人发出中标通知书。采购代理机构也可以以纸质形式进行中标通知。</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rPr>
      </w:pPr>
      <w:r>
        <w:rPr>
          <w:rFonts w:hint="eastAsia" w:ascii="仿宋" w:hAnsi="仿宋" w:eastAsia="仿宋" w:cs="仿宋"/>
          <w:bCs/>
          <w:color w:val="auto"/>
          <w:sz w:val="24"/>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color w:val="auto"/>
        </w:rPr>
      </w:pPr>
      <w:r>
        <w:rPr>
          <w:rFonts w:hint="eastAsia" w:ascii="仿宋" w:hAnsi="仿宋" w:eastAsia="仿宋" w:cs="仿宋"/>
          <w:bCs/>
          <w:color w:val="auto"/>
          <w:sz w:val="24"/>
        </w:rPr>
        <w:t>公告期限为1个工作日。</w:t>
      </w:r>
    </w:p>
    <w:p>
      <w:pPr>
        <w:snapToGrid w:val="0"/>
        <w:spacing w:line="360" w:lineRule="auto"/>
        <w:jc w:val="center"/>
        <w:outlineLvl w:val="2"/>
        <w:rPr>
          <w:rFonts w:ascii="仿宋" w:hAnsi="仿宋" w:eastAsia="仿宋" w:cs="仿宋"/>
          <w:b/>
          <w:color w:val="auto"/>
          <w:sz w:val="36"/>
          <w:szCs w:val="36"/>
        </w:rPr>
      </w:pPr>
      <w:r>
        <w:rPr>
          <w:rFonts w:hint="eastAsia" w:ascii="仿宋" w:hAnsi="仿宋" w:eastAsia="仿宋" w:cs="仿宋"/>
          <w:b/>
          <w:color w:val="auto"/>
          <w:sz w:val="36"/>
          <w:szCs w:val="36"/>
        </w:rPr>
        <w:t>七、合同授予</w:t>
      </w:r>
    </w:p>
    <w:p>
      <w:pPr>
        <w:numPr>
          <w:ilvl w:val="0"/>
          <w:numId w:val="4"/>
        </w:numPr>
        <w:tabs>
          <w:tab w:val="left" w:pos="210"/>
        </w:tabs>
        <w:snapToGrid w:val="0"/>
        <w:spacing w:line="360" w:lineRule="auto"/>
        <w:jc w:val="left"/>
        <w:outlineLvl w:val="3"/>
        <w:rPr>
          <w:rFonts w:ascii="仿宋" w:hAnsi="仿宋" w:eastAsia="仿宋" w:cs="仿宋"/>
          <w:b/>
          <w:color w:val="auto"/>
          <w:sz w:val="24"/>
        </w:rPr>
      </w:pPr>
      <w:r>
        <w:rPr>
          <w:rFonts w:hint="eastAsia" w:ascii="仿宋" w:hAnsi="仿宋" w:eastAsia="仿宋" w:cs="仿宋"/>
          <w:b/>
          <w:color w:val="auto"/>
          <w:sz w:val="24"/>
        </w:rPr>
        <w:t>合同授予</w:t>
      </w:r>
    </w:p>
    <w:p>
      <w:pPr>
        <w:widowControl/>
        <w:shd w:val="clear" w:color="auto" w:fill="FFFFFF"/>
        <w:spacing w:line="360" w:lineRule="auto"/>
        <w:ind w:firstLine="420"/>
        <w:jc w:val="left"/>
        <w:rPr>
          <w:rFonts w:ascii="仿宋" w:hAnsi="仿宋" w:eastAsia="仿宋" w:cs="仿宋"/>
          <w:color w:val="auto"/>
          <w:sz w:val="24"/>
        </w:rPr>
      </w:pPr>
      <w:r>
        <w:rPr>
          <w:rFonts w:hint="eastAsia" w:ascii="仿宋" w:hAnsi="仿宋" w:eastAsia="仿宋" w:cs="仿宋"/>
          <w:color w:val="auto"/>
          <w:sz w:val="24"/>
        </w:rPr>
        <w:t>合同主要条款详见第五部分拟签订的合同文本。</w:t>
      </w:r>
    </w:p>
    <w:p>
      <w:pPr>
        <w:numPr>
          <w:ilvl w:val="0"/>
          <w:numId w:val="4"/>
        </w:numPr>
        <w:tabs>
          <w:tab w:val="left" w:pos="210"/>
        </w:tabs>
        <w:snapToGrid w:val="0"/>
        <w:spacing w:line="360" w:lineRule="auto"/>
        <w:jc w:val="left"/>
        <w:outlineLvl w:val="3"/>
        <w:rPr>
          <w:rFonts w:ascii="仿宋" w:hAnsi="仿宋" w:eastAsia="仿宋" w:cs="仿宋"/>
          <w:b/>
          <w:color w:val="auto"/>
          <w:sz w:val="24"/>
        </w:rPr>
      </w:pPr>
      <w:r>
        <w:rPr>
          <w:rFonts w:hint="eastAsia" w:ascii="仿宋" w:hAnsi="仿宋" w:eastAsia="仿宋" w:cs="仿宋"/>
          <w:b/>
          <w:color w:val="auto"/>
          <w:sz w:val="24"/>
        </w:rPr>
        <w:t>合同的签订</w:t>
      </w:r>
    </w:p>
    <w:p>
      <w:pPr>
        <w:numPr>
          <w:ilvl w:val="1"/>
          <w:numId w:val="4"/>
        </w:numPr>
        <w:tabs>
          <w:tab w:val="left" w:pos="210"/>
          <w:tab w:val="left" w:pos="640"/>
        </w:tabs>
        <w:snapToGrid w:val="0"/>
        <w:spacing w:line="360" w:lineRule="auto"/>
        <w:ind w:left="627" w:hanging="627"/>
        <w:jc w:val="left"/>
        <w:outlineLvl w:val="3"/>
        <w:rPr>
          <w:rFonts w:ascii="仿宋" w:hAnsi="仿宋" w:eastAsia="仿宋" w:cs="仿宋"/>
          <w:bCs/>
          <w:color w:val="auto"/>
          <w:sz w:val="24"/>
        </w:rPr>
      </w:pPr>
      <w:r>
        <w:rPr>
          <w:rFonts w:hint="eastAsia" w:ascii="仿宋" w:hAnsi="仿宋" w:eastAsia="仿宋" w:cs="仿宋"/>
          <w:bCs/>
          <w:color w:val="auto"/>
          <w:sz w:val="24"/>
        </w:rPr>
        <w:t>采购人与中标人应当通过电子交易平台在中标通知书发出之日起三十日内，按照招标文件确定的事项签订政府采购合同，并在签订之日起2个工作日内将政府采购合同在浙江政府采购网上公告。</w:t>
      </w:r>
    </w:p>
    <w:p>
      <w:pPr>
        <w:numPr>
          <w:ilvl w:val="1"/>
          <w:numId w:val="4"/>
        </w:numPr>
        <w:tabs>
          <w:tab w:val="left" w:pos="210"/>
          <w:tab w:val="left" w:pos="640"/>
        </w:tabs>
        <w:snapToGrid w:val="0"/>
        <w:spacing w:line="360" w:lineRule="auto"/>
        <w:ind w:left="627" w:hanging="627"/>
        <w:jc w:val="left"/>
        <w:outlineLvl w:val="3"/>
        <w:rPr>
          <w:rFonts w:ascii="仿宋" w:hAnsi="仿宋" w:eastAsia="仿宋" w:cs="仿宋"/>
          <w:bCs/>
          <w:color w:val="auto"/>
          <w:sz w:val="24"/>
        </w:rPr>
      </w:pPr>
      <w:r>
        <w:rPr>
          <w:rFonts w:hint="eastAsia" w:ascii="仿宋" w:hAnsi="仿宋" w:eastAsia="仿宋" w:cs="仿宋"/>
          <w:bCs/>
          <w:color w:val="auto"/>
          <w:sz w:val="24"/>
          <w:lang w:val="zh-CN"/>
        </w:rPr>
        <w:t>中标人按规定的日期、时间、地点，由法定代表人或其授权代表与采购人代表签订合同。如中标人为联合体的，由联合体成员各方法定代表人或其授权代表与采购人代表签订合同。</w:t>
      </w:r>
    </w:p>
    <w:p>
      <w:pPr>
        <w:numPr>
          <w:ilvl w:val="1"/>
          <w:numId w:val="4"/>
        </w:numPr>
        <w:tabs>
          <w:tab w:val="left" w:pos="210"/>
          <w:tab w:val="left" w:pos="640"/>
        </w:tabs>
        <w:snapToGrid w:val="0"/>
        <w:spacing w:line="360" w:lineRule="auto"/>
        <w:ind w:left="627" w:hanging="627"/>
        <w:jc w:val="left"/>
        <w:outlineLvl w:val="3"/>
        <w:rPr>
          <w:rFonts w:ascii="仿宋" w:hAnsi="仿宋" w:eastAsia="仿宋" w:cs="仿宋"/>
          <w:bCs/>
          <w:color w:val="auto"/>
          <w:sz w:val="24"/>
          <w:lang w:val="zh-CN"/>
        </w:rPr>
      </w:pPr>
      <w:r>
        <w:rPr>
          <w:rFonts w:hint="eastAsia" w:ascii="仿宋" w:hAnsi="仿宋" w:eastAsia="仿宋" w:cs="仿宋"/>
          <w:bCs/>
          <w:color w:val="auto"/>
          <w:sz w:val="24"/>
          <w:lang w:val="zh-CN"/>
        </w:rPr>
        <w:t>如签订合同并生效后，供应商无故拒绝或延期，除按照合同条款处理外，列入不良行为记录一次，并给予通报。</w:t>
      </w:r>
    </w:p>
    <w:p>
      <w:pPr>
        <w:numPr>
          <w:ilvl w:val="1"/>
          <w:numId w:val="4"/>
        </w:numPr>
        <w:tabs>
          <w:tab w:val="left" w:pos="210"/>
          <w:tab w:val="left" w:pos="640"/>
        </w:tabs>
        <w:snapToGrid w:val="0"/>
        <w:spacing w:line="360" w:lineRule="auto"/>
        <w:ind w:left="627" w:hanging="627"/>
        <w:jc w:val="left"/>
        <w:outlineLvl w:val="3"/>
        <w:rPr>
          <w:rFonts w:ascii="仿宋" w:hAnsi="仿宋" w:eastAsia="仿宋" w:cs="仿宋"/>
          <w:bCs/>
          <w:color w:val="auto"/>
          <w:sz w:val="24"/>
          <w:lang w:val="zh-CN"/>
        </w:rPr>
      </w:pPr>
      <w:r>
        <w:rPr>
          <w:rFonts w:hint="eastAsia" w:ascii="仿宋" w:hAnsi="仿宋" w:eastAsia="仿宋" w:cs="仿宋"/>
          <w:bCs/>
          <w:color w:val="auto"/>
          <w:sz w:val="24"/>
          <w:lang w:val="zh-CN"/>
        </w:rPr>
        <w:t>中标供应商拒绝与采购人签订合同的，采购人可以按照评审报告推荐的中标或者成交候选人名单排序，确定下一候选人为中标供应商，也可以重新开展政府采购活动。</w:t>
      </w:r>
    </w:p>
    <w:p>
      <w:pPr>
        <w:numPr>
          <w:ilvl w:val="0"/>
          <w:numId w:val="4"/>
        </w:numPr>
        <w:tabs>
          <w:tab w:val="left" w:pos="210"/>
        </w:tabs>
        <w:snapToGrid w:val="0"/>
        <w:spacing w:line="360" w:lineRule="auto"/>
        <w:jc w:val="left"/>
        <w:outlineLvl w:val="3"/>
        <w:rPr>
          <w:rFonts w:ascii="仿宋" w:hAnsi="仿宋" w:eastAsia="仿宋" w:cs="仿宋"/>
          <w:b/>
          <w:color w:val="auto"/>
          <w:sz w:val="24"/>
        </w:rPr>
      </w:pPr>
      <w:r>
        <w:rPr>
          <w:rFonts w:hint="eastAsia" w:ascii="仿宋" w:hAnsi="仿宋" w:eastAsia="仿宋" w:cs="仿宋"/>
          <w:b/>
          <w:color w:val="auto"/>
          <w:sz w:val="24"/>
        </w:rPr>
        <w:t>履约保证金</w:t>
      </w:r>
    </w:p>
    <w:p>
      <w:pPr>
        <w:numPr>
          <w:ilvl w:val="1"/>
          <w:numId w:val="4"/>
        </w:numPr>
        <w:tabs>
          <w:tab w:val="left" w:pos="210"/>
          <w:tab w:val="left" w:pos="640"/>
        </w:tabs>
        <w:snapToGrid w:val="0"/>
        <w:spacing w:line="360" w:lineRule="auto"/>
        <w:ind w:left="627" w:hanging="627"/>
        <w:jc w:val="left"/>
        <w:outlineLvl w:val="3"/>
        <w:rPr>
          <w:rFonts w:ascii="仿宋" w:hAnsi="仿宋" w:eastAsia="仿宋" w:cs="仿宋"/>
          <w:bCs/>
          <w:color w:val="auto"/>
          <w:sz w:val="24"/>
          <w:lang w:val="zh-CN"/>
        </w:rPr>
      </w:pPr>
      <w:r>
        <w:rPr>
          <w:rFonts w:hint="eastAsia" w:ascii="仿宋" w:hAnsi="仿宋" w:eastAsia="仿宋" w:cs="仿宋"/>
          <w:bCs/>
          <w:color w:val="auto"/>
          <w:sz w:val="24"/>
          <w:lang w:val="zh-CN"/>
        </w:rPr>
        <w:t>拟签订的合同文本要求中标供应商提交履约保证金的，供应商应当以支票、汇票、本票或者金融机构、担保机构出具的保函等非现金形式提交。履约保证金的数额</w:t>
      </w:r>
      <w:r>
        <w:rPr>
          <w:rFonts w:hint="eastAsia" w:ascii="仿宋" w:hAnsi="仿宋" w:eastAsia="仿宋" w:cs="仿宋"/>
          <w:bCs/>
          <w:color w:val="auto"/>
          <w:sz w:val="24"/>
        </w:rPr>
        <w:t>为</w:t>
      </w:r>
      <w:r>
        <w:rPr>
          <w:rFonts w:hint="eastAsia" w:ascii="仿宋" w:hAnsi="仿宋" w:eastAsia="仿宋" w:cs="仿宋"/>
          <w:bCs/>
          <w:color w:val="auto"/>
          <w:sz w:val="24"/>
          <w:lang w:val="zh-CN"/>
        </w:rPr>
        <w:t>政府采购合同金额的</w:t>
      </w:r>
      <w:r>
        <w:rPr>
          <w:rFonts w:hint="eastAsia" w:ascii="仿宋" w:hAnsi="仿宋" w:eastAsia="仿宋" w:cs="仿宋"/>
          <w:bCs/>
          <w:color w:val="auto"/>
          <w:sz w:val="24"/>
        </w:rPr>
        <w:t>1.0</w:t>
      </w:r>
      <w:r>
        <w:rPr>
          <w:rFonts w:hint="eastAsia" w:ascii="仿宋" w:hAnsi="仿宋" w:eastAsia="仿宋" w:cs="仿宋"/>
          <w:bCs/>
          <w:color w:val="auto"/>
          <w:sz w:val="24"/>
          <w:lang w:val="zh-CN"/>
        </w:rPr>
        <w:t>%。鼓励和支持供应商以银行、保险公司出具的保函形式提供履约保证金。采购人不得拒收履约保函，项目验收结束后应及时退还，延迟退还的，应当按照合同约定和法律规定承担相应的赔偿责任。</w:t>
      </w:r>
    </w:p>
    <w:p>
      <w:pPr>
        <w:snapToGrid w:val="0"/>
        <w:spacing w:line="360" w:lineRule="auto"/>
        <w:jc w:val="center"/>
        <w:outlineLvl w:val="1"/>
        <w:rPr>
          <w:rFonts w:ascii="仿宋" w:hAnsi="仿宋" w:eastAsia="仿宋" w:cs="仿宋"/>
          <w:b/>
          <w:color w:val="auto"/>
          <w:sz w:val="36"/>
          <w:szCs w:val="36"/>
        </w:rPr>
      </w:pPr>
      <w:r>
        <w:rPr>
          <w:rFonts w:hint="eastAsia" w:ascii="仿宋" w:hAnsi="仿宋" w:eastAsia="仿宋" w:cs="仿宋"/>
          <w:b/>
          <w:color w:val="auto"/>
          <w:sz w:val="36"/>
          <w:szCs w:val="36"/>
        </w:rPr>
        <w:t>八、电子交易活动的中止</w:t>
      </w:r>
    </w:p>
    <w:p>
      <w:pPr>
        <w:numPr>
          <w:ilvl w:val="0"/>
          <w:numId w:val="4"/>
        </w:numPr>
        <w:tabs>
          <w:tab w:val="left" w:pos="210"/>
        </w:tabs>
        <w:snapToGrid w:val="0"/>
        <w:spacing w:line="360" w:lineRule="auto"/>
        <w:jc w:val="left"/>
        <w:outlineLvl w:val="2"/>
        <w:rPr>
          <w:rFonts w:ascii="仿宋" w:hAnsi="仿宋" w:eastAsia="仿宋" w:cs="仿宋"/>
          <w:b/>
          <w:color w:val="auto"/>
          <w:sz w:val="24"/>
        </w:rPr>
      </w:pPr>
      <w:r>
        <w:rPr>
          <w:rFonts w:hint="eastAsia" w:ascii="仿宋" w:hAnsi="仿宋" w:eastAsia="仿宋" w:cs="仿宋"/>
          <w:b/>
          <w:color w:val="auto"/>
          <w:sz w:val="24"/>
        </w:rPr>
        <w:t>电子交易活动的中止</w:t>
      </w:r>
    </w:p>
    <w:p>
      <w:pPr>
        <w:pStyle w:val="133"/>
        <w:snapToGrid w:val="0"/>
        <w:spacing w:before="0"/>
        <w:ind w:firstLine="480"/>
        <w:rPr>
          <w:rFonts w:ascii="仿宋" w:hAnsi="仿宋" w:eastAsia="仿宋" w:cs="仿宋"/>
          <w:color w:val="auto"/>
        </w:rPr>
      </w:pPr>
      <w:r>
        <w:rPr>
          <w:rFonts w:hint="eastAsia" w:ascii="仿宋" w:hAnsi="仿宋" w:eastAsia="仿宋" w:cs="仿宋"/>
          <w:color w:val="auto"/>
        </w:rPr>
        <w:t>采购过程中出现以下情形，导致电子交易平台无法正常运行，或者无法保证电子交易的公平、公正和安全时，采购代理机构可中止电子交易活动：</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lang w:val="zh-CN"/>
        </w:rPr>
      </w:pPr>
      <w:r>
        <w:rPr>
          <w:rFonts w:hint="eastAsia" w:ascii="仿宋" w:hAnsi="仿宋" w:eastAsia="仿宋" w:cs="仿宋"/>
          <w:bCs/>
          <w:color w:val="auto"/>
          <w:sz w:val="24"/>
          <w:lang w:val="zh-CN"/>
        </w:rPr>
        <w:t xml:space="preserve">电子交易平台发生故障而无法登录访问的； </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lang w:val="zh-CN"/>
        </w:rPr>
      </w:pPr>
      <w:r>
        <w:rPr>
          <w:rFonts w:hint="eastAsia" w:ascii="仿宋" w:hAnsi="仿宋" w:eastAsia="仿宋" w:cs="仿宋"/>
          <w:bCs/>
          <w:color w:val="auto"/>
          <w:sz w:val="24"/>
          <w:lang w:val="zh-CN"/>
        </w:rPr>
        <w:t>电子交易平台应用或数据库出现错误，不能进行正常操作的；</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lang w:val="zh-CN"/>
        </w:rPr>
      </w:pPr>
      <w:r>
        <w:rPr>
          <w:rFonts w:hint="eastAsia" w:ascii="仿宋" w:hAnsi="仿宋" w:eastAsia="仿宋" w:cs="仿宋"/>
          <w:bCs/>
          <w:color w:val="auto"/>
          <w:sz w:val="24"/>
          <w:lang w:val="zh-CN"/>
        </w:rPr>
        <w:t>电子交易平台发现严重安全漏洞，有潜在泄密危险的；</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lang w:val="zh-CN"/>
        </w:rPr>
      </w:pPr>
      <w:r>
        <w:rPr>
          <w:rFonts w:hint="eastAsia" w:ascii="仿宋" w:hAnsi="仿宋" w:eastAsia="仿宋" w:cs="仿宋"/>
          <w:bCs/>
          <w:color w:val="auto"/>
          <w:sz w:val="24"/>
          <w:lang w:val="zh-CN"/>
        </w:rPr>
        <w:t xml:space="preserve">病毒发作导致不能进行正常操作的； </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lang w:val="zh-CN"/>
        </w:rPr>
      </w:pPr>
      <w:r>
        <w:rPr>
          <w:rFonts w:hint="eastAsia" w:ascii="仿宋" w:hAnsi="仿宋" w:eastAsia="仿宋" w:cs="仿宋"/>
          <w:bCs/>
          <w:color w:val="auto"/>
          <w:sz w:val="24"/>
          <w:lang w:val="zh-CN"/>
        </w:rPr>
        <w:t>其他无法保证电子交易的公平、公正和安全的情况。</w:t>
      </w:r>
    </w:p>
    <w:p>
      <w:pPr>
        <w:numPr>
          <w:ilvl w:val="0"/>
          <w:numId w:val="4"/>
        </w:numPr>
        <w:tabs>
          <w:tab w:val="left" w:pos="210"/>
        </w:tabs>
        <w:snapToGrid w:val="0"/>
        <w:spacing w:line="360" w:lineRule="auto"/>
        <w:ind w:left="403" w:hanging="403"/>
        <w:jc w:val="left"/>
        <w:outlineLvl w:val="2"/>
        <w:rPr>
          <w:rFonts w:ascii="仿宋" w:hAnsi="仿宋" w:eastAsia="仿宋" w:cs="仿宋"/>
          <w:color w:val="auto"/>
          <w:sz w:val="24"/>
        </w:rPr>
      </w:pPr>
      <w:r>
        <w:rPr>
          <w:rFonts w:hint="eastAsia" w:ascii="仿宋" w:hAnsi="仿宋" w:eastAsia="仿宋" w:cs="仿宋"/>
          <w:b/>
          <w:color w:val="auto"/>
          <w:sz w:val="24"/>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jc w:val="center"/>
        <w:outlineLvl w:val="1"/>
        <w:rPr>
          <w:rFonts w:ascii="仿宋" w:hAnsi="仿宋" w:eastAsia="仿宋" w:cs="仿宋"/>
          <w:b/>
          <w:color w:val="auto"/>
          <w:sz w:val="36"/>
          <w:szCs w:val="36"/>
        </w:rPr>
      </w:pPr>
      <w:r>
        <w:rPr>
          <w:rFonts w:hint="eastAsia" w:ascii="仿宋" w:hAnsi="仿宋" w:eastAsia="仿宋" w:cs="仿宋"/>
          <w:b/>
          <w:color w:val="auto"/>
          <w:sz w:val="36"/>
          <w:szCs w:val="36"/>
        </w:rPr>
        <w:t>九、验收</w:t>
      </w:r>
    </w:p>
    <w:p>
      <w:pPr>
        <w:numPr>
          <w:ilvl w:val="0"/>
          <w:numId w:val="4"/>
        </w:numPr>
        <w:tabs>
          <w:tab w:val="left" w:pos="210"/>
        </w:tabs>
        <w:snapToGrid w:val="0"/>
        <w:spacing w:line="360" w:lineRule="auto"/>
        <w:jc w:val="left"/>
        <w:outlineLvl w:val="2"/>
        <w:rPr>
          <w:rFonts w:ascii="仿宋" w:hAnsi="仿宋" w:eastAsia="仿宋" w:cs="仿宋"/>
          <w:b/>
          <w:color w:val="auto"/>
          <w:sz w:val="24"/>
        </w:rPr>
      </w:pPr>
      <w:r>
        <w:rPr>
          <w:rFonts w:hint="eastAsia" w:ascii="仿宋" w:hAnsi="仿宋" w:eastAsia="仿宋" w:cs="仿宋"/>
          <w:b/>
          <w:color w:val="auto"/>
          <w:sz w:val="24"/>
        </w:rPr>
        <w:t>验收</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lang w:val="zh-CN"/>
        </w:rPr>
      </w:pPr>
      <w:r>
        <w:rPr>
          <w:rFonts w:hint="eastAsia" w:ascii="仿宋" w:hAnsi="仿宋" w:eastAsia="仿宋" w:cs="仿宋"/>
          <w:bCs/>
          <w:color w:val="auto"/>
          <w:sz w:val="24"/>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lang w:val="zh-CN"/>
        </w:rPr>
      </w:pPr>
      <w:r>
        <w:rPr>
          <w:rFonts w:hint="eastAsia" w:ascii="仿宋" w:hAnsi="仿宋" w:eastAsia="仿宋" w:cs="仿宋"/>
          <w:bCs/>
          <w:color w:val="auto"/>
          <w:sz w:val="24"/>
          <w:lang w:val="zh-CN"/>
        </w:rPr>
        <w:t>采购人可以邀请参加本项目的其他投标人或者第三方机构参与验收。参与验收的投标人或者第三方机构的意见作为验收书的参考资料一并存档。</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lang w:val="zh-CN"/>
        </w:rPr>
      </w:pPr>
      <w:r>
        <w:rPr>
          <w:rFonts w:hint="eastAsia" w:ascii="仿宋" w:hAnsi="仿宋" w:eastAsia="仿宋" w:cs="仿宋"/>
          <w:bCs/>
          <w:color w:val="auto"/>
          <w:sz w:val="24"/>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lang w:val="zh-CN"/>
        </w:rPr>
      </w:pPr>
      <w:r>
        <w:rPr>
          <w:rFonts w:hint="eastAsia" w:ascii="仿宋" w:hAnsi="仿宋" w:eastAsia="仿宋" w:cs="仿宋"/>
          <w:bCs/>
          <w:color w:val="auto"/>
          <w:sz w:val="24"/>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pPr>
        <w:pStyle w:val="133"/>
        <w:snapToGrid w:val="0"/>
        <w:spacing w:before="0"/>
        <w:ind w:firstLine="480"/>
        <w:rPr>
          <w:rFonts w:ascii="仿宋" w:hAnsi="仿宋" w:eastAsia="仿宋" w:cs="仿宋"/>
          <w:color w:val="auto"/>
        </w:rPr>
      </w:pPr>
      <w:bookmarkStart w:id="16" w:name="_Hlt74729768"/>
      <w:bookmarkEnd w:id="16"/>
      <w:bookmarkStart w:id="17" w:name="_Hlt75236290"/>
      <w:bookmarkEnd w:id="17"/>
      <w:bookmarkStart w:id="18" w:name="_Hlt75236011"/>
      <w:bookmarkEnd w:id="18"/>
      <w:bookmarkStart w:id="19" w:name="_Hlt74730295"/>
      <w:bookmarkEnd w:id="19"/>
      <w:bookmarkStart w:id="20" w:name="_Hlt68072990"/>
      <w:bookmarkEnd w:id="20"/>
      <w:bookmarkStart w:id="21" w:name="_Hlt75236101"/>
      <w:bookmarkEnd w:id="21"/>
      <w:bookmarkStart w:id="22" w:name="_Hlt68073093"/>
      <w:bookmarkEnd w:id="22"/>
      <w:bookmarkStart w:id="23" w:name="_Hlt74707468"/>
      <w:bookmarkEnd w:id="23"/>
      <w:bookmarkStart w:id="24" w:name="_Hlt68057669"/>
      <w:bookmarkEnd w:id="24"/>
      <w:bookmarkStart w:id="25" w:name="_Hlt68403820"/>
      <w:bookmarkEnd w:id="25"/>
      <w:bookmarkStart w:id="26" w:name="_Hlt68072998"/>
      <w:bookmarkEnd w:id="26"/>
      <w:bookmarkStart w:id="27" w:name="_Hlt74714665"/>
      <w:bookmarkEnd w:id="27"/>
    </w:p>
    <w:bookmarkEnd w:id="13"/>
    <w:bookmarkEnd w:id="14"/>
    <w:p>
      <w:pPr>
        <w:rPr>
          <w:rFonts w:ascii="仿宋" w:hAnsi="仿宋" w:eastAsia="仿宋" w:cs="仿宋"/>
          <w:color w:val="auto"/>
        </w:rPr>
      </w:pPr>
      <w:bookmarkStart w:id="28" w:name="第四部分"/>
    </w:p>
    <w:p>
      <w:pPr>
        <w:rPr>
          <w:rFonts w:ascii="仿宋" w:hAnsi="仿宋" w:eastAsia="仿宋" w:cs="仿宋"/>
          <w:color w:val="auto"/>
        </w:rPr>
      </w:pPr>
    </w:p>
    <w:p>
      <w:pPr>
        <w:rPr>
          <w:rFonts w:ascii="仿宋" w:hAnsi="仿宋" w:eastAsia="仿宋" w:cs="仿宋"/>
          <w:b/>
          <w:color w:val="auto"/>
          <w:sz w:val="36"/>
          <w:szCs w:val="20"/>
        </w:rPr>
      </w:pPr>
      <w:bookmarkStart w:id="29" w:name="_Toc5571"/>
      <w:r>
        <w:rPr>
          <w:rFonts w:hint="eastAsia" w:ascii="仿宋" w:hAnsi="仿宋" w:eastAsia="仿宋" w:cs="仿宋"/>
          <w:b/>
          <w:color w:val="auto"/>
          <w:sz w:val="36"/>
          <w:szCs w:val="20"/>
        </w:rPr>
        <w:br w:type="page"/>
      </w:r>
    </w:p>
    <w:p>
      <w:pPr>
        <w:adjustRightInd/>
        <w:spacing w:line="360" w:lineRule="auto"/>
        <w:jc w:val="center"/>
        <w:outlineLvl w:val="0"/>
        <w:rPr>
          <w:rFonts w:ascii="仿宋" w:hAnsi="仿宋" w:eastAsia="仿宋" w:cs="仿宋"/>
          <w:b/>
          <w:color w:val="auto"/>
          <w:sz w:val="36"/>
          <w:szCs w:val="20"/>
        </w:rPr>
      </w:pPr>
      <w:r>
        <w:rPr>
          <w:rFonts w:hint="eastAsia" w:ascii="仿宋" w:hAnsi="仿宋" w:eastAsia="仿宋" w:cs="仿宋"/>
          <w:b/>
          <w:color w:val="auto"/>
          <w:sz w:val="36"/>
          <w:szCs w:val="20"/>
        </w:rPr>
        <w:t>第三部分   采购需求</w:t>
      </w:r>
      <w:bookmarkEnd w:id="29"/>
    </w:p>
    <w:p>
      <w:pPr>
        <w:pStyle w:val="3"/>
        <w:tabs>
          <w:tab w:val="left" w:pos="0"/>
          <w:tab w:val="clear" w:pos="432"/>
        </w:tabs>
        <w:adjustRightInd w:val="0"/>
        <w:snapToGrid w:val="0"/>
        <w:ind w:left="0" w:firstLine="419" w:firstLineChars="174"/>
        <w:rPr>
          <w:rFonts w:ascii="仿宋" w:eastAsia="仿宋" w:cs="仿宋"/>
          <w:color w:val="auto"/>
          <w:sz w:val="24"/>
          <w:szCs w:val="24"/>
          <w:lang w:val="en-US"/>
        </w:rPr>
      </w:pPr>
      <w:bookmarkStart w:id="30" w:name="_Toc9099"/>
      <w:bookmarkStart w:id="31" w:name="_Toc24140"/>
      <w:bookmarkStart w:id="32" w:name="_Toc11664"/>
      <w:r>
        <w:rPr>
          <w:rFonts w:hint="eastAsia" w:ascii="仿宋" w:eastAsia="仿宋" w:cs="仿宋"/>
          <w:color w:val="auto"/>
          <w:sz w:val="24"/>
          <w:szCs w:val="24"/>
          <w:lang w:val="en-US"/>
        </w:rPr>
        <w:t>一</w:t>
      </w:r>
      <w:r>
        <w:rPr>
          <w:rFonts w:hint="eastAsia" w:ascii="仿宋" w:eastAsia="仿宋" w:cs="仿宋"/>
          <w:color w:val="auto"/>
          <w:sz w:val="24"/>
          <w:szCs w:val="24"/>
        </w:rPr>
        <w:t>、</w:t>
      </w:r>
      <w:bookmarkEnd w:id="30"/>
      <w:bookmarkEnd w:id="31"/>
      <w:r>
        <w:rPr>
          <w:rFonts w:hint="eastAsia" w:ascii="仿宋" w:eastAsia="仿宋" w:cs="仿宋"/>
          <w:color w:val="auto"/>
          <w:sz w:val="24"/>
          <w:szCs w:val="24"/>
          <w:lang w:val="en-US"/>
        </w:rPr>
        <w:t>项目概述</w:t>
      </w:r>
    </w:p>
    <w:p>
      <w:pPr>
        <w:snapToGrid w:val="0"/>
        <w:spacing w:line="360" w:lineRule="auto"/>
        <w:ind w:firstLine="417" w:firstLineChars="174"/>
        <w:rPr>
          <w:rFonts w:ascii="仿宋" w:hAnsi="仿宋" w:eastAsia="仿宋" w:cs="仿宋"/>
          <w:color w:val="auto"/>
          <w:sz w:val="24"/>
          <w:shd w:val="clear" w:color="auto" w:fill="FFFFFF"/>
        </w:rPr>
      </w:pPr>
      <w:r>
        <w:rPr>
          <w:rFonts w:hint="eastAsia" w:ascii="仿宋" w:hAnsi="仿宋" w:eastAsia="仿宋" w:cs="仿宋"/>
          <w:color w:val="auto"/>
          <w:sz w:val="24"/>
          <w:shd w:val="clear" w:color="auto" w:fill="FFFFFF"/>
        </w:rPr>
        <w:t>为充分发挥药品抽检在发现药品质量问题及风险中的作用，切实保障公众用药安全，根据浙江省省级药品抽检工作计划，拟由符合条件的检验机构承担相应的检验服务，按要求和时限做好检验和数据报送工作。</w:t>
      </w:r>
    </w:p>
    <w:p>
      <w:pPr>
        <w:pStyle w:val="3"/>
        <w:tabs>
          <w:tab w:val="left" w:pos="0"/>
          <w:tab w:val="clear" w:pos="432"/>
        </w:tabs>
        <w:adjustRightInd w:val="0"/>
        <w:snapToGrid w:val="0"/>
        <w:ind w:left="0" w:firstLine="419" w:firstLineChars="174"/>
        <w:rPr>
          <w:rFonts w:ascii="仿宋" w:eastAsia="仿宋" w:cs="仿宋"/>
          <w:color w:val="auto"/>
          <w:sz w:val="24"/>
          <w:szCs w:val="24"/>
          <w:lang w:val="en-US"/>
        </w:rPr>
      </w:pPr>
      <w:r>
        <w:rPr>
          <w:rFonts w:hint="eastAsia" w:ascii="仿宋" w:eastAsia="仿宋" w:cs="仿宋"/>
          <w:color w:val="auto"/>
          <w:sz w:val="24"/>
          <w:szCs w:val="24"/>
          <w:lang w:val="en-US"/>
        </w:rPr>
        <w:t>二、项目内容</w:t>
      </w:r>
    </w:p>
    <w:p>
      <w:pPr>
        <w:pStyle w:val="968"/>
        <w:tabs>
          <w:tab w:val="left" w:pos="1246"/>
        </w:tabs>
        <w:spacing w:line="360" w:lineRule="auto"/>
        <w:ind w:firstLine="419" w:firstLineChars="174"/>
        <w:rPr>
          <w:rFonts w:ascii="仿宋" w:hAnsi="仿宋" w:eastAsia="仿宋" w:cs="仿宋"/>
          <w:b/>
          <w:bCs/>
          <w:color w:val="auto"/>
          <w:kern w:val="2"/>
          <w:sz w:val="24"/>
          <w:lang w:val="en-US" w:eastAsia="zh-CN" w:bidi="ar-SA"/>
        </w:rPr>
      </w:pPr>
      <w:r>
        <w:rPr>
          <w:rFonts w:hint="eastAsia" w:ascii="仿宋" w:hAnsi="仿宋" w:eastAsia="仿宋" w:cs="仿宋"/>
          <w:b/>
          <w:bCs/>
          <w:color w:val="auto"/>
          <w:kern w:val="2"/>
          <w:sz w:val="24"/>
          <w:lang w:val="en-US" w:eastAsia="zh-CN" w:bidi="ar-SA"/>
        </w:rPr>
        <w:t>（一）服务内容</w:t>
      </w:r>
    </w:p>
    <w:p>
      <w:pPr>
        <w:pStyle w:val="968"/>
        <w:tabs>
          <w:tab w:val="left" w:pos="1246"/>
        </w:tabs>
        <w:spacing w:line="360" w:lineRule="auto"/>
        <w:ind w:firstLine="417" w:firstLineChars="174"/>
        <w:rPr>
          <w:rFonts w:ascii="仿宋" w:hAnsi="仿宋" w:eastAsia="仿宋" w:cs="仿宋"/>
          <w:color w:val="auto"/>
          <w:kern w:val="2"/>
          <w:sz w:val="24"/>
          <w:lang w:val="en-US" w:eastAsia="zh-CN" w:bidi="ar-SA"/>
        </w:rPr>
      </w:pPr>
      <w:r>
        <w:rPr>
          <w:rFonts w:hint="eastAsia" w:ascii="仿宋" w:hAnsi="仿宋" w:eastAsia="仿宋" w:cs="仿宋"/>
          <w:color w:val="auto"/>
          <w:kern w:val="2"/>
          <w:sz w:val="24"/>
          <w:lang w:val="en-US" w:eastAsia="zh-CN" w:bidi="ar-SA"/>
        </w:rPr>
        <w:t>根据《2023年浙江省药品抽检工作计划》，承担药品检验检测等相关服务，包括专项监督检验900批次，基本药物检验1100批次。同时，利用药品快速检验技术，做好应急保障药品质量筛查等药品快速检验工作，开展1500批次药品快速检验任务。要求如下：</w:t>
      </w:r>
    </w:p>
    <w:p>
      <w:pPr>
        <w:pStyle w:val="968"/>
        <w:tabs>
          <w:tab w:val="left" w:pos="1246"/>
        </w:tabs>
        <w:spacing w:line="360" w:lineRule="auto"/>
        <w:ind w:firstLine="417" w:firstLineChars="174"/>
        <w:rPr>
          <w:rFonts w:ascii="仿宋" w:hAnsi="仿宋" w:eastAsia="仿宋" w:cs="仿宋"/>
          <w:color w:val="auto"/>
          <w:kern w:val="2"/>
          <w:sz w:val="24"/>
          <w:lang w:val="en-US" w:eastAsia="zh-CN" w:bidi="ar-SA"/>
        </w:rPr>
      </w:pPr>
      <w:r>
        <w:rPr>
          <w:rFonts w:hint="eastAsia" w:ascii="仿宋" w:hAnsi="仿宋" w:eastAsia="仿宋" w:cs="仿宋"/>
          <w:color w:val="auto"/>
          <w:kern w:val="2"/>
          <w:sz w:val="24"/>
          <w:lang w:val="en-US" w:eastAsia="zh-CN" w:bidi="ar-SA"/>
        </w:rPr>
        <w:t>1．药品抽样由采购人指定单位负责，投标人负责药品买样经费的结算。</w:t>
      </w:r>
    </w:p>
    <w:p>
      <w:pPr>
        <w:pStyle w:val="968"/>
        <w:tabs>
          <w:tab w:val="left" w:pos="1246"/>
        </w:tabs>
        <w:spacing w:line="360" w:lineRule="auto"/>
        <w:ind w:firstLine="417" w:firstLineChars="174"/>
        <w:rPr>
          <w:rFonts w:ascii="仿宋" w:hAnsi="仿宋" w:eastAsia="仿宋" w:cs="仿宋"/>
          <w:color w:val="auto"/>
          <w:kern w:val="2"/>
          <w:sz w:val="24"/>
          <w:lang w:val="en-US" w:eastAsia="zh-CN" w:bidi="ar-SA"/>
        </w:rPr>
      </w:pPr>
      <w:r>
        <w:rPr>
          <w:rFonts w:hint="eastAsia" w:ascii="仿宋" w:hAnsi="仿宋" w:eastAsia="仿宋" w:cs="仿宋"/>
          <w:color w:val="auto"/>
          <w:kern w:val="2"/>
          <w:sz w:val="24"/>
          <w:lang w:val="en-US" w:eastAsia="zh-CN" w:bidi="ar-SA"/>
        </w:rPr>
        <w:t>2．投标人负责对抽检的化学药品、中药、生物制品以及药用包装材料、辅料等样品按照中国药典等现行标准进行检验。</w:t>
      </w:r>
    </w:p>
    <w:p>
      <w:pPr>
        <w:pStyle w:val="968"/>
        <w:tabs>
          <w:tab w:val="left" w:pos="1246"/>
        </w:tabs>
        <w:spacing w:line="360" w:lineRule="auto"/>
        <w:ind w:firstLine="417" w:firstLineChars="174"/>
        <w:rPr>
          <w:rFonts w:ascii="仿宋" w:hAnsi="仿宋" w:eastAsia="仿宋" w:cs="仿宋"/>
          <w:color w:val="auto"/>
          <w:kern w:val="2"/>
          <w:sz w:val="24"/>
          <w:lang w:val="en-US" w:eastAsia="zh-CN" w:bidi="ar-SA"/>
        </w:rPr>
      </w:pPr>
      <w:r>
        <w:rPr>
          <w:rFonts w:hint="eastAsia" w:ascii="仿宋" w:hAnsi="仿宋" w:eastAsia="仿宋" w:cs="仿宋"/>
          <w:color w:val="auto"/>
          <w:kern w:val="2"/>
          <w:sz w:val="24"/>
          <w:lang w:val="en-US" w:eastAsia="zh-CN" w:bidi="ar-SA"/>
        </w:rPr>
        <w:t>3．投标人负责出具检验报告书,将检验报告按《2023年浙江省药品抽检工作计划》要求报送相关人员。</w:t>
      </w:r>
    </w:p>
    <w:p>
      <w:pPr>
        <w:pStyle w:val="968"/>
        <w:tabs>
          <w:tab w:val="left" w:pos="1246"/>
        </w:tabs>
        <w:spacing w:line="360" w:lineRule="auto"/>
        <w:ind w:firstLine="417" w:firstLineChars="174"/>
        <w:rPr>
          <w:rFonts w:ascii="仿宋" w:hAnsi="仿宋" w:eastAsia="仿宋" w:cs="仿宋"/>
          <w:color w:val="auto"/>
          <w:kern w:val="2"/>
          <w:sz w:val="24"/>
          <w:lang w:val="en-US" w:eastAsia="zh-CN" w:bidi="ar-SA"/>
        </w:rPr>
      </w:pPr>
      <w:r>
        <w:rPr>
          <w:rFonts w:hint="eastAsia" w:ascii="仿宋" w:hAnsi="仿宋" w:eastAsia="仿宋" w:cs="仿宋"/>
          <w:color w:val="auto"/>
          <w:kern w:val="2"/>
          <w:sz w:val="24"/>
          <w:lang w:val="en-US" w:eastAsia="zh-CN" w:bidi="ar-SA"/>
        </w:rPr>
        <w:t>4．投标人负责对抽检结果，有针对性地开展质量分析工作，并形成报告报送采购人。</w:t>
      </w:r>
    </w:p>
    <w:p>
      <w:pPr>
        <w:pStyle w:val="968"/>
        <w:tabs>
          <w:tab w:val="left" w:pos="1246"/>
        </w:tabs>
        <w:spacing w:line="360" w:lineRule="auto"/>
        <w:ind w:firstLine="417" w:firstLineChars="174"/>
        <w:rPr>
          <w:rFonts w:ascii="仿宋" w:hAnsi="仿宋" w:eastAsia="仿宋" w:cs="仿宋"/>
          <w:color w:val="auto"/>
          <w:kern w:val="2"/>
          <w:sz w:val="24"/>
          <w:lang w:val="en-US" w:eastAsia="zh-CN" w:bidi="ar-SA"/>
        </w:rPr>
      </w:pPr>
      <w:r>
        <w:rPr>
          <w:rFonts w:hint="eastAsia" w:ascii="仿宋" w:hAnsi="仿宋" w:eastAsia="仿宋" w:cs="仿宋"/>
          <w:color w:val="auto"/>
          <w:kern w:val="2"/>
          <w:sz w:val="24"/>
          <w:lang w:val="en-US" w:eastAsia="zh-CN" w:bidi="ar-SA"/>
        </w:rPr>
        <w:t>具体任务以采购人印发的《2023年浙江省药品抽检工作计划》为准。</w:t>
      </w:r>
    </w:p>
    <w:p>
      <w:pPr>
        <w:pStyle w:val="968"/>
        <w:tabs>
          <w:tab w:val="left" w:pos="1246"/>
        </w:tabs>
        <w:spacing w:line="360" w:lineRule="auto"/>
        <w:ind w:firstLine="419" w:firstLineChars="174"/>
        <w:rPr>
          <w:rFonts w:ascii="仿宋" w:hAnsi="仿宋" w:eastAsia="仿宋" w:cs="仿宋"/>
          <w:b/>
          <w:bCs/>
          <w:color w:val="auto"/>
          <w:kern w:val="2"/>
          <w:sz w:val="24"/>
          <w:lang w:val="en-US" w:eastAsia="zh-CN" w:bidi="ar-SA"/>
        </w:rPr>
      </w:pPr>
      <w:r>
        <w:rPr>
          <w:rFonts w:hint="eastAsia" w:ascii="仿宋" w:hAnsi="仿宋" w:eastAsia="仿宋" w:cs="仿宋"/>
          <w:b/>
          <w:bCs/>
          <w:color w:val="auto"/>
          <w:kern w:val="2"/>
          <w:sz w:val="24"/>
          <w:lang w:val="en-US" w:eastAsia="zh-CN" w:bidi="ar-SA"/>
        </w:rPr>
        <w:t>（二）服务时间</w:t>
      </w:r>
    </w:p>
    <w:p>
      <w:pPr>
        <w:pStyle w:val="968"/>
        <w:tabs>
          <w:tab w:val="left" w:pos="1246"/>
        </w:tabs>
        <w:spacing w:line="360" w:lineRule="auto"/>
        <w:ind w:firstLine="417" w:firstLineChars="174"/>
        <w:rPr>
          <w:rFonts w:ascii="仿宋" w:hAnsi="仿宋" w:eastAsia="仿宋" w:cs="仿宋"/>
          <w:color w:val="auto"/>
          <w:kern w:val="2"/>
          <w:sz w:val="24"/>
          <w:lang w:val="en-US" w:eastAsia="zh-CN" w:bidi="ar-SA"/>
        </w:rPr>
      </w:pPr>
      <w:r>
        <w:rPr>
          <w:rFonts w:hint="eastAsia" w:ascii="仿宋" w:hAnsi="仿宋" w:eastAsia="仿宋" w:cs="仿宋"/>
          <w:color w:val="auto"/>
          <w:sz w:val="24"/>
        </w:rPr>
        <w:t>自合同签订之日起</w:t>
      </w:r>
      <w:r>
        <w:rPr>
          <w:rFonts w:hint="eastAsia" w:ascii="仿宋" w:hAnsi="仿宋" w:eastAsia="仿宋" w:cs="仿宋"/>
          <w:color w:val="auto"/>
          <w:kern w:val="2"/>
          <w:sz w:val="24"/>
          <w:lang w:val="en-US" w:eastAsia="zh-CN" w:bidi="ar-SA"/>
        </w:rPr>
        <w:t>至</w:t>
      </w:r>
      <w:r>
        <w:rPr>
          <w:rFonts w:hint="eastAsia" w:ascii="仿宋" w:hAnsi="仿宋" w:eastAsia="仿宋" w:cs="仿宋"/>
          <w:color w:val="auto"/>
          <w:sz w:val="24"/>
          <w:lang w:val="en-US" w:eastAsia="zh-CN"/>
        </w:rPr>
        <w:t>11月30日前</w:t>
      </w:r>
      <w:r>
        <w:rPr>
          <w:rFonts w:hint="eastAsia" w:ascii="仿宋" w:hAnsi="仿宋" w:eastAsia="仿宋" w:cs="仿宋"/>
          <w:color w:val="auto"/>
          <w:kern w:val="2"/>
          <w:sz w:val="24"/>
          <w:lang w:val="en-US" w:eastAsia="zh-CN" w:bidi="ar-SA"/>
        </w:rPr>
        <w:t>质量分析报告上报，</w:t>
      </w:r>
      <w:r>
        <w:rPr>
          <w:rFonts w:hint="eastAsia" w:ascii="仿宋" w:hAnsi="仿宋" w:eastAsia="仿宋" w:cs="仿宋"/>
          <w:color w:val="auto"/>
          <w:sz w:val="24"/>
          <w:lang w:eastAsia="zh-CN"/>
        </w:rPr>
        <w:t>并完成验收</w:t>
      </w:r>
      <w:r>
        <w:rPr>
          <w:rFonts w:hint="eastAsia" w:ascii="仿宋" w:hAnsi="仿宋" w:eastAsia="仿宋" w:cs="仿宋"/>
          <w:color w:val="auto"/>
          <w:sz w:val="24"/>
        </w:rPr>
        <w:t>。</w:t>
      </w:r>
    </w:p>
    <w:p>
      <w:pPr>
        <w:pStyle w:val="3"/>
        <w:tabs>
          <w:tab w:val="left" w:pos="0"/>
          <w:tab w:val="clear" w:pos="432"/>
        </w:tabs>
        <w:adjustRightInd w:val="0"/>
        <w:snapToGrid w:val="0"/>
        <w:ind w:left="0" w:firstLine="419" w:firstLineChars="174"/>
        <w:rPr>
          <w:rFonts w:ascii="仿宋" w:eastAsia="仿宋" w:cs="仿宋"/>
          <w:color w:val="auto"/>
          <w:sz w:val="24"/>
          <w:szCs w:val="24"/>
          <w:lang w:val="en-US"/>
        </w:rPr>
      </w:pPr>
      <w:bookmarkStart w:id="33" w:name="_Toc27499"/>
      <w:bookmarkStart w:id="34" w:name="_Toc32728"/>
      <w:bookmarkStart w:id="35" w:name="_Toc446329053"/>
      <w:bookmarkStart w:id="36" w:name="_Toc18937"/>
      <w:r>
        <w:rPr>
          <w:rFonts w:hint="eastAsia" w:ascii="仿宋" w:eastAsia="仿宋" w:cs="仿宋"/>
          <w:color w:val="auto"/>
          <w:sz w:val="24"/>
          <w:szCs w:val="24"/>
          <w:lang w:val="en-US"/>
        </w:rPr>
        <w:t>三</w:t>
      </w:r>
      <w:r>
        <w:rPr>
          <w:rFonts w:hint="eastAsia" w:ascii="仿宋" w:eastAsia="仿宋" w:cs="仿宋"/>
          <w:color w:val="auto"/>
          <w:sz w:val="24"/>
          <w:szCs w:val="24"/>
        </w:rPr>
        <w:t>、项目技术服务要求</w:t>
      </w:r>
    </w:p>
    <w:p>
      <w:pPr>
        <w:pStyle w:val="968"/>
        <w:tabs>
          <w:tab w:val="left" w:pos="1246"/>
        </w:tabs>
        <w:spacing w:line="360" w:lineRule="auto"/>
        <w:ind w:firstLine="419" w:firstLineChars="174"/>
        <w:rPr>
          <w:rFonts w:ascii="仿宋" w:hAnsi="仿宋" w:eastAsia="仿宋" w:cs="仿宋"/>
          <w:b/>
          <w:bCs/>
          <w:color w:val="auto"/>
          <w:kern w:val="2"/>
          <w:sz w:val="24"/>
          <w:lang w:val="en-US" w:eastAsia="zh-CN" w:bidi="ar-SA"/>
        </w:rPr>
      </w:pPr>
      <w:r>
        <w:rPr>
          <w:rFonts w:hint="eastAsia" w:ascii="仿宋" w:hAnsi="仿宋" w:eastAsia="仿宋" w:cs="仿宋"/>
          <w:b/>
          <w:bCs/>
          <w:color w:val="auto"/>
          <w:kern w:val="2"/>
          <w:sz w:val="24"/>
          <w:lang w:val="en-US" w:eastAsia="zh-CN" w:bidi="ar-SA"/>
        </w:rPr>
        <w:t>（一）技术要求</w:t>
      </w:r>
    </w:p>
    <w:p>
      <w:pPr>
        <w:pStyle w:val="968"/>
        <w:tabs>
          <w:tab w:val="left" w:pos="1246"/>
        </w:tabs>
        <w:spacing w:line="360" w:lineRule="auto"/>
        <w:ind w:firstLine="417" w:firstLineChars="174"/>
        <w:rPr>
          <w:rFonts w:ascii="仿宋" w:hAnsi="仿宋" w:eastAsia="仿宋" w:cs="仿宋"/>
          <w:color w:val="auto"/>
          <w:kern w:val="2"/>
          <w:sz w:val="24"/>
          <w:lang w:val="en-US" w:eastAsia="zh-CN" w:bidi="ar-SA"/>
        </w:rPr>
      </w:pPr>
      <w:r>
        <w:rPr>
          <w:rFonts w:hint="eastAsia" w:ascii="仿宋" w:hAnsi="仿宋" w:eastAsia="仿宋" w:cs="仿宋"/>
          <w:color w:val="auto"/>
          <w:kern w:val="2"/>
          <w:sz w:val="24"/>
          <w:lang w:val="en-US" w:eastAsia="zh-CN" w:bidi="ar-SA"/>
        </w:rPr>
        <w:t>1．投标人应具有满足本项目药品检验检测要求的实验室场地、检验仪器设备和专业检验人员。实验室场地应能符合《国家药监局关于印发药品检验检测机构能力建设指导原则的通知》（国药监科外〔2019〕35号）要求。</w:t>
      </w:r>
    </w:p>
    <w:p>
      <w:pPr>
        <w:pStyle w:val="968"/>
        <w:tabs>
          <w:tab w:val="left" w:pos="1246"/>
        </w:tabs>
        <w:spacing w:line="360" w:lineRule="auto"/>
        <w:ind w:firstLine="417" w:firstLineChars="174"/>
        <w:rPr>
          <w:rFonts w:ascii="仿宋" w:hAnsi="仿宋" w:eastAsia="仿宋" w:cs="仿宋"/>
          <w:color w:val="auto"/>
          <w:kern w:val="2"/>
          <w:sz w:val="24"/>
          <w:lang w:val="en-US" w:eastAsia="zh-CN" w:bidi="ar-SA"/>
        </w:rPr>
      </w:pPr>
      <w:r>
        <w:rPr>
          <w:rFonts w:hint="eastAsia" w:ascii="仿宋" w:hAnsi="仿宋" w:eastAsia="仿宋" w:cs="仿宋"/>
          <w:color w:val="auto"/>
          <w:kern w:val="2"/>
          <w:sz w:val="24"/>
          <w:lang w:val="en-US" w:eastAsia="zh-CN" w:bidi="ar-SA"/>
        </w:rPr>
        <w:t>2.投标人应具有抽检工作经历，检验能力应覆盖化学药、中成药、中药饮片、生物制品、辅料包材等检验能力。同时应具有发现风险的能力。</w:t>
      </w:r>
    </w:p>
    <w:p>
      <w:pPr>
        <w:pStyle w:val="968"/>
        <w:tabs>
          <w:tab w:val="left" w:pos="1246"/>
        </w:tabs>
        <w:spacing w:line="360" w:lineRule="auto"/>
        <w:ind w:firstLine="417" w:firstLineChars="174"/>
        <w:rPr>
          <w:rFonts w:ascii="仿宋" w:hAnsi="仿宋" w:eastAsia="仿宋" w:cs="仿宋"/>
          <w:color w:val="auto"/>
          <w:kern w:val="2"/>
          <w:sz w:val="24"/>
          <w:lang w:val="en-US" w:eastAsia="zh-CN" w:bidi="ar-SA"/>
        </w:rPr>
      </w:pPr>
      <w:r>
        <w:rPr>
          <w:rFonts w:hint="eastAsia" w:ascii="仿宋" w:hAnsi="仿宋" w:eastAsia="仿宋" w:cs="仿宋"/>
          <w:color w:val="auto"/>
          <w:kern w:val="2"/>
          <w:sz w:val="24"/>
          <w:lang w:val="en-US" w:eastAsia="zh-CN" w:bidi="ar-SA"/>
        </w:rPr>
        <w:t>3．投标人应建立从收样、检验、留样、数据报送等全流程的实验室质量管理体系，明确岗位职责，建立程序性文件、管理规程，保证抽检工作质量和效率。同时建立相应的报销制度保障药品抽样的购样费及时结算。</w:t>
      </w:r>
    </w:p>
    <w:p>
      <w:pPr>
        <w:spacing w:line="360" w:lineRule="auto"/>
        <w:ind w:firstLine="417" w:firstLineChars="174"/>
        <w:rPr>
          <w:rFonts w:ascii="仿宋" w:hAnsi="仿宋" w:eastAsia="仿宋" w:cs="仿宋"/>
          <w:strike/>
          <w:color w:val="auto"/>
          <w:sz w:val="24"/>
        </w:rPr>
      </w:pPr>
      <w:r>
        <w:rPr>
          <w:rFonts w:hint="eastAsia" w:ascii="仿宋" w:hAnsi="仿宋" w:eastAsia="仿宋" w:cs="仿宋"/>
          <w:color w:val="auto"/>
          <w:sz w:val="24"/>
        </w:rPr>
        <w:t>4.投标人应确保质控措施落实到位，质控应科学合理，完整全面。</w:t>
      </w:r>
    </w:p>
    <w:p>
      <w:pPr>
        <w:spacing w:line="360" w:lineRule="auto"/>
        <w:ind w:firstLine="417" w:firstLineChars="174"/>
        <w:rPr>
          <w:rFonts w:ascii="仿宋" w:hAnsi="仿宋" w:eastAsia="仿宋" w:cs="仿宋"/>
          <w:color w:val="auto"/>
          <w:sz w:val="24"/>
        </w:rPr>
      </w:pPr>
      <w:r>
        <w:rPr>
          <w:rFonts w:hint="eastAsia" w:ascii="仿宋" w:hAnsi="仿宋" w:eastAsia="仿宋" w:cs="仿宋"/>
          <w:color w:val="auto"/>
          <w:sz w:val="24"/>
        </w:rPr>
        <w:t xml:space="preserve">5.为确保药品抽检检验数据质量可靠和检验能力的持续稳定，投标人近三年（2020年-2022年）应参加药品检测项目实验室能力验证活动，且结果为满意。 </w:t>
      </w:r>
    </w:p>
    <w:p>
      <w:pPr>
        <w:spacing w:line="360" w:lineRule="auto"/>
        <w:ind w:firstLine="417" w:firstLineChars="174"/>
        <w:rPr>
          <w:rFonts w:ascii="仿宋" w:hAnsi="仿宋" w:eastAsia="仿宋" w:cs="仿宋"/>
          <w:color w:val="auto"/>
          <w:sz w:val="24"/>
        </w:rPr>
      </w:pPr>
      <w:r>
        <w:rPr>
          <w:rFonts w:hint="eastAsia" w:ascii="仿宋" w:hAnsi="仿宋" w:eastAsia="仿宋" w:cs="仿宋"/>
          <w:color w:val="auto"/>
          <w:sz w:val="24"/>
        </w:rPr>
        <w:t>6.投标人应配备满足药品快速检验工作要求的检验检测车辆以及开展药品快速检验工作的相关仪器设备。</w:t>
      </w:r>
    </w:p>
    <w:p>
      <w:pPr>
        <w:spacing w:line="360" w:lineRule="auto"/>
        <w:ind w:firstLine="417" w:firstLineChars="174"/>
        <w:rPr>
          <w:rFonts w:ascii="仿宋" w:hAnsi="仿宋" w:eastAsia="仿宋" w:cs="仿宋"/>
          <w:color w:val="auto"/>
          <w:sz w:val="24"/>
        </w:rPr>
      </w:pPr>
      <w:r>
        <w:rPr>
          <w:rFonts w:hint="eastAsia" w:ascii="仿宋" w:hAnsi="仿宋" w:eastAsia="仿宋" w:cs="仿宋"/>
          <w:color w:val="auto"/>
          <w:sz w:val="24"/>
        </w:rPr>
        <w:t>7.投标人近三年（2020年-2022年）无药品检验数据严重质量问题并造成社会不良后果。</w:t>
      </w:r>
    </w:p>
    <w:p>
      <w:pPr>
        <w:spacing w:line="360" w:lineRule="auto"/>
        <w:ind w:firstLine="417" w:firstLineChars="174"/>
        <w:rPr>
          <w:rFonts w:ascii="仿宋" w:hAnsi="仿宋" w:eastAsia="仿宋" w:cs="仿宋"/>
          <w:color w:val="auto"/>
          <w:sz w:val="24"/>
        </w:rPr>
      </w:pPr>
      <w:r>
        <w:rPr>
          <w:rFonts w:hint="eastAsia" w:ascii="仿宋" w:hAnsi="仿宋" w:eastAsia="仿宋" w:cs="仿宋"/>
          <w:color w:val="auto"/>
          <w:sz w:val="24"/>
        </w:rPr>
        <w:t>8.投标人应具有满足抽检数字化要求的能力。</w:t>
      </w:r>
    </w:p>
    <w:p>
      <w:pPr>
        <w:spacing w:line="360" w:lineRule="auto"/>
        <w:ind w:firstLine="419" w:firstLineChars="174"/>
        <w:rPr>
          <w:rFonts w:ascii="仿宋" w:hAnsi="仿宋" w:eastAsia="仿宋" w:cs="仿宋"/>
          <w:b/>
          <w:bCs/>
          <w:color w:val="auto"/>
          <w:sz w:val="24"/>
        </w:rPr>
      </w:pPr>
      <w:r>
        <w:rPr>
          <w:rFonts w:hint="eastAsia" w:ascii="仿宋" w:hAnsi="仿宋" w:eastAsia="仿宋" w:cs="仿宋"/>
          <w:b/>
          <w:bCs/>
          <w:color w:val="auto"/>
          <w:sz w:val="24"/>
        </w:rPr>
        <w:t>（二）服务要求</w:t>
      </w:r>
    </w:p>
    <w:p>
      <w:pPr>
        <w:numPr>
          <w:ilvl w:val="255"/>
          <w:numId w:val="0"/>
        </w:numPr>
        <w:spacing w:line="360" w:lineRule="auto"/>
        <w:ind w:firstLine="417" w:firstLineChars="174"/>
        <w:rPr>
          <w:rFonts w:ascii="仿宋" w:hAnsi="仿宋" w:eastAsia="仿宋" w:cs="仿宋"/>
          <w:color w:val="auto"/>
          <w:sz w:val="24"/>
        </w:rPr>
      </w:pPr>
      <w:r>
        <w:rPr>
          <w:rFonts w:hint="eastAsia" w:ascii="仿宋" w:hAnsi="仿宋" w:eastAsia="仿宋" w:cs="仿宋"/>
          <w:color w:val="auto"/>
          <w:sz w:val="24"/>
        </w:rPr>
        <w:t>1.投标人严格遵守《中华人民共和国药品管理法》、《药品管理法实施条例》、《药品质量抽查检验管理办法》以及浙江省药品监督管理局关于药品省级抽检的各项规定。</w:t>
      </w:r>
    </w:p>
    <w:p>
      <w:pPr>
        <w:numPr>
          <w:ilvl w:val="255"/>
          <w:numId w:val="0"/>
        </w:numPr>
        <w:spacing w:line="360" w:lineRule="auto"/>
        <w:ind w:firstLine="417" w:firstLineChars="174"/>
        <w:rPr>
          <w:rFonts w:ascii="仿宋" w:hAnsi="仿宋" w:eastAsia="仿宋" w:cs="仿宋"/>
          <w:color w:val="auto"/>
          <w:sz w:val="24"/>
        </w:rPr>
      </w:pPr>
      <w:r>
        <w:rPr>
          <w:rFonts w:hint="eastAsia" w:ascii="仿宋" w:hAnsi="仿宋" w:eastAsia="仿宋" w:cs="仿宋"/>
          <w:color w:val="auto"/>
          <w:sz w:val="24"/>
        </w:rPr>
        <w:t>2.投标人应针对本项目提供合理的项目实施进度安排；针对本项目提供项目实施总体方案，项目实施过程中的样品收样、支付方案等，确保药品检验工作顺利实施。</w:t>
      </w:r>
    </w:p>
    <w:p>
      <w:pPr>
        <w:numPr>
          <w:ilvl w:val="255"/>
          <w:numId w:val="0"/>
        </w:numPr>
        <w:spacing w:line="360" w:lineRule="auto"/>
        <w:ind w:firstLine="417" w:firstLineChars="174"/>
        <w:rPr>
          <w:rFonts w:ascii="仿宋" w:hAnsi="仿宋" w:eastAsia="仿宋" w:cs="仿宋"/>
          <w:color w:val="auto"/>
          <w:sz w:val="24"/>
        </w:rPr>
      </w:pPr>
      <w:r>
        <w:rPr>
          <w:rFonts w:hint="eastAsia" w:ascii="仿宋" w:hAnsi="仿宋" w:eastAsia="仿宋" w:cs="仿宋"/>
          <w:color w:val="auto"/>
          <w:sz w:val="24"/>
        </w:rPr>
        <w:t>3.投标人的药品检验从业人员应为本单位在职员工，岗位职责、分工明确。投标人应设置有独立的技术管理人员、业务管理人员、检验人员等药品检验从业人员，可分别承担检测、数据汇总、结果报送、分析评估等工作，能按照时限要求汇总上报检测相关信息。</w:t>
      </w:r>
    </w:p>
    <w:p>
      <w:pPr>
        <w:numPr>
          <w:ilvl w:val="255"/>
          <w:numId w:val="0"/>
        </w:numPr>
        <w:spacing w:line="360" w:lineRule="auto"/>
        <w:ind w:firstLine="417" w:firstLineChars="174"/>
        <w:rPr>
          <w:rFonts w:ascii="仿宋" w:hAnsi="仿宋" w:eastAsia="仿宋" w:cs="仿宋"/>
          <w:color w:val="auto"/>
          <w:sz w:val="24"/>
        </w:rPr>
      </w:pPr>
      <w:r>
        <w:rPr>
          <w:rFonts w:hint="eastAsia" w:ascii="仿宋" w:hAnsi="仿宋" w:eastAsia="仿宋" w:cs="仿宋"/>
          <w:color w:val="auto"/>
          <w:sz w:val="24"/>
        </w:rPr>
        <w:t>项目负责人具有本项目相关专业正高级职称和药典委员资格，项目组人员中有药品相关专业博士学位的人员，药品检验从业人员总体数量与承检任务要求相匹配，应不少于40人。</w:t>
      </w:r>
    </w:p>
    <w:p>
      <w:pPr>
        <w:numPr>
          <w:ilvl w:val="255"/>
          <w:numId w:val="0"/>
        </w:numPr>
        <w:spacing w:line="360" w:lineRule="auto"/>
        <w:ind w:firstLine="417" w:firstLineChars="174"/>
        <w:rPr>
          <w:rFonts w:ascii="仿宋" w:hAnsi="仿宋" w:eastAsia="仿宋" w:cs="仿宋"/>
          <w:color w:val="auto"/>
          <w:sz w:val="24"/>
        </w:rPr>
      </w:pPr>
      <w:r>
        <w:rPr>
          <w:rFonts w:hint="eastAsia" w:ascii="仿宋" w:hAnsi="仿宋" w:eastAsia="仿宋" w:cs="仿宋"/>
          <w:color w:val="auto"/>
          <w:sz w:val="24"/>
        </w:rPr>
        <w:t>4.投标人应按照所抽取药品的现行标准开展检验，未经采购人书面同意，不得擅自改变。投标人应具有药品领域编制或修订标准的经历，应急情况下，采用采购人指定的方法或者建立针对性方法进行检验。</w:t>
      </w:r>
    </w:p>
    <w:p>
      <w:pPr>
        <w:numPr>
          <w:ilvl w:val="255"/>
          <w:numId w:val="0"/>
        </w:numPr>
        <w:spacing w:line="360" w:lineRule="auto"/>
        <w:ind w:firstLine="417" w:firstLineChars="174"/>
        <w:rPr>
          <w:rFonts w:ascii="仿宋" w:hAnsi="仿宋" w:eastAsia="仿宋" w:cs="仿宋"/>
          <w:color w:val="auto"/>
          <w:sz w:val="24"/>
        </w:rPr>
      </w:pPr>
      <w:r>
        <w:rPr>
          <w:rFonts w:hint="eastAsia" w:ascii="仿宋" w:hAnsi="仿宋" w:eastAsia="仿宋" w:cs="仿宋"/>
          <w:color w:val="auto"/>
          <w:sz w:val="24"/>
        </w:rPr>
        <w:t>投标人应针对本项目不同类别的检验样品提供符合所抽取样品的现行标准的检验检测方案，确保检验工作顺利实施。</w:t>
      </w:r>
    </w:p>
    <w:p>
      <w:pPr>
        <w:numPr>
          <w:ilvl w:val="255"/>
          <w:numId w:val="0"/>
        </w:numPr>
        <w:spacing w:line="360" w:lineRule="auto"/>
        <w:ind w:firstLine="417" w:firstLineChars="174"/>
        <w:rPr>
          <w:rFonts w:ascii="仿宋" w:hAnsi="仿宋" w:eastAsia="仿宋" w:cs="仿宋"/>
          <w:color w:val="auto"/>
          <w:sz w:val="24"/>
        </w:rPr>
      </w:pPr>
      <w:r>
        <w:rPr>
          <w:rFonts w:hint="eastAsia" w:ascii="仿宋" w:hAnsi="仿宋" w:eastAsia="仿宋" w:cs="仿宋"/>
          <w:color w:val="auto"/>
          <w:sz w:val="24"/>
        </w:rPr>
        <w:t>5.投标人对检验结果负责，如发现不合格样品或问题样品，需按国家和采购人规定的程序及时限报告。并对抽检信息保密，未经允许或授权，不得以任何方式将抽检内容告知被抽样单位和其他第三方。</w:t>
      </w:r>
    </w:p>
    <w:p>
      <w:pPr>
        <w:numPr>
          <w:ilvl w:val="255"/>
          <w:numId w:val="0"/>
        </w:numPr>
        <w:spacing w:line="360" w:lineRule="auto"/>
        <w:ind w:firstLine="417" w:firstLineChars="174"/>
        <w:rPr>
          <w:rFonts w:ascii="仿宋" w:hAnsi="仿宋" w:eastAsia="仿宋" w:cs="仿宋"/>
          <w:color w:val="auto"/>
          <w:sz w:val="24"/>
        </w:rPr>
      </w:pPr>
      <w:r>
        <w:rPr>
          <w:rFonts w:hint="eastAsia" w:ascii="仿宋" w:hAnsi="仿宋" w:eastAsia="仿宋" w:cs="仿宋"/>
          <w:color w:val="auto"/>
          <w:sz w:val="24"/>
        </w:rPr>
        <w:t>6.投标人必须按要求按时完成检测任务，对检测结果进行汇总分析；不得故意隐瞒、修改检验结果。</w:t>
      </w:r>
    </w:p>
    <w:p>
      <w:pPr>
        <w:numPr>
          <w:ilvl w:val="255"/>
          <w:numId w:val="0"/>
        </w:numPr>
        <w:spacing w:line="360" w:lineRule="auto"/>
        <w:ind w:firstLine="417" w:firstLineChars="174"/>
        <w:rPr>
          <w:rFonts w:ascii="仿宋" w:hAnsi="仿宋" w:eastAsia="仿宋" w:cs="仿宋"/>
          <w:color w:val="auto"/>
          <w:sz w:val="24"/>
        </w:rPr>
      </w:pPr>
      <w:r>
        <w:rPr>
          <w:rFonts w:hint="eastAsia" w:ascii="仿宋" w:hAnsi="仿宋" w:eastAsia="仿宋" w:cs="仿宋"/>
          <w:color w:val="auto"/>
          <w:sz w:val="24"/>
        </w:rPr>
        <w:t>7.投标人应针对本项目提供相关应急预案及对应措施，如药品安全事件、自然灾害、运输车辆遭遇堵车或车祸等。实际开展应急检验时，投标人应在1小时内响应，6小时内到达应急事件所在市（提供承诺函，格式自拟）。</w:t>
      </w:r>
    </w:p>
    <w:p>
      <w:pPr>
        <w:numPr>
          <w:ilvl w:val="255"/>
          <w:numId w:val="0"/>
        </w:numPr>
        <w:spacing w:line="360" w:lineRule="auto"/>
        <w:ind w:firstLine="417" w:firstLineChars="174"/>
        <w:rPr>
          <w:rFonts w:ascii="仿宋" w:hAnsi="仿宋" w:eastAsia="仿宋" w:cs="仿宋"/>
          <w:color w:val="auto"/>
          <w:sz w:val="24"/>
        </w:rPr>
      </w:pPr>
      <w:r>
        <w:rPr>
          <w:rFonts w:hint="eastAsia" w:ascii="仿宋" w:hAnsi="仿宋" w:eastAsia="仿宋" w:cs="仿宋"/>
          <w:color w:val="auto"/>
          <w:sz w:val="24"/>
        </w:rPr>
        <w:t>8.投标人中标后应在采购人处派驻驻场人员不少于1名，对本项目进行沟通与运作至服务期结束（提供承诺函，格式自拟）。</w:t>
      </w:r>
    </w:p>
    <w:p>
      <w:pPr>
        <w:numPr>
          <w:ilvl w:val="255"/>
          <w:numId w:val="0"/>
        </w:numPr>
        <w:spacing w:line="360" w:lineRule="auto"/>
        <w:ind w:firstLine="417" w:firstLineChars="174"/>
        <w:rPr>
          <w:rFonts w:ascii="仿宋" w:hAnsi="仿宋" w:eastAsia="仿宋" w:cs="仿宋"/>
          <w:color w:val="auto"/>
          <w:sz w:val="24"/>
        </w:rPr>
      </w:pPr>
      <w:r>
        <w:rPr>
          <w:rFonts w:hint="eastAsia" w:ascii="仿宋" w:hAnsi="仿宋" w:eastAsia="仿宋" w:cs="仿宋"/>
          <w:color w:val="auto"/>
          <w:sz w:val="24"/>
        </w:rPr>
        <w:t>9.投标人应针对本项目提供重点难点分析及合理的解决方案。</w:t>
      </w:r>
    </w:p>
    <w:p>
      <w:pPr>
        <w:pStyle w:val="968"/>
        <w:tabs>
          <w:tab w:val="left" w:pos="1246"/>
        </w:tabs>
        <w:spacing w:line="360" w:lineRule="auto"/>
        <w:ind w:firstLine="419" w:firstLineChars="174"/>
        <w:rPr>
          <w:rFonts w:ascii="仿宋" w:hAnsi="仿宋" w:eastAsia="仿宋" w:cs="仿宋"/>
          <w:b/>
          <w:bCs/>
          <w:color w:val="auto"/>
          <w:kern w:val="2"/>
          <w:sz w:val="24"/>
          <w:lang w:val="en-US" w:eastAsia="zh-CN" w:bidi="ar-SA"/>
        </w:rPr>
      </w:pPr>
      <w:r>
        <w:rPr>
          <w:rFonts w:hint="eastAsia" w:ascii="仿宋" w:hAnsi="仿宋" w:eastAsia="仿宋" w:cs="仿宋"/>
          <w:b/>
          <w:bCs/>
          <w:color w:val="auto"/>
          <w:kern w:val="2"/>
          <w:sz w:val="24"/>
          <w:lang w:val="en-US" w:eastAsia="zh-CN" w:bidi="ar-SA"/>
        </w:rPr>
        <w:t>（三）商务要求</w:t>
      </w:r>
    </w:p>
    <w:p>
      <w:pPr>
        <w:spacing w:line="360" w:lineRule="auto"/>
        <w:ind w:firstLine="417" w:firstLineChars="174"/>
        <w:rPr>
          <w:rFonts w:ascii="仿宋" w:hAnsi="仿宋" w:eastAsia="仿宋" w:cs="仿宋"/>
          <w:color w:val="auto"/>
          <w:sz w:val="24"/>
        </w:rPr>
      </w:pPr>
      <w:r>
        <w:rPr>
          <w:rFonts w:hint="eastAsia" w:ascii="仿宋" w:hAnsi="仿宋" w:eastAsia="仿宋" w:cs="仿宋"/>
          <w:color w:val="auto"/>
          <w:sz w:val="24"/>
        </w:rPr>
        <w:t>1.服务地点：浙江省内。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2.付款方式：</w:t>
      </w:r>
      <w:r>
        <w:rPr>
          <w:rFonts w:hint="eastAsia" w:ascii="仿宋" w:hAnsi="仿宋" w:eastAsia="仿宋" w:cs="仿宋"/>
          <w:bCs/>
          <w:color w:val="auto"/>
          <w:sz w:val="24"/>
        </w:rPr>
        <w:t>自合同生效且具备实施条件并于收到发票后7个工作日内，采购人支付合同总额的40%；当项目抽检批次完成80%时，采购人收到相应金额发票后7个工作日内支付合同总额的40%；待验收合格后根据实际结算情况支付尾款。</w:t>
      </w:r>
    </w:p>
    <w:p>
      <w:pPr>
        <w:pStyle w:val="968"/>
        <w:tabs>
          <w:tab w:val="left" w:pos="1246"/>
        </w:tabs>
        <w:spacing w:line="360" w:lineRule="auto"/>
        <w:ind w:firstLine="419" w:firstLineChars="174"/>
        <w:rPr>
          <w:rFonts w:ascii="仿宋" w:hAnsi="仿宋" w:eastAsia="仿宋" w:cs="仿宋"/>
          <w:b/>
          <w:bCs/>
          <w:color w:val="auto"/>
          <w:kern w:val="2"/>
          <w:sz w:val="24"/>
          <w:lang w:val="en-US" w:eastAsia="zh-CN" w:bidi="ar-SA"/>
        </w:rPr>
      </w:pPr>
      <w:r>
        <w:rPr>
          <w:rFonts w:hint="eastAsia" w:ascii="仿宋" w:hAnsi="仿宋" w:eastAsia="仿宋" w:cs="仿宋"/>
          <w:b/>
          <w:bCs/>
          <w:color w:val="auto"/>
          <w:kern w:val="2"/>
          <w:sz w:val="24"/>
          <w:lang w:val="en-US" w:eastAsia="zh-CN" w:bidi="ar-SA"/>
        </w:rPr>
        <w:t>（四）项目费用与报价</w:t>
      </w:r>
    </w:p>
    <w:p>
      <w:pPr>
        <w:spacing w:line="360" w:lineRule="auto"/>
        <w:ind w:firstLine="417" w:firstLineChars="174"/>
        <w:rPr>
          <w:rFonts w:ascii="仿宋" w:hAnsi="仿宋" w:eastAsia="仿宋" w:cs="仿宋"/>
          <w:color w:val="auto"/>
          <w:sz w:val="24"/>
        </w:rPr>
      </w:pPr>
      <w:r>
        <w:rPr>
          <w:rFonts w:hint="eastAsia" w:ascii="仿宋" w:hAnsi="仿宋" w:eastAsia="仿宋" w:cs="仿宋"/>
          <w:color w:val="auto"/>
          <w:sz w:val="24"/>
        </w:rPr>
        <w:t>1．本项目费用包括买样费、检验费、代理费等完成项目所需的所有费用以及相关税费。</w:t>
      </w:r>
    </w:p>
    <w:p>
      <w:pPr>
        <w:spacing w:line="360" w:lineRule="auto"/>
        <w:ind w:firstLine="417" w:firstLineChars="174"/>
        <w:rPr>
          <w:rFonts w:ascii="仿宋" w:hAnsi="仿宋" w:eastAsia="仿宋" w:cs="仿宋"/>
          <w:color w:val="auto"/>
          <w:sz w:val="24"/>
        </w:rPr>
      </w:pPr>
      <w:r>
        <w:rPr>
          <w:rFonts w:hint="eastAsia" w:ascii="仿宋" w:hAnsi="仿宋" w:eastAsia="仿宋" w:cs="仿宋"/>
          <w:color w:val="auto"/>
          <w:sz w:val="24"/>
        </w:rPr>
        <w:t>买样费：用于支付药品抽检购买样品支付的费用，根据实际收检样品数量、购买凭证等支付。</w:t>
      </w:r>
    </w:p>
    <w:p>
      <w:pPr>
        <w:spacing w:line="360" w:lineRule="auto"/>
        <w:ind w:firstLine="417" w:firstLineChars="174"/>
        <w:rPr>
          <w:rFonts w:ascii="仿宋" w:hAnsi="仿宋" w:eastAsia="仿宋" w:cs="仿宋"/>
          <w:color w:val="auto"/>
          <w:sz w:val="24"/>
        </w:rPr>
      </w:pPr>
      <w:r>
        <w:rPr>
          <w:rFonts w:hint="eastAsia" w:ascii="仿宋" w:hAnsi="仿宋" w:eastAsia="仿宋" w:cs="仿宋"/>
          <w:color w:val="auto"/>
          <w:sz w:val="24"/>
        </w:rPr>
        <w:t>检验费：是指检验机构开展省级药品抽检检验活动发生的费用，包括人员费用、试剂耗材、购买对照品费用、仪器设备折旧费用等各项费用。</w:t>
      </w:r>
    </w:p>
    <w:p>
      <w:pPr>
        <w:spacing w:line="360" w:lineRule="auto"/>
        <w:ind w:firstLine="417" w:firstLineChars="174"/>
        <w:rPr>
          <w:rFonts w:ascii="仿宋" w:hAnsi="仿宋" w:eastAsia="仿宋" w:cs="仿宋"/>
          <w:color w:val="auto"/>
          <w:sz w:val="24"/>
        </w:rPr>
      </w:pPr>
      <w:r>
        <w:rPr>
          <w:rFonts w:hint="eastAsia" w:ascii="仿宋" w:hAnsi="仿宋" w:eastAsia="仿宋" w:cs="仿宋"/>
          <w:color w:val="auto"/>
          <w:sz w:val="24"/>
        </w:rPr>
        <w:t>2．本项目要求对浙江省生产环节、流通环节和使用环节抽取的化学药类、中药饮片类、中成药类、辅包类、生物制品类按照现行的质量标准进行检验，因缺少对照品、标准品等特殊原因不能进行全检的，应报采购人同意。投标人应参考中国药典等现行标准，分别测算化学药类、中药饮片类、中成药类、辅包类、生物制品类每批需要的固定平均综合单价，同时测算每批的快速检验固定平均综合单价。根据2022年药品抽检实施情况测算，采用下列公式计算报价。</w:t>
      </w:r>
    </w:p>
    <w:p>
      <w:pPr>
        <w:spacing w:line="360" w:lineRule="auto"/>
        <w:ind w:firstLine="417" w:firstLineChars="174"/>
        <w:rPr>
          <w:rFonts w:ascii="仿宋" w:hAnsi="仿宋" w:eastAsia="仿宋" w:cs="仿宋"/>
          <w:color w:val="auto"/>
          <w:sz w:val="24"/>
        </w:rPr>
      </w:pPr>
      <w:r>
        <w:rPr>
          <w:rFonts w:hint="eastAsia" w:ascii="仿宋" w:hAnsi="仿宋" w:eastAsia="仿宋" w:cs="仿宋"/>
          <w:color w:val="auto"/>
          <w:sz w:val="24"/>
        </w:rPr>
        <w:t>专项监督检验报价=专项监督每批平均报价×900批。其中专项监督每批平均报价采用各类别固定平均综合单价加权而得，即专项监督每批平均报价=（化学药类固定平均综合单价）×0.46+（中成药类固定平均综合单价）×0.23+（中药饮片类固定平均综合单价）×0.21+（辅包类固定平均综合单价）×0.10。</w:t>
      </w:r>
    </w:p>
    <w:p>
      <w:pPr>
        <w:spacing w:line="360" w:lineRule="auto"/>
        <w:ind w:firstLine="417" w:firstLineChars="174"/>
        <w:rPr>
          <w:rFonts w:ascii="仿宋" w:hAnsi="仿宋" w:eastAsia="仿宋" w:cs="仿宋"/>
          <w:color w:val="auto"/>
          <w:sz w:val="24"/>
        </w:rPr>
      </w:pPr>
      <w:r>
        <w:rPr>
          <w:rFonts w:hint="eastAsia" w:ascii="仿宋" w:hAnsi="仿宋" w:eastAsia="仿宋" w:cs="仿宋"/>
          <w:color w:val="auto"/>
          <w:sz w:val="24"/>
        </w:rPr>
        <w:t>基本药物检验报价=基本药物每批平均报价×1100批。其中基本药物每批平均报价采用各类别固定平均综合单价加权而得，即基本药物每批平均报价=（化学药类固定平均综合单价）×0.81+（中成药类固定平均综合单价）×0.18+（生物制品类固定平均综合单价）×0.01。</w:t>
      </w:r>
    </w:p>
    <w:p>
      <w:pPr>
        <w:spacing w:line="360" w:lineRule="auto"/>
        <w:ind w:firstLine="417" w:firstLineChars="174"/>
        <w:rPr>
          <w:rFonts w:ascii="仿宋" w:hAnsi="仿宋" w:eastAsia="仿宋" w:cs="仿宋"/>
          <w:color w:val="auto"/>
          <w:sz w:val="24"/>
        </w:rPr>
      </w:pPr>
      <w:r>
        <w:rPr>
          <w:rFonts w:hint="eastAsia" w:ascii="仿宋" w:hAnsi="仿宋" w:eastAsia="仿宋" w:cs="仿宋"/>
          <w:color w:val="auto"/>
          <w:sz w:val="24"/>
        </w:rPr>
        <w:t>快速检验报价=快速检验固定平均综合单价×1500批。</w:t>
      </w:r>
    </w:p>
    <w:p>
      <w:pPr>
        <w:spacing w:line="360" w:lineRule="auto"/>
        <w:ind w:firstLine="417" w:firstLineChars="174"/>
        <w:rPr>
          <w:rFonts w:ascii="仿宋" w:hAnsi="仿宋" w:eastAsia="仿宋" w:cs="仿宋"/>
          <w:color w:val="auto"/>
          <w:sz w:val="24"/>
        </w:rPr>
      </w:pPr>
      <w:r>
        <w:rPr>
          <w:rFonts w:hint="eastAsia" w:ascii="仿宋" w:hAnsi="仿宋" w:eastAsia="仿宋" w:cs="仿宋"/>
          <w:color w:val="auto"/>
          <w:sz w:val="24"/>
        </w:rPr>
        <w:t>同时报总报价：总报价=专项监督检验报价+基本药物检验报价+快速检验报价。</w:t>
      </w:r>
    </w:p>
    <w:p>
      <w:pPr>
        <w:spacing w:line="360" w:lineRule="auto"/>
        <w:ind w:firstLine="417" w:firstLineChars="174"/>
        <w:rPr>
          <w:rFonts w:ascii="仿宋" w:hAnsi="仿宋" w:eastAsia="仿宋" w:cs="仿宋"/>
          <w:color w:val="auto"/>
          <w:sz w:val="24"/>
        </w:rPr>
      </w:pPr>
      <w:r>
        <w:rPr>
          <w:rFonts w:hint="eastAsia" w:ascii="仿宋" w:hAnsi="仿宋" w:eastAsia="仿宋" w:cs="仿宋"/>
          <w:color w:val="auto"/>
          <w:sz w:val="24"/>
        </w:rPr>
        <w:t>3．项目实际总费用根据实际开展的检验任务批次和投标人投标的各类别固定平均综合单价，按实进行结算。项目购样经费应不少于经费总额的15%。</w:t>
      </w:r>
    </w:p>
    <w:p>
      <w:pPr>
        <w:pStyle w:val="968"/>
        <w:tabs>
          <w:tab w:val="left" w:pos="1246"/>
        </w:tabs>
        <w:spacing w:line="360" w:lineRule="auto"/>
        <w:ind w:firstLine="419" w:firstLineChars="174"/>
        <w:rPr>
          <w:rFonts w:ascii="仿宋" w:hAnsi="仿宋" w:eastAsia="仿宋" w:cs="仿宋"/>
          <w:b/>
          <w:bCs/>
          <w:color w:val="auto"/>
          <w:kern w:val="2"/>
          <w:sz w:val="24"/>
          <w:lang w:val="en-US" w:eastAsia="zh-CN" w:bidi="ar-SA"/>
        </w:rPr>
      </w:pPr>
      <w:r>
        <w:rPr>
          <w:rFonts w:hint="eastAsia" w:ascii="仿宋" w:hAnsi="仿宋" w:eastAsia="仿宋" w:cs="仿宋"/>
          <w:b/>
          <w:bCs/>
          <w:color w:val="auto"/>
          <w:kern w:val="2"/>
          <w:sz w:val="24"/>
          <w:lang w:val="en-US" w:eastAsia="zh-CN" w:bidi="ar-SA"/>
        </w:rPr>
        <w:t>（五）其他要求</w:t>
      </w:r>
    </w:p>
    <w:p>
      <w:pPr>
        <w:spacing w:line="360" w:lineRule="auto"/>
        <w:ind w:firstLine="417" w:firstLineChars="174"/>
        <w:rPr>
          <w:rFonts w:ascii="仿宋" w:hAnsi="仿宋" w:eastAsia="仿宋" w:cs="仿宋"/>
          <w:color w:val="auto"/>
          <w:sz w:val="24"/>
        </w:rPr>
      </w:pPr>
      <w:r>
        <w:rPr>
          <w:rFonts w:hint="eastAsia" w:ascii="仿宋" w:hAnsi="仿宋" w:eastAsia="仿宋" w:cs="仿宋"/>
          <w:color w:val="auto"/>
          <w:sz w:val="24"/>
        </w:rPr>
        <w:t>1．投标人提供的服务应符合国家、地方及相关政府管理部门和行业与本项目有关的各项服务标准、规范、规章要求，并满足采购人实际需求。标准、规范等不一致的，以要求高的为准。</w:t>
      </w:r>
    </w:p>
    <w:p>
      <w:pPr>
        <w:spacing w:line="360" w:lineRule="auto"/>
        <w:ind w:firstLine="417" w:firstLineChars="174"/>
        <w:rPr>
          <w:rFonts w:ascii="仿宋" w:hAnsi="仿宋" w:eastAsia="仿宋" w:cs="仿宋"/>
          <w:color w:val="auto"/>
          <w:sz w:val="24"/>
        </w:rPr>
      </w:pPr>
      <w:r>
        <w:rPr>
          <w:rFonts w:hint="eastAsia" w:ascii="仿宋" w:hAnsi="仿宋" w:eastAsia="仿宋" w:cs="仿宋"/>
          <w:color w:val="auto"/>
          <w:sz w:val="24"/>
        </w:rPr>
        <w:t>2．项目服务期内，投标人应严格执行国家、地方、行业各项有关本项目业务管理和安全作业的法律、法规和制度，积极主动加强和服务业务及安全等有关的管理工作，并按规定承担相应的费用。投标人因违反规定等原因造成的一切损失和责任由投标人承担。</w:t>
      </w:r>
    </w:p>
    <w:p>
      <w:pPr>
        <w:spacing w:line="360" w:lineRule="auto"/>
        <w:ind w:firstLine="417" w:firstLineChars="174"/>
        <w:rPr>
          <w:rFonts w:ascii="仿宋" w:hAnsi="仿宋" w:eastAsia="仿宋" w:cs="仿宋"/>
          <w:color w:val="auto"/>
          <w:sz w:val="24"/>
        </w:rPr>
      </w:pPr>
      <w:r>
        <w:rPr>
          <w:rFonts w:hint="eastAsia" w:ascii="仿宋" w:hAnsi="仿宋" w:eastAsia="仿宋" w:cs="仿宋"/>
          <w:color w:val="auto"/>
          <w:sz w:val="24"/>
        </w:rPr>
        <w:t>3．项目负责人应为投标人在职人员，具有类似本项目的服务管理经验，项目组人员的数量应足够满足本项目服务需要，具有良好的职业道德和严谨的工作作风。</w:t>
      </w:r>
    </w:p>
    <w:p>
      <w:pPr>
        <w:spacing w:line="360" w:lineRule="auto"/>
        <w:ind w:firstLine="417" w:firstLineChars="174"/>
        <w:rPr>
          <w:rFonts w:ascii="仿宋" w:hAnsi="仿宋" w:eastAsia="仿宋" w:cs="仿宋"/>
          <w:color w:val="auto"/>
          <w:sz w:val="24"/>
        </w:rPr>
      </w:pPr>
      <w:r>
        <w:rPr>
          <w:rFonts w:hint="eastAsia" w:ascii="仿宋" w:hAnsi="仿宋" w:eastAsia="仿宋" w:cs="仿宋"/>
          <w:color w:val="auto"/>
          <w:sz w:val="24"/>
        </w:rPr>
        <w:t>4．项目服务期内，投标人应按采购人实际服务需求落实所对应提供的服务工作，做好相关管理记录。</w:t>
      </w:r>
    </w:p>
    <w:p>
      <w:pPr>
        <w:spacing w:line="360" w:lineRule="auto"/>
        <w:ind w:firstLine="417" w:firstLineChars="174"/>
        <w:rPr>
          <w:rFonts w:ascii="仿宋" w:hAnsi="仿宋" w:eastAsia="仿宋" w:cs="仿宋"/>
          <w:color w:val="auto"/>
          <w:sz w:val="24"/>
        </w:rPr>
      </w:pPr>
      <w:r>
        <w:rPr>
          <w:rFonts w:hint="eastAsia" w:ascii="仿宋" w:hAnsi="仿宋" w:eastAsia="仿宋" w:cs="仿宋"/>
          <w:color w:val="auto"/>
          <w:sz w:val="24"/>
        </w:rPr>
        <w:t>5．经采购人确认的项目负责人和项目组人员及数量，未经采购人书面批准不得随意调换或撤离，若自行更换或撤离，按照合同违约处理。</w:t>
      </w:r>
    </w:p>
    <w:p>
      <w:pPr>
        <w:spacing w:line="360" w:lineRule="auto"/>
        <w:ind w:firstLine="417" w:firstLineChars="174"/>
        <w:rPr>
          <w:rFonts w:ascii="仿宋" w:hAnsi="仿宋" w:eastAsia="仿宋" w:cs="仿宋"/>
          <w:color w:val="auto"/>
          <w:sz w:val="24"/>
        </w:rPr>
      </w:pPr>
      <w:r>
        <w:rPr>
          <w:rFonts w:hint="eastAsia" w:ascii="仿宋" w:hAnsi="仿宋" w:eastAsia="仿宋" w:cs="仿宋"/>
          <w:color w:val="auto"/>
          <w:sz w:val="24"/>
        </w:rPr>
        <w:t>6．投标人在投标文件中要结合本项目的特点和采购人上述的具体要求制定相应的服务管理措施。</w:t>
      </w:r>
    </w:p>
    <w:p>
      <w:pPr>
        <w:spacing w:line="360" w:lineRule="auto"/>
        <w:ind w:firstLine="417" w:firstLineChars="174"/>
        <w:rPr>
          <w:rFonts w:ascii="仿宋" w:hAnsi="仿宋" w:eastAsia="仿宋" w:cs="仿宋"/>
          <w:color w:val="auto"/>
          <w:sz w:val="24"/>
          <w:shd w:val="clear" w:color="auto" w:fill="FFFFFF"/>
        </w:rPr>
      </w:pPr>
      <w:r>
        <w:rPr>
          <w:rFonts w:hint="eastAsia" w:ascii="仿宋" w:hAnsi="仿宋" w:eastAsia="仿宋" w:cs="仿宋"/>
          <w:color w:val="auto"/>
          <w:sz w:val="24"/>
        </w:rPr>
        <w:t>7．投标人因不可抗力等因素不能按照招标文件要求和抽检计划完成项目的，应取得采购人的同意，如未取得采购人同意，或者在抽检监测工作中存在严重问题的，或者发生重大药品检验事故等，暂停直至终止投标人的抽检监测任务。</w:t>
      </w:r>
    </w:p>
    <w:p>
      <w:pPr>
        <w:pStyle w:val="3"/>
        <w:tabs>
          <w:tab w:val="left" w:pos="0"/>
          <w:tab w:val="clear" w:pos="432"/>
        </w:tabs>
        <w:adjustRightInd w:val="0"/>
        <w:snapToGrid w:val="0"/>
        <w:ind w:left="0" w:firstLine="419" w:firstLineChars="174"/>
        <w:rPr>
          <w:rFonts w:ascii="仿宋" w:eastAsia="仿宋" w:cs="仿宋"/>
          <w:color w:val="auto"/>
          <w:sz w:val="24"/>
          <w:szCs w:val="24"/>
          <w:lang w:val="en-US"/>
        </w:rPr>
      </w:pPr>
      <w:bookmarkStart w:id="37" w:name="_Toc9620"/>
      <w:r>
        <w:rPr>
          <w:rFonts w:hint="eastAsia" w:ascii="仿宋" w:eastAsia="仿宋" w:cs="仿宋"/>
          <w:color w:val="auto"/>
          <w:sz w:val="24"/>
          <w:szCs w:val="24"/>
          <w:lang w:val="en-US"/>
        </w:rPr>
        <w:t>四</w:t>
      </w:r>
      <w:r>
        <w:rPr>
          <w:rFonts w:hint="eastAsia" w:ascii="仿宋" w:eastAsia="仿宋" w:cs="仿宋"/>
          <w:color w:val="auto"/>
          <w:sz w:val="24"/>
          <w:szCs w:val="24"/>
        </w:rPr>
        <w:t>、支付方式</w:t>
      </w:r>
    </w:p>
    <w:p>
      <w:pPr>
        <w:spacing w:line="360" w:lineRule="auto"/>
        <w:ind w:firstLine="417" w:firstLineChars="174"/>
        <w:rPr>
          <w:rFonts w:ascii="仿宋" w:hAnsi="仿宋" w:eastAsia="仿宋" w:cs="仿宋"/>
          <w:color w:val="auto"/>
          <w:sz w:val="24"/>
          <w:shd w:val="clear" w:color="auto" w:fill="FFFFFF"/>
        </w:rPr>
      </w:pPr>
      <w:r>
        <w:rPr>
          <w:rFonts w:hint="eastAsia" w:ascii="仿宋" w:hAnsi="仿宋" w:eastAsia="仿宋" w:cs="仿宋"/>
          <w:color w:val="auto"/>
          <w:sz w:val="24"/>
          <w:shd w:val="clear" w:color="auto" w:fill="FFFFFF"/>
        </w:rPr>
        <w:t>1.付款方式：</w:t>
      </w:r>
      <w:r>
        <w:rPr>
          <w:rFonts w:hint="eastAsia" w:ascii="仿宋" w:hAnsi="仿宋" w:eastAsia="仿宋" w:cs="仿宋"/>
          <w:bCs/>
          <w:color w:val="auto"/>
          <w:sz w:val="24"/>
        </w:rPr>
        <w:t>自合同生效且具备实施条件并于收到发票后7个工作日内，采购人支付合同总额的40%；当项目抽检批次完成80%时，采购人收到相应金额发票后7个工作日内支付合同总额的40%；待验收合格后根据实际结算情况支付尾款。</w:t>
      </w:r>
    </w:p>
    <w:p>
      <w:pPr>
        <w:pStyle w:val="24"/>
        <w:ind w:firstLine="417" w:firstLineChars="174"/>
        <w:rPr>
          <w:rFonts w:ascii="仿宋" w:hAnsi="仿宋" w:eastAsia="仿宋" w:cs="仿宋"/>
          <w:color w:val="auto"/>
          <w:szCs w:val="24"/>
          <w:shd w:val="clear" w:color="auto" w:fill="FFFFFF"/>
          <w:lang w:val="en-US"/>
        </w:rPr>
      </w:pPr>
      <w:r>
        <w:rPr>
          <w:rFonts w:hint="eastAsia" w:ascii="仿宋" w:hAnsi="仿宋" w:eastAsia="仿宋" w:cs="仿宋"/>
          <w:color w:val="auto"/>
          <w:szCs w:val="24"/>
          <w:shd w:val="clear" w:color="auto" w:fill="FFFFFF"/>
          <w:lang w:val="en-US"/>
        </w:rPr>
        <w:t>2.合同款项支付时，乙方应及时向甲方提供相应合规的票据。</w:t>
      </w:r>
    </w:p>
    <w:p>
      <w:pPr>
        <w:pStyle w:val="3"/>
        <w:tabs>
          <w:tab w:val="left" w:pos="0"/>
          <w:tab w:val="clear" w:pos="432"/>
        </w:tabs>
        <w:adjustRightInd w:val="0"/>
        <w:snapToGrid w:val="0"/>
        <w:ind w:left="0" w:firstLine="419" w:firstLineChars="174"/>
        <w:rPr>
          <w:rFonts w:ascii="仿宋" w:eastAsia="仿宋" w:cs="仿宋"/>
          <w:color w:val="auto"/>
          <w:sz w:val="24"/>
          <w:szCs w:val="24"/>
          <w:lang w:val="en-US"/>
        </w:rPr>
      </w:pPr>
      <w:r>
        <w:rPr>
          <w:rFonts w:hint="eastAsia" w:ascii="仿宋" w:eastAsia="仿宋" w:cs="仿宋"/>
          <w:color w:val="auto"/>
          <w:sz w:val="24"/>
          <w:szCs w:val="24"/>
          <w:lang w:val="en-US"/>
        </w:rPr>
        <w:t>五</w:t>
      </w:r>
      <w:r>
        <w:rPr>
          <w:rFonts w:hint="eastAsia" w:ascii="仿宋" w:eastAsia="仿宋" w:cs="仿宋"/>
          <w:color w:val="auto"/>
          <w:sz w:val="24"/>
          <w:szCs w:val="24"/>
        </w:rPr>
        <w:t>、</w:t>
      </w:r>
      <w:bookmarkEnd w:id="33"/>
      <w:bookmarkEnd w:id="34"/>
      <w:bookmarkEnd w:id="37"/>
      <w:r>
        <w:rPr>
          <w:rFonts w:hint="eastAsia" w:ascii="仿宋" w:eastAsia="仿宋" w:cs="仿宋"/>
          <w:color w:val="auto"/>
          <w:sz w:val="24"/>
          <w:szCs w:val="24"/>
        </w:rPr>
        <w:t>验收方法和标准</w:t>
      </w:r>
    </w:p>
    <w:bookmarkEnd w:id="32"/>
    <w:bookmarkEnd w:id="35"/>
    <w:bookmarkEnd w:id="36"/>
    <w:p>
      <w:pPr>
        <w:pStyle w:val="968"/>
        <w:tabs>
          <w:tab w:val="left" w:pos="1246"/>
        </w:tabs>
        <w:spacing w:line="360" w:lineRule="auto"/>
        <w:ind w:firstLine="417" w:firstLineChars="174"/>
        <w:rPr>
          <w:rFonts w:ascii="仿宋" w:hAnsi="仿宋" w:eastAsia="仿宋" w:cs="仿宋"/>
          <w:color w:val="auto"/>
          <w:kern w:val="2"/>
          <w:sz w:val="24"/>
          <w:shd w:val="clear" w:color="auto" w:fill="FFFFFF"/>
          <w:lang w:val="en-US" w:eastAsia="zh-CN" w:bidi="ar-SA"/>
        </w:rPr>
      </w:pPr>
      <w:r>
        <w:rPr>
          <w:rFonts w:hint="eastAsia" w:ascii="仿宋" w:hAnsi="仿宋" w:eastAsia="仿宋" w:cs="仿宋"/>
          <w:color w:val="auto"/>
          <w:kern w:val="2"/>
          <w:sz w:val="24"/>
          <w:shd w:val="clear" w:color="auto" w:fill="FFFFFF"/>
          <w:lang w:val="en-US" w:eastAsia="zh-CN" w:bidi="ar-SA"/>
        </w:rPr>
        <w:t>1.检验项目完全完成后，投标人应及时向采购人发出书面履约完成通知书。</w:t>
      </w:r>
    </w:p>
    <w:p>
      <w:pPr>
        <w:pStyle w:val="968"/>
        <w:tabs>
          <w:tab w:val="left" w:pos="1246"/>
        </w:tabs>
        <w:spacing w:line="360" w:lineRule="auto"/>
        <w:ind w:firstLine="417" w:firstLineChars="174"/>
        <w:rPr>
          <w:rFonts w:ascii="仿宋" w:hAnsi="仿宋" w:eastAsia="仿宋" w:cs="仿宋"/>
          <w:color w:val="auto"/>
          <w:kern w:val="2"/>
          <w:sz w:val="24"/>
          <w:shd w:val="clear" w:color="auto" w:fill="FFFFFF"/>
          <w:lang w:val="en-US" w:eastAsia="zh-CN" w:bidi="ar-SA"/>
        </w:rPr>
      </w:pPr>
      <w:r>
        <w:rPr>
          <w:rFonts w:hint="eastAsia" w:ascii="仿宋" w:hAnsi="仿宋" w:eastAsia="仿宋" w:cs="仿宋"/>
          <w:color w:val="auto"/>
          <w:kern w:val="2"/>
          <w:sz w:val="24"/>
          <w:shd w:val="clear" w:color="auto" w:fill="FFFFFF"/>
          <w:lang w:val="en-US" w:eastAsia="zh-CN" w:bidi="ar-SA"/>
        </w:rPr>
        <w:t>2.采购人将在收到中标投标人发出的履约完成通知书后10日内，组织人员对投标人履约情况进行考核验收。</w:t>
      </w:r>
    </w:p>
    <w:p>
      <w:pPr>
        <w:pStyle w:val="968"/>
        <w:tabs>
          <w:tab w:val="left" w:pos="1246"/>
        </w:tabs>
        <w:spacing w:line="360" w:lineRule="auto"/>
        <w:ind w:firstLine="417" w:firstLineChars="174"/>
        <w:rPr>
          <w:rFonts w:ascii="仿宋" w:hAnsi="仿宋" w:eastAsia="仿宋" w:cs="仿宋"/>
          <w:color w:val="auto"/>
          <w:kern w:val="2"/>
          <w:sz w:val="24"/>
          <w:shd w:val="clear" w:color="auto" w:fill="FFFFFF"/>
          <w:lang w:val="en-US" w:eastAsia="zh-CN" w:bidi="ar-SA"/>
        </w:rPr>
      </w:pPr>
      <w:r>
        <w:rPr>
          <w:rFonts w:hint="eastAsia" w:ascii="仿宋" w:hAnsi="仿宋" w:eastAsia="仿宋" w:cs="仿宋"/>
          <w:color w:val="auto"/>
          <w:kern w:val="2"/>
          <w:sz w:val="24"/>
          <w:shd w:val="clear" w:color="auto" w:fill="FFFFFF"/>
          <w:lang w:val="en-US" w:eastAsia="zh-CN" w:bidi="ar-SA"/>
        </w:rPr>
        <w:t>3.验收指标包括：对抽检各品种完成时限进行验收，要求抽检按期完成率100%；对抽检完成批次数量进行验收，要求抽检批次3500批（含药品快速检验）；对提交纸质或者电子分析报告进行验收，要求报告数≥2份；对退修的报告进行检查，因检验差错造成的报告书退修，退修率≤0.5%。</w:t>
      </w:r>
    </w:p>
    <w:p>
      <w:pPr>
        <w:pStyle w:val="60"/>
        <w:jc w:val="both"/>
        <w:rPr>
          <w:rFonts w:ascii="仿宋" w:hAnsi="仿宋" w:eastAsia="仿宋" w:cs="仿宋"/>
          <w:color w:val="auto"/>
          <w:lang w:val="en-US"/>
        </w:rPr>
      </w:pPr>
    </w:p>
    <w:p>
      <w:pPr>
        <w:jc w:val="left"/>
        <w:rPr>
          <w:rFonts w:ascii="仿宋" w:hAnsi="仿宋" w:eastAsia="仿宋" w:cs="仿宋"/>
          <w:b/>
          <w:color w:val="auto"/>
          <w:sz w:val="36"/>
          <w:szCs w:val="36"/>
        </w:rPr>
      </w:pPr>
      <w:bookmarkStart w:id="38" w:name="_Toc28740"/>
      <w:r>
        <w:rPr>
          <w:rFonts w:hint="eastAsia" w:ascii="仿宋" w:hAnsi="仿宋" w:eastAsia="仿宋" w:cs="仿宋"/>
          <w:b/>
          <w:color w:val="auto"/>
          <w:sz w:val="36"/>
          <w:szCs w:val="36"/>
        </w:rPr>
        <w:br w:type="page"/>
      </w:r>
    </w:p>
    <w:p>
      <w:pPr>
        <w:spacing w:line="360" w:lineRule="auto"/>
        <w:jc w:val="center"/>
        <w:outlineLvl w:val="0"/>
        <w:rPr>
          <w:rFonts w:ascii="仿宋" w:hAnsi="仿宋" w:eastAsia="仿宋" w:cs="仿宋"/>
          <w:b/>
          <w:color w:val="auto"/>
          <w:sz w:val="36"/>
          <w:szCs w:val="36"/>
        </w:rPr>
      </w:pPr>
      <w:r>
        <w:rPr>
          <w:rFonts w:hint="eastAsia" w:ascii="仿宋" w:hAnsi="仿宋" w:eastAsia="仿宋" w:cs="仿宋"/>
          <w:b/>
          <w:color w:val="auto"/>
          <w:sz w:val="36"/>
          <w:szCs w:val="36"/>
        </w:rPr>
        <w:t xml:space="preserve">第四部分   </w:t>
      </w:r>
      <w:bookmarkStart w:id="39" w:name="_Toc184314462"/>
      <w:bookmarkEnd w:id="39"/>
      <w:bookmarkStart w:id="40" w:name="_Toc184312084"/>
      <w:bookmarkEnd w:id="40"/>
      <w:bookmarkStart w:id="41" w:name="_Toc184308050"/>
      <w:bookmarkEnd w:id="41"/>
      <w:bookmarkStart w:id="42" w:name="_Toc184308108"/>
      <w:bookmarkEnd w:id="42"/>
      <w:bookmarkStart w:id="43" w:name="_Toc184314416"/>
      <w:bookmarkEnd w:id="43"/>
      <w:bookmarkStart w:id="44" w:name="_Toc184308051"/>
      <w:bookmarkEnd w:id="44"/>
      <w:bookmarkStart w:id="45" w:name="_Toc184313254"/>
      <w:bookmarkEnd w:id="45"/>
      <w:bookmarkStart w:id="46" w:name="_Toc184313245"/>
      <w:bookmarkEnd w:id="46"/>
      <w:bookmarkStart w:id="47" w:name="_Toc184308080"/>
      <w:bookmarkEnd w:id="47"/>
      <w:bookmarkStart w:id="48" w:name="_Toc184314469"/>
      <w:bookmarkEnd w:id="48"/>
      <w:bookmarkStart w:id="49" w:name="_Toc184308058"/>
      <w:bookmarkEnd w:id="49"/>
      <w:bookmarkStart w:id="50" w:name="_Toc184314437"/>
      <w:bookmarkEnd w:id="50"/>
      <w:bookmarkStart w:id="51" w:name="_Toc184310293"/>
      <w:bookmarkEnd w:id="51"/>
      <w:bookmarkStart w:id="52" w:name="_Toc184314481"/>
      <w:bookmarkEnd w:id="52"/>
      <w:bookmarkStart w:id="53" w:name="_Toc184314467"/>
      <w:bookmarkEnd w:id="53"/>
      <w:bookmarkStart w:id="54" w:name="_Toc184313264"/>
      <w:bookmarkEnd w:id="54"/>
      <w:bookmarkStart w:id="55" w:name="_Toc184308078"/>
      <w:bookmarkEnd w:id="55"/>
      <w:bookmarkStart w:id="56" w:name="_Toc184308082"/>
      <w:bookmarkEnd w:id="56"/>
      <w:bookmarkStart w:id="57" w:name="_Toc184308047"/>
      <w:bookmarkEnd w:id="57"/>
      <w:bookmarkStart w:id="58" w:name="_Toc184310340"/>
      <w:bookmarkEnd w:id="58"/>
      <w:bookmarkStart w:id="59" w:name="_Toc184310341"/>
      <w:bookmarkEnd w:id="59"/>
      <w:bookmarkStart w:id="60" w:name="_Toc184308057"/>
      <w:bookmarkEnd w:id="60"/>
      <w:bookmarkStart w:id="61" w:name="_Toc184313289"/>
      <w:bookmarkEnd w:id="61"/>
      <w:bookmarkStart w:id="62" w:name="_Toc184313258"/>
      <w:bookmarkEnd w:id="62"/>
      <w:bookmarkStart w:id="63" w:name="_Toc184314448"/>
      <w:bookmarkEnd w:id="63"/>
      <w:bookmarkStart w:id="64" w:name="_Toc184312114"/>
      <w:bookmarkEnd w:id="64"/>
      <w:bookmarkStart w:id="65" w:name="_Toc184310324"/>
      <w:bookmarkEnd w:id="65"/>
      <w:bookmarkStart w:id="66" w:name="_Toc184313280"/>
      <w:bookmarkEnd w:id="66"/>
      <w:bookmarkStart w:id="67" w:name="_Toc184313240"/>
      <w:bookmarkEnd w:id="67"/>
      <w:bookmarkStart w:id="68" w:name="_Toc184312121"/>
      <w:bookmarkEnd w:id="68"/>
      <w:bookmarkStart w:id="69" w:name="_Toc184312107"/>
      <w:bookmarkEnd w:id="69"/>
      <w:bookmarkStart w:id="70" w:name="_Toc184312130"/>
      <w:bookmarkEnd w:id="70"/>
      <w:bookmarkStart w:id="71" w:name="_Toc184313238"/>
      <w:bookmarkEnd w:id="71"/>
      <w:bookmarkStart w:id="72" w:name="_Toc184308091"/>
      <w:bookmarkEnd w:id="72"/>
      <w:bookmarkStart w:id="73" w:name="_Toc184313278"/>
      <w:bookmarkEnd w:id="73"/>
      <w:bookmarkStart w:id="74" w:name="_Toc184314453"/>
      <w:bookmarkEnd w:id="74"/>
      <w:bookmarkStart w:id="75" w:name="_Toc184314419"/>
      <w:bookmarkEnd w:id="75"/>
      <w:bookmarkStart w:id="76" w:name="_Toc184312068"/>
      <w:bookmarkEnd w:id="76"/>
      <w:bookmarkStart w:id="77" w:name="_Toc184310295"/>
      <w:bookmarkEnd w:id="77"/>
      <w:bookmarkStart w:id="78" w:name="_Toc184310294"/>
      <w:bookmarkEnd w:id="78"/>
      <w:bookmarkStart w:id="79" w:name="_Toc184313252"/>
      <w:bookmarkEnd w:id="79"/>
      <w:bookmarkStart w:id="80" w:name="_Toc184308052"/>
      <w:bookmarkEnd w:id="80"/>
      <w:bookmarkStart w:id="81" w:name="_Toc184308049"/>
      <w:bookmarkEnd w:id="81"/>
      <w:bookmarkStart w:id="82" w:name="_Toc184314454"/>
      <w:bookmarkEnd w:id="82"/>
      <w:bookmarkStart w:id="83" w:name="_Toc184310284"/>
      <w:bookmarkEnd w:id="83"/>
      <w:bookmarkStart w:id="84" w:name="_Toc184313275"/>
      <w:bookmarkEnd w:id="84"/>
      <w:bookmarkStart w:id="85" w:name="_Toc184314463"/>
      <w:bookmarkEnd w:id="85"/>
      <w:bookmarkStart w:id="86" w:name="_Toc184313300"/>
      <w:bookmarkEnd w:id="86"/>
      <w:bookmarkStart w:id="87" w:name="_Toc184312092"/>
      <w:bookmarkEnd w:id="87"/>
      <w:bookmarkStart w:id="88" w:name="_Toc184308074"/>
      <w:bookmarkEnd w:id="88"/>
      <w:bookmarkStart w:id="89" w:name="_Toc184314412"/>
      <w:bookmarkEnd w:id="89"/>
      <w:bookmarkStart w:id="90" w:name="_Toc184314458"/>
      <w:bookmarkEnd w:id="90"/>
      <w:bookmarkStart w:id="91" w:name="_Toc184313285"/>
      <w:bookmarkEnd w:id="91"/>
      <w:bookmarkStart w:id="92" w:name="_Toc184308064"/>
      <w:bookmarkEnd w:id="92"/>
      <w:bookmarkStart w:id="93" w:name="_Toc184313269"/>
      <w:bookmarkEnd w:id="93"/>
      <w:bookmarkStart w:id="94" w:name="_Toc184313294"/>
      <w:bookmarkEnd w:id="94"/>
      <w:bookmarkStart w:id="95" w:name="_Toc184314471"/>
      <w:bookmarkEnd w:id="95"/>
      <w:bookmarkStart w:id="96" w:name="_Toc184310312"/>
      <w:bookmarkEnd w:id="96"/>
      <w:bookmarkStart w:id="97" w:name="_Toc184314450"/>
      <w:bookmarkEnd w:id="97"/>
      <w:bookmarkStart w:id="98" w:name="_Toc184312115"/>
      <w:bookmarkEnd w:id="98"/>
      <w:bookmarkStart w:id="99" w:name="_Toc184312099"/>
      <w:bookmarkEnd w:id="99"/>
      <w:bookmarkStart w:id="100" w:name="_Toc184310306"/>
      <w:bookmarkEnd w:id="100"/>
      <w:bookmarkStart w:id="101" w:name="_Toc184312101"/>
      <w:bookmarkEnd w:id="101"/>
      <w:bookmarkStart w:id="102" w:name="_Toc184310342"/>
      <w:bookmarkEnd w:id="102"/>
      <w:bookmarkStart w:id="103" w:name="_Toc184310307"/>
      <w:bookmarkEnd w:id="103"/>
      <w:bookmarkStart w:id="104" w:name="_Toc184314452"/>
      <w:bookmarkEnd w:id="104"/>
      <w:bookmarkStart w:id="105" w:name="_Toc184310329"/>
      <w:bookmarkEnd w:id="105"/>
      <w:bookmarkStart w:id="106" w:name="_Toc184308068"/>
      <w:bookmarkEnd w:id="106"/>
      <w:bookmarkStart w:id="107" w:name="_Toc184308071"/>
      <w:bookmarkEnd w:id="107"/>
      <w:bookmarkStart w:id="108" w:name="_Toc184310323"/>
      <w:bookmarkEnd w:id="108"/>
      <w:bookmarkStart w:id="109" w:name="_Toc184310319"/>
      <w:bookmarkEnd w:id="109"/>
      <w:bookmarkStart w:id="110" w:name="_Toc184308075"/>
      <w:bookmarkEnd w:id="110"/>
      <w:bookmarkStart w:id="111" w:name="_Toc184310272"/>
      <w:bookmarkEnd w:id="111"/>
      <w:bookmarkStart w:id="112" w:name="_Toc184310321"/>
      <w:bookmarkEnd w:id="112"/>
      <w:bookmarkStart w:id="113" w:name="_Toc184312135"/>
      <w:bookmarkEnd w:id="113"/>
      <w:bookmarkStart w:id="114" w:name="_Toc184308088"/>
      <w:bookmarkEnd w:id="114"/>
      <w:bookmarkStart w:id="115" w:name="_Toc184312134"/>
      <w:bookmarkEnd w:id="115"/>
      <w:bookmarkStart w:id="116" w:name="_Toc184312105"/>
      <w:bookmarkEnd w:id="116"/>
      <w:bookmarkStart w:id="117" w:name="_Toc184310301"/>
      <w:bookmarkEnd w:id="117"/>
      <w:bookmarkStart w:id="118" w:name="_Toc184313271"/>
      <w:bookmarkEnd w:id="118"/>
      <w:bookmarkStart w:id="119" w:name="_Toc184312125"/>
      <w:bookmarkEnd w:id="119"/>
      <w:bookmarkStart w:id="120" w:name="_Toc184313305"/>
      <w:bookmarkEnd w:id="120"/>
      <w:bookmarkStart w:id="121" w:name="_Toc184313246"/>
      <w:bookmarkEnd w:id="121"/>
      <w:bookmarkStart w:id="122" w:name="_Toc184310322"/>
      <w:bookmarkEnd w:id="122"/>
      <w:bookmarkStart w:id="123" w:name="_Toc184313308"/>
      <w:bookmarkEnd w:id="123"/>
      <w:bookmarkStart w:id="124" w:name="_Toc184312096"/>
      <w:bookmarkEnd w:id="124"/>
      <w:bookmarkStart w:id="125" w:name="_Toc184308105"/>
      <w:bookmarkEnd w:id="125"/>
      <w:bookmarkStart w:id="126" w:name="_Toc184312123"/>
      <w:bookmarkEnd w:id="126"/>
      <w:bookmarkStart w:id="127" w:name="_Toc184313284"/>
      <w:bookmarkEnd w:id="127"/>
      <w:bookmarkStart w:id="128" w:name="_Toc184308066"/>
      <w:bookmarkEnd w:id="128"/>
      <w:bookmarkStart w:id="129" w:name="_Toc184308040"/>
      <w:bookmarkEnd w:id="129"/>
      <w:bookmarkStart w:id="130" w:name="_Toc184312090"/>
      <w:bookmarkEnd w:id="130"/>
      <w:bookmarkStart w:id="131" w:name="_Toc184313277"/>
      <w:bookmarkEnd w:id="131"/>
      <w:bookmarkStart w:id="132" w:name="_Toc184313296"/>
      <w:bookmarkEnd w:id="132"/>
      <w:bookmarkStart w:id="133" w:name="_Toc184308090"/>
      <w:bookmarkEnd w:id="133"/>
      <w:bookmarkStart w:id="134" w:name="_Toc184314473"/>
      <w:bookmarkEnd w:id="134"/>
      <w:bookmarkStart w:id="135" w:name="_Toc184312127"/>
      <w:bookmarkEnd w:id="135"/>
      <w:bookmarkStart w:id="136" w:name="_Toc184310308"/>
      <w:bookmarkEnd w:id="136"/>
      <w:bookmarkStart w:id="137" w:name="_Toc184313279"/>
      <w:bookmarkEnd w:id="137"/>
      <w:bookmarkStart w:id="138" w:name="_Toc184308097"/>
      <w:bookmarkEnd w:id="138"/>
      <w:bookmarkStart w:id="139" w:name="_Toc184308036"/>
      <w:bookmarkEnd w:id="139"/>
      <w:bookmarkStart w:id="140" w:name="_Toc184313301"/>
      <w:bookmarkEnd w:id="140"/>
      <w:bookmarkStart w:id="141" w:name="_Toc184312133"/>
      <w:bookmarkEnd w:id="141"/>
      <w:bookmarkStart w:id="142" w:name="_Toc184314442"/>
      <w:bookmarkEnd w:id="142"/>
      <w:bookmarkStart w:id="143" w:name="_Toc184314477"/>
      <w:bookmarkEnd w:id="143"/>
      <w:bookmarkStart w:id="144" w:name="_Toc184308107"/>
      <w:bookmarkEnd w:id="144"/>
      <w:bookmarkStart w:id="145" w:name="_Toc184314420"/>
      <w:bookmarkEnd w:id="145"/>
      <w:bookmarkStart w:id="146" w:name="_Toc184312083"/>
      <w:bookmarkEnd w:id="146"/>
      <w:bookmarkStart w:id="147" w:name="_Toc184313299"/>
      <w:bookmarkEnd w:id="147"/>
      <w:bookmarkStart w:id="148" w:name="_Toc184308060"/>
      <w:bookmarkEnd w:id="148"/>
      <w:bookmarkStart w:id="149" w:name="_Toc184312124"/>
      <w:bookmarkEnd w:id="149"/>
      <w:bookmarkStart w:id="150" w:name="_Toc184313242"/>
      <w:bookmarkEnd w:id="150"/>
      <w:bookmarkStart w:id="151" w:name="_Toc184310300"/>
      <w:bookmarkEnd w:id="151"/>
      <w:bookmarkStart w:id="152" w:name="_Toc184308095"/>
      <w:bookmarkEnd w:id="152"/>
      <w:bookmarkStart w:id="153" w:name="_Toc184312129"/>
      <w:bookmarkEnd w:id="153"/>
      <w:bookmarkStart w:id="154" w:name="_Toc184313274"/>
      <w:bookmarkEnd w:id="154"/>
      <w:bookmarkStart w:id="155" w:name="_Toc184308059"/>
      <w:bookmarkEnd w:id="155"/>
      <w:bookmarkStart w:id="156" w:name="_Toc184314433"/>
      <w:bookmarkEnd w:id="156"/>
      <w:bookmarkStart w:id="157" w:name="_Toc184312076"/>
      <w:bookmarkEnd w:id="157"/>
      <w:bookmarkStart w:id="158" w:name="_Toc184310276"/>
      <w:bookmarkEnd w:id="158"/>
      <w:bookmarkStart w:id="159" w:name="_Toc184312085"/>
      <w:bookmarkEnd w:id="159"/>
      <w:bookmarkStart w:id="160" w:name="_Toc184313288"/>
      <w:bookmarkEnd w:id="160"/>
      <w:bookmarkStart w:id="161" w:name="_Toc184313265"/>
      <w:bookmarkEnd w:id="161"/>
      <w:bookmarkStart w:id="162" w:name="_Toc184310330"/>
      <w:bookmarkEnd w:id="162"/>
      <w:bookmarkStart w:id="163" w:name="_Toc184308053"/>
      <w:bookmarkEnd w:id="163"/>
      <w:bookmarkStart w:id="164" w:name="_Toc184312086"/>
      <w:bookmarkEnd w:id="164"/>
      <w:bookmarkStart w:id="165" w:name="_Toc184310325"/>
      <w:bookmarkEnd w:id="165"/>
      <w:bookmarkStart w:id="166" w:name="_Toc184310327"/>
      <w:bookmarkEnd w:id="166"/>
      <w:bookmarkStart w:id="167" w:name="_Toc184308063"/>
      <w:bookmarkEnd w:id="167"/>
      <w:bookmarkStart w:id="168" w:name="_Toc184308096"/>
      <w:bookmarkEnd w:id="168"/>
      <w:bookmarkStart w:id="169" w:name="_Toc184312111"/>
      <w:bookmarkEnd w:id="169"/>
      <w:bookmarkStart w:id="170" w:name="_Toc184313243"/>
      <w:bookmarkEnd w:id="170"/>
      <w:bookmarkStart w:id="171" w:name="_Toc184313268"/>
      <w:bookmarkEnd w:id="171"/>
      <w:bookmarkStart w:id="172" w:name="_Toc184310286"/>
      <w:bookmarkEnd w:id="172"/>
      <w:bookmarkStart w:id="173" w:name="_Toc184310328"/>
      <w:bookmarkEnd w:id="173"/>
      <w:bookmarkStart w:id="174" w:name="_Toc184310335"/>
      <w:bookmarkEnd w:id="174"/>
      <w:bookmarkStart w:id="175" w:name="_Toc184313298"/>
      <w:bookmarkEnd w:id="175"/>
      <w:bookmarkStart w:id="176" w:name="_Toc184312104"/>
      <w:bookmarkEnd w:id="176"/>
      <w:bookmarkStart w:id="177" w:name="_Toc184314439"/>
      <w:bookmarkEnd w:id="177"/>
      <w:bookmarkStart w:id="178" w:name="_Toc184314456"/>
      <w:bookmarkEnd w:id="178"/>
      <w:bookmarkStart w:id="179" w:name="_Toc184308065"/>
      <w:bookmarkEnd w:id="179"/>
      <w:bookmarkStart w:id="180" w:name="_Toc184313310"/>
      <w:bookmarkEnd w:id="180"/>
      <w:bookmarkStart w:id="181" w:name="_Toc184308039"/>
      <w:bookmarkEnd w:id="181"/>
      <w:bookmarkStart w:id="182" w:name="_Toc184313253"/>
      <w:bookmarkEnd w:id="182"/>
      <w:bookmarkStart w:id="183" w:name="_Toc184313306"/>
      <w:bookmarkEnd w:id="183"/>
      <w:bookmarkStart w:id="184" w:name="_Toc184314411"/>
      <w:bookmarkEnd w:id="184"/>
      <w:bookmarkStart w:id="185" w:name="_Toc184308102"/>
      <w:bookmarkEnd w:id="185"/>
      <w:bookmarkStart w:id="186" w:name="_Toc184313239"/>
      <w:bookmarkEnd w:id="186"/>
      <w:bookmarkStart w:id="187" w:name="_Toc184308087"/>
      <w:bookmarkEnd w:id="187"/>
      <w:bookmarkStart w:id="188" w:name="_Toc184312080"/>
      <w:bookmarkEnd w:id="188"/>
      <w:bookmarkStart w:id="189" w:name="_Toc184312094"/>
      <w:bookmarkEnd w:id="189"/>
      <w:bookmarkStart w:id="190" w:name="_Toc184310273"/>
      <w:bookmarkEnd w:id="190"/>
      <w:bookmarkStart w:id="191" w:name="_Toc184314460"/>
      <w:bookmarkEnd w:id="191"/>
      <w:bookmarkStart w:id="192" w:name="_Toc184308104"/>
      <w:bookmarkEnd w:id="192"/>
      <w:bookmarkStart w:id="193" w:name="_Toc184310297"/>
      <w:bookmarkEnd w:id="193"/>
      <w:bookmarkStart w:id="194" w:name="_Toc184312122"/>
      <w:bookmarkEnd w:id="194"/>
      <w:bookmarkStart w:id="195" w:name="_Toc184313303"/>
      <w:bookmarkEnd w:id="195"/>
      <w:bookmarkStart w:id="196" w:name="_Toc184314476"/>
      <w:bookmarkEnd w:id="196"/>
      <w:bookmarkStart w:id="197" w:name="_Toc184313272"/>
      <w:bookmarkEnd w:id="197"/>
      <w:bookmarkStart w:id="198" w:name="_Toc184312139"/>
      <w:bookmarkEnd w:id="198"/>
      <w:bookmarkStart w:id="199" w:name="_Toc184308042"/>
      <w:bookmarkEnd w:id="199"/>
      <w:bookmarkStart w:id="200" w:name="_Toc184312110"/>
      <w:bookmarkEnd w:id="200"/>
      <w:bookmarkStart w:id="201" w:name="_Toc184314457"/>
      <w:bookmarkEnd w:id="201"/>
      <w:bookmarkStart w:id="202" w:name="_Toc184308076"/>
      <w:bookmarkEnd w:id="202"/>
      <w:bookmarkStart w:id="203" w:name="_Toc184308081"/>
      <w:bookmarkEnd w:id="203"/>
      <w:bookmarkStart w:id="204" w:name="_Toc184314422"/>
      <w:bookmarkEnd w:id="204"/>
      <w:bookmarkStart w:id="205" w:name="_Toc184314464"/>
      <w:bookmarkEnd w:id="205"/>
      <w:bookmarkStart w:id="206" w:name="_Toc184310318"/>
      <w:bookmarkEnd w:id="206"/>
      <w:bookmarkStart w:id="207" w:name="_Toc184314444"/>
      <w:bookmarkEnd w:id="207"/>
      <w:bookmarkStart w:id="208" w:name="_Toc184312088"/>
      <w:bookmarkEnd w:id="208"/>
      <w:bookmarkStart w:id="209" w:name="_Toc184312112"/>
      <w:bookmarkEnd w:id="209"/>
      <w:bookmarkStart w:id="210" w:name="_Toc184314421"/>
      <w:bookmarkEnd w:id="210"/>
      <w:bookmarkStart w:id="211" w:name="_Toc184314482"/>
      <w:bookmarkEnd w:id="211"/>
      <w:bookmarkStart w:id="212" w:name="_Toc184313292"/>
      <w:bookmarkEnd w:id="212"/>
      <w:bookmarkStart w:id="213" w:name="_Toc184308079"/>
      <w:bookmarkEnd w:id="213"/>
      <w:bookmarkStart w:id="214" w:name="_Toc184310302"/>
      <w:bookmarkEnd w:id="214"/>
      <w:bookmarkStart w:id="215" w:name="_Toc184308093"/>
      <w:bookmarkEnd w:id="215"/>
      <w:bookmarkStart w:id="216" w:name="_Toc184313244"/>
      <w:bookmarkEnd w:id="216"/>
      <w:bookmarkStart w:id="217" w:name="_Toc184310290"/>
      <w:bookmarkEnd w:id="217"/>
      <w:bookmarkStart w:id="218" w:name="_Toc184312075"/>
      <w:bookmarkEnd w:id="218"/>
      <w:bookmarkStart w:id="219" w:name="_Toc184312072"/>
      <w:bookmarkEnd w:id="219"/>
      <w:bookmarkStart w:id="220" w:name="_Toc184308048"/>
      <w:bookmarkEnd w:id="220"/>
      <w:bookmarkStart w:id="221" w:name="_Toc184313260"/>
      <w:bookmarkEnd w:id="221"/>
      <w:bookmarkStart w:id="222" w:name="_Toc184314461"/>
      <w:bookmarkEnd w:id="222"/>
      <w:bookmarkStart w:id="223" w:name="_Toc184312093"/>
      <w:bookmarkEnd w:id="223"/>
      <w:bookmarkStart w:id="224" w:name="_Toc184313259"/>
      <w:bookmarkEnd w:id="224"/>
      <w:bookmarkStart w:id="225" w:name="_Toc184308070"/>
      <w:bookmarkEnd w:id="225"/>
      <w:bookmarkStart w:id="226" w:name="_Toc184312070"/>
      <w:bookmarkEnd w:id="226"/>
      <w:bookmarkStart w:id="227" w:name="_Toc184314432"/>
      <w:bookmarkEnd w:id="227"/>
      <w:bookmarkStart w:id="228" w:name="_Toc184308083"/>
      <w:bookmarkEnd w:id="228"/>
      <w:bookmarkStart w:id="229" w:name="_Toc184313282"/>
      <w:bookmarkEnd w:id="229"/>
      <w:bookmarkStart w:id="230" w:name="_Toc184308073"/>
      <w:bookmarkEnd w:id="230"/>
      <w:bookmarkStart w:id="231" w:name="_Toc184313261"/>
      <w:bookmarkEnd w:id="231"/>
      <w:bookmarkStart w:id="232" w:name="_Toc184308072"/>
      <w:bookmarkEnd w:id="232"/>
      <w:bookmarkStart w:id="233" w:name="_Toc184310326"/>
      <w:bookmarkEnd w:id="233"/>
      <w:bookmarkStart w:id="234" w:name="_Toc184308046"/>
      <w:bookmarkEnd w:id="234"/>
      <w:bookmarkStart w:id="235" w:name="_Toc184310282"/>
      <w:bookmarkEnd w:id="235"/>
      <w:bookmarkStart w:id="236" w:name="_Toc184310310"/>
      <w:bookmarkEnd w:id="236"/>
      <w:bookmarkStart w:id="237" w:name="_Toc184312095"/>
      <w:bookmarkEnd w:id="237"/>
      <w:bookmarkStart w:id="238" w:name="_Toc184310314"/>
      <w:bookmarkEnd w:id="238"/>
      <w:bookmarkStart w:id="239" w:name="_Toc184312098"/>
      <w:bookmarkEnd w:id="239"/>
      <w:bookmarkStart w:id="240" w:name="_Toc184310279"/>
      <w:bookmarkEnd w:id="240"/>
      <w:bookmarkStart w:id="241" w:name="_Toc184310317"/>
      <w:bookmarkEnd w:id="241"/>
      <w:bookmarkStart w:id="242" w:name="_Toc184314425"/>
      <w:bookmarkEnd w:id="242"/>
      <w:bookmarkStart w:id="243" w:name="_Toc184308085"/>
      <w:bookmarkEnd w:id="243"/>
      <w:bookmarkStart w:id="244" w:name="_Toc184310288"/>
      <w:bookmarkEnd w:id="244"/>
      <w:bookmarkStart w:id="245" w:name="_Toc184314465"/>
      <w:bookmarkEnd w:id="245"/>
      <w:bookmarkStart w:id="246" w:name="_Toc184310274"/>
      <w:bookmarkEnd w:id="246"/>
      <w:bookmarkStart w:id="247" w:name="_Toc184312138"/>
      <w:bookmarkEnd w:id="247"/>
      <w:bookmarkStart w:id="248" w:name="_Toc184312120"/>
      <w:bookmarkEnd w:id="248"/>
      <w:bookmarkStart w:id="249" w:name="_Toc184314472"/>
      <w:bookmarkEnd w:id="249"/>
      <w:bookmarkStart w:id="250" w:name="_Toc184308101"/>
      <w:bookmarkEnd w:id="250"/>
      <w:bookmarkStart w:id="251" w:name="_Toc184314426"/>
      <w:bookmarkEnd w:id="251"/>
      <w:bookmarkStart w:id="252" w:name="_Toc184314474"/>
      <w:bookmarkEnd w:id="252"/>
      <w:bookmarkStart w:id="253" w:name="_Toc184308094"/>
      <w:bookmarkEnd w:id="253"/>
      <w:bookmarkStart w:id="254" w:name="_Toc184312131"/>
      <w:bookmarkEnd w:id="254"/>
      <w:bookmarkStart w:id="255" w:name="_Toc184310299"/>
      <w:bookmarkEnd w:id="255"/>
      <w:bookmarkStart w:id="256" w:name="_Toc184313249"/>
      <w:bookmarkEnd w:id="256"/>
      <w:bookmarkStart w:id="257" w:name="_Toc184310338"/>
      <w:bookmarkEnd w:id="257"/>
      <w:bookmarkStart w:id="258" w:name="_Toc184310285"/>
      <w:bookmarkEnd w:id="258"/>
      <w:bookmarkStart w:id="259" w:name="_Toc184314424"/>
      <w:bookmarkEnd w:id="259"/>
      <w:bookmarkStart w:id="260" w:name="_Toc184314468"/>
      <w:bookmarkEnd w:id="260"/>
      <w:bookmarkStart w:id="261" w:name="_Toc184310334"/>
      <w:bookmarkEnd w:id="261"/>
      <w:bookmarkStart w:id="262" w:name="_Toc184308077"/>
      <w:bookmarkEnd w:id="262"/>
      <w:bookmarkStart w:id="263" w:name="_Toc184312116"/>
      <w:bookmarkEnd w:id="263"/>
      <w:bookmarkStart w:id="264" w:name="_Toc184313257"/>
      <w:bookmarkEnd w:id="264"/>
      <w:bookmarkStart w:id="265" w:name="_Toc184310337"/>
      <w:bookmarkEnd w:id="265"/>
      <w:bookmarkStart w:id="266" w:name="_Toc184310292"/>
      <w:bookmarkEnd w:id="266"/>
      <w:bookmarkStart w:id="267" w:name="_Toc184314440"/>
      <w:bookmarkEnd w:id="267"/>
      <w:bookmarkStart w:id="268" w:name="_Toc184312132"/>
      <w:bookmarkEnd w:id="268"/>
      <w:bookmarkStart w:id="269" w:name="_Toc184313283"/>
      <w:bookmarkEnd w:id="269"/>
      <w:bookmarkStart w:id="270" w:name="_Toc184308041"/>
      <w:bookmarkEnd w:id="270"/>
      <w:bookmarkStart w:id="271" w:name="_Toc184314428"/>
      <w:bookmarkEnd w:id="271"/>
      <w:bookmarkStart w:id="272" w:name="_Toc184313290"/>
      <w:bookmarkEnd w:id="272"/>
      <w:bookmarkStart w:id="273" w:name="_Toc184314479"/>
      <w:bookmarkEnd w:id="273"/>
      <w:bookmarkStart w:id="274" w:name="_Toc184308043"/>
      <w:bookmarkEnd w:id="274"/>
      <w:bookmarkStart w:id="275" w:name="_Toc184310280"/>
      <w:bookmarkEnd w:id="275"/>
      <w:bookmarkStart w:id="276" w:name="_Toc184313255"/>
      <w:bookmarkEnd w:id="276"/>
      <w:bookmarkStart w:id="277" w:name="_Toc184310344"/>
      <w:bookmarkEnd w:id="277"/>
      <w:bookmarkStart w:id="278" w:name="_Toc184313270"/>
      <w:bookmarkEnd w:id="278"/>
      <w:bookmarkStart w:id="279" w:name="_Toc184312136"/>
      <w:bookmarkEnd w:id="279"/>
      <w:bookmarkStart w:id="280" w:name="_Toc184313295"/>
      <w:bookmarkEnd w:id="280"/>
      <w:bookmarkStart w:id="281" w:name="_Toc184314480"/>
      <w:bookmarkEnd w:id="281"/>
      <w:bookmarkStart w:id="282" w:name="_Toc184312074"/>
      <w:bookmarkEnd w:id="282"/>
      <w:bookmarkStart w:id="283" w:name="_Toc184312113"/>
      <w:bookmarkEnd w:id="283"/>
      <w:bookmarkStart w:id="284" w:name="_Toc184312089"/>
      <w:bookmarkEnd w:id="284"/>
      <w:bookmarkStart w:id="285" w:name="_Toc184308056"/>
      <w:bookmarkEnd w:id="285"/>
      <w:bookmarkStart w:id="286" w:name="_Toc184308098"/>
      <w:bookmarkEnd w:id="286"/>
      <w:bookmarkStart w:id="287" w:name="_Toc184313287"/>
      <w:bookmarkEnd w:id="287"/>
      <w:bookmarkStart w:id="288" w:name="_Toc184314470"/>
      <w:bookmarkEnd w:id="288"/>
      <w:bookmarkStart w:id="289" w:name="_Toc184310278"/>
      <w:bookmarkEnd w:id="289"/>
      <w:bookmarkStart w:id="290" w:name="_Toc184314427"/>
      <w:bookmarkEnd w:id="290"/>
      <w:bookmarkStart w:id="291" w:name="_Toc184310281"/>
      <w:bookmarkEnd w:id="291"/>
      <w:bookmarkStart w:id="292" w:name="_Toc184308061"/>
      <w:bookmarkEnd w:id="292"/>
      <w:bookmarkStart w:id="293" w:name="_Toc184314459"/>
      <w:bookmarkEnd w:id="293"/>
      <w:bookmarkStart w:id="294" w:name="_Toc184313273"/>
      <w:bookmarkEnd w:id="294"/>
      <w:bookmarkStart w:id="295" w:name="_Toc184314443"/>
      <w:bookmarkEnd w:id="295"/>
      <w:bookmarkStart w:id="296" w:name="_Toc184310305"/>
      <w:bookmarkEnd w:id="296"/>
      <w:bookmarkStart w:id="297" w:name="_Toc184314431"/>
      <w:bookmarkEnd w:id="297"/>
      <w:bookmarkStart w:id="298" w:name="_Toc184313302"/>
      <w:bookmarkEnd w:id="298"/>
      <w:bookmarkStart w:id="299" w:name="_Toc184314429"/>
      <w:bookmarkEnd w:id="299"/>
      <w:bookmarkStart w:id="300" w:name="_Toc184312109"/>
      <w:bookmarkEnd w:id="300"/>
      <w:bookmarkStart w:id="301" w:name="_Toc184312108"/>
      <w:bookmarkEnd w:id="301"/>
      <w:bookmarkStart w:id="302" w:name="_Toc184308038"/>
      <w:bookmarkEnd w:id="302"/>
      <w:bookmarkStart w:id="303" w:name="_Toc184308100"/>
      <w:bookmarkEnd w:id="303"/>
      <w:bookmarkStart w:id="304" w:name="_Toc184312087"/>
      <w:bookmarkEnd w:id="304"/>
      <w:bookmarkStart w:id="305" w:name="_Toc184308067"/>
      <w:bookmarkEnd w:id="305"/>
      <w:bookmarkStart w:id="306" w:name="_Toc184310283"/>
      <w:bookmarkEnd w:id="306"/>
      <w:bookmarkStart w:id="307" w:name="_Toc184313291"/>
      <w:bookmarkEnd w:id="307"/>
      <w:bookmarkStart w:id="308" w:name="_Toc184314451"/>
      <w:bookmarkEnd w:id="308"/>
      <w:bookmarkStart w:id="309" w:name="_Toc184314423"/>
      <w:bookmarkEnd w:id="309"/>
      <w:bookmarkStart w:id="310" w:name="_Toc184312078"/>
      <w:bookmarkEnd w:id="310"/>
      <w:bookmarkStart w:id="311" w:name="_Toc184313307"/>
      <w:bookmarkEnd w:id="311"/>
      <w:bookmarkStart w:id="312" w:name="_Toc184313266"/>
      <w:bookmarkEnd w:id="312"/>
      <w:bookmarkStart w:id="313" w:name="_Toc184312106"/>
      <w:bookmarkEnd w:id="313"/>
      <w:bookmarkStart w:id="314" w:name="_Toc184312071"/>
      <w:bookmarkEnd w:id="314"/>
      <w:bookmarkStart w:id="315" w:name="_Toc184312126"/>
      <w:bookmarkEnd w:id="315"/>
      <w:bookmarkStart w:id="316" w:name="_Toc184310336"/>
      <w:bookmarkEnd w:id="316"/>
      <w:bookmarkStart w:id="317" w:name="_Toc184308062"/>
      <w:bookmarkEnd w:id="317"/>
      <w:bookmarkStart w:id="318" w:name="_Toc184310289"/>
      <w:bookmarkEnd w:id="318"/>
      <w:bookmarkStart w:id="319" w:name="_Toc184310315"/>
      <w:bookmarkEnd w:id="319"/>
      <w:bookmarkStart w:id="320" w:name="_Toc184310313"/>
      <w:bookmarkEnd w:id="320"/>
      <w:bookmarkStart w:id="321" w:name="_Toc184313297"/>
      <w:bookmarkEnd w:id="321"/>
      <w:bookmarkStart w:id="322" w:name="_Toc184313251"/>
      <w:bookmarkEnd w:id="322"/>
      <w:bookmarkStart w:id="323" w:name="_Toc184314417"/>
      <w:bookmarkEnd w:id="323"/>
      <w:bookmarkStart w:id="324" w:name="_Toc184312077"/>
      <w:bookmarkEnd w:id="324"/>
      <w:bookmarkStart w:id="325" w:name="_Toc184312102"/>
      <w:bookmarkEnd w:id="325"/>
      <w:bookmarkStart w:id="326" w:name="_Toc184312103"/>
      <w:bookmarkEnd w:id="326"/>
      <w:bookmarkStart w:id="327" w:name="_Toc184314434"/>
      <w:bookmarkEnd w:id="327"/>
      <w:bookmarkStart w:id="328" w:name="_Toc184308037"/>
      <w:bookmarkEnd w:id="328"/>
      <w:bookmarkStart w:id="329" w:name="_Toc184310309"/>
      <w:bookmarkEnd w:id="329"/>
      <w:bookmarkStart w:id="330" w:name="_Toc184310304"/>
      <w:bookmarkEnd w:id="330"/>
      <w:bookmarkStart w:id="331" w:name="_Toc184314466"/>
      <w:bookmarkEnd w:id="331"/>
      <w:bookmarkStart w:id="332" w:name="_Toc184310320"/>
      <w:bookmarkEnd w:id="332"/>
      <w:bookmarkStart w:id="333" w:name="_Toc184314446"/>
      <w:bookmarkEnd w:id="333"/>
      <w:bookmarkStart w:id="334" w:name="_Toc184310343"/>
      <w:bookmarkEnd w:id="334"/>
      <w:bookmarkStart w:id="335" w:name="_Toc184313241"/>
      <w:bookmarkEnd w:id="335"/>
      <w:bookmarkStart w:id="336" w:name="_Toc184314478"/>
      <w:bookmarkEnd w:id="336"/>
      <w:bookmarkStart w:id="337" w:name="_Toc184310296"/>
      <w:bookmarkEnd w:id="337"/>
      <w:bookmarkStart w:id="338" w:name="_Toc184313256"/>
      <w:bookmarkEnd w:id="338"/>
      <w:bookmarkStart w:id="339" w:name="_Toc184308055"/>
      <w:bookmarkEnd w:id="339"/>
      <w:bookmarkStart w:id="340" w:name="_Toc184314430"/>
      <w:bookmarkEnd w:id="340"/>
      <w:bookmarkStart w:id="341" w:name="_Toc184308089"/>
      <w:bookmarkEnd w:id="341"/>
      <w:bookmarkStart w:id="342" w:name="_Toc184314449"/>
      <w:bookmarkEnd w:id="342"/>
      <w:bookmarkStart w:id="343" w:name="_Toc184312100"/>
      <w:bookmarkEnd w:id="343"/>
      <w:bookmarkStart w:id="344" w:name="_Toc184310298"/>
      <w:bookmarkEnd w:id="344"/>
      <w:bookmarkStart w:id="345" w:name="_Toc184314415"/>
      <w:bookmarkEnd w:id="345"/>
      <w:bookmarkStart w:id="346" w:name="_Toc184310332"/>
      <w:bookmarkEnd w:id="346"/>
      <w:bookmarkStart w:id="347" w:name="_Toc184310303"/>
      <w:bookmarkEnd w:id="347"/>
      <w:bookmarkStart w:id="348" w:name="_Toc184308054"/>
      <w:bookmarkEnd w:id="348"/>
      <w:bookmarkStart w:id="349" w:name="_Toc184312097"/>
      <w:bookmarkEnd w:id="349"/>
      <w:bookmarkStart w:id="350" w:name="_Toc184313248"/>
      <w:bookmarkEnd w:id="350"/>
      <w:bookmarkStart w:id="351" w:name="_Toc184313293"/>
      <w:bookmarkEnd w:id="351"/>
      <w:bookmarkStart w:id="352" w:name="_Toc184312117"/>
      <w:bookmarkEnd w:id="352"/>
      <w:bookmarkStart w:id="353" w:name="_Toc184313267"/>
      <w:bookmarkEnd w:id="353"/>
      <w:bookmarkStart w:id="354" w:name="_Toc184310311"/>
      <w:bookmarkEnd w:id="354"/>
      <w:bookmarkStart w:id="355" w:name="_Toc184310316"/>
      <w:bookmarkEnd w:id="355"/>
      <w:bookmarkStart w:id="356" w:name="_Toc184314455"/>
      <w:bookmarkEnd w:id="356"/>
      <w:bookmarkStart w:id="357" w:name="_Toc184312067"/>
      <w:bookmarkEnd w:id="357"/>
      <w:bookmarkStart w:id="358" w:name="_Toc184312079"/>
      <w:bookmarkEnd w:id="358"/>
      <w:bookmarkStart w:id="359" w:name="_Toc184308103"/>
      <w:bookmarkEnd w:id="359"/>
      <w:bookmarkStart w:id="360" w:name="_Toc184310339"/>
      <w:bookmarkEnd w:id="360"/>
      <w:bookmarkStart w:id="361" w:name="_Toc184308045"/>
      <w:bookmarkEnd w:id="361"/>
      <w:bookmarkStart w:id="362" w:name="_Toc184314447"/>
      <w:bookmarkEnd w:id="362"/>
      <w:bookmarkStart w:id="363" w:name="_Toc184313309"/>
      <w:bookmarkEnd w:id="363"/>
      <w:bookmarkStart w:id="364" w:name="_Toc184314475"/>
      <w:bookmarkEnd w:id="364"/>
      <w:bookmarkStart w:id="365" w:name="_Toc184314413"/>
      <w:bookmarkEnd w:id="365"/>
      <w:bookmarkStart w:id="366" w:name="_Toc184314438"/>
      <w:bookmarkEnd w:id="366"/>
      <w:bookmarkStart w:id="367" w:name="_Toc184313262"/>
      <w:bookmarkEnd w:id="367"/>
      <w:bookmarkStart w:id="368" w:name="_Toc184312119"/>
      <w:bookmarkEnd w:id="368"/>
      <w:bookmarkStart w:id="369" w:name="_Toc184313263"/>
      <w:bookmarkEnd w:id="369"/>
      <w:bookmarkStart w:id="370" w:name="_Toc184314441"/>
      <w:bookmarkEnd w:id="370"/>
      <w:bookmarkStart w:id="371" w:name="_Toc184312091"/>
      <w:bookmarkEnd w:id="371"/>
      <w:bookmarkStart w:id="372" w:name="_Toc184313286"/>
      <w:bookmarkEnd w:id="372"/>
      <w:bookmarkStart w:id="373" w:name="_Toc184308086"/>
      <w:bookmarkEnd w:id="373"/>
      <w:bookmarkStart w:id="374" w:name="_Toc184314414"/>
      <w:bookmarkEnd w:id="374"/>
      <w:bookmarkStart w:id="375" w:name="_Toc184310331"/>
      <w:bookmarkEnd w:id="375"/>
      <w:bookmarkStart w:id="376" w:name="_Toc184308044"/>
      <w:bookmarkEnd w:id="376"/>
      <w:bookmarkStart w:id="377" w:name="_Toc184310275"/>
      <w:bookmarkEnd w:id="377"/>
      <w:bookmarkStart w:id="378" w:name="_Toc184312082"/>
      <w:bookmarkEnd w:id="378"/>
      <w:bookmarkStart w:id="379" w:name="_Toc184308069"/>
      <w:bookmarkEnd w:id="379"/>
      <w:bookmarkStart w:id="380" w:name="_Toc184313276"/>
      <w:bookmarkEnd w:id="380"/>
      <w:bookmarkStart w:id="381" w:name="_Toc184313250"/>
      <w:bookmarkEnd w:id="381"/>
      <w:bookmarkStart w:id="382" w:name="_Toc184310287"/>
      <w:bookmarkEnd w:id="382"/>
      <w:bookmarkStart w:id="383" w:name="_Toc184313281"/>
      <w:bookmarkEnd w:id="383"/>
      <w:bookmarkStart w:id="384" w:name="_Toc184312081"/>
      <w:bookmarkEnd w:id="384"/>
      <w:bookmarkStart w:id="385" w:name="_Toc184310291"/>
      <w:bookmarkEnd w:id="385"/>
      <w:bookmarkStart w:id="386" w:name="_Toc184308084"/>
      <w:bookmarkEnd w:id="386"/>
      <w:bookmarkStart w:id="387" w:name="_Toc184312128"/>
      <w:bookmarkEnd w:id="387"/>
      <w:bookmarkStart w:id="388" w:name="_Toc184312137"/>
      <w:bookmarkEnd w:id="388"/>
      <w:bookmarkStart w:id="389" w:name="_Toc184308106"/>
      <w:bookmarkEnd w:id="389"/>
      <w:bookmarkStart w:id="390" w:name="_Toc184314418"/>
      <w:bookmarkEnd w:id="390"/>
      <w:bookmarkStart w:id="391" w:name="_Toc184313304"/>
      <w:bookmarkEnd w:id="391"/>
      <w:bookmarkStart w:id="392" w:name="_Toc184312118"/>
      <w:bookmarkEnd w:id="392"/>
      <w:bookmarkStart w:id="393" w:name="_Toc184308099"/>
      <w:bookmarkEnd w:id="393"/>
      <w:bookmarkStart w:id="394" w:name="_Toc184314436"/>
      <w:bookmarkEnd w:id="394"/>
      <w:bookmarkStart w:id="395" w:name="_Toc184310333"/>
      <w:bookmarkEnd w:id="395"/>
      <w:bookmarkStart w:id="396" w:name="_Toc184314435"/>
      <w:bookmarkEnd w:id="396"/>
      <w:bookmarkStart w:id="397" w:name="_Toc184313247"/>
      <w:bookmarkEnd w:id="397"/>
      <w:bookmarkStart w:id="398" w:name="_Toc184310277"/>
      <w:bookmarkEnd w:id="398"/>
      <w:bookmarkStart w:id="399" w:name="_Toc184314410"/>
      <w:bookmarkEnd w:id="399"/>
      <w:bookmarkStart w:id="400" w:name="_Toc184312069"/>
      <w:bookmarkEnd w:id="400"/>
      <w:bookmarkStart w:id="401" w:name="_Toc184314445"/>
      <w:bookmarkEnd w:id="401"/>
      <w:bookmarkStart w:id="402" w:name="_Toc184308092"/>
      <w:bookmarkEnd w:id="402"/>
      <w:bookmarkStart w:id="403" w:name="_Toc184312073"/>
      <w:bookmarkEnd w:id="403"/>
      <w:r>
        <w:rPr>
          <w:rFonts w:hint="eastAsia" w:ascii="仿宋" w:hAnsi="仿宋" w:eastAsia="仿宋" w:cs="仿宋"/>
          <w:b/>
          <w:color w:val="auto"/>
          <w:sz w:val="36"/>
          <w:szCs w:val="36"/>
        </w:rPr>
        <w:t>评标办法</w:t>
      </w:r>
      <w:bookmarkEnd w:id="38"/>
    </w:p>
    <w:p>
      <w:pPr>
        <w:snapToGrid w:val="0"/>
        <w:spacing w:beforeLines="50" w:afterLines="50" w:line="360" w:lineRule="auto"/>
        <w:jc w:val="center"/>
        <w:outlineLvl w:val="1"/>
        <w:rPr>
          <w:rFonts w:ascii="仿宋" w:hAnsi="仿宋" w:eastAsia="仿宋" w:cs="仿宋"/>
          <w:b/>
          <w:color w:val="auto"/>
          <w:sz w:val="28"/>
          <w:szCs w:val="28"/>
        </w:rPr>
      </w:pPr>
      <w:r>
        <w:rPr>
          <w:rFonts w:hint="eastAsia" w:ascii="仿宋" w:hAnsi="仿宋" w:eastAsia="仿宋" w:cs="仿宋"/>
          <w:b/>
          <w:color w:val="auto"/>
          <w:sz w:val="28"/>
          <w:szCs w:val="28"/>
        </w:rPr>
        <w:t>评标办法前附表</w:t>
      </w:r>
    </w:p>
    <w:tbl>
      <w:tblPr>
        <w:tblStyle w:val="63"/>
        <w:tblW w:w="8596" w:type="dxa"/>
        <w:tblInd w:w="93" w:type="dxa"/>
        <w:tblLayout w:type="autofit"/>
        <w:tblCellMar>
          <w:top w:w="0" w:type="dxa"/>
          <w:left w:w="108" w:type="dxa"/>
          <w:bottom w:w="0" w:type="dxa"/>
          <w:right w:w="108" w:type="dxa"/>
        </w:tblCellMar>
      </w:tblPr>
      <w:tblGrid>
        <w:gridCol w:w="519"/>
        <w:gridCol w:w="796"/>
        <w:gridCol w:w="6070"/>
        <w:gridCol w:w="705"/>
        <w:gridCol w:w="506"/>
      </w:tblGrid>
      <w:tr>
        <w:tblPrEx>
          <w:tblCellMar>
            <w:top w:w="0" w:type="dxa"/>
            <w:left w:w="108" w:type="dxa"/>
            <w:bottom w:w="0" w:type="dxa"/>
            <w:right w:w="108" w:type="dxa"/>
          </w:tblCellMar>
        </w:tblPrEx>
        <w:trPr>
          <w:trHeight w:val="57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序号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评分内容</w:t>
            </w:r>
          </w:p>
        </w:tc>
        <w:tc>
          <w:tcPr>
            <w:tcW w:w="6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评分依据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最大分值</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备注</w:t>
            </w:r>
          </w:p>
        </w:tc>
      </w:tr>
      <w:tr>
        <w:tblPrEx>
          <w:tblCellMar>
            <w:top w:w="0" w:type="dxa"/>
            <w:left w:w="108" w:type="dxa"/>
            <w:bottom w:w="0" w:type="dxa"/>
            <w:right w:w="108" w:type="dxa"/>
          </w:tblCellMar>
        </w:tblPrEx>
        <w:trPr>
          <w:trHeight w:val="1425" w:hRule="atLeast"/>
        </w:trPr>
        <w:tc>
          <w:tcPr>
            <w:tcW w:w="519"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1</w:t>
            </w:r>
          </w:p>
        </w:tc>
        <w:tc>
          <w:tcPr>
            <w:tcW w:w="796"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履约能力</w:t>
            </w:r>
          </w:p>
        </w:tc>
        <w:tc>
          <w:tcPr>
            <w:tcW w:w="6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24"/>
              </w:rPr>
            </w:pPr>
            <w:r>
              <w:rPr>
                <w:rFonts w:hint="eastAsia" w:ascii="仿宋" w:hAnsi="仿宋" w:eastAsia="仿宋" w:cs="仿宋"/>
                <w:color w:val="auto"/>
                <w:kern w:val="0"/>
                <w:sz w:val="24"/>
              </w:rPr>
              <w:t>1.投标人所具备的CMA认证证书或CNAS认可证书附表中“检测对象”应覆盖药品、生物制品、药包材类。每覆盖一类得1分，最高得3分；须提供认证证书附表复印件等证明材料，否则不得分。</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注：①药包材类包括聚乙烯输液瓶、药用铝箔等，不同药包材均只算1分；②提供认证认可证书附表复印件。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3</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1995" w:hRule="atLeast"/>
        </w:trPr>
        <w:tc>
          <w:tcPr>
            <w:tcW w:w="51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sz w:val="24"/>
              </w:rPr>
            </w:pPr>
          </w:p>
        </w:tc>
        <w:tc>
          <w:tcPr>
            <w:tcW w:w="79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sz w:val="24"/>
              </w:rPr>
            </w:pPr>
          </w:p>
        </w:tc>
        <w:tc>
          <w:tcPr>
            <w:tcW w:w="6070" w:type="dxa"/>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rPr>
              <w:t>2.投标人CMA认证证书或CNAS认可证书附表中的项目应覆盖《中国药典2020年版》四部通则编号从0300至1100，及2000、4000技术要求所收载的方法，覆盖率达到85%（含）及以上的得3分，70%（含）到85%（不含）的得2分，低于70%（不含）的得1分，没有得0分；须提供覆盖率（缺项）统计表和提供认证证书附表复印件。</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注：①对照《中国药典2020年版》四部通用技术要求，编制覆盖率（缺项）统计表，每个单项需指明在资质附表中的页码及编号，便于查证；②提供认证认可证书附表复印件。</w:t>
            </w:r>
          </w:p>
        </w:tc>
        <w:tc>
          <w:tcPr>
            <w:tcW w:w="70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3</w:t>
            </w:r>
          </w:p>
        </w:tc>
        <w:tc>
          <w:tcPr>
            <w:tcW w:w="506" w:type="dxa"/>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740" w:hRule="atLeast"/>
        </w:trPr>
        <w:tc>
          <w:tcPr>
            <w:tcW w:w="51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sz w:val="24"/>
              </w:rPr>
            </w:pPr>
          </w:p>
        </w:tc>
        <w:tc>
          <w:tcPr>
            <w:tcW w:w="79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sz w:val="24"/>
              </w:rPr>
            </w:pPr>
          </w:p>
        </w:tc>
        <w:tc>
          <w:tcPr>
            <w:tcW w:w="6070" w:type="dxa"/>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rPr>
              <w:t>3.投标人自2020年1月1日以来具有药品抽检业绩的每项得0.5分，最高得1分；须提供合同、抽检委托单、抽检报告或委托单位证明等证明材料，否则不得分。</w:t>
            </w:r>
          </w:p>
        </w:tc>
        <w:tc>
          <w:tcPr>
            <w:tcW w:w="70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1</w:t>
            </w:r>
          </w:p>
        </w:tc>
        <w:tc>
          <w:tcPr>
            <w:tcW w:w="506" w:type="dxa"/>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1080" w:hRule="atLeast"/>
        </w:trPr>
        <w:tc>
          <w:tcPr>
            <w:tcW w:w="51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sz w:val="24"/>
              </w:rPr>
            </w:pPr>
          </w:p>
        </w:tc>
        <w:tc>
          <w:tcPr>
            <w:tcW w:w="79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sz w:val="24"/>
              </w:rPr>
            </w:pPr>
          </w:p>
        </w:tc>
        <w:tc>
          <w:tcPr>
            <w:tcW w:w="6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24"/>
              </w:rPr>
            </w:pPr>
            <w:r>
              <w:rPr>
                <w:rFonts w:hint="eastAsia" w:ascii="仿宋" w:hAnsi="仿宋" w:eastAsia="仿宋" w:cs="仿宋"/>
                <w:color w:val="auto"/>
                <w:kern w:val="0"/>
                <w:sz w:val="24"/>
              </w:rPr>
              <w:t>4.投标人自2020年1月1日以来承担过省级及以上药品检验领域标准制修定（企业标准、团体标准和行业标准不算）的每项得0.5分，最多得3分；需提供有效证明材料，否则不得分。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3</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142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2</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rPr>
              <w:t>实验室场地</w:t>
            </w:r>
          </w:p>
        </w:tc>
        <w:tc>
          <w:tcPr>
            <w:tcW w:w="6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24"/>
              </w:rPr>
            </w:pPr>
            <w:r>
              <w:rPr>
                <w:rFonts w:hint="eastAsia" w:ascii="仿宋" w:hAnsi="仿宋" w:eastAsia="仿宋" w:cs="仿宋"/>
                <w:color w:val="auto"/>
                <w:kern w:val="0"/>
                <w:sz w:val="24"/>
              </w:rPr>
              <w:t>根据《国家药监局关于印发药品检验检测机构能力建设指导原则的通知》（国药监科外〔2019〕35号）的要求，投标人机构总面积达到A级指标要求（即≥27000平方米）的得3分；投标人机构总面积达到B级指标要求（即≥7500平方米）的得2分；投标人机构总面积达到C级指标要求（即≥1200平方米）的得1分；提供房产证、租赁合同等有效证明材料，否则不得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3</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1710" w:hRule="atLeast"/>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3</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检验设备</w:t>
            </w:r>
          </w:p>
        </w:tc>
        <w:tc>
          <w:tcPr>
            <w:tcW w:w="6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24"/>
              </w:rPr>
            </w:pPr>
            <w:r>
              <w:rPr>
                <w:rFonts w:hint="eastAsia" w:ascii="仿宋" w:hAnsi="仿宋" w:eastAsia="仿宋" w:cs="仿宋"/>
                <w:color w:val="auto"/>
                <w:kern w:val="0"/>
                <w:sz w:val="24"/>
              </w:rPr>
              <w:t>1.根据《国家药监局关于印发药品检验检测机构能力建设指导原则的通知》（国药监科外〔2019〕35号）的要求，投标人检验设备以B级为基准，计算覆盖率，达到80%（不含）至100%的（含）得5分，60%（不含）至80%的（含）得4分，40%（不含）至60%（含）的得3分；20%（不含）至40%（含）的得2分；低于20%（含）的得1分，需编制覆盖率统计表，指明50万元以上仪器设备在统计表中的序号，证明材料页码，包括采购合同、发票、实验室放置图片证明、仪器计量检定校准认证证书等；50万元以下仪器需提供承诺函；否则不得分</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注：药品（含生物制品）领域检验检测机构实验室主要仪器设备表及药包材领域检验检测机构实验室主要仪器设备表合并统计，不需要对两个表中重复的设备名称进行删减。</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5</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991"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sz w:val="24"/>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sz w:val="24"/>
              </w:rPr>
            </w:pPr>
          </w:p>
        </w:tc>
        <w:tc>
          <w:tcPr>
            <w:tcW w:w="6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24"/>
              </w:rPr>
            </w:pPr>
            <w:r>
              <w:rPr>
                <w:rFonts w:hint="eastAsia" w:ascii="仿宋" w:hAnsi="仿宋" w:eastAsia="仿宋" w:cs="仿宋"/>
                <w:color w:val="auto"/>
                <w:kern w:val="0"/>
                <w:sz w:val="24"/>
              </w:rPr>
              <w:t>2.投标人具有快速检验能力：</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2.1具有药品快速检验用途车辆，车上有固定工作台便于进行快检工作的，每辆得3分，最高3分；提供车内外不同角度彩色照片各3张、车辆品牌型号配置等情况说明和具有所有权或使用权的承诺书等证明，否则不得分。</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2.2具有药品快速检验仪器，如近红外光谱仪、拉曼光谱仪的，每台得2分，最高2分；提供检测或实验环境下不同角度彩色照片3张、仪器品牌型号配置等情况说明和具有所有权或使用权的承诺书等证明，否则不得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5</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1710" w:hRule="atLeast"/>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4</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项目实施方案</w:t>
            </w:r>
          </w:p>
        </w:tc>
        <w:tc>
          <w:tcPr>
            <w:tcW w:w="6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24"/>
              </w:rPr>
            </w:pPr>
            <w:r>
              <w:rPr>
                <w:rFonts w:hint="eastAsia" w:ascii="仿宋" w:hAnsi="仿宋" w:eastAsia="仿宋" w:cs="仿宋"/>
                <w:color w:val="auto"/>
                <w:kern w:val="0"/>
                <w:sz w:val="24"/>
              </w:rPr>
              <w:t>1.对本项目的实施重点、难点和解决方案与合理化建议：</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1.1实施重点、难点发现基本符合项目实际的得1分，可以完整覆盖项目需求的得2分；</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1.2解决方案与合理化建议基本可行的得1分，可行性强的得2分；</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1.3逻辑清晰、条理清楚的得1分；</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未提供相应内容不得分。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5</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199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sz w:val="24"/>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sz w:val="24"/>
              </w:rPr>
            </w:pPr>
          </w:p>
        </w:tc>
        <w:tc>
          <w:tcPr>
            <w:tcW w:w="6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24"/>
              </w:rPr>
            </w:pPr>
            <w:r>
              <w:rPr>
                <w:rFonts w:hint="eastAsia" w:ascii="仿宋" w:hAnsi="仿宋" w:eastAsia="仿宋" w:cs="仿宋"/>
                <w:color w:val="auto"/>
                <w:kern w:val="0"/>
                <w:sz w:val="24"/>
              </w:rPr>
              <w:t>2.对项目实施过程中的样品收样的工作方案进行评价打分（提供工作流程、工作内容、服务标准及实施人员配备情况等）：</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2.1工作方案满足《药品质量抽查检验管理办法》中样品交接、核对、签收、贮藏、标准索取基本规范性要求的得1分；在此基础上，可行性和针对性一般的加1分，具有高度可行性和针对性的加2分；</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2.2实施过程需要与抽样单位进行快速沟通以提升工作效率。沟通方式实效性与科学性一般的加1分，具有高效与科学沟通方式的加2分；</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不满足上述要求，或者未提供相应内容不得分。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5</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199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sz w:val="24"/>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sz w:val="24"/>
              </w:rPr>
            </w:pPr>
          </w:p>
        </w:tc>
        <w:tc>
          <w:tcPr>
            <w:tcW w:w="6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24"/>
              </w:rPr>
            </w:pPr>
            <w:r>
              <w:rPr>
                <w:rFonts w:hint="eastAsia" w:ascii="仿宋" w:hAnsi="仿宋" w:eastAsia="仿宋" w:cs="仿宋"/>
                <w:color w:val="auto"/>
                <w:kern w:val="0"/>
                <w:sz w:val="24"/>
              </w:rPr>
              <w:t>3.对项目实施过程中的买样支付的工作方案进行评价打分（提供工作流程、工作内容、服务标准及实施人员配备情况等）：</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3.1工作方案满足买样凭证交接、核对、支付基本规范性要求的得1分；在此基础上，可行性和针对性一般的加1分，具有高度可行性和针对性的加2分；</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3.2沟通方式实效性与科学性一般的加1分，具有高效与科学沟通方式的加2分；</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不满足上述要求，或者未提供相应内容不得分。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5</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199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sz w:val="24"/>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sz w:val="24"/>
              </w:rPr>
            </w:pPr>
          </w:p>
        </w:tc>
        <w:tc>
          <w:tcPr>
            <w:tcW w:w="6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24"/>
              </w:rPr>
            </w:pPr>
            <w:r>
              <w:rPr>
                <w:rFonts w:hint="eastAsia" w:ascii="仿宋" w:hAnsi="仿宋" w:eastAsia="仿宋" w:cs="仿宋"/>
                <w:color w:val="auto"/>
                <w:kern w:val="0"/>
                <w:sz w:val="24"/>
              </w:rPr>
              <w:t>4.对项目实施过程中的检验检测工作方案进行评价打分（提供工作流程、工作内容、服务标准及实施人员配备情况等）：</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4.1工作方案满足《药品质量抽查检验管理办法》中检验时效、进度、全检等基本要求的得1分；在此基础上，可行性和针对性一般的加1分，具有高度可行性和针对性的加2分；</w:t>
            </w:r>
            <w:r>
              <w:rPr>
                <w:rStyle w:val="315"/>
                <w:rFonts w:ascii="仿宋" w:hAnsi="仿宋" w:eastAsia="仿宋" w:cs="仿宋"/>
                <w:color w:val="auto"/>
                <w:sz w:val="24"/>
                <w:szCs w:val="24"/>
              </w:rPr>
              <w:br w:type="textWrapping"/>
            </w:r>
            <w:r>
              <w:rPr>
                <w:rFonts w:hint="eastAsia" w:ascii="仿宋" w:hAnsi="仿宋" w:eastAsia="仿宋" w:cs="仿宋"/>
                <w:color w:val="auto"/>
                <w:kern w:val="0"/>
                <w:sz w:val="24"/>
              </w:rPr>
              <w:t>4.2检测数据的准确性是抽检工作基石。数据准确性保障一般的得1分，保障完善的得2分，需提供保障机制，制度文件等证明性材料。</w:t>
            </w:r>
            <w:r>
              <w:rPr>
                <w:rStyle w:val="315"/>
                <w:rFonts w:ascii="仿宋" w:hAnsi="仿宋" w:eastAsia="仿宋" w:cs="仿宋"/>
                <w:color w:val="auto"/>
                <w:sz w:val="24"/>
                <w:szCs w:val="24"/>
              </w:rPr>
              <w:br w:type="textWrapping"/>
            </w:r>
            <w:r>
              <w:rPr>
                <w:rFonts w:hint="eastAsia" w:ascii="仿宋" w:hAnsi="仿宋" w:eastAsia="仿宋" w:cs="仿宋"/>
                <w:color w:val="auto"/>
                <w:kern w:val="0"/>
                <w:sz w:val="24"/>
              </w:rPr>
              <w:t>不满足上述要求，或者未提供相应内容不得分。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5</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663"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sz w:val="24"/>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sz w:val="24"/>
              </w:rPr>
            </w:pPr>
          </w:p>
        </w:tc>
        <w:tc>
          <w:tcPr>
            <w:tcW w:w="6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5"/>
              </w:numPr>
              <w:textAlignment w:val="center"/>
              <w:rPr>
                <w:rFonts w:ascii="仿宋" w:hAnsi="仿宋" w:eastAsia="仿宋" w:cs="仿宋"/>
                <w:color w:val="auto"/>
                <w:kern w:val="0"/>
                <w:sz w:val="24"/>
              </w:rPr>
            </w:pPr>
            <w:r>
              <w:rPr>
                <w:rFonts w:hint="eastAsia" w:ascii="仿宋" w:hAnsi="仿宋" w:eastAsia="仿宋" w:cs="仿宋"/>
                <w:color w:val="auto"/>
                <w:kern w:val="0"/>
                <w:sz w:val="24"/>
              </w:rPr>
              <w:t>项目实施过程中的撰写分析报告工作方案进行评价打分（提供工作流程、工作内容、服务标准及实施人员配备情况等）：</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5.1工作方案满足分析报告数据汇总、格式统一、分析、时效基本要求的得1分；在此基础上，分析维度针对性一般的加1分，分析维度广，针对性强的加2分；</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5.2全省抽检数据的获得与清洗，依赖高效与地市检验机构的沟通，沟通方式实效性与科学性强的得1分，具有高效与科学沟通方式的得2分；</w:t>
            </w:r>
          </w:p>
          <w:p>
            <w:pPr>
              <w:widowControl/>
              <w:textAlignment w:val="center"/>
              <w:rPr>
                <w:rFonts w:ascii="仿宋" w:hAnsi="仿宋" w:eastAsia="仿宋" w:cs="仿宋"/>
                <w:color w:val="auto"/>
                <w:sz w:val="24"/>
              </w:rPr>
            </w:pPr>
            <w:r>
              <w:rPr>
                <w:rFonts w:hint="eastAsia" w:ascii="仿宋" w:hAnsi="仿宋" w:eastAsia="仿宋" w:cs="仿宋"/>
                <w:color w:val="auto"/>
                <w:kern w:val="0"/>
                <w:sz w:val="24"/>
              </w:rPr>
              <w:t>不满足上述要求，或者未提供相应内容不得分。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5</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1710" w:hRule="atLeast"/>
        </w:trPr>
        <w:tc>
          <w:tcPr>
            <w:tcW w:w="519"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5</w:t>
            </w:r>
          </w:p>
        </w:tc>
        <w:tc>
          <w:tcPr>
            <w:tcW w:w="796"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制度要求和质量控制</w:t>
            </w:r>
          </w:p>
        </w:tc>
        <w:tc>
          <w:tcPr>
            <w:tcW w:w="6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rPr>
              <w:t>1.制度要求</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1.1具有抽样、收样、检验、报告生成的数字化要求。满足一项得1分，最高得4分；</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1.2根据投标人提供的报销制度进行评价打分：制度合理、满足项目需求的最高得3分，略有不足的最高得2分，较合理、基本满足项目需求的最高得1分，制度明显存在问题或无相应内容不得分。</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需提供制度等证明材料。</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7</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1425" w:hRule="atLeast"/>
        </w:trPr>
        <w:tc>
          <w:tcPr>
            <w:tcW w:w="51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sz w:val="24"/>
              </w:rPr>
            </w:pPr>
          </w:p>
        </w:tc>
        <w:tc>
          <w:tcPr>
            <w:tcW w:w="79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sz w:val="24"/>
              </w:rPr>
            </w:pPr>
          </w:p>
        </w:tc>
        <w:tc>
          <w:tcPr>
            <w:tcW w:w="6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rPr>
              <w:t>2.外部质量控制</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2.1近3年（2020-2022年）参与国际相关机构组织的药品检测项目能力验证情况获得的满意结果次数：1次1分，共3分；</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2.2近3年（2020-2022年）参与国内相关机构组织的药品检测项目能力验证情况获得的满意结果次数：1次0.5分，共3分；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6</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855" w:hRule="atLeast"/>
        </w:trPr>
        <w:tc>
          <w:tcPr>
            <w:tcW w:w="51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sz w:val="24"/>
              </w:rPr>
            </w:pPr>
          </w:p>
        </w:tc>
        <w:tc>
          <w:tcPr>
            <w:tcW w:w="79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sz w:val="24"/>
              </w:rPr>
            </w:pPr>
          </w:p>
        </w:tc>
        <w:tc>
          <w:tcPr>
            <w:tcW w:w="6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rPr>
              <w:t>3.内部质量控制</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实验室应进行药品检验的内部质量控制。提供的质控报告内容全面，质控手段科学合理的得2分，不够完善的得1分，未提供此项内容的不得分；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2</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585" w:hRule="atLeast"/>
        </w:trPr>
        <w:tc>
          <w:tcPr>
            <w:tcW w:w="519"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6</w:t>
            </w:r>
          </w:p>
        </w:tc>
        <w:tc>
          <w:tcPr>
            <w:tcW w:w="796"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项目服务团队</w:t>
            </w:r>
          </w:p>
        </w:tc>
        <w:tc>
          <w:tcPr>
            <w:tcW w:w="6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24"/>
              </w:rPr>
            </w:pPr>
            <w:r>
              <w:rPr>
                <w:rFonts w:hint="eastAsia" w:ascii="仿宋" w:hAnsi="仿宋" w:eastAsia="仿宋" w:cs="仿宋"/>
                <w:color w:val="auto"/>
                <w:kern w:val="0"/>
                <w:sz w:val="24"/>
              </w:rPr>
              <w:t>1.对项目服务团队进行打分（须为本单位在职人员，否则不得分）</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1.1项目负责人：拟负责本项目负责人具有药品相关专业正高级技术职称和药典委员资格的得4分，仅满足1项的得2分，均不满足的不得分。</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1.2主要技术人员：人员明确，且具有相关专业高级技术职称（含副高）且在药品检验检测5年及以上的，每具有1人得1分，最多得4分；</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1.3拟派服务团队人员：低于30人（不含）的得0.5分，30（含）-40（不含）人得1.5分，超过（含）40人得2分；</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1.4派驻人员：投标人承诺中标后在采购人处派驻人员至少1人，对本项目进行沟通与运作至本项目服务结束的得2分，未承诺不得分；</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注：投入人员情况提供统计表格，并附社保证明、职称证书复印件加盖公章为评分依据。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12</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435" w:hRule="atLeast"/>
        </w:trPr>
        <w:tc>
          <w:tcPr>
            <w:tcW w:w="51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仿宋"/>
                <w:color w:val="auto"/>
                <w:sz w:val="24"/>
              </w:rPr>
            </w:pPr>
          </w:p>
        </w:tc>
        <w:tc>
          <w:tcPr>
            <w:tcW w:w="79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sz w:val="24"/>
              </w:rPr>
            </w:pPr>
          </w:p>
        </w:tc>
        <w:tc>
          <w:tcPr>
            <w:tcW w:w="6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rPr>
              <w:t>2.项目服务团队中的人员应有风险发现能力。</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2.1自2020年1月1日以来在国家级、省级、市级药品抽检工作中发现系统性、区域性风险，或企业重大风险并上报的每个得1.5分，本项最高得5分。需提供证明性材料。</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2.2自2020年1月1日以来在国家级、省级、市级药品抽检工作中发现不合格药品并上报的每个得0.5分，本项最高得4分。需提供证明性材料。</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9</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1995" w:hRule="atLeast"/>
        </w:trPr>
        <w:tc>
          <w:tcPr>
            <w:tcW w:w="5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7</w:t>
            </w:r>
          </w:p>
        </w:tc>
        <w:tc>
          <w:tcPr>
            <w:tcW w:w="79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突发事件应急保障及相应情况</w:t>
            </w:r>
          </w:p>
        </w:tc>
        <w:tc>
          <w:tcPr>
            <w:tcW w:w="6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24"/>
              </w:rPr>
            </w:pPr>
            <w:r>
              <w:rPr>
                <w:rFonts w:hint="eastAsia" w:ascii="仿宋" w:hAnsi="仿宋" w:eastAsia="仿宋" w:cs="仿宋"/>
                <w:color w:val="auto"/>
                <w:kern w:val="0"/>
                <w:sz w:val="24"/>
              </w:rPr>
              <w:t>1.投标人承诺采购人开展应急情况检验，在1小时内响应，6小时内到达应急事件所在市的得3分。</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2.对投标人提供的相关应急预案（包含针对可能出现的各项突发情况，如药品安全事件、自然灾害、运输车辆遭遇堵车或车祸等情况，设置应对措施）情况进行评价打分：措施满足基本需求的得1分，较完善、专业性较强满足采购需求的得2分，方案全面、专业性高，完全满足采购需求的得3分；无相应内容不得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6</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1995" w:hRule="atLeast"/>
        </w:trPr>
        <w:tc>
          <w:tcPr>
            <w:tcW w:w="5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rPr>
            </w:pPr>
            <w:r>
              <w:rPr>
                <w:rFonts w:hint="eastAsia" w:ascii="仿宋" w:hAnsi="仿宋" w:eastAsia="仿宋" w:cs="仿宋"/>
                <w:color w:val="auto"/>
                <w:sz w:val="24"/>
              </w:rPr>
              <w:t>8</w:t>
            </w:r>
          </w:p>
        </w:tc>
        <w:tc>
          <w:tcPr>
            <w:tcW w:w="79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rPr>
                <w:rFonts w:ascii="仿宋" w:hAnsi="仿宋" w:eastAsia="仿宋" w:cs="仿宋"/>
                <w:color w:val="auto"/>
                <w:kern w:val="0"/>
                <w:sz w:val="24"/>
              </w:rPr>
            </w:pPr>
            <w:r>
              <w:rPr>
                <w:rFonts w:hint="eastAsia" w:ascii="仿宋" w:hAnsi="仿宋" w:eastAsia="仿宋" w:cs="仿宋"/>
                <w:color w:val="auto"/>
                <w:sz w:val="24"/>
              </w:rPr>
              <w:t>投标报价评分</w:t>
            </w:r>
          </w:p>
        </w:tc>
        <w:tc>
          <w:tcPr>
            <w:tcW w:w="6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kern w:val="0"/>
                <w:sz w:val="24"/>
              </w:rPr>
            </w:pPr>
            <w:r>
              <w:rPr>
                <w:rFonts w:hint="eastAsia" w:ascii="仿宋" w:hAnsi="仿宋" w:eastAsia="仿宋" w:cs="仿宋"/>
                <w:color w:val="auto"/>
                <w:kern w:val="0"/>
                <w:sz w:val="24"/>
              </w:rPr>
              <w:t>1.投标价格的合理性和有效性评价</w:t>
            </w:r>
          </w:p>
          <w:p>
            <w:pPr>
              <w:widowControl/>
              <w:textAlignment w:val="center"/>
              <w:rPr>
                <w:rFonts w:ascii="仿宋" w:hAnsi="仿宋" w:eastAsia="仿宋" w:cs="仿宋"/>
                <w:color w:val="auto"/>
                <w:kern w:val="0"/>
                <w:sz w:val="24"/>
              </w:rPr>
            </w:pPr>
            <w:r>
              <w:rPr>
                <w:rFonts w:hint="eastAsia" w:ascii="仿宋" w:hAnsi="仿宋" w:eastAsia="仿宋" w:cs="仿宋"/>
                <w:color w:val="auto"/>
                <w:kern w:val="0"/>
                <w:sz w:val="24"/>
              </w:rPr>
              <w:t>分析总报价及各个分项报价是否合理，报价范围是否完整，有否重大错漏项，评标委员会认为投标报价出现异常时，有权要求供应商在评标期间对投标报价的详细组成作出解释和澄清，并确认其投标报价是否有效。</w:t>
            </w:r>
          </w:p>
          <w:p>
            <w:pPr>
              <w:widowControl/>
              <w:textAlignment w:val="center"/>
              <w:rPr>
                <w:rFonts w:ascii="仿宋" w:hAnsi="仿宋" w:eastAsia="仿宋" w:cs="仿宋"/>
                <w:color w:val="auto"/>
                <w:kern w:val="0"/>
                <w:sz w:val="24"/>
              </w:rPr>
            </w:pPr>
            <w:r>
              <w:rPr>
                <w:rFonts w:hint="eastAsia" w:ascii="仿宋" w:hAnsi="仿宋" w:eastAsia="仿宋" w:cs="仿宋"/>
                <w:color w:val="auto"/>
                <w:kern w:val="0"/>
                <w:sz w:val="24"/>
              </w:rPr>
              <w:t>2.商务报价计算</w:t>
            </w:r>
          </w:p>
          <w:p>
            <w:pPr>
              <w:widowControl/>
              <w:textAlignment w:val="center"/>
              <w:rPr>
                <w:rFonts w:ascii="仿宋" w:hAnsi="仿宋" w:eastAsia="仿宋" w:cs="仿宋"/>
                <w:color w:val="auto"/>
                <w:kern w:val="0"/>
                <w:sz w:val="24"/>
              </w:rPr>
            </w:pPr>
            <w:r>
              <w:rPr>
                <w:rFonts w:hint="eastAsia" w:ascii="仿宋" w:hAnsi="仿宋" w:eastAsia="仿宋" w:cs="仿宋"/>
                <w:color w:val="auto"/>
                <w:kern w:val="0"/>
                <w:sz w:val="24"/>
              </w:rPr>
              <w:t>各供应商的商务报价得分统一采用低价优先法计算，即满足采购文件要求且投标价格最低的投标报价为评标基准价，其价格分为满分10分。其他供应商的商务报价得分统一按照下列公式计算：</w:t>
            </w:r>
          </w:p>
          <w:p>
            <w:pPr>
              <w:widowControl/>
              <w:textAlignment w:val="center"/>
              <w:rPr>
                <w:rFonts w:ascii="仿宋" w:hAnsi="仿宋" w:eastAsia="仿宋" w:cs="仿宋"/>
                <w:color w:val="auto"/>
                <w:kern w:val="0"/>
                <w:sz w:val="24"/>
              </w:rPr>
            </w:pPr>
            <w:r>
              <w:rPr>
                <w:rFonts w:hint="eastAsia" w:ascii="仿宋" w:hAnsi="仿宋" w:eastAsia="仿宋" w:cs="仿宋"/>
                <w:color w:val="auto"/>
                <w:kern w:val="0"/>
                <w:sz w:val="24"/>
              </w:rPr>
              <w:t>投标报价得分=（评标基准价/投标报价）×价格权值（即10%）×100</w:t>
            </w:r>
          </w:p>
          <w:p>
            <w:pPr>
              <w:widowControl/>
              <w:textAlignment w:val="center"/>
              <w:rPr>
                <w:rFonts w:ascii="仿宋" w:hAnsi="仿宋" w:eastAsia="仿宋" w:cs="仿宋"/>
                <w:b/>
                <w:bCs/>
                <w:color w:val="auto"/>
                <w:kern w:val="0"/>
                <w:sz w:val="24"/>
              </w:rPr>
            </w:pPr>
            <w:r>
              <w:rPr>
                <w:rFonts w:hint="eastAsia" w:ascii="仿宋" w:hAnsi="仿宋" w:eastAsia="仿宋" w:cs="仿宋"/>
                <w:b/>
                <w:bCs/>
                <w:color w:val="auto"/>
                <w:kern w:val="0"/>
                <w:sz w:val="24"/>
              </w:rPr>
              <w:t>3．投标人的投标报价超过采购人设定的最高限价，将作为无效标。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textAlignment w:val="center"/>
              <w:rPr>
                <w:rFonts w:ascii="仿宋" w:hAnsi="仿宋" w:eastAsia="仿宋" w:cs="仿宋"/>
                <w:color w:val="auto"/>
                <w:sz w:val="24"/>
              </w:rPr>
            </w:pPr>
            <w:r>
              <w:rPr>
                <w:rFonts w:hint="eastAsia" w:ascii="仿宋" w:hAnsi="仿宋" w:eastAsia="仿宋" w:cs="仿宋"/>
                <w:b/>
                <w:bCs/>
                <w:color w:val="auto"/>
                <w:kern w:val="0"/>
                <w:sz w:val="24"/>
              </w:rPr>
              <w:t>4.投标人不得进行影响产品质量或者诚信履约的恶意报价。投标人报价低于项目预算50%的，应当在报价文件中详细阐述不影响产品质量或者诚信履约的具体原因，准备好报价核算、报价明细、报价说明等材料以备评审专家核查。经核查，投标人不能证明其报价合理性、不影响产品质量或者诚信履约的，评标委员会应当将其作为无效投标处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auto"/>
                <w:kern w:val="0"/>
                <w:sz w:val="24"/>
              </w:rPr>
            </w:pPr>
            <w:r>
              <w:rPr>
                <w:rFonts w:hint="eastAsia" w:ascii="仿宋" w:hAnsi="仿宋" w:eastAsia="仿宋" w:cs="仿宋"/>
                <w:color w:val="auto"/>
                <w:sz w:val="24"/>
              </w:rPr>
              <w:t>10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1995" w:hRule="atLeast"/>
        </w:trPr>
        <w:tc>
          <w:tcPr>
            <w:tcW w:w="5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kern w:val="0"/>
                <w:sz w:val="24"/>
              </w:rPr>
            </w:pPr>
            <w:r>
              <w:rPr>
                <w:rFonts w:hint="eastAsia" w:ascii="仿宋" w:hAnsi="仿宋" w:eastAsia="仿宋" w:cs="仿宋"/>
                <w:color w:val="auto"/>
                <w:sz w:val="24"/>
              </w:rPr>
              <w:t>9</w:t>
            </w:r>
          </w:p>
        </w:tc>
        <w:tc>
          <w:tcPr>
            <w:tcW w:w="796"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ascii="仿宋" w:hAnsi="仿宋" w:eastAsia="仿宋" w:cs="仿宋"/>
                <w:color w:val="auto"/>
                <w:kern w:val="0"/>
                <w:sz w:val="24"/>
              </w:rPr>
            </w:pPr>
            <w:r>
              <w:rPr>
                <w:rFonts w:hint="eastAsia" w:ascii="仿宋" w:hAnsi="仿宋" w:eastAsia="仿宋" w:cs="仿宋"/>
                <w:color w:val="auto"/>
                <w:sz w:val="24"/>
              </w:rPr>
              <w:t>其他</w:t>
            </w:r>
          </w:p>
        </w:tc>
        <w:tc>
          <w:tcPr>
            <w:tcW w:w="60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24"/>
              </w:rPr>
            </w:pPr>
            <w:r>
              <w:rPr>
                <w:rFonts w:hint="eastAsia" w:ascii="仿宋" w:hAnsi="仿宋" w:eastAsia="仿宋" w:cs="仿宋"/>
                <w:color w:val="auto"/>
                <w:sz w:val="24"/>
              </w:rPr>
              <w:t>1.评分时1-7项以整数记分，评标委员会成员独立对每个有效响应的文件进行评价、打分，所有评标委员会成员的打分平均值为每个供应商的得分，评审时保留小数点后1位小数，计算打分平均值时保留小数点后2位小数。</w:t>
            </w:r>
          </w:p>
          <w:p>
            <w:pPr>
              <w:rPr>
                <w:rFonts w:ascii="仿宋" w:hAnsi="仿宋" w:eastAsia="仿宋" w:cs="仿宋"/>
                <w:color w:val="auto"/>
                <w:sz w:val="24"/>
              </w:rPr>
            </w:pPr>
            <w:r>
              <w:rPr>
                <w:rFonts w:hint="eastAsia" w:ascii="仿宋" w:hAnsi="仿宋" w:eastAsia="仿宋" w:cs="仿宋"/>
                <w:color w:val="auto"/>
                <w:sz w:val="24"/>
              </w:rPr>
              <w:t>2.第8项计算评分值按文件规定的评审方式统一评审，保留小数点后2位小数，由评标委员会当场统一计算。</w:t>
            </w:r>
          </w:p>
          <w:p>
            <w:pPr>
              <w:rPr>
                <w:rFonts w:ascii="仿宋" w:hAnsi="仿宋" w:eastAsia="仿宋" w:cs="仿宋"/>
                <w:color w:val="auto"/>
                <w:sz w:val="24"/>
              </w:rPr>
            </w:pPr>
            <w:r>
              <w:rPr>
                <w:rFonts w:hint="eastAsia" w:ascii="仿宋" w:hAnsi="仿宋" w:eastAsia="仿宋" w:cs="仿宋"/>
                <w:color w:val="auto"/>
                <w:sz w:val="24"/>
              </w:rPr>
              <w:t>3.投标人的最终总得分为1-8项得分的总和。</w:t>
            </w:r>
          </w:p>
          <w:p>
            <w:pPr>
              <w:rPr>
                <w:rFonts w:ascii="仿宋" w:hAnsi="仿宋" w:eastAsia="仿宋" w:cs="仿宋"/>
                <w:color w:val="auto"/>
                <w:sz w:val="24"/>
              </w:rPr>
            </w:pPr>
            <w:r>
              <w:rPr>
                <w:rFonts w:hint="eastAsia" w:ascii="仿宋" w:hAnsi="仿宋" w:eastAsia="仿宋" w:cs="仿宋"/>
                <w:color w:val="auto"/>
                <w:sz w:val="24"/>
              </w:rPr>
              <w:t>4.投标报价高于本项目采购预算价/最高限价的，其投标将作为无效标处理。</w:t>
            </w:r>
          </w:p>
          <w:p>
            <w:pPr>
              <w:rPr>
                <w:rFonts w:ascii="仿宋" w:hAnsi="仿宋" w:eastAsia="仿宋" w:cs="仿宋"/>
                <w:color w:val="auto"/>
                <w:kern w:val="0"/>
                <w:sz w:val="24"/>
              </w:rPr>
            </w:pPr>
            <w:r>
              <w:rPr>
                <w:rFonts w:hint="eastAsia" w:ascii="仿宋" w:hAnsi="仿宋" w:eastAsia="仿宋" w:cs="仿宋"/>
                <w:color w:val="auto"/>
                <w:sz w:val="24"/>
              </w:rPr>
              <w:t>5.报价是中标的一个重要因素，但最低报价不是中标的唯一依据。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kern w:val="0"/>
                <w:sz w:val="24"/>
              </w:rPr>
            </w:pPr>
            <w:r>
              <w:rPr>
                <w:rFonts w:hint="eastAsia" w:ascii="仿宋" w:hAnsi="仿宋" w:eastAsia="仿宋" w:cs="仿宋"/>
                <w:color w:val="auto"/>
                <w:sz w:val="24"/>
              </w:rPr>
              <w:t>/</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p>
        </w:tc>
      </w:tr>
    </w:tbl>
    <w:p>
      <w:pPr>
        <w:pStyle w:val="52"/>
        <w:rPr>
          <w:color w:val="auto"/>
        </w:rPr>
      </w:pPr>
    </w:p>
    <w:p>
      <w:pPr>
        <w:numPr>
          <w:ilvl w:val="0"/>
          <w:numId w:val="6"/>
        </w:numPr>
        <w:snapToGrid w:val="0"/>
        <w:spacing w:beforeLines="50" w:afterLines="50" w:line="360" w:lineRule="auto"/>
        <w:ind w:firstLine="0"/>
        <w:jc w:val="left"/>
        <w:outlineLvl w:val="1"/>
        <w:rPr>
          <w:rFonts w:ascii="仿宋" w:hAnsi="仿宋" w:eastAsia="仿宋" w:cs="仿宋"/>
          <w:b/>
          <w:color w:val="auto"/>
          <w:sz w:val="28"/>
          <w:szCs w:val="28"/>
        </w:rPr>
      </w:pPr>
      <w:r>
        <w:rPr>
          <w:rFonts w:hint="eastAsia" w:ascii="仿宋" w:hAnsi="仿宋" w:eastAsia="仿宋" w:cs="仿宋"/>
          <w:b/>
          <w:color w:val="auto"/>
          <w:sz w:val="28"/>
          <w:szCs w:val="28"/>
        </w:rPr>
        <w:t>评标方法</w:t>
      </w:r>
    </w:p>
    <w:p>
      <w:pPr>
        <w:numPr>
          <w:ilvl w:val="0"/>
          <w:numId w:val="7"/>
        </w:numPr>
        <w:tabs>
          <w:tab w:val="left" w:pos="210"/>
        </w:tabs>
        <w:adjustRightInd/>
        <w:spacing w:line="360" w:lineRule="auto"/>
        <w:rPr>
          <w:rFonts w:ascii="仿宋" w:hAnsi="仿宋" w:eastAsia="仿宋" w:cs="仿宋"/>
          <w:color w:val="auto"/>
          <w:kern w:val="0"/>
          <w:sz w:val="24"/>
        </w:rPr>
      </w:pPr>
      <w:r>
        <w:rPr>
          <w:rFonts w:hint="eastAsia" w:ascii="仿宋" w:hAnsi="仿宋" w:eastAsia="仿宋" w:cs="仿宋"/>
          <w:b/>
          <w:color w:val="auto"/>
          <w:kern w:val="0"/>
          <w:sz w:val="24"/>
        </w:rPr>
        <w:t>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pPr>
        <w:numPr>
          <w:ilvl w:val="0"/>
          <w:numId w:val="6"/>
        </w:numPr>
        <w:snapToGrid w:val="0"/>
        <w:spacing w:line="360" w:lineRule="auto"/>
        <w:ind w:firstLine="0"/>
        <w:jc w:val="left"/>
        <w:outlineLvl w:val="1"/>
        <w:rPr>
          <w:rFonts w:ascii="仿宋" w:hAnsi="仿宋" w:eastAsia="仿宋" w:cs="仿宋"/>
          <w:b/>
          <w:color w:val="auto"/>
          <w:sz w:val="28"/>
          <w:szCs w:val="28"/>
        </w:rPr>
      </w:pPr>
      <w:r>
        <w:rPr>
          <w:rFonts w:hint="eastAsia" w:ascii="仿宋" w:hAnsi="仿宋" w:eastAsia="仿宋" w:cs="仿宋"/>
          <w:b/>
          <w:color w:val="auto"/>
          <w:sz w:val="28"/>
          <w:szCs w:val="28"/>
        </w:rPr>
        <w:t>评标标准</w:t>
      </w:r>
    </w:p>
    <w:p>
      <w:pPr>
        <w:numPr>
          <w:ilvl w:val="0"/>
          <w:numId w:val="7"/>
        </w:numPr>
        <w:tabs>
          <w:tab w:val="left" w:pos="210"/>
        </w:tabs>
        <w:adjustRightInd/>
        <w:spacing w:line="360" w:lineRule="auto"/>
        <w:rPr>
          <w:rFonts w:ascii="仿宋" w:hAnsi="仿宋" w:eastAsia="仿宋" w:cs="仿宋"/>
          <w:color w:val="auto"/>
          <w:kern w:val="0"/>
          <w:sz w:val="24"/>
        </w:rPr>
      </w:pPr>
      <w:r>
        <w:rPr>
          <w:rFonts w:hint="eastAsia" w:ascii="仿宋" w:hAnsi="仿宋" w:eastAsia="仿宋" w:cs="仿宋"/>
          <w:b/>
          <w:bCs/>
          <w:color w:val="auto"/>
          <w:kern w:val="0"/>
          <w:sz w:val="24"/>
        </w:rPr>
        <w:t>评标标准：</w:t>
      </w:r>
      <w:r>
        <w:rPr>
          <w:rFonts w:hint="eastAsia" w:ascii="仿宋" w:hAnsi="仿宋" w:eastAsia="仿宋" w:cs="仿宋"/>
          <w:color w:val="auto"/>
          <w:kern w:val="0"/>
          <w:sz w:val="24"/>
        </w:rPr>
        <w:t>见评标办法前附表。</w:t>
      </w:r>
    </w:p>
    <w:p>
      <w:pPr>
        <w:numPr>
          <w:ilvl w:val="0"/>
          <w:numId w:val="6"/>
        </w:numPr>
        <w:snapToGrid w:val="0"/>
        <w:spacing w:line="360" w:lineRule="auto"/>
        <w:ind w:firstLine="0"/>
        <w:jc w:val="left"/>
        <w:outlineLvl w:val="1"/>
        <w:rPr>
          <w:rFonts w:ascii="仿宋" w:hAnsi="仿宋" w:eastAsia="仿宋" w:cs="仿宋"/>
          <w:b/>
          <w:color w:val="auto"/>
          <w:sz w:val="28"/>
          <w:szCs w:val="28"/>
        </w:rPr>
      </w:pPr>
      <w:r>
        <w:rPr>
          <w:rFonts w:hint="eastAsia" w:ascii="仿宋" w:hAnsi="仿宋" w:eastAsia="仿宋" w:cs="仿宋"/>
          <w:b/>
          <w:color w:val="auto"/>
          <w:sz w:val="28"/>
          <w:szCs w:val="28"/>
        </w:rPr>
        <w:t>评标程序</w:t>
      </w:r>
    </w:p>
    <w:p>
      <w:pPr>
        <w:numPr>
          <w:ilvl w:val="1"/>
          <w:numId w:val="8"/>
        </w:numPr>
        <w:tabs>
          <w:tab w:val="left" w:pos="210"/>
        </w:tabs>
        <w:adjustRightInd/>
        <w:spacing w:line="360" w:lineRule="auto"/>
        <w:rPr>
          <w:rFonts w:ascii="仿宋" w:hAnsi="仿宋" w:eastAsia="仿宋" w:cs="仿宋"/>
          <w:color w:val="auto"/>
          <w:kern w:val="0"/>
          <w:sz w:val="24"/>
        </w:rPr>
      </w:pPr>
      <w:r>
        <w:rPr>
          <w:rFonts w:hint="eastAsia" w:ascii="仿宋" w:hAnsi="仿宋" w:eastAsia="仿宋" w:cs="仿宋"/>
          <w:b/>
          <w:bCs/>
          <w:color w:val="auto"/>
          <w:kern w:val="0"/>
          <w:sz w:val="24"/>
        </w:rPr>
        <w:t>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pPr>
        <w:numPr>
          <w:ilvl w:val="1"/>
          <w:numId w:val="8"/>
        </w:numPr>
        <w:tabs>
          <w:tab w:val="left" w:pos="210"/>
        </w:tabs>
        <w:adjustRightInd/>
        <w:spacing w:line="360" w:lineRule="auto"/>
        <w:rPr>
          <w:rFonts w:ascii="仿宋" w:hAnsi="仿宋" w:eastAsia="仿宋" w:cs="仿宋"/>
          <w:b/>
          <w:bCs/>
          <w:color w:val="auto"/>
          <w:kern w:val="0"/>
          <w:sz w:val="24"/>
        </w:rPr>
      </w:pPr>
      <w:r>
        <w:rPr>
          <w:rFonts w:hint="eastAsia" w:ascii="仿宋" w:hAnsi="仿宋" w:eastAsia="仿宋" w:cs="仿宋"/>
          <w:b/>
          <w:bCs/>
          <w:color w:val="auto"/>
          <w:kern w:val="0"/>
          <w:sz w:val="24"/>
        </w:rPr>
        <w:t>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pPr>
        <w:numPr>
          <w:ilvl w:val="1"/>
          <w:numId w:val="8"/>
        </w:numPr>
        <w:tabs>
          <w:tab w:val="left" w:pos="210"/>
        </w:tabs>
        <w:adjustRightInd/>
        <w:spacing w:line="360" w:lineRule="auto"/>
        <w:rPr>
          <w:rFonts w:ascii="仿宋" w:hAnsi="仿宋" w:eastAsia="仿宋" w:cs="仿宋"/>
          <w:color w:val="auto"/>
          <w:kern w:val="0"/>
          <w:sz w:val="24"/>
        </w:rPr>
      </w:pPr>
      <w:r>
        <w:rPr>
          <w:rFonts w:hint="eastAsia" w:ascii="仿宋" w:hAnsi="仿宋" w:eastAsia="仿宋" w:cs="仿宋"/>
          <w:b/>
          <w:bCs/>
          <w:color w:val="auto"/>
          <w:kern w:val="0"/>
          <w:sz w:val="24"/>
        </w:rPr>
        <w:t>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pPr>
        <w:tabs>
          <w:tab w:val="left" w:pos="210"/>
        </w:tabs>
        <w:adjustRightInd/>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pPr>
        <w:numPr>
          <w:ilvl w:val="1"/>
          <w:numId w:val="8"/>
        </w:numPr>
        <w:tabs>
          <w:tab w:val="left" w:pos="210"/>
        </w:tabs>
        <w:adjustRightInd/>
        <w:spacing w:line="360" w:lineRule="auto"/>
        <w:rPr>
          <w:rFonts w:ascii="仿宋" w:hAnsi="仿宋" w:eastAsia="仿宋" w:cs="仿宋"/>
          <w:b/>
          <w:bCs/>
          <w:color w:val="auto"/>
          <w:kern w:val="0"/>
          <w:sz w:val="24"/>
        </w:rPr>
      </w:pPr>
      <w:r>
        <w:rPr>
          <w:rFonts w:hint="eastAsia" w:ascii="仿宋" w:hAnsi="仿宋" w:eastAsia="仿宋" w:cs="仿宋"/>
          <w:b/>
          <w:bCs/>
          <w:color w:val="auto"/>
          <w:kern w:val="0"/>
          <w:sz w:val="24"/>
        </w:rPr>
        <w:t>报价评审。</w:t>
      </w:r>
    </w:p>
    <w:p>
      <w:pPr>
        <w:numPr>
          <w:ilvl w:val="2"/>
          <w:numId w:val="8"/>
        </w:numPr>
        <w:tabs>
          <w:tab w:val="left" w:pos="210"/>
        </w:tabs>
        <w:adjustRightInd/>
        <w:spacing w:line="360" w:lineRule="auto"/>
        <w:rPr>
          <w:rFonts w:ascii="仿宋" w:hAnsi="仿宋" w:eastAsia="仿宋" w:cs="仿宋"/>
          <w:b/>
          <w:bCs/>
          <w:color w:val="auto"/>
          <w:kern w:val="0"/>
          <w:sz w:val="24"/>
        </w:rPr>
      </w:pPr>
      <w:r>
        <w:rPr>
          <w:rFonts w:hint="eastAsia" w:ascii="仿宋" w:hAnsi="仿宋" w:eastAsia="仿宋" w:cs="仿宋"/>
          <w:b/>
          <w:bCs/>
          <w:color w:val="auto"/>
          <w:kern w:val="0"/>
          <w:sz w:val="24"/>
        </w:rPr>
        <w:t>投标文件报价出现前后不一致的，按照下列规定修正：</w:t>
      </w:r>
    </w:p>
    <w:p>
      <w:pPr>
        <w:numPr>
          <w:ilvl w:val="3"/>
          <w:numId w:val="8"/>
        </w:numPr>
        <w:tabs>
          <w:tab w:val="left" w:pos="210"/>
          <w:tab w:val="left" w:pos="1050"/>
        </w:tabs>
        <w:adjustRightInd/>
        <w:spacing w:line="360" w:lineRule="auto"/>
        <w:ind w:left="1050" w:hanging="1050"/>
        <w:rPr>
          <w:rFonts w:ascii="仿宋" w:hAnsi="仿宋" w:eastAsia="仿宋" w:cs="仿宋"/>
          <w:color w:val="auto"/>
          <w:kern w:val="0"/>
          <w:sz w:val="24"/>
        </w:rPr>
      </w:pPr>
      <w:r>
        <w:rPr>
          <w:rFonts w:hint="eastAsia" w:ascii="仿宋" w:hAnsi="仿宋" w:eastAsia="仿宋" w:cs="仿宋"/>
          <w:color w:val="auto"/>
          <w:kern w:val="0"/>
          <w:sz w:val="24"/>
        </w:rPr>
        <w:t>投标文件中开标一览表(报价表)内容与投标文件中相应内容不一致的，以开标一览表(报价表)为准;</w:t>
      </w:r>
    </w:p>
    <w:p>
      <w:pPr>
        <w:numPr>
          <w:ilvl w:val="3"/>
          <w:numId w:val="8"/>
        </w:numPr>
        <w:tabs>
          <w:tab w:val="left" w:pos="210"/>
          <w:tab w:val="left" w:pos="1050"/>
        </w:tabs>
        <w:adjustRightInd/>
        <w:spacing w:line="360" w:lineRule="auto"/>
        <w:ind w:left="1050" w:hanging="1050"/>
        <w:rPr>
          <w:rFonts w:ascii="仿宋" w:hAnsi="仿宋" w:eastAsia="仿宋" w:cs="仿宋"/>
          <w:color w:val="auto"/>
          <w:kern w:val="0"/>
          <w:sz w:val="24"/>
        </w:rPr>
      </w:pPr>
      <w:r>
        <w:rPr>
          <w:rFonts w:hint="eastAsia" w:ascii="仿宋" w:hAnsi="仿宋" w:eastAsia="仿宋" w:cs="仿宋"/>
          <w:color w:val="auto"/>
          <w:kern w:val="0"/>
          <w:sz w:val="24"/>
        </w:rPr>
        <w:t>大写金额和小写金额不一致的，以大写金额为准;</w:t>
      </w:r>
    </w:p>
    <w:p>
      <w:pPr>
        <w:numPr>
          <w:ilvl w:val="3"/>
          <w:numId w:val="8"/>
        </w:numPr>
        <w:tabs>
          <w:tab w:val="left" w:pos="210"/>
          <w:tab w:val="left" w:pos="1050"/>
        </w:tabs>
        <w:adjustRightInd/>
        <w:spacing w:line="360" w:lineRule="auto"/>
        <w:ind w:left="1050" w:hanging="1050"/>
        <w:rPr>
          <w:rFonts w:ascii="仿宋" w:hAnsi="仿宋" w:eastAsia="仿宋" w:cs="仿宋"/>
          <w:color w:val="auto"/>
          <w:kern w:val="0"/>
          <w:sz w:val="24"/>
        </w:rPr>
      </w:pPr>
      <w:r>
        <w:rPr>
          <w:rFonts w:hint="eastAsia" w:ascii="仿宋" w:hAnsi="仿宋" w:eastAsia="仿宋" w:cs="仿宋"/>
          <w:color w:val="auto"/>
          <w:kern w:val="0"/>
          <w:sz w:val="24"/>
        </w:rPr>
        <w:t>单价金额小数点或者百分比有明显错位的，以开标一览表的总价为准，并修改单价;</w:t>
      </w:r>
    </w:p>
    <w:p>
      <w:pPr>
        <w:numPr>
          <w:ilvl w:val="3"/>
          <w:numId w:val="8"/>
        </w:numPr>
        <w:tabs>
          <w:tab w:val="left" w:pos="210"/>
          <w:tab w:val="left" w:pos="1050"/>
        </w:tabs>
        <w:adjustRightInd/>
        <w:spacing w:line="360" w:lineRule="auto"/>
        <w:ind w:left="1050" w:hanging="1050"/>
        <w:rPr>
          <w:rFonts w:ascii="仿宋" w:hAnsi="仿宋" w:eastAsia="仿宋" w:cs="仿宋"/>
          <w:color w:val="auto"/>
          <w:kern w:val="0"/>
          <w:sz w:val="24"/>
        </w:rPr>
      </w:pPr>
      <w:r>
        <w:rPr>
          <w:rFonts w:hint="eastAsia" w:ascii="仿宋" w:hAnsi="仿宋" w:eastAsia="仿宋" w:cs="仿宋"/>
          <w:color w:val="auto"/>
          <w:kern w:val="0"/>
          <w:sz w:val="24"/>
        </w:rPr>
        <w:t>总价金额与按单价汇总金额不一致的，以单价金额计算结果为准。</w:t>
      </w:r>
    </w:p>
    <w:p>
      <w:pPr>
        <w:numPr>
          <w:ilvl w:val="3"/>
          <w:numId w:val="8"/>
        </w:numPr>
        <w:tabs>
          <w:tab w:val="left" w:pos="210"/>
          <w:tab w:val="left" w:pos="1050"/>
        </w:tabs>
        <w:adjustRightInd/>
        <w:spacing w:line="360" w:lineRule="auto"/>
        <w:ind w:left="1050" w:hanging="1050"/>
        <w:rPr>
          <w:rFonts w:ascii="仿宋" w:hAnsi="仿宋" w:eastAsia="仿宋" w:cs="仿宋"/>
          <w:color w:val="auto"/>
          <w:kern w:val="0"/>
          <w:sz w:val="24"/>
        </w:rPr>
      </w:pPr>
      <w:r>
        <w:rPr>
          <w:rFonts w:hint="eastAsia" w:ascii="仿宋" w:hAnsi="仿宋" w:eastAsia="仿宋" w:cs="仿宋"/>
          <w:color w:val="auto"/>
          <w:kern w:val="0"/>
          <w:sz w:val="24"/>
        </w:rPr>
        <w:t>同时出现两种以上不一致的，按照3.4.1规定的顺序修正。修正后的报价按照财政部第87号令 《政府采购货物和服务招标投标管理办法》第五十一条第二款的规定经投标人确认后产生约束力。</w:t>
      </w:r>
    </w:p>
    <w:p>
      <w:pPr>
        <w:numPr>
          <w:ilvl w:val="2"/>
          <w:numId w:val="8"/>
        </w:numPr>
        <w:tabs>
          <w:tab w:val="left" w:pos="210"/>
        </w:tabs>
        <w:adjustRightInd/>
        <w:spacing w:line="360" w:lineRule="auto"/>
        <w:rPr>
          <w:rFonts w:ascii="仿宋" w:hAnsi="仿宋" w:eastAsia="仿宋" w:cs="仿宋"/>
          <w:b/>
          <w:bCs/>
          <w:color w:val="auto"/>
          <w:kern w:val="0"/>
          <w:sz w:val="24"/>
        </w:rPr>
      </w:pPr>
      <w:r>
        <w:rPr>
          <w:rFonts w:hint="eastAsia" w:ascii="仿宋" w:hAnsi="仿宋" w:eastAsia="仿宋" w:cs="仿宋"/>
          <w:b/>
          <w:bCs/>
          <w:color w:val="auto"/>
          <w:kern w:val="0"/>
          <w:sz w:val="24"/>
        </w:rPr>
        <w:t>投标文件出现不是唯一的、有选择性投标报价的，投标无效。</w:t>
      </w:r>
    </w:p>
    <w:p>
      <w:pPr>
        <w:numPr>
          <w:ilvl w:val="2"/>
          <w:numId w:val="8"/>
        </w:numPr>
        <w:tabs>
          <w:tab w:val="left" w:pos="210"/>
        </w:tabs>
        <w:adjustRightInd/>
        <w:spacing w:line="360" w:lineRule="auto"/>
        <w:rPr>
          <w:rFonts w:ascii="仿宋" w:hAnsi="仿宋" w:eastAsia="仿宋" w:cs="仿宋"/>
          <w:b/>
          <w:bCs/>
          <w:color w:val="auto"/>
          <w:kern w:val="0"/>
          <w:sz w:val="24"/>
        </w:rPr>
      </w:pPr>
      <w:r>
        <w:rPr>
          <w:rFonts w:hint="eastAsia" w:ascii="仿宋" w:hAnsi="仿宋" w:eastAsia="仿宋" w:cs="仿宋"/>
          <w:b/>
          <w:bCs/>
          <w:color w:val="auto"/>
          <w:kern w:val="0"/>
          <w:sz w:val="24"/>
        </w:rPr>
        <w:t>投标报价超过招标文件中规定的预算金额或者最高限价的，投标无效。</w:t>
      </w:r>
    </w:p>
    <w:p>
      <w:pPr>
        <w:numPr>
          <w:ilvl w:val="2"/>
          <w:numId w:val="8"/>
        </w:numPr>
        <w:tabs>
          <w:tab w:val="left" w:pos="210"/>
        </w:tabs>
        <w:adjustRightInd/>
        <w:spacing w:line="360" w:lineRule="auto"/>
        <w:rPr>
          <w:rFonts w:ascii="仿宋" w:hAnsi="仿宋" w:eastAsia="仿宋" w:cs="仿宋"/>
          <w:color w:val="auto"/>
          <w:kern w:val="0"/>
          <w:sz w:val="24"/>
        </w:rPr>
      </w:pPr>
      <w:r>
        <w:rPr>
          <w:rFonts w:hint="eastAsia" w:ascii="仿宋" w:hAnsi="仿宋" w:eastAsia="仿宋" w:cs="仿宋"/>
          <w:color w:val="auto"/>
          <w:kern w:val="0"/>
          <w:sz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numPr>
          <w:ilvl w:val="2"/>
          <w:numId w:val="8"/>
        </w:numPr>
        <w:tabs>
          <w:tab w:val="left" w:pos="210"/>
        </w:tabs>
        <w:adjustRightInd/>
        <w:spacing w:line="360" w:lineRule="auto"/>
        <w:rPr>
          <w:rFonts w:ascii="仿宋" w:hAnsi="仿宋" w:eastAsia="仿宋" w:cs="仿宋"/>
          <w:color w:val="auto"/>
          <w:kern w:val="0"/>
          <w:sz w:val="24"/>
        </w:rPr>
      </w:pPr>
      <w:r>
        <w:rPr>
          <w:rFonts w:hint="eastAsia" w:ascii="仿宋" w:hAnsi="仿宋" w:eastAsia="仿宋" w:cs="仿宋"/>
          <w:color w:val="auto"/>
          <w:kern w:val="0"/>
          <w:sz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color w:val="auto"/>
          <w:kern w:val="0"/>
          <w:sz w:val="24"/>
        </w:rPr>
        <w:t>10%</w:t>
      </w:r>
      <w:r>
        <w:rPr>
          <w:rFonts w:hint="eastAsia" w:ascii="仿宋" w:hAnsi="仿宋" w:eastAsia="仿宋" w:cs="仿宋"/>
          <w:color w:val="auto"/>
          <w:kern w:val="0"/>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b/>
          <w:bCs/>
          <w:color w:val="auto"/>
          <w:kern w:val="0"/>
          <w:sz w:val="24"/>
        </w:rPr>
        <w:t>4%</w:t>
      </w:r>
      <w:r>
        <w:rPr>
          <w:rFonts w:hint="eastAsia" w:ascii="仿宋" w:hAnsi="仿宋" w:eastAsia="仿宋" w:cs="仿宋"/>
          <w:color w:val="auto"/>
          <w:kern w:val="0"/>
          <w:sz w:val="24"/>
        </w:rPr>
        <w:t>的扣除，用扣除后的价格参加评审。组成联合体或者接受分包的小微企业与联合体内其他企业、分包企业之间存在直接控股、管理关系的，不享受价格扣除优惠政策。</w:t>
      </w:r>
    </w:p>
    <w:p>
      <w:pPr>
        <w:numPr>
          <w:ilvl w:val="1"/>
          <w:numId w:val="8"/>
        </w:numPr>
        <w:tabs>
          <w:tab w:val="left" w:pos="210"/>
        </w:tabs>
        <w:adjustRightInd/>
        <w:spacing w:line="360" w:lineRule="auto"/>
        <w:rPr>
          <w:rFonts w:ascii="仿宋" w:hAnsi="仿宋" w:eastAsia="仿宋" w:cs="仿宋"/>
          <w:color w:val="auto"/>
          <w:kern w:val="0"/>
          <w:sz w:val="24"/>
        </w:rPr>
      </w:pPr>
      <w:r>
        <w:rPr>
          <w:rFonts w:hint="eastAsia" w:ascii="仿宋" w:hAnsi="仿宋" w:eastAsia="仿宋" w:cs="仿宋"/>
          <w:b/>
          <w:bCs/>
          <w:color w:val="auto"/>
          <w:kern w:val="0"/>
          <w:sz w:val="24"/>
        </w:rPr>
        <w:t>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1"/>
          <w:numId w:val="8"/>
        </w:numPr>
        <w:tabs>
          <w:tab w:val="left" w:pos="210"/>
        </w:tabs>
        <w:adjustRightInd/>
        <w:spacing w:line="360" w:lineRule="auto"/>
        <w:rPr>
          <w:rFonts w:ascii="仿宋" w:hAnsi="仿宋" w:eastAsia="仿宋" w:cs="仿宋"/>
          <w:b/>
          <w:bCs/>
          <w:color w:val="auto"/>
          <w:kern w:val="0"/>
          <w:sz w:val="24"/>
        </w:rPr>
      </w:pPr>
      <w:r>
        <w:rPr>
          <w:rFonts w:hint="eastAsia" w:ascii="仿宋" w:hAnsi="仿宋" w:eastAsia="仿宋" w:cs="仿宋"/>
          <w:b/>
          <w:bCs/>
          <w:color w:val="auto"/>
          <w:kern w:val="0"/>
          <w:sz w:val="24"/>
        </w:rPr>
        <w:t>评分时保留小数点后1位小数，计算评分值时保留小数点后2位小数。</w:t>
      </w:r>
    </w:p>
    <w:p>
      <w:pPr>
        <w:numPr>
          <w:ilvl w:val="1"/>
          <w:numId w:val="8"/>
        </w:numPr>
        <w:tabs>
          <w:tab w:val="left" w:pos="210"/>
        </w:tabs>
        <w:adjustRightInd/>
        <w:spacing w:line="360" w:lineRule="auto"/>
        <w:rPr>
          <w:rFonts w:ascii="仿宋" w:hAnsi="仿宋" w:eastAsia="仿宋" w:cs="仿宋"/>
          <w:color w:val="auto"/>
          <w:kern w:val="0"/>
          <w:sz w:val="24"/>
        </w:rPr>
      </w:pPr>
      <w:r>
        <w:rPr>
          <w:rFonts w:hint="eastAsia" w:ascii="仿宋" w:hAnsi="仿宋" w:eastAsia="仿宋" w:cs="仿宋"/>
          <w:b/>
          <w:bCs/>
          <w:color w:val="auto"/>
          <w:kern w:val="0"/>
          <w:sz w:val="24"/>
        </w:rPr>
        <w:t>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6"/>
        </w:numPr>
        <w:snapToGrid w:val="0"/>
        <w:spacing w:line="360" w:lineRule="auto"/>
        <w:ind w:firstLine="0"/>
        <w:jc w:val="left"/>
        <w:outlineLvl w:val="1"/>
        <w:rPr>
          <w:rFonts w:ascii="仿宋" w:hAnsi="仿宋" w:eastAsia="仿宋" w:cs="仿宋"/>
          <w:b/>
          <w:color w:val="auto"/>
          <w:sz w:val="28"/>
          <w:szCs w:val="28"/>
        </w:rPr>
      </w:pPr>
      <w:r>
        <w:rPr>
          <w:rFonts w:hint="eastAsia" w:ascii="仿宋" w:hAnsi="仿宋" w:eastAsia="仿宋" w:cs="仿宋"/>
          <w:b/>
          <w:color w:val="auto"/>
          <w:sz w:val="28"/>
          <w:szCs w:val="28"/>
        </w:rPr>
        <w:t>评标中的其他事项</w:t>
      </w:r>
    </w:p>
    <w:p>
      <w:pPr>
        <w:numPr>
          <w:ilvl w:val="1"/>
          <w:numId w:val="9"/>
        </w:numPr>
        <w:tabs>
          <w:tab w:val="left" w:pos="210"/>
        </w:tabs>
        <w:adjustRightInd/>
        <w:spacing w:line="360" w:lineRule="auto"/>
        <w:rPr>
          <w:rFonts w:ascii="仿宋" w:hAnsi="仿宋" w:eastAsia="仿宋" w:cs="仿宋"/>
          <w:color w:val="auto"/>
          <w:kern w:val="0"/>
          <w:sz w:val="24"/>
        </w:rPr>
      </w:pPr>
      <w:r>
        <w:rPr>
          <w:rFonts w:hint="eastAsia" w:ascii="仿宋" w:hAnsi="仿宋" w:eastAsia="仿宋" w:cs="仿宋"/>
          <w:b/>
          <w:bCs/>
          <w:color w:val="auto"/>
          <w:kern w:val="0"/>
          <w:sz w:val="24"/>
        </w:rPr>
        <w:t>投标人澄清、说明或者补正。</w:t>
      </w:r>
      <w:r>
        <w:rPr>
          <w:rFonts w:hint="eastAsia" w:ascii="仿宋" w:hAnsi="仿宋" w:eastAsia="仿宋" w:cs="仿宋"/>
          <w:color w:val="auto"/>
          <w:kern w:val="0"/>
          <w:sz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1"/>
          <w:numId w:val="9"/>
        </w:numPr>
        <w:tabs>
          <w:tab w:val="left" w:pos="210"/>
        </w:tabs>
        <w:adjustRightInd/>
        <w:spacing w:line="360" w:lineRule="auto"/>
        <w:rPr>
          <w:rFonts w:ascii="仿宋" w:hAnsi="仿宋" w:eastAsia="仿宋" w:cs="仿宋"/>
          <w:b/>
          <w:bCs/>
          <w:color w:val="auto"/>
          <w:kern w:val="0"/>
          <w:sz w:val="24"/>
        </w:rPr>
      </w:pPr>
      <w:r>
        <w:rPr>
          <w:rFonts w:hint="eastAsia" w:ascii="仿宋" w:hAnsi="仿宋" w:eastAsia="仿宋" w:cs="仿宋"/>
          <w:b/>
          <w:bCs/>
          <w:color w:val="auto"/>
          <w:kern w:val="0"/>
          <w:sz w:val="24"/>
        </w:rPr>
        <w:t>投标无效。有下列情况之一的，投标无效：</w:t>
      </w:r>
    </w:p>
    <w:p>
      <w:pPr>
        <w:numPr>
          <w:ilvl w:val="2"/>
          <w:numId w:val="9"/>
        </w:numPr>
        <w:tabs>
          <w:tab w:val="left" w:pos="210"/>
          <w:tab w:val="left" w:pos="840"/>
        </w:tabs>
        <w:adjustRightInd/>
        <w:spacing w:line="360" w:lineRule="auto"/>
        <w:ind w:left="829" w:hanging="829"/>
        <w:rPr>
          <w:rFonts w:ascii="仿宋" w:hAnsi="仿宋" w:eastAsia="仿宋" w:cs="仿宋"/>
          <w:b/>
          <w:bCs/>
          <w:color w:val="auto"/>
          <w:kern w:val="0"/>
          <w:sz w:val="24"/>
        </w:rPr>
      </w:pPr>
      <w:r>
        <w:rPr>
          <w:rFonts w:hint="eastAsia" w:ascii="仿宋" w:hAnsi="仿宋" w:eastAsia="仿宋" w:cs="仿宋"/>
          <w:b/>
          <w:bCs/>
          <w:color w:val="auto"/>
          <w:kern w:val="0"/>
          <w:sz w:val="24"/>
        </w:rPr>
        <w:t>投标人不具备招标文件中规定的资格要求的（投标人未提供有效的资格文件的，视为投标人不具备招标文件中规定的资格要求）；</w:t>
      </w:r>
    </w:p>
    <w:p>
      <w:pPr>
        <w:numPr>
          <w:ilvl w:val="2"/>
          <w:numId w:val="9"/>
        </w:numPr>
        <w:tabs>
          <w:tab w:val="left" w:pos="210"/>
          <w:tab w:val="left" w:pos="840"/>
        </w:tabs>
        <w:adjustRightInd/>
        <w:spacing w:line="360" w:lineRule="auto"/>
        <w:ind w:left="829" w:hanging="829"/>
        <w:rPr>
          <w:rFonts w:ascii="仿宋" w:hAnsi="仿宋" w:eastAsia="仿宋" w:cs="仿宋"/>
          <w:b/>
          <w:bCs/>
          <w:color w:val="auto"/>
          <w:kern w:val="0"/>
          <w:sz w:val="24"/>
        </w:rPr>
      </w:pPr>
      <w:r>
        <w:rPr>
          <w:rFonts w:hint="eastAsia" w:ascii="仿宋" w:hAnsi="仿宋" w:eastAsia="仿宋" w:cs="仿宋"/>
          <w:b/>
          <w:bCs/>
          <w:color w:val="auto"/>
          <w:kern w:val="0"/>
          <w:sz w:val="24"/>
        </w:rPr>
        <w:t>投标文件未按照招标文件要求签署、盖章的；</w:t>
      </w:r>
    </w:p>
    <w:p>
      <w:pPr>
        <w:numPr>
          <w:ilvl w:val="2"/>
          <w:numId w:val="9"/>
        </w:numPr>
        <w:tabs>
          <w:tab w:val="left" w:pos="210"/>
          <w:tab w:val="left" w:pos="840"/>
        </w:tabs>
        <w:adjustRightInd/>
        <w:spacing w:line="360" w:lineRule="auto"/>
        <w:ind w:left="829" w:hanging="829"/>
        <w:rPr>
          <w:rFonts w:ascii="仿宋" w:hAnsi="仿宋" w:eastAsia="仿宋" w:cs="仿宋"/>
          <w:b/>
          <w:bCs/>
          <w:color w:val="auto"/>
          <w:kern w:val="0"/>
          <w:sz w:val="24"/>
        </w:rPr>
      </w:pPr>
      <w:r>
        <w:rPr>
          <w:rFonts w:hint="eastAsia" w:ascii="仿宋" w:hAnsi="仿宋" w:eastAsia="仿宋" w:cs="仿宋"/>
          <w:b/>
          <w:bCs/>
          <w:color w:val="auto"/>
          <w:kern w:val="0"/>
          <w:sz w:val="24"/>
        </w:rPr>
        <w:t>采购人拟采购的产品属于政府强制采购的节能产品品目清单范围的，投标人未按招标文件要求提供国家确定的认证机构出具的、处于有效期之内的节能产品认证证书的；</w:t>
      </w:r>
    </w:p>
    <w:p>
      <w:pPr>
        <w:numPr>
          <w:ilvl w:val="2"/>
          <w:numId w:val="9"/>
        </w:numPr>
        <w:tabs>
          <w:tab w:val="left" w:pos="210"/>
          <w:tab w:val="left" w:pos="840"/>
        </w:tabs>
        <w:adjustRightInd/>
        <w:spacing w:line="360" w:lineRule="auto"/>
        <w:ind w:left="829" w:hanging="829"/>
        <w:rPr>
          <w:rFonts w:ascii="仿宋" w:hAnsi="仿宋" w:eastAsia="仿宋" w:cs="仿宋"/>
          <w:b/>
          <w:bCs/>
          <w:color w:val="auto"/>
          <w:kern w:val="0"/>
          <w:sz w:val="24"/>
        </w:rPr>
      </w:pPr>
      <w:r>
        <w:rPr>
          <w:rFonts w:hint="eastAsia" w:ascii="仿宋" w:hAnsi="仿宋" w:eastAsia="仿宋" w:cs="仿宋"/>
          <w:b/>
          <w:bCs/>
          <w:color w:val="auto"/>
          <w:kern w:val="0"/>
          <w:sz w:val="24"/>
        </w:rPr>
        <w:t>投标文件含有采购人不能接受的附加条件的；</w:t>
      </w:r>
    </w:p>
    <w:p>
      <w:pPr>
        <w:numPr>
          <w:ilvl w:val="2"/>
          <w:numId w:val="9"/>
        </w:numPr>
        <w:tabs>
          <w:tab w:val="left" w:pos="210"/>
          <w:tab w:val="left" w:pos="840"/>
        </w:tabs>
        <w:adjustRightInd/>
        <w:spacing w:line="360" w:lineRule="auto"/>
        <w:ind w:left="829" w:hanging="829"/>
        <w:rPr>
          <w:rFonts w:ascii="仿宋" w:hAnsi="仿宋" w:eastAsia="仿宋" w:cs="仿宋"/>
          <w:b/>
          <w:bCs/>
          <w:color w:val="auto"/>
          <w:kern w:val="0"/>
          <w:sz w:val="24"/>
        </w:rPr>
      </w:pPr>
      <w:r>
        <w:rPr>
          <w:rFonts w:hint="eastAsia" w:ascii="仿宋" w:hAnsi="仿宋" w:eastAsia="仿宋" w:cs="仿宋"/>
          <w:b/>
          <w:bCs/>
          <w:color w:val="auto"/>
          <w:kern w:val="0"/>
          <w:sz w:val="24"/>
        </w:rPr>
        <w:t>投标文件中承诺的投标有效期少于招标文件中载明的投标有效期的；</w:t>
      </w:r>
    </w:p>
    <w:p>
      <w:pPr>
        <w:numPr>
          <w:ilvl w:val="2"/>
          <w:numId w:val="9"/>
        </w:numPr>
        <w:tabs>
          <w:tab w:val="left" w:pos="210"/>
          <w:tab w:val="left" w:pos="840"/>
        </w:tabs>
        <w:adjustRightInd/>
        <w:spacing w:line="360" w:lineRule="auto"/>
        <w:ind w:left="829" w:hanging="829"/>
        <w:rPr>
          <w:rFonts w:ascii="仿宋" w:hAnsi="仿宋" w:eastAsia="仿宋" w:cs="仿宋"/>
          <w:b/>
          <w:bCs/>
          <w:color w:val="auto"/>
          <w:kern w:val="0"/>
          <w:sz w:val="24"/>
        </w:rPr>
      </w:pPr>
      <w:r>
        <w:rPr>
          <w:rFonts w:hint="eastAsia" w:ascii="仿宋" w:hAnsi="仿宋" w:eastAsia="仿宋" w:cs="仿宋"/>
          <w:b/>
          <w:bCs/>
          <w:color w:val="auto"/>
          <w:kern w:val="0"/>
          <w:sz w:val="24"/>
        </w:rPr>
        <w:t>投标文件出现不是唯一的、有选择性投标报价的;</w:t>
      </w:r>
    </w:p>
    <w:p>
      <w:pPr>
        <w:numPr>
          <w:ilvl w:val="2"/>
          <w:numId w:val="9"/>
        </w:numPr>
        <w:tabs>
          <w:tab w:val="left" w:pos="210"/>
          <w:tab w:val="left" w:pos="840"/>
        </w:tabs>
        <w:adjustRightInd/>
        <w:spacing w:line="360" w:lineRule="auto"/>
        <w:ind w:left="829" w:hanging="829"/>
        <w:rPr>
          <w:rFonts w:ascii="仿宋" w:hAnsi="仿宋" w:eastAsia="仿宋" w:cs="仿宋"/>
          <w:b/>
          <w:bCs/>
          <w:color w:val="auto"/>
          <w:kern w:val="0"/>
          <w:sz w:val="24"/>
        </w:rPr>
      </w:pPr>
      <w:r>
        <w:rPr>
          <w:rFonts w:hint="eastAsia" w:ascii="仿宋" w:hAnsi="仿宋" w:eastAsia="仿宋" w:cs="仿宋"/>
          <w:b/>
          <w:bCs/>
          <w:color w:val="auto"/>
          <w:kern w:val="0"/>
          <w:sz w:val="24"/>
        </w:rPr>
        <w:t>投标报价超过招标文件中规定的预算金额或者最高限价的;</w:t>
      </w:r>
    </w:p>
    <w:p>
      <w:pPr>
        <w:numPr>
          <w:ilvl w:val="2"/>
          <w:numId w:val="9"/>
        </w:numPr>
        <w:tabs>
          <w:tab w:val="left" w:pos="210"/>
          <w:tab w:val="left" w:pos="840"/>
        </w:tabs>
        <w:adjustRightInd/>
        <w:spacing w:line="360" w:lineRule="auto"/>
        <w:ind w:left="829" w:hanging="829"/>
        <w:rPr>
          <w:rFonts w:ascii="仿宋" w:hAnsi="仿宋" w:eastAsia="仿宋" w:cs="仿宋"/>
          <w:b/>
          <w:bCs/>
          <w:color w:val="auto"/>
          <w:kern w:val="0"/>
          <w:sz w:val="24"/>
        </w:rPr>
      </w:pPr>
      <w:r>
        <w:rPr>
          <w:rFonts w:hint="eastAsia" w:ascii="仿宋" w:hAnsi="仿宋" w:eastAsia="仿宋" w:cs="仿宋"/>
          <w:b/>
          <w:bCs/>
          <w:color w:val="auto"/>
          <w:kern w:val="0"/>
          <w:sz w:val="24"/>
        </w:rPr>
        <w:t>报价明显低于其他通过符合性审查投标人的报价，有可能影响产品质量或者不能诚信履约的，未能按要求提供书面说明或者提交相关证明材料，不能证明其报价合理性的;</w:t>
      </w:r>
    </w:p>
    <w:p>
      <w:pPr>
        <w:numPr>
          <w:ilvl w:val="2"/>
          <w:numId w:val="9"/>
        </w:numPr>
        <w:tabs>
          <w:tab w:val="left" w:pos="210"/>
          <w:tab w:val="left" w:pos="840"/>
        </w:tabs>
        <w:adjustRightInd/>
        <w:spacing w:line="360" w:lineRule="auto"/>
        <w:ind w:left="829" w:hanging="829"/>
        <w:rPr>
          <w:rFonts w:ascii="仿宋" w:hAnsi="仿宋" w:eastAsia="仿宋" w:cs="仿宋"/>
          <w:b/>
          <w:bCs/>
          <w:color w:val="auto"/>
          <w:kern w:val="0"/>
          <w:sz w:val="24"/>
        </w:rPr>
      </w:pPr>
      <w:r>
        <w:rPr>
          <w:rFonts w:hint="eastAsia" w:ascii="仿宋" w:hAnsi="仿宋" w:eastAsia="仿宋" w:cs="仿宋"/>
          <w:b/>
          <w:bCs/>
          <w:color w:val="auto"/>
          <w:kern w:val="0"/>
          <w:sz w:val="24"/>
        </w:rPr>
        <w:t>投标人存在影响产品质量或者诚信履约的恶意报价（投标人报价低于项目预算50%的，未在报价文件中详细阐述不影响产品质量或者诚信履约的具体原因，准备好报价核算、报价明细、报价说明等材料以备评审专家核查的或经核查，投标人不能证明其报价合理性、不影响产品质量或者诚信履约的）。</w:t>
      </w:r>
    </w:p>
    <w:p>
      <w:pPr>
        <w:numPr>
          <w:ilvl w:val="2"/>
          <w:numId w:val="9"/>
        </w:numPr>
        <w:tabs>
          <w:tab w:val="left" w:pos="210"/>
          <w:tab w:val="left" w:pos="840"/>
        </w:tabs>
        <w:adjustRightInd/>
        <w:spacing w:line="360" w:lineRule="auto"/>
        <w:ind w:left="829" w:hanging="829"/>
        <w:rPr>
          <w:rFonts w:ascii="仿宋" w:hAnsi="仿宋" w:eastAsia="仿宋" w:cs="仿宋"/>
          <w:b/>
          <w:bCs/>
          <w:color w:val="auto"/>
          <w:kern w:val="0"/>
          <w:sz w:val="24"/>
        </w:rPr>
      </w:pPr>
      <w:r>
        <w:rPr>
          <w:rFonts w:hint="eastAsia" w:ascii="仿宋" w:hAnsi="仿宋" w:eastAsia="仿宋" w:cs="仿宋"/>
          <w:b/>
          <w:bCs/>
          <w:color w:val="auto"/>
          <w:kern w:val="0"/>
          <w:sz w:val="24"/>
        </w:rPr>
        <w:t>投标人对根据修正原则修正后的报价不确认的；</w:t>
      </w:r>
    </w:p>
    <w:p>
      <w:pPr>
        <w:numPr>
          <w:ilvl w:val="2"/>
          <w:numId w:val="9"/>
        </w:numPr>
        <w:tabs>
          <w:tab w:val="left" w:pos="210"/>
          <w:tab w:val="left" w:pos="840"/>
          <w:tab w:val="left" w:pos="1050"/>
          <w:tab w:val="left" w:pos="1260"/>
        </w:tabs>
        <w:adjustRightInd/>
        <w:spacing w:line="360" w:lineRule="auto"/>
        <w:ind w:left="829" w:hanging="829"/>
        <w:rPr>
          <w:rFonts w:ascii="仿宋" w:hAnsi="仿宋" w:eastAsia="仿宋" w:cs="仿宋"/>
          <w:b/>
          <w:bCs/>
          <w:color w:val="auto"/>
          <w:kern w:val="0"/>
          <w:sz w:val="24"/>
        </w:rPr>
      </w:pPr>
      <w:r>
        <w:rPr>
          <w:rFonts w:hint="eastAsia" w:ascii="仿宋" w:hAnsi="仿宋" w:eastAsia="仿宋" w:cs="仿宋"/>
          <w:b/>
          <w:bCs/>
          <w:color w:val="auto"/>
          <w:kern w:val="0"/>
          <w:sz w:val="24"/>
        </w:rPr>
        <w:t>投标人提供虚假材料投标的；</w:t>
      </w:r>
    </w:p>
    <w:p>
      <w:pPr>
        <w:numPr>
          <w:ilvl w:val="2"/>
          <w:numId w:val="9"/>
        </w:numPr>
        <w:tabs>
          <w:tab w:val="left" w:pos="210"/>
          <w:tab w:val="left" w:pos="840"/>
          <w:tab w:val="left" w:pos="1050"/>
          <w:tab w:val="left" w:pos="1260"/>
        </w:tabs>
        <w:adjustRightInd/>
        <w:spacing w:line="360" w:lineRule="auto"/>
        <w:ind w:left="1049" w:hanging="1049"/>
        <w:rPr>
          <w:rFonts w:ascii="仿宋" w:hAnsi="仿宋" w:eastAsia="仿宋" w:cs="仿宋"/>
          <w:b/>
          <w:bCs/>
          <w:color w:val="auto"/>
          <w:kern w:val="0"/>
          <w:sz w:val="24"/>
        </w:rPr>
      </w:pPr>
      <w:r>
        <w:rPr>
          <w:rFonts w:hint="eastAsia" w:ascii="仿宋" w:hAnsi="仿宋" w:eastAsia="仿宋" w:cs="仿宋"/>
          <w:b/>
          <w:bCs/>
          <w:color w:val="auto"/>
          <w:kern w:val="0"/>
          <w:sz w:val="24"/>
        </w:rPr>
        <w:t>投标人有恶意串通、妨碍其他投标人的竞争行为、损害采购人或者其他投标人的合法权益情形的；</w:t>
      </w:r>
    </w:p>
    <w:p>
      <w:pPr>
        <w:numPr>
          <w:ilvl w:val="2"/>
          <w:numId w:val="9"/>
        </w:numPr>
        <w:tabs>
          <w:tab w:val="left" w:pos="210"/>
          <w:tab w:val="left" w:pos="840"/>
          <w:tab w:val="left" w:pos="1050"/>
          <w:tab w:val="left" w:pos="1260"/>
        </w:tabs>
        <w:adjustRightInd/>
        <w:spacing w:line="360" w:lineRule="auto"/>
        <w:ind w:left="1049" w:hanging="1049"/>
        <w:rPr>
          <w:rFonts w:ascii="仿宋" w:hAnsi="仿宋" w:eastAsia="仿宋" w:cs="仿宋"/>
          <w:b/>
          <w:bCs/>
          <w:color w:val="auto"/>
          <w:kern w:val="0"/>
          <w:sz w:val="24"/>
        </w:rPr>
      </w:pPr>
      <w:r>
        <w:rPr>
          <w:rFonts w:hint="eastAsia" w:ascii="仿宋" w:hAnsi="仿宋" w:eastAsia="仿宋" w:cs="仿宋"/>
          <w:b/>
          <w:bCs/>
          <w:color w:val="auto"/>
          <w:kern w:val="0"/>
          <w:sz w:val="24"/>
        </w:rPr>
        <w:t>投标人仅提交备份投标文件，没有在电子交易平台传输递交投标文件的，投标无效；</w:t>
      </w:r>
    </w:p>
    <w:p>
      <w:pPr>
        <w:numPr>
          <w:ilvl w:val="2"/>
          <w:numId w:val="9"/>
        </w:numPr>
        <w:tabs>
          <w:tab w:val="left" w:pos="210"/>
          <w:tab w:val="left" w:pos="840"/>
          <w:tab w:val="left" w:pos="1050"/>
          <w:tab w:val="left" w:pos="1260"/>
        </w:tabs>
        <w:adjustRightInd/>
        <w:spacing w:line="360" w:lineRule="auto"/>
        <w:ind w:left="1049" w:hanging="1049"/>
        <w:rPr>
          <w:rFonts w:ascii="仿宋" w:hAnsi="仿宋" w:eastAsia="仿宋" w:cs="仿宋"/>
          <w:b/>
          <w:bCs/>
          <w:color w:val="auto"/>
          <w:kern w:val="0"/>
          <w:sz w:val="24"/>
        </w:rPr>
      </w:pPr>
      <w:r>
        <w:rPr>
          <w:rFonts w:hint="eastAsia" w:ascii="仿宋" w:hAnsi="仿宋" w:eastAsia="仿宋" w:cs="仿宋"/>
          <w:b/>
          <w:bCs/>
          <w:color w:val="auto"/>
          <w:kern w:val="0"/>
          <w:sz w:val="24"/>
        </w:rPr>
        <w:t>投标文件不满足招标文件的其它实质性要求的；</w:t>
      </w:r>
    </w:p>
    <w:p>
      <w:pPr>
        <w:numPr>
          <w:ilvl w:val="2"/>
          <w:numId w:val="9"/>
        </w:numPr>
        <w:tabs>
          <w:tab w:val="left" w:pos="210"/>
          <w:tab w:val="left" w:pos="840"/>
          <w:tab w:val="left" w:pos="1050"/>
          <w:tab w:val="left" w:pos="1260"/>
        </w:tabs>
        <w:adjustRightInd/>
        <w:spacing w:line="360" w:lineRule="auto"/>
        <w:ind w:left="1049" w:hanging="1049"/>
        <w:rPr>
          <w:rFonts w:ascii="仿宋" w:hAnsi="仿宋" w:eastAsia="仿宋" w:cs="仿宋"/>
          <w:b/>
          <w:bCs/>
          <w:color w:val="auto"/>
          <w:kern w:val="0"/>
          <w:sz w:val="24"/>
        </w:rPr>
      </w:pPr>
      <w:r>
        <w:rPr>
          <w:rFonts w:hint="eastAsia" w:ascii="仿宋" w:hAnsi="仿宋" w:eastAsia="仿宋" w:cs="仿宋"/>
          <w:b/>
          <w:bCs/>
          <w:color w:val="auto"/>
          <w:kern w:val="0"/>
          <w:sz w:val="24"/>
        </w:rPr>
        <w:t>法律、法规、规章（适用本省的）及省级以上规范性文件（适用本省的）规定的其他无效情形。</w:t>
      </w:r>
    </w:p>
    <w:p>
      <w:pPr>
        <w:numPr>
          <w:ilvl w:val="0"/>
          <w:numId w:val="9"/>
        </w:numPr>
        <w:tabs>
          <w:tab w:val="left" w:pos="210"/>
          <w:tab w:val="clear" w:pos="399"/>
        </w:tabs>
        <w:adjustRightInd/>
        <w:spacing w:line="360" w:lineRule="auto"/>
        <w:rPr>
          <w:rFonts w:ascii="仿宋" w:hAnsi="仿宋" w:eastAsia="仿宋" w:cs="仿宋"/>
          <w:color w:val="auto"/>
          <w:kern w:val="0"/>
          <w:sz w:val="24"/>
        </w:rPr>
      </w:pPr>
      <w:r>
        <w:rPr>
          <w:rFonts w:hint="eastAsia" w:ascii="仿宋" w:hAnsi="仿宋" w:eastAsia="仿宋" w:cs="仿宋"/>
          <w:b/>
          <w:bCs/>
          <w:color w:val="auto"/>
          <w:kern w:val="0"/>
          <w:sz w:val="24"/>
        </w:rPr>
        <w:t>废标。</w:t>
      </w:r>
      <w:r>
        <w:rPr>
          <w:rFonts w:hint="eastAsia" w:ascii="仿宋" w:hAnsi="仿宋" w:eastAsia="仿宋" w:cs="仿宋"/>
          <w:color w:val="auto"/>
          <w:kern w:val="0"/>
          <w:sz w:val="24"/>
        </w:rPr>
        <w:t>根据《中华人民共和国政府采购法》第三十六条之规定，在采购中，出现下列情形之一的，应予废标：</w:t>
      </w:r>
    </w:p>
    <w:p>
      <w:pPr>
        <w:numPr>
          <w:ilvl w:val="1"/>
          <w:numId w:val="9"/>
        </w:numPr>
        <w:tabs>
          <w:tab w:val="left" w:pos="210"/>
        </w:tabs>
        <w:adjustRightInd/>
        <w:spacing w:line="360" w:lineRule="auto"/>
        <w:rPr>
          <w:rFonts w:ascii="仿宋" w:hAnsi="仿宋" w:eastAsia="仿宋" w:cs="仿宋"/>
          <w:color w:val="auto"/>
          <w:kern w:val="0"/>
          <w:sz w:val="24"/>
        </w:rPr>
      </w:pPr>
      <w:r>
        <w:rPr>
          <w:rFonts w:hint="eastAsia" w:ascii="仿宋" w:hAnsi="仿宋" w:eastAsia="仿宋" w:cs="仿宋"/>
          <w:color w:val="auto"/>
          <w:kern w:val="0"/>
          <w:sz w:val="24"/>
        </w:rPr>
        <w:t>符合专业条件的供应商或者对招标文件作实质响应的供应商不足3家的；</w:t>
      </w:r>
    </w:p>
    <w:p>
      <w:pPr>
        <w:numPr>
          <w:ilvl w:val="1"/>
          <w:numId w:val="9"/>
        </w:numPr>
        <w:tabs>
          <w:tab w:val="left" w:pos="210"/>
        </w:tabs>
        <w:adjustRightInd/>
        <w:spacing w:line="360" w:lineRule="auto"/>
        <w:rPr>
          <w:rFonts w:ascii="仿宋" w:hAnsi="仿宋" w:eastAsia="仿宋" w:cs="仿宋"/>
          <w:color w:val="auto"/>
          <w:kern w:val="0"/>
          <w:sz w:val="24"/>
        </w:rPr>
      </w:pPr>
      <w:r>
        <w:rPr>
          <w:rFonts w:hint="eastAsia" w:ascii="仿宋" w:hAnsi="仿宋" w:eastAsia="仿宋" w:cs="仿宋"/>
          <w:color w:val="auto"/>
          <w:kern w:val="0"/>
          <w:sz w:val="24"/>
        </w:rPr>
        <w:t>出现影响采购公正的违法、违规行为的；</w:t>
      </w:r>
    </w:p>
    <w:p>
      <w:pPr>
        <w:numPr>
          <w:ilvl w:val="1"/>
          <w:numId w:val="9"/>
        </w:numPr>
        <w:tabs>
          <w:tab w:val="left" w:pos="210"/>
        </w:tabs>
        <w:adjustRightInd/>
        <w:spacing w:line="360" w:lineRule="auto"/>
        <w:rPr>
          <w:rFonts w:ascii="仿宋" w:hAnsi="仿宋" w:eastAsia="仿宋" w:cs="仿宋"/>
          <w:color w:val="auto"/>
          <w:kern w:val="0"/>
          <w:sz w:val="24"/>
        </w:rPr>
      </w:pPr>
      <w:r>
        <w:rPr>
          <w:rFonts w:hint="eastAsia" w:ascii="仿宋" w:hAnsi="仿宋" w:eastAsia="仿宋" w:cs="仿宋"/>
          <w:color w:val="auto"/>
          <w:kern w:val="0"/>
          <w:sz w:val="24"/>
        </w:rPr>
        <w:t>投标人的报价均超过了采购预算，采购人不能支付的；</w:t>
      </w:r>
    </w:p>
    <w:p>
      <w:pPr>
        <w:numPr>
          <w:ilvl w:val="1"/>
          <w:numId w:val="9"/>
        </w:numPr>
        <w:tabs>
          <w:tab w:val="left" w:pos="210"/>
        </w:tabs>
        <w:adjustRightInd/>
        <w:spacing w:line="360" w:lineRule="auto"/>
        <w:rPr>
          <w:rFonts w:ascii="仿宋" w:hAnsi="仿宋" w:eastAsia="仿宋" w:cs="仿宋"/>
          <w:color w:val="auto"/>
          <w:kern w:val="0"/>
          <w:sz w:val="24"/>
        </w:rPr>
      </w:pPr>
      <w:r>
        <w:rPr>
          <w:rFonts w:hint="eastAsia" w:ascii="仿宋" w:hAnsi="仿宋" w:eastAsia="仿宋" w:cs="仿宋"/>
          <w:color w:val="auto"/>
          <w:kern w:val="0"/>
          <w:sz w:val="24"/>
        </w:rPr>
        <w:t>因重大变故，采购任务取消的。</w:t>
      </w:r>
    </w:p>
    <w:p>
      <w:pPr>
        <w:pStyle w:val="26"/>
        <w:snapToGrid w:val="0"/>
        <w:spacing w:line="360" w:lineRule="auto"/>
        <w:rPr>
          <w:rFonts w:ascii="仿宋" w:hAnsi="仿宋" w:eastAsia="仿宋" w:cs="仿宋"/>
          <w:color w:val="auto"/>
        </w:rPr>
      </w:pPr>
      <w:r>
        <w:rPr>
          <w:rFonts w:hint="eastAsia" w:ascii="仿宋" w:hAnsi="仿宋" w:eastAsia="仿宋" w:cs="仿宋"/>
          <w:color w:val="auto"/>
        </w:rPr>
        <w:t>废标后，采购代理机构应当将废标理由通知所有投标人。</w:t>
      </w:r>
    </w:p>
    <w:p>
      <w:pPr>
        <w:numPr>
          <w:ilvl w:val="0"/>
          <w:numId w:val="9"/>
        </w:numPr>
        <w:tabs>
          <w:tab w:val="left" w:pos="210"/>
          <w:tab w:val="clear" w:pos="399"/>
        </w:tabs>
        <w:adjustRightInd/>
        <w:spacing w:line="360" w:lineRule="auto"/>
        <w:rPr>
          <w:rFonts w:ascii="仿宋" w:hAnsi="仿宋" w:eastAsia="仿宋" w:cs="仿宋"/>
          <w:color w:val="auto"/>
          <w:kern w:val="0"/>
          <w:sz w:val="24"/>
        </w:rPr>
      </w:pPr>
      <w:r>
        <w:rPr>
          <w:rFonts w:hint="eastAsia" w:ascii="仿宋" w:hAnsi="仿宋" w:eastAsia="仿宋" w:cs="仿宋"/>
          <w:b/>
          <w:bCs/>
          <w:color w:val="auto"/>
          <w:kern w:val="0"/>
          <w:sz w:val="24"/>
        </w:rPr>
        <w:t>修改招标文件，重新组织采购活动。</w:t>
      </w:r>
      <w:r>
        <w:rPr>
          <w:rFonts w:hint="eastAsia" w:ascii="仿宋" w:hAnsi="仿宋" w:eastAsia="仿宋" w:cs="仿宋"/>
          <w:color w:val="auto"/>
          <w:kern w:val="0"/>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numPr>
          <w:ilvl w:val="0"/>
          <w:numId w:val="9"/>
        </w:numPr>
        <w:tabs>
          <w:tab w:val="left" w:pos="210"/>
          <w:tab w:val="clear" w:pos="399"/>
        </w:tabs>
        <w:adjustRightInd/>
        <w:spacing w:line="360" w:lineRule="auto"/>
        <w:rPr>
          <w:rFonts w:ascii="仿宋" w:hAnsi="仿宋" w:eastAsia="仿宋" w:cs="仿宋"/>
          <w:color w:val="auto"/>
          <w:kern w:val="0"/>
          <w:sz w:val="24"/>
        </w:rPr>
      </w:pPr>
      <w:r>
        <w:rPr>
          <w:rFonts w:hint="eastAsia" w:ascii="仿宋" w:hAnsi="仿宋" w:eastAsia="仿宋" w:cs="仿宋"/>
          <w:b/>
          <w:bCs/>
          <w:color w:val="auto"/>
          <w:kern w:val="0"/>
          <w:sz w:val="24"/>
        </w:rPr>
        <w:t>重新开展采购。</w:t>
      </w:r>
      <w:r>
        <w:rPr>
          <w:rFonts w:hint="eastAsia" w:ascii="仿宋" w:hAnsi="仿宋" w:eastAsia="仿宋" w:cs="仿宋"/>
          <w:color w:val="auto"/>
          <w:kern w:val="0"/>
          <w:sz w:val="24"/>
        </w:rPr>
        <w:t>有政府采购法第七十一条、第七十二条规定的违法行为之一，影响或者可能影响中标、成交结果的，依照下列规定处理：</w:t>
      </w:r>
    </w:p>
    <w:p>
      <w:pPr>
        <w:numPr>
          <w:ilvl w:val="1"/>
          <w:numId w:val="10"/>
        </w:numPr>
        <w:tabs>
          <w:tab w:val="left" w:pos="210"/>
        </w:tabs>
        <w:adjustRightInd/>
        <w:spacing w:line="360" w:lineRule="auto"/>
        <w:rPr>
          <w:rFonts w:ascii="仿宋" w:hAnsi="仿宋" w:eastAsia="仿宋" w:cs="仿宋"/>
          <w:color w:val="auto"/>
          <w:kern w:val="0"/>
          <w:sz w:val="24"/>
        </w:rPr>
      </w:pPr>
      <w:r>
        <w:rPr>
          <w:rFonts w:hint="eastAsia" w:ascii="仿宋" w:hAnsi="仿宋" w:eastAsia="仿宋" w:cs="仿宋"/>
          <w:color w:val="auto"/>
          <w:kern w:val="0"/>
          <w:sz w:val="24"/>
        </w:rPr>
        <w:t>未确定中标或者中标人的，终止本次政府采购活动，重新开展政府采购活动。</w:t>
      </w:r>
    </w:p>
    <w:p>
      <w:pPr>
        <w:numPr>
          <w:ilvl w:val="1"/>
          <w:numId w:val="10"/>
        </w:numPr>
        <w:tabs>
          <w:tab w:val="left" w:pos="210"/>
        </w:tabs>
        <w:adjustRightInd/>
        <w:spacing w:line="360" w:lineRule="auto"/>
        <w:rPr>
          <w:rFonts w:ascii="仿宋" w:hAnsi="仿宋" w:eastAsia="仿宋" w:cs="仿宋"/>
          <w:color w:val="auto"/>
          <w:kern w:val="0"/>
          <w:sz w:val="24"/>
        </w:rPr>
      </w:pPr>
      <w:r>
        <w:rPr>
          <w:rFonts w:hint="eastAsia" w:ascii="仿宋" w:hAnsi="仿宋" w:eastAsia="仿宋" w:cs="仿宋"/>
          <w:color w:val="auto"/>
          <w:kern w:val="0"/>
          <w:sz w:val="24"/>
        </w:rPr>
        <w:t>已确定中标或者中标人但尚未签订政府采购合同的，中标或者成交结果无效，从合格的中标或者成交候选人中另行确定中标或者中标人；没有合格的中标或者成交候选人的，重新开展政府采购活动。</w:t>
      </w:r>
    </w:p>
    <w:p>
      <w:pPr>
        <w:numPr>
          <w:ilvl w:val="1"/>
          <w:numId w:val="10"/>
        </w:numPr>
        <w:tabs>
          <w:tab w:val="left" w:pos="210"/>
        </w:tabs>
        <w:adjustRightInd/>
        <w:spacing w:line="360" w:lineRule="auto"/>
        <w:rPr>
          <w:rFonts w:ascii="仿宋" w:hAnsi="仿宋" w:eastAsia="仿宋" w:cs="仿宋"/>
          <w:color w:val="auto"/>
          <w:kern w:val="0"/>
          <w:sz w:val="24"/>
        </w:rPr>
      </w:pPr>
      <w:r>
        <w:rPr>
          <w:rFonts w:hint="eastAsia" w:ascii="仿宋" w:hAnsi="仿宋" w:eastAsia="仿宋" w:cs="仿宋"/>
          <w:color w:val="auto"/>
          <w:kern w:val="0"/>
          <w:sz w:val="24"/>
        </w:rPr>
        <w:t>政府采购合同已签订但尚未履行的，撤销合同，从合格的中标或者成交候选人中另行确定中标或者中标人；没有合格的中标或者成交候选人的，重新开展政府采购活动。</w:t>
      </w:r>
    </w:p>
    <w:p>
      <w:pPr>
        <w:numPr>
          <w:ilvl w:val="1"/>
          <w:numId w:val="10"/>
        </w:numPr>
        <w:tabs>
          <w:tab w:val="left" w:pos="210"/>
        </w:tabs>
        <w:adjustRightInd/>
        <w:spacing w:line="360" w:lineRule="auto"/>
        <w:rPr>
          <w:rFonts w:ascii="仿宋" w:hAnsi="仿宋" w:eastAsia="仿宋" w:cs="仿宋"/>
          <w:color w:val="auto"/>
          <w:kern w:val="0"/>
          <w:sz w:val="24"/>
        </w:rPr>
      </w:pPr>
      <w:r>
        <w:rPr>
          <w:rFonts w:hint="eastAsia" w:ascii="仿宋" w:hAnsi="仿宋" w:eastAsia="仿宋" w:cs="仿宋"/>
          <w:color w:val="auto"/>
          <w:kern w:val="0"/>
          <w:sz w:val="24"/>
        </w:rPr>
        <w:t>政府采购合同已经履行，给采购人、供应商造成损失的，由责任人承担赔偿责任。</w:t>
      </w:r>
    </w:p>
    <w:p>
      <w:pPr>
        <w:numPr>
          <w:ilvl w:val="1"/>
          <w:numId w:val="10"/>
        </w:numPr>
        <w:tabs>
          <w:tab w:val="left" w:pos="210"/>
        </w:tabs>
        <w:adjustRightInd/>
        <w:spacing w:line="360" w:lineRule="auto"/>
        <w:rPr>
          <w:rFonts w:ascii="仿宋" w:hAnsi="仿宋" w:eastAsia="仿宋" w:cs="仿宋"/>
          <w:color w:val="auto"/>
          <w:kern w:val="0"/>
          <w:sz w:val="24"/>
        </w:rPr>
      </w:pPr>
      <w:r>
        <w:rPr>
          <w:rFonts w:hint="eastAsia" w:ascii="仿宋" w:hAnsi="仿宋" w:eastAsia="仿宋" w:cs="仿宋"/>
          <w:color w:val="auto"/>
          <w:kern w:val="0"/>
          <w:sz w:val="24"/>
        </w:rPr>
        <w:t>政府采购当事人有其他违反政府采购法或者政府采购法实施条例等法律法规规定的行为，经改正后仍然影响或者可能影响中标、成交结果或者依法被认定为中标、成交无效的，依照7.1-7.4规定处理。</w:t>
      </w:r>
    </w:p>
    <w:p>
      <w:pPr>
        <w:pStyle w:val="26"/>
        <w:rPr>
          <w:rFonts w:ascii="仿宋" w:hAnsi="仿宋" w:eastAsia="仿宋" w:cs="仿宋"/>
          <w:color w:val="auto"/>
        </w:rPr>
      </w:pPr>
    </w:p>
    <w:bookmarkEnd w:id="28"/>
    <w:p>
      <w:pPr>
        <w:pStyle w:val="26"/>
        <w:rPr>
          <w:rFonts w:ascii="仿宋" w:hAnsi="仿宋" w:eastAsia="仿宋" w:cs="仿宋"/>
          <w:color w:val="auto"/>
        </w:rPr>
      </w:pPr>
      <w:bookmarkStart w:id="404" w:name="第五部分"/>
      <w:bookmarkStart w:id="405" w:name="_Toc86217003"/>
    </w:p>
    <w:p>
      <w:pPr>
        <w:pStyle w:val="26"/>
        <w:rPr>
          <w:rFonts w:ascii="仿宋" w:hAnsi="仿宋" w:eastAsia="仿宋" w:cs="仿宋"/>
          <w:color w:val="auto"/>
        </w:rPr>
      </w:pPr>
      <w:r>
        <w:rPr>
          <w:rFonts w:hint="eastAsia" w:ascii="仿宋" w:hAnsi="仿宋" w:eastAsia="仿宋" w:cs="仿宋"/>
          <w:color w:val="auto"/>
        </w:rPr>
        <w:t xml:space="preserve">    </w:t>
      </w:r>
    </w:p>
    <w:p>
      <w:pPr>
        <w:pStyle w:val="26"/>
        <w:rPr>
          <w:rFonts w:ascii="仿宋" w:hAnsi="仿宋" w:eastAsia="仿宋" w:cs="仿宋"/>
          <w:color w:val="auto"/>
        </w:rPr>
      </w:pPr>
    </w:p>
    <w:p>
      <w:pPr>
        <w:rPr>
          <w:rFonts w:ascii="仿宋" w:hAnsi="仿宋" w:eastAsia="仿宋" w:cs="仿宋"/>
          <w:b/>
          <w:color w:val="auto"/>
          <w:sz w:val="36"/>
          <w:szCs w:val="36"/>
        </w:rPr>
      </w:pPr>
      <w:r>
        <w:rPr>
          <w:rFonts w:hint="eastAsia" w:ascii="仿宋" w:hAnsi="仿宋" w:eastAsia="仿宋" w:cs="仿宋"/>
          <w:b/>
          <w:color w:val="auto"/>
          <w:sz w:val="36"/>
          <w:szCs w:val="36"/>
        </w:rPr>
        <w:br w:type="page"/>
      </w:r>
    </w:p>
    <w:p>
      <w:pPr>
        <w:spacing w:line="360" w:lineRule="auto"/>
        <w:jc w:val="center"/>
        <w:outlineLvl w:val="0"/>
        <w:rPr>
          <w:rFonts w:ascii="仿宋" w:hAnsi="仿宋" w:eastAsia="仿宋" w:cs="仿宋"/>
          <w:b/>
          <w:color w:val="auto"/>
          <w:sz w:val="36"/>
          <w:szCs w:val="36"/>
        </w:rPr>
      </w:pPr>
      <w:bookmarkStart w:id="406" w:name="_Toc26904"/>
      <w:r>
        <w:rPr>
          <w:rFonts w:hint="eastAsia" w:ascii="仿宋" w:hAnsi="仿宋" w:eastAsia="仿宋" w:cs="仿宋"/>
          <w:b/>
          <w:color w:val="auto"/>
          <w:sz w:val="36"/>
          <w:szCs w:val="36"/>
        </w:rPr>
        <w:t>第五部分 拟签订的合同文本</w:t>
      </w:r>
      <w:bookmarkEnd w:id="406"/>
    </w:p>
    <w:p>
      <w:pPr>
        <w:spacing w:line="360" w:lineRule="auto"/>
        <w:rPr>
          <w:rFonts w:ascii="仿宋" w:hAnsi="仿宋" w:eastAsia="仿宋" w:cs="仿宋"/>
          <w:color w:val="auto"/>
          <w:kern w:val="1"/>
          <w:sz w:val="24"/>
        </w:rPr>
      </w:pPr>
    </w:p>
    <w:p>
      <w:pPr>
        <w:spacing w:line="360" w:lineRule="auto"/>
        <w:rPr>
          <w:rFonts w:ascii="仿宋" w:hAnsi="仿宋" w:eastAsia="仿宋" w:cs="仿宋"/>
          <w:b/>
          <w:color w:val="auto"/>
          <w:kern w:val="1"/>
          <w:sz w:val="24"/>
          <w:u w:val="single"/>
        </w:rPr>
      </w:pPr>
      <w:r>
        <w:rPr>
          <w:rFonts w:hint="eastAsia" w:ascii="仿宋" w:hAnsi="仿宋" w:eastAsia="仿宋" w:cs="仿宋"/>
          <w:color w:val="auto"/>
          <w:kern w:val="1"/>
          <w:sz w:val="24"/>
        </w:rPr>
        <w:t xml:space="preserve"> </w:t>
      </w:r>
      <w:r>
        <w:rPr>
          <w:rFonts w:hint="eastAsia" w:ascii="仿宋" w:hAnsi="仿宋" w:eastAsia="仿宋" w:cs="仿宋"/>
          <w:b/>
          <w:color w:val="auto"/>
          <w:kern w:val="1"/>
          <w:sz w:val="24"/>
          <w:u w:val="single"/>
        </w:rPr>
        <w:t>备注：本合同为合同样稿，合同以双方签字盖章的文本为准，投标文件中各项招标需求均可在签订合同时列入或以更优的投标文件承诺内容列入。</w:t>
      </w:r>
    </w:p>
    <w:p>
      <w:pPr>
        <w:pStyle w:val="24"/>
        <w:rPr>
          <w:rFonts w:ascii="仿宋" w:hAnsi="仿宋" w:eastAsia="仿宋" w:cs="仿宋"/>
          <w:color w:val="auto"/>
        </w:rPr>
      </w:pP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甲方：浙江省药品监督管理局</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乙方：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鉴证方：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根据《中华人民共和国民法典》《中华人民共和国政府采购法》等法律法规规定，甲、乙双方按照项目公开招标的采购结果，签署本合同。</w:t>
      </w:r>
    </w:p>
    <w:p>
      <w:pPr>
        <w:pStyle w:val="34"/>
        <w:numPr>
          <w:ilvl w:val="0"/>
          <w:numId w:val="11"/>
        </w:numPr>
        <w:snapToGrid w:val="0"/>
        <w:spacing w:line="360" w:lineRule="auto"/>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服务内容和服务要求</w:t>
      </w:r>
    </w:p>
    <w:p>
      <w:pPr>
        <w:pStyle w:val="34"/>
        <w:snapToGrid w:val="0"/>
        <w:spacing w:line="360" w:lineRule="auto"/>
        <w:ind w:firstLine="477" w:firstLineChars="198"/>
        <w:rPr>
          <w:rFonts w:ascii="仿宋" w:hAnsi="仿宋" w:eastAsia="仿宋" w:cs="仿宋"/>
          <w:b/>
          <w:color w:val="auto"/>
          <w:sz w:val="24"/>
          <w:szCs w:val="24"/>
        </w:rPr>
      </w:pPr>
      <w:r>
        <w:rPr>
          <w:rFonts w:hint="eastAsia" w:ascii="仿宋" w:hAnsi="仿宋" w:eastAsia="仿宋" w:cs="仿宋"/>
          <w:b/>
          <w:color w:val="auto"/>
          <w:sz w:val="24"/>
          <w:szCs w:val="24"/>
        </w:rPr>
        <w:t>1.1服务内容</w:t>
      </w:r>
    </w:p>
    <w:p>
      <w:pPr>
        <w:pStyle w:val="34"/>
        <w:snapToGrid w:val="0"/>
        <w:spacing w:line="360" w:lineRule="auto"/>
        <w:ind w:firstLine="475" w:firstLineChars="198"/>
        <w:rPr>
          <w:rFonts w:ascii="仿宋" w:hAnsi="仿宋" w:eastAsia="仿宋" w:cs="仿宋"/>
          <w:color w:val="auto"/>
          <w:sz w:val="24"/>
          <w:szCs w:val="24"/>
        </w:rPr>
      </w:pPr>
      <w:r>
        <w:rPr>
          <w:rFonts w:hint="eastAsia" w:ascii="仿宋" w:hAnsi="仿宋" w:eastAsia="仿宋" w:cs="仿宋"/>
          <w:color w:val="auto"/>
          <w:sz w:val="24"/>
          <w:szCs w:val="24"/>
        </w:rPr>
        <w:t>根据2023年浙江省药品抽检工作计划，承担药品检验检测等相关服务，包括专项监督检验900批次，基本药物检验1100批次。同时利用药品快检技术做好应急保障药品质量筛查等药品快速检验工作，开展1500批次药品快检任务，做好药品上市后监管的服务支撑。具体内容如下：</w:t>
      </w:r>
    </w:p>
    <w:p>
      <w:pPr>
        <w:pStyle w:val="34"/>
        <w:snapToGrid w:val="0"/>
        <w:spacing w:line="360" w:lineRule="auto"/>
        <w:ind w:firstLine="475" w:firstLineChars="198"/>
        <w:rPr>
          <w:rFonts w:ascii="仿宋" w:hAnsi="仿宋" w:eastAsia="仿宋" w:cs="仿宋"/>
          <w:color w:val="auto"/>
          <w:sz w:val="24"/>
          <w:szCs w:val="24"/>
        </w:rPr>
      </w:pPr>
      <w:r>
        <w:rPr>
          <w:rFonts w:hint="eastAsia" w:ascii="仿宋" w:hAnsi="仿宋" w:eastAsia="仿宋" w:cs="仿宋"/>
          <w:color w:val="auto"/>
          <w:sz w:val="24"/>
          <w:szCs w:val="24"/>
        </w:rPr>
        <w:t>1.1.1药品抽样由甲方指定单位负责，乙方负责药品购样经费的结算；</w:t>
      </w:r>
    </w:p>
    <w:p>
      <w:pPr>
        <w:pStyle w:val="34"/>
        <w:snapToGrid w:val="0"/>
        <w:spacing w:line="360" w:lineRule="auto"/>
        <w:ind w:firstLine="475" w:firstLineChars="198"/>
        <w:rPr>
          <w:rFonts w:ascii="仿宋" w:hAnsi="仿宋" w:eastAsia="仿宋" w:cs="仿宋"/>
          <w:color w:val="auto"/>
          <w:sz w:val="24"/>
          <w:szCs w:val="24"/>
        </w:rPr>
      </w:pPr>
      <w:r>
        <w:rPr>
          <w:rFonts w:hint="eastAsia" w:ascii="仿宋" w:hAnsi="仿宋" w:eastAsia="仿宋" w:cs="仿宋"/>
          <w:color w:val="auto"/>
          <w:sz w:val="24"/>
          <w:szCs w:val="24"/>
        </w:rPr>
        <w:t>1.1.2乙方负责对抽检的化学药品、中药、生物制品以及药用包装材料、辅料等样品按照中国药典等现行标准进行检验；</w:t>
      </w:r>
    </w:p>
    <w:p>
      <w:pPr>
        <w:pStyle w:val="34"/>
        <w:snapToGrid w:val="0"/>
        <w:spacing w:line="360" w:lineRule="auto"/>
        <w:ind w:firstLine="475" w:firstLineChars="198"/>
        <w:rPr>
          <w:rFonts w:ascii="仿宋" w:hAnsi="仿宋" w:eastAsia="仿宋" w:cs="仿宋"/>
          <w:color w:val="auto"/>
          <w:sz w:val="24"/>
          <w:szCs w:val="24"/>
        </w:rPr>
      </w:pPr>
      <w:r>
        <w:rPr>
          <w:rFonts w:hint="eastAsia" w:ascii="仿宋" w:hAnsi="仿宋" w:eastAsia="仿宋" w:cs="仿宋"/>
          <w:color w:val="auto"/>
          <w:sz w:val="24"/>
          <w:szCs w:val="24"/>
        </w:rPr>
        <w:t>1.1.3乙方负责出具检验报告书，并将检验报告按《2023年浙江省药品抽检工作计划》要求报送相关人员；</w:t>
      </w:r>
    </w:p>
    <w:p>
      <w:pPr>
        <w:pStyle w:val="34"/>
        <w:snapToGrid w:val="0"/>
        <w:spacing w:line="360" w:lineRule="auto"/>
        <w:ind w:firstLine="475" w:firstLineChars="198"/>
        <w:rPr>
          <w:rFonts w:ascii="仿宋" w:hAnsi="仿宋" w:eastAsia="仿宋" w:cs="仿宋"/>
          <w:color w:val="auto"/>
          <w:sz w:val="24"/>
          <w:szCs w:val="24"/>
        </w:rPr>
      </w:pPr>
      <w:r>
        <w:rPr>
          <w:rFonts w:hint="eastAsia" w:ascii="仿宋" w:hAnsi="仿宋" w:eastAsia="仿宋" w:cs="仿宋"/>
          <w:color w:val="auto"/>
          <w:sz w:val="24"/>
          <w:szCs w:val="24"/>
        </w:rPr>
        <w:t>1.1.4乙方负责对抽检结果，有针对性地开展质量分析工作，并形成报告报送甲方；</w:t>
      </w:r>
    </w:p>
    <w:p>
      <w:pPr>
        <w:pStyle w:val="34"/>
        <w:snapToGrid w:val="0"/>
        <w:spacing w:line="360" w:lineRule="auto"/>
        <w:ind w:firstLine="475" w:firstLineChars="198"/>
        <w:rPr>
          <w:rFonts w:ascii="仿宋" w:hAnsi="仿宋" w:eastAsia="仿宋" w:cs="仿宋"/>
          <w:color w:val="auto"/>
          <w:sz w:val="24"/>
          <w:szCs w:val="24"/>
        </w:rPr>
      </w:pPr>
      <w:r>
        <w:rPr>
          <w:rFonts w:hint="eastAsia" w:ascii="仿宋" w:hAnsi="仿宋" w:eastAsia="仿宋" w:cs="仿宋"/>
          <w:color w:val="auto"/>
          <w:sz w:val="24"/>
          <w:szCs w:val="24"/>
        </w:rPr>
        <w:t xml:space="preserve">具体任务以甲方下达《2023年浙江省药品抽检工作计划》或具体任务为准。 </w:t>
      </w:r>
    </w:p>
    <w:p>
      <w:pPr>
        <w:spacing w:line="360" w:lineRule="auto"/>
        <w:ind w:firstLine="361" w:firstLineChars="150"/>
        <w:rPr>
          <w:rFonts w:ascii="仿宋" w:hAnsi="仿宋" w:eastAsia="仿宋" w:cs="仿宋"/>
          <w:b/>
          <w:bCs/>
          <w:color w:val="auto"/>
          <w:sz w:val="24"/>
        </w:rPr>
      </w:pPr>
      <w:r>
        <w:rPr>
          <w:rFonts w:hint="eastAsia" w:ascii="仿宋" w:hAnsi="仿宋" w:eastAsia="仿宋" w:cs="仿宋"/>
          <w:b/>
          <w:bCs/>
          <w:color w:val="auto"/>
          <w:sz w:val="24"/>
        </w:rPr>
        <w:t>1.2服务要求</w:t>
      </w:r>
    </w:p>
    <w:p>
      <w:pPr>
        <w:spacing w:line="360" w:lineRule="auto"/>
        <w:ind w:firstLine="360" w:firstLineChars="150"/>
        <w:rPr>
          <w:rFonts w:ascii="仿宋" w:hAnsi="仿宋" w:eastAsia="仿宋" w:cs="仿宋"/>
          <w:color w:val="auto"/>
          <w:sz w:val="24"/>
        </w:rPr>
      </w:pPr>
      <w:r>
        <w:rPr>
          <w:rFonts w:hint="eastAsia" w:ascii="仿宋" w:hAnsi="仿宋" w:eastAsia="仿宋" w:cs="仿宋"/>
          <w:color w:val="auto"/>
          <w:sz w:val="24"/>
        </w:rPr>
        <w:t>按照国家相关技术规范、公开招标文件和乙方投标文件中采购项目技术规范和服务要求执行。</w:t>
      </w:r>
    </w:p>
    <w:p>
      <w:pPr>
        <w:spacing w:line="360" w:lineRule="auto"/>
        <w:ind w:firstLine="361" w:firstLineChars="150"/>
        <w:rPr>
          <w:rFonts w:ascii="仿宋" w:hAnsi="仿宋" w:eastAsia="仿宋" w:cs="仿宋"/>
          <w:b/>
          <w:bCs/>
          <w:color w:val="auto"/>
          <w:sz w:val="24"/>
        </w:rPr>
      </w:pPr>
      <w:r>
        <w:rPr>
          <w:rFonts w:hint="eastAsia" w:ascii="仿宋" w:hAnsi="仿宋" w:eastAsia="仿宋" w:cs="仿宋"/>
          <w:b/>
          <w:bCs/>
          <w:color w:val="auto"/>
          <w:sz w:val="24"/>
        </w:rPr>
        <w:t>1.3其他内容</w:t>
      </w:r>
    </w:p>
    <w:p>
      <w:pPr>
        <w:spacing w:line="360" w:lineRule="auto"/>
        <w:ind w:firstLine="360" w:firstLineChars="150"/>
        <w:rPr>
          <w:rFonts w:ascii="仿宋" w:hAnsi="仿宋" w:eastAsia="仿宋" w:cs="仿宋"/>
          <w:color w:val="auto"/>
          <w:sz w:val="24"/>
        </w:rPr>
      </w:pPr>
      <w:r>
        <w:rPr>
          <w:rFonts w:hint="eastAsia" w:ascii="仿宋" w:hAnsi="仿宋" w:eastAsia="仿宋" w:cs="仿宋"/>
          <w:color w:val="auto"/>
          <w:sz w:val="24"/>
        </w:rPr>
        <w:t>1.3.1乙方提供的服务应符合国家、地方及相关政府管理部门和行业与本项目有关的各项服务标准、规范、规章要求，并满足甲方实际需求，标准、规范等不一致的，以要求高的为准。</w:t>
      </w:r>
    </w:p>
    <w:p>
      <w:pPr>
        <w:spacing w:line="360" w:lineRule="auto"/>
        <w:ind w:firstLine="360" w:firstLineChars="150"/>
        <w:rPr>
          <w:rFonts w:ascii="仿宋" w:hAnsi="仿宋" w:eastAsia="仿宋" w:cs="仿宋"/>
          <w:color w:val="auto"/>
          <w:sz w:val="24"/>
        </w:rPr>
      </w:pPr>
      <w:r>
        <w:rPr>
          <w:rFonts w:hint="eastAsia" w:ascii="仿宋" w:hAnsi="仿宋" w:eastAsia="仿宋" w:cs="仿宋"/>
          <w:color w:val="auto"/>
          <w:sz w:val="24"/>
        </w:rPr>
        <w:t>1.3.2项目服务期内，乙方应严格执行国家、地方、行业各项有关本项目业务管理和安全作业的法律、法规和制度，积极主动加强和服务业务及安全等有关的管理工作，并按规定承担相应的费用。乙方因违反规定等原因造成的一切损失和责任由乙方承担。</w:t>
      </w:r>
    </w:p>
    <w:p>
      <w:pPr>
        <w:spacing w:line="360" w:lineRule="auto"/>
        <w:ind w:firstLine="360" w:firstLineChars="150"/>
        <w:rPr>
          <w:rFonts w:ascii="仿宋" w:hAnsi="仿宋" w:eastAsia="仿宋" w:cs="仿宋"/>
          <w:color w:val="auto"/>
          <w:sz w:val="24"/>
        </w:rPr>
      </w:pPr>
      <w:r>
        <w:rPr>
          <w:rFonts w:hint="eastAsia" w:ascii="仿宋" w:hAnsi="仿宋" w:eastAsia="仿宋" w:cs="仿宋"/>
          <w:color w:val="auto"/>
          <w:sz w:val="24"/>
        </w:rPr>
        <w:t>1.3.3乙方项目负责人应具有类似本项目的服务管理经验，具有良好的职业道德和严谨的工作作风。</w:t>
      </w:r>
    </w:p>
    <w:p>
      <w:pPr>
        <w:spacing w:line="360" w:lineRule="auto"/>
        <w:ind w:firstLine="360" w:firstLineChars="150"/>
        <w:rPr>
          <w:rFonts w:ascii="仿宋" w:hAnsi="仿宋" w:eastAsia="仿宋" w:cs="仿宋"/>
          <w:color w:val="auto"/>
          <w:sz w:val="24"/>
        </w:rPr>
      </w:pPr>
      <w:r>
        <w:rPr>
          <w:rFonts w:hint="eastAsia" w:ascii="仿宋" w:hAnsi="仿宋" w:eastAsia="仿宋" w:cs="仿宋"/>
          <w:color w:val="auto"/>
          <w:sz w:val="24"/>
        </w:rPr>
        <w:t>1.3.4项目服务期内，乙方应按甲方实际服务需求落实所对应提供的服务工作，做好相关管理记录，保证满足甲方服务需求。</w:t>
      </w:r>
    </w:p>
    <w:p>
      <w:pPr>
        <w:spacing w:line="360" w:lineRule="auto"/>
        <w:ind w:firstLine="360" w:firstLineChars="150"/>
        <w:rPr>
          <w:rFonts w:ascii="仿宋" w:hAnsi="仿宋" w:eastAsia="仿宋" w:cs="仿宋"/>
          <w:color w:val="auto"/>
          <w:sz w:val="24"/>
        </w:rPr>
      </w:pPr>
      <w:r>
        <w:rPr>
          <w:rFonts w:hint="eastAsia" w:ascii="仿宋" w:hAnsi="仿宋" w:eastAsia="仿宋" w:cs="仿宋"/>
          <w:color w:val="auto"/>
          <w:sz w:val="24"/>
        </w:rPr>
        <w:t>1.3.5经甲方确认的项目负责人和项目组人员及数量，未经书面批准不得随意调换或撤离，若自行更换或撤离，按照合同违约处理。</w:t>
      </w:r>
    </w:p>
    <w:p>
      <w:pPr>
        <w:spacing w:line="360" w:lineRule="auto"/>
        <w:ind w:firstLine="360" w:firstLineChars="150"/>
        <w:rPr>
          <w:rFonts w:ascii="仿宋" w:hAnsi="仿宋" w:eastAsia="仿宋" w:cs="仿宋"/>
          <w:color w:val="auto"/>
          <w:sz w:val="24"/>
        </w:rPr>
      </w:pPr>
      <w:r>
        <w:rPr>
          <w:rFonts w:hint="eastAsia" w:ascii="仿宋" w:hAnsi="仿宋" w:eastAsia="仿宋" w:cs="仿宋"/>
          <w:color w:val="auto"/>
          <w:sz w:val="24"/>
        </w:rPr>
        <w:t>1.3.6乙方因不可抗力等因素不能按照招标文件要求和抽检计划完成项目的，应取得甲方的同意，如未取得同意，或者在抽检监测工作中存在严重问题的，或者发生重大药品检验事故等，暂停直至终止乙方的抽检监测任务。</w:t>
      </w:r>
    </w:p>
    <w:p>
      <w:pPr>
        <w:pStyle w:val="34"/>
        <w:numPr>
          <w:ilvl w:val="0"/>
          <w:numId w:val="11"/>
        </w:numPr>
        <w:snapToGrid w:val="0"/>
        <w:spacing w:line="360" w:lineRule="auto"/>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合同金额</w:t>
      </w:r>
    </w:p>
    <w:p>
      <w:pPr>
        <w:pStyle w:val="34"/>
        <w:snapToGrid w:val="0"/>
        <w:spacing w:line="360" w:lineRule="auto"/>
        <w:ind w:firstLine="475" w:firstLineChars="198"/>
        <w:rPr>
          <w:rFonts w:ascii="仿宋" w:hAnsi="仿宋" w:eastAsia="仿宋" w:cs="仿宋"/>
          <w:color w:val="auto"/>
          <w:sz w:val="24"/>
          <w:szCs w:val="24"/>
        </w:rPr>
      </w:pPr>
      <w:r>
        <w:rPr>
          <w:rFonts w:hint="eastAsia" w:ascii="仿宋" w:hAnsi="仿宋" w:eastAsia="仿宋" w:cs="仿宋"/>
          <w:color w:val="auto"/>
          <w:sz w:val="24"/>
          <w:szCs w:val="24"/>
        </w:rPr>
        <w:t>本项目中标金额为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元，最终金额，甲方按各类药品实际开展的检验任务批次和本合同确定的固定平均综合单价相乘的和，进行合同款的结算。</w:t>
      </w:r>
    </w:p>
    <w:p>
      <w:pPr>
        <w:pStyle w:val="59"/>
        <w:spacing w:before="0" w:beforeAutospacing="0" w:after="0" w:afterAutospacing="0" w:line="360" w:lineRule="auto"/>
        <w:jc w:val="center"/>
        <w:rPr>
          <w:rFonts w:ascii="仿宋" w:hAnsi="仿宋" w:eastAsia="仿宋" w:cs="仿宋"/>
          <w:color w:val="auto"/>
        </w:rPr>
      </w:pPr>
      <w:r>
        <w:rPr>
          <w:rFonts w:hint="eastAsia" w:ascii="仿宋" w:hAnsi="仿宋" w:eastAsia="仿宋" w:cs="仿宋"/>
          <w:color w:val="auto"/>
        </w:rPr>
        <w:t>各类固定平均综合单价</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140"/>
        <w:gridCol w:w="1141"/>
        <w:gridCol w:w="1140"/>
        <w:gridCol w:w="1141"/>
        <w:gridCol w:w="1140"/>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pStyle w:val="59"/>
              <w:spacing w:before="0" w:beforeAutospacing="0" w:after="0" w:afterAutospacing="0" w:line="360" w:lineRule="auto"/>
              <w:jc w:val="center"/>
              <w:rPr>
                <w:rFonts w:ascii="仿宋" w:hAnsi="仿宋" w:eastAsia="仿宋" w:cs="仿宋"/>
                <w:color w:val="auto"/>
              </w:rPr>
            </w:pPr>
            <w:r>
              <w:rPr>
                <w:rFonts w:hint="eastAsia" w:ascii="仿宋" w:hAnsi="仿宋" w:eastAsia="仿宋" w:cs="仿宋"/>
                <w:color w:val="auto"/>
              </w:rPr>
              <w:t>类别</w:t>
            </w:r>
          </w:p>
        </w:tc>
        <w:tc>
          <w:tcPr>
            <w:tcW w:w="1140" w:type="dxa"/>
            <w:vAlign w:val="center"/>
          </w:tcPr>
          <w:p>
            <w:pPr>
              <w:pStyle w:val="59"/>
              <w:spacing w:before="0" w:beforeAutospacing="0" w:after="0" w:afterAutospacing="0" w:line="360" w:lineRule="auto"/>
              <w:jc w:val="center"/>
              <w:rPr>
                <w:rFonts w:ascii="仿宋" w:hAnsi="仿宋" w:eastAsia="仿宋" w:cs="仿宋"/>
                <w:color w:val="auto"/>
              </w:rPr>
            </w:pPr>
            <w:r>
              <w:rPr>
                <w:rFonts w:hint="eastAsia" w:ascii="仿宋" w:hAnsi="仿宋" w:eastAsia="仿宋" w:cs="仿宋"/>
                <w:color w:val="auto"/>
              </w:rPr>
              <w:t>化学药</w:t>
            </w:r>
          </w:p>
        </w:tc>
        <w:tc>
          <w:tcPr>
            <w:tcW w:w="1141" w:type="dxa"/>
            <w:vAlign w:val="center"/>
          </w:tcPr>
          <w:p>
            <w:pPr>
              <w:pStyle w:val="59"/>
              <w:spacing w:before="0" w:beforeAutospacing="0" w:after="0" w:afterAutospacing="0" w:line="360" w:lineRule="auto"/>
              <w:jc w:val="center"/>
              <w:rPr>
                <w:rFonts w:ascii="仿宋" w:hAnsi="仿宋" w:eastAsia="仿宋" w:cs="仿宋"/>
                <w:color w:val="auto"/>
              </w:rPr>
            </w:pPr>
            <w:r>
              <w:rPr>
                <w:rFonts w:hint="eastAsia" w:ascii="仿宋" w:hAnsi="仿宋" w:eastAsia="仿宋" w:cs="仿宋"/>
                <w:color w:val="auto"/>
              </w:rPr>
              <w:t>中成药</w:t>
            </w:r>
          </w:p>
        </w:tc>
        <w:tc>
          <w:tcPr>
            <w:tcW w:w="1140" w:type="dxa"/>
            <w:vAlign w:val="center"/>
          </w:tcPr>
          <w:p>
            <w:pPr>
              <w:pStyle w:val="59"/>
              <w:spacing w:before="0" w:beforeAutospacing="0" w:after="0" w:afterAutospacing="0" w:line="360" w:lineRule="auto"/>
              <w:jc w:val="center"/>
              <w:rPr>
                <w:rFonts w:ascii="仿宋" w:hAnsi="仿宋" w:eastAsia="仿宋" w:cs="仿宋"/>
                <w:color w:val="auto"/>
              </w:rPr>
            </w:pPr>
            <w:r>
              <w:rPr>
                <w:rFonts w:hint="eastAsia" w:ascii="仿宋" w:hAnsi="仿宋" w:eastAsia="仿宋" w:cs="仿宋"/>
                <w:color w:val="auto"/>
              </w:rPr>
              <w:t>中药饮片</w:t>
            </w:r>
          </w:p>
        </w:tc>
        <w:tc>
          <w:tcPr>
            <w:tcW w:w="1141" w:type="dxa"/>
            <w:vAlign w:val="center"/>
          </w:tcPr>
          <w:p>
            <w:pPr>
              <w:pStyle w:val="59"/>
              <w:spacing w:before="0" w:beforeAutospacing="0" w:after="0" w:afterAutospacing="0" w:line="360" w:lineRule="auto"/>
              <w:jc w:val="center"/>
              <w:rPr>
                <w:rFonts w:ascii="仿宋" w:hAnsi="仿宋" w:eastAsia="仿宋" w:cs="仿宋"/>
                <w:color w:val="auto"/>
              </w:rPr>
            </w:pPr>
            <w:r>
              <w:rPr>
                <w:rFonts w:hint="eastAsia" w:ascii="仿宋" w:hAnsi="仿宋" w:eastAsia="仿宋" w:cs="仿宋"/>
                <w:color w:val="auto"/>
              </w:rPr>
              <w:t>生物制品</w:t>
            </w:r>
          </w:p>
        </w:tc>
        <w:tc>
          <w:tcPr>
            <w:tcW w:w="1140" w:type="dxa"/>
            <w:vAlign w:val="center"/>
          </w:tcPr>
          <w:p>
            <w:pPr>
              <w:pStyle w:val="59"/>
              <w:spacing w:before="0" w:beforeAutospacing="0" w:after="0" w:afterAutospacing="0" w:line="360" w:lineRule="auto"/>
              <w:jc w:val="center"/>
              <w:rPr>
                <w:rFonts w:ascii="仿宋" w:hAnsi="仿宋" w:eastAsia="仿宋" w:cs="仿宋"/>
                <w:color w:val="auto"/>
              </w:rPr>
            </w:pPr>
            <w:r>
              <w:rPr>
                <w:rFonts w:hint="eastAsia" w:ascii="仿宋" w:hAnsi="仿宋" w:eastAsia="仿宋" w:cs="仿宋"/>
                <w:color w:val="auto"/>
              </w:rPr>
              <w:t>辅包</w:t>
            </w:r>
          </w:p>
        </w:tc>
        <w:tc>
          <w:tcPr>
            <w:tcW w:w="1141" w:type="dxa"/>
            <w:vAlign w:val="center"/>
          </w:tcPr>
          <w:p>
            <w:pPr>
              <w:pStyle w:val="59"/>
              <w:spacing w:before="0" w:beforeAutospacing="0" w:after="0" w:afterAutospacing="0" w:line="360" w:lineRule="auto"/>
              <w:jc w:val="center"/>
              <w:rPr>
                <w:rFonts w:ascii="仿宋" w:hAnsi="仿宋" w:eastAsia="仿宋" w:cs="仿宋"/>
                <w:color w:val="auto"/>
              </w:rPr>
            </w:pPr>
            <w:r>
              <w:rPr>
                <w:rFonts w:hint="eastAsia" w:ascii="仿宋" w:hAnsi="仿宋" w:eastAsia="仿宋" w:cs="仿宋"/>
                <w:color w:val="auto"/>
              </w:rPr>
              <w:t>快检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pStyle w:val="59"/>
              <w:spacing w:before="0" w:beforeAutospacing="0" w:after="0" w:afterAutospacing="0" w:line="360" w:lineRule="auto"/>
              <w:jc w:val="center"/>
              <w:rPr>
                <w:rFonts w:ascii="仿宋" w:hAnsi="仿宋" w:eastAsia="仿宋" w:cs="仿宋"/>
                <w:color w:val="auto"/>
              </w:rPr>
            </w:pPr>
            <w:r>
              <w:rPr>
                <w:rFonts w:hint="eastAsia" w:ascii="仿宋" w:hAnsi="仿宋" w:eastAsia="仿宋" w:cs="仿宋"/>
                <w:color w:val="auto"/>
              </w:rPr>
              <w:t>单价（元）</w:t>
            </w:r>
          </w:p>
        </w:tc>
        <w:tc>
          <w:tcPr>
            <w:tcW w:w="1140" w:type="dxa"/>
            <w:vAlign w:val="center"/>
          </w:tcPr>
          <w:p>
            <w:pPr>
              <w:pStyle w:val="59"/>
              <w:spacing w:before="0" w:beforeAutospacing="0" w:after="0" w:afterAutospacing="0" w:line="360" w:lineRule="auto"/>
              <w:ind w:firstLine="420"/>
              <w:jc w:val="center"/>
              <w:rPr>
                <w:rFonts w:ascii="仿宋" w:hAnsi="仿宋" w:eastAsia="仿宋" w:cs="仿宋"/>
                <w:color w:val="auto"/>
              </w:rPr>
            </w:pPr>
          </w:p>
        </w:tc>
        <w:tc>
          <w:tcPr>
            <w:tcW w:w="1141" w:type="dxa"/>
            <w:vAlign w:val="center"/>
          </w:tcPr>
          <w:p>
            <w:pPr>
              <w:pStyle w:val="59"/>
              <w:spacing w:before="0" w:beforeAutospacing="0" w:after="0" w:afterAutospacing="0" w:line="360" w:lineRule="auto"/>
              <w:ind w:firstLine="420"/>
              <w:jc w:val="center"/>
              <w:rPr>
                <w:rFonts w:ascii="仿宋" w:hAnsi="仿宋" w:eastAsia="仿宋" w:cs="仿宋"/>
                <w:color w:val="auto"/>
              </w:rPr>
            </w:pPr>
          </w:p>
        </w:tc>
        <w:tc>
          <w:tcPr>
            <w:tcW w:w="1140" w:type="dxa"/>
            <w:vAlign w:val="center"/>
          </w:tcPr>
          <w:p>
            <w:pPr>
              <w:pStyle w:val="59"/>
              <w:spacing w:before="0" w:beforeAutospacing="0" w:after="0" w:afterAutospacing="0" w:line="360" w:lineRule="auto"/>
              <w:ind w:firstLine="420"/>
              <w:jc w:val="center"/>
              <w:rPr>
                <w:rFonts w:ascii="仿宋" w:hAnsi="仿宋" w:eastAsia="仿宋" w:cs="仿宋"/>
                <w:color w:val="auto"/>
              </w:rPr>
            </w:pPr>
          </w:p>
        </w:tc>
        <w:tc>
          <w:tcPr>
            <w:tcW w:w="1141" w:type="dxa"/>
            <w:vAlign w:val="center"/>
          </w:tcPr>
          <w:p>
            <w:pPr>
              <w:pStyle w:val="59"/>
              <w:spacing w:before="0" w:beforeAutospacing="0" w:after="0" w:afterAutospacing="0" w:line="360" w:lineRule="auto"/>
              <w:ind w:firstLine="420"/>
              <w:jc w:val="center"/>
              <w:rPr>
                <w:rFonts w:ascii="仿宋" w:hAnsi="仿宋" w:eastAsia="仿宋" w:cs="仿宋"/>
                <w:color w:val="auto"/>
              </w:rPr>
            </w:pPr>
          </w:p>
        </w:tc>
        <w:tc>
          <w:tcPr>
            <w:tcW w:w="1140" w:type="dxa"/>
            <w:vAlign w:val="center"/>
          </w:tcPr>
          <w:p>
            <w:pPr>
              <w:pStyle w:val="59"/>
              <w:spacing w:before="0" w:beforeAutospacing="0" w:after="0" w:afterAutospacing="0" w:line="360" w:lineRule="auto"/>
              <w:ind w:firstLine="420"/>
              <w:jc w:val="center"/>
              <w:rPr>
                <w:rFonts w:ascii="仿宋" w:hAnsi="仿宋" w:eastAsia="仿宋" w:cs="仿宋"/>
                <w:color w:val="auto"/>
              </w:rPr>
            </w:pPr>
          </w:p>
        </w:tc>
        <w:tc>
          <w:tcPr>
            <w:tcW w:w="1141" w:type="dxa"/>
            <w:vAlign w:val="center"/>
          </w:tcPr>
          <w:p>
            <w:pPr>
              <w:pStyle w:val="59"/>
              <w:spacing w:before="0" w:beforeAutospacing="0" w:after="0" w:afterAutospacing="0" w:line="360" w:lineRule="auto"/>
              <w:ind w:firstLine="420"/>
              <w:jc w:val="center"/>
              <w:rPr>
                <w:rFonts w:ascii="仿宋" w:hAnsi="仿宋" w:eastAsia="仿宋" w:cs="仿宋"/>
                <w:color w:val="auto"/>
              </w:rPr>
            </w:pPr>
          </w:p>
        </w:tc>
      </w:tr>
    </w:tbl>
    <w:p>
      <w:pPr>
        <w:pStyle w:val="59"/>
        <w:spacing w:before="0" w:beforeAutospacing="0" w:after="0" w:afterAutospacing="0" w:line="360" w:lineRule="auto"/>
        <w:ind w:firstLine="720" w:firstLineChars="300"/>
        <w:rPr>
          <w:rFonts w:ascii="仿宋" w:hAnsi="仿宋" w:eastAsia="仿宋" w:cs="仿宋"/>
          <w:color w:val="auto"/>
        </w:rPr>
      </w:pPr>
      <w:r>
        <w:rPr>
          <w:rFonts w:hint="eastAsia" w:ascii="仿宋" w:hAnsi="仿宋" w:eastAsia="仿宋" w:cs="仿宋"/>
          <w:color w:val="auto"/>
        </w:rPr>
        <w:t>注：</w:t>
      </w:r>
      <w:r>
        <w:rPr>
          <w:rFonts w:hint="eastAsia" w:ascii="仿宋" w:hAnsi="仿宋" w:eastAsia="仿宋" w:cs="仿宋"/>
          <w:color w:val="auto"/>
        </w:rPr>
        <w:fldChar w:fldCharType="begin"/>
      </w:r>
      <w:r>
        <w:rPr>
          <w:rFonts w:hint="eastAsia" w:ascii="仿宋" w:hAnsi="仿宋" w:eastAsia="仿宋" w:cs="仿宋"/>
          <w:color w:val="auto"/>
        </w:rPr>
        <w:instrText xml:space="preserve"> = 1 \* GB3 </w:instrText>
      </w:r>
      <w:r>
        <w:rPr>
          <w:rFonts w:hint="eastAsia" w:ascii="仿宋" w:hAnsi="仿宋" w:eastAsia="仿宋" w:cs="仿宋"/>
          <w:color w:val="auto"/>
        </w:rPr>
        <w:fldChar w:fldCharType="separate"/>
      </w:r>
      <w:r>
        <w:rPr>
          <w:rFonts w:hint="eastAsia" w:ascii="仿宋" w:hAnsi="仿宋" w:eastAsia="仿宋" w:cs="仿宋"/>
          <w:color w:val="auto"/>
        </w:rPr>
        <w:t>①</w:t>
      </w:r>
      <w:r>
        <w:rPr>
          <w:rFonts w:hint="eastAsia" w:ascii="仿宋" w:hAnsi="仿宋" w:eastAsia="仿宋" w:cs="仿宋"/>
          <w:color w:val="auto"/>
        </w:rPr>
        <w:fldChar w:fldCharType="end"/>
      </w:r>
      <w:r>
        <w:rPr>
          <w:rFonts w:hint="eastAsia" w:ascii="仿宋" w:hAnsi="仿宋" w:eastAsia="仿宋" w:cs="仿宋"/>
          <w:color w:val="auto"/>
        </w:rPr>
        <w:t>以上合同各综合单价包括买样费、检验费、代理费等完成项目所需的所有费用以及相关税费。</w:t>
      </w:r>
    </w:p>
    <w:p>
      <w:pPr>
        <w:pStyle w:val="59"/>
        <w:spacing w:before="0" w:beforeAutospacing="0" w:after="0" w:afterAutospacing="0" w:line="360" w:lineRule="auto"/>
        <w:ind w:firstLine="720" w:firstLineChars="300"/>
        <w:rPr>
          <w:rFonts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 2 \* GB3 </w:instrText>
      </w:r>
      <w:r>
        <w:rPr>
          <w:rFonts w:hint="eastAsia" w:ascii="仿宋" w:hAnsi="仿宋" w:eastAsia="仿宋" w:cs="仿宋"/>
          <w:color w:val="auto"/>
        </w:rPr>
        <w:fldChar w:fldCharType="separate"/>
      </w:r>
      <w:r>
        <w:rPr>
          <w:rFonts w:hint="eastAsia" w:ascii="仿宋" w:hAnsi="仿宋" w:eastAsia="仿宋" w:cs="仿宋"/>
          <w:color w:val="auto"/>
        </w:rPr>
        <w:t>②</w:t>
      </w:r>
      <w:r>
        <w:rPr>
          <w:rFonts w:hint="eastAsia" w:ascii="仿宋" w:hAnsi="仿宋" w:eastAsia="仿宋" w:cs="仿宋"/>
          <w:color w:val="auto"/>
        </w:rPr>
        <w:fldChar w:fldCharType="end"/>
      </w:r>
      <w:r>
        <w:rPr>
          <w:rFonts w:hint="eastAsia" w:ascii="仿宋" w:hAnsi="仿宋" w:eastAsia="仿宋" w:cs="仿宋"/>
          <w:color w:val="auto"/>
        </w:rPr>
        <w:t>乙方提供的发票必须是正规的税务发票。</w:t>
      </w:r>
    </w:p>
    <w:p>
      <w:pPr>
        <w:spacing w:line="360" w:lineRule="auto"/>
        <w:ind w:firstLine="480" w:firstLineChars="200"/>
        <w:rPr>
          <w:rFonts w:ascii="仿宋" w:hAnsi="仿宋" w:eastAsia="仿宋" w:cs="仿宋"/>
          <w:b/>
          <w:bCs/>
          <w:color w:val="auto"/>
          <w:sz w:val="24"/>
        </w:rPr>
      </w:pPr>
      <w:r>
        <w:rPr>
          <w:rFonts w:hint="eastAsia" w:ascii="仿宋" w:hAnsi="仿宋" w:eastAsia="仿宋" w:cs="仿宋"/>
          <w:color w:val="auto"/>
          <w:sz w:val="24"/>
        </w:rPr>
        <w:t>本项目买样费用占比不得少于结算经费总和的15%。</w:t>
      </w:r>
    </w:p>
    <w:p>
      <w:pPr>
        <w:numPr>
          <w:ilvl w:val="0"/>
          <w:numId w:val="11"/>
        </w:num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技术资料</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3.1乙方应按《2023年浙江省药品抽检工作计划》规定的时间向甲方提供有关技术资料。</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没有甲方事先书面同意，乙方不得将由甲方提供的有关合同或任何合同条文、规格、计划、报告、样品或资料提供给与履行本合同无关的任何其他人。即使向履行本合同有关的人员提供，也应注意保密并限于履行合同的必需范围。</w:t>
      </w:r>
    </w:p>
    <w:p>
      <w:pPr>
        <w:numPr>
          <w:ilvl w:val="0"/>
          <w:numId w:val="11"/>
        </w:numPr>
        <w:spacing w:line="360" w:lineRule="auto"/>
        <w:ind w:firstLine="482" w:firstLineChars="200"/>
        <w:rPr>
          <w:rFonts w:ascii="仿宋" w:hAnsi="仿宋" w:eastAsia="仿宋" w:cs="仿宋"/>
          <w:b/>
          <w:bCs/>
          <w:color w:val="auto"/>
          <w:sz w:val="24"/>
        </w:rPr>
      </w:pPr>
      <w:bookmarkStart w:id="407" w:name="_Toc25087"/>
      <w:bookmarkStart w:id="408" w:name="_Toc8195"/>
      <w:r>
        <w:rPr>
          <w:rFonts w:hint="eastAsia" w:ascii="仿宋" w:hAnsi="仿宋" w:eastAsia="仿宋" w:cs="仿宋"/>
          <w:b/>
          <w:bCs/>
          <w:color w:val="auto"/>
          <w:sz w:val="24"/>
        </w:rPr>
        <w:t>知识产权</w:t>
      </w:r>
      <w:bookmarkEnd w:id="407"/>
      <w:bookmarkEnd w:id="408"/>
    </w:p>
    <w:p>
      <w:pPr>
        <w:spacing w:line="360" w:lineRule="auto"/>
        <w:ind w:firstLine="480" w:firstLineChars="200"/>
        <w:rPr>
          <w:rFonts w:ascii="仿宋" w:hAnsi="仿宋" w:eastAsia="仿宋" w:cs="仿宋"/>
          <w:b/>
          <w:bCs/>
          <w:color w:val="auto"/>
          <w:sz w:val="24"/>
        </w:rPr>
      </w:pPr>
      <w:r>
        <w:rPr>
          <w:rFonts w:hint="eastAsia" w:ascii="仿宋" w:hAnsi="仿宋" w:eastAsia="仿宋" w:cs="仿宋"/>
          <w:color w:val="auto"/>
          <w:sz w:val="24"/>
        </w:rPr>
        <w:t>乙方应保证提供服务过程中不会侵犯任何第三方的知识产权</w:t>
      </w:r>
      <w:r>
        <w:rPr>
          <w:rFonts w:hint="eastAsia" w:ascii="仿宋" w:hAnsi="仿宋" w:eastAsia="仿宋" w:cs="仿宋"/>
          <w:bCs/>
          <w:color w:val="auto"/>
          <w:sz w:val="24"/>
        </w:rPr>
        <w:t>。任何第三方如果提出关于侵犯知识产权的指控，乙方与第三方交涉，承担可能发生的一切法律责任、费用和后果。若造成甲方损失的，乙方应承担所有赔偿责任。</w:t>
      </w:r>
    </w:p>
    <w:p>
      <w:pPr>
        <w:numPr>
          <w:ilvl w:val="0"/>
          <w:numId w:val="11"/>
        </w:numPr>
        <w:spacing w:line="360" w:lineRule="auto"/>
        <w:ind w:firstLine="482" w:firstLineChars="200"/>
        <w:rPr>
          <w:rFonts w:ascii="仿宋" w:hAnsi="仿宋" w:eastAsia="仿宋" w:cs="仿宋"/>
          <w:b/>
          <w:bCs/>
          <w:color w:val="auto"/>
          <w:sz w:val="24"/>
        </w:rPr>
      </w:pPr>
      <w:bookmarkStart w:id="409" w:name="_Toc12426"/>
      <w:bookmarkStart w:id="410" w:name="_Toc30128"/>
      <w:r>
        <w:rPr>
          <w:rFonts w:hint="eastAsia" w:ascii="仿宋" w:hAnsi="仿宋" w:eastAsia="仿宋" w:cs="仿宋"/>
          <w:b/>
          <w:bCs/>
          <w:color w:val="auto"/>
          <w:sz w:val="24"/>
        </w:rPr>
        <w:t>履约保证金</w:t>
      </w:r>
      <w:bookmarkEnd w:id="409"/>
      <w:bookmarkEnd w:id="410"/>
    </w:p>
    <w:p>
      <w:pPr>
        <w:pStyle w:val="34"/>
        <w:snapToGrid w:val="0"/>
        <w:spacing w:line="360" w:lineRule="auto"/>
        <w:ind w:left="17" w:leftChars="8" w:firstLine="458" w:firstLineChars="191"/>
        <w:rPr>
          <w:rFonts w:ascii="仿宋" w:hAnsi="仿宋" w:eastAsia="仿宋" w:cs="仿宋"/>
          <w:color w:val="auto"/>
          <w:sz w:val="24"/>
          <w:szCs w:val="24"/>
        </w:rPr>
      </w:pPr>
      <w:bookmarkStart w:id="411" w:name="_Toc26698"/>
      <w:bookmarkStart w:id="412" w:name="_Toc11061"/>
      <w:r>
        <w:rPr>
          <w:rFonts w:hint="eastAsia" w:ascii="仿宋" w:hAnsi="仿宋" w:eastAsia="仿宋" w:cs="仿宋"/>
          <w:color w:val="auto"/>
          <w:sz w:val="24"/>
          <w:szCs w:val="24"/>
        </w:rPr>
        <w:t>本项目无履约保证金。</w:t>
      </w:r>
    </w:p>
    <w:p>
      <w:pPr>
        <w:numPr>
          <w:ilvl w:val="0"/>
          <w:numId w:val="11"/>
        </w:num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转包或分包</w:t>
      </w:r>
      <w:bookmarkEnd w:id="411"/>
      <w:bookmarkEnd w:id="412"/>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6.1本合同范围的服务，应由乙方直接供应，不得转让他人供应；</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6.2 如有转让和未经甲方同意的分包行为，甲方有权解除合同，并追究乙方的违约责任（含要求支付违约金）。</w:t>
      </w:r>
    </w:p>
    <w:p>
      <w:pPr>
        <w:spacing w:line="360" w:lineRule="auto"/>
        <w:ind w:firstLine="482" w:firstLineChars="200"/>
        <w:rPr>
          <w:rFonts w:ascii="仿宋" w:hAnsi="仿宋" w:eastAsia="仿宋" w:cs="仿宋"/>
          <w:b/>
          <w:bCs/>
          <w:color w:val="auto"/>
          <w:sz w:val="24"/>
        </w:rPr>
      </w:pPr>
      <w:bookmarkStart w:id="413" w:name="_Toc23847"/>
      <w:bookmarkStart w:id="414" w:name="_Toc15580"/>
      <w:r>
        <w:rPr>
          <w:rFonts w:hint="eastAsia" w:ascii="仿宋" w:hAnsi="仿宋" w:eastAsia="仿宋" w:cs="仿宋"/>
          <w:b/>
          <w:bCs/>
          <w:color w:val="auto"/>
          <w:sz w:val="24"/>
        </w:rPr>
        <w:t>7. 合同履行时间、履行地点</w:t>
      </w:r>
      <w:bookmarkEnd w:id="413"/>
      <w:bookmarkEnd w:id="414"/>
      <w:r>
        <w:rPr>
          <w:rFonts w:hint="eastAsia" w:ascii="仿宋" w:hAnsi="仿宋" w:eastAsia="仿宋" w:cs="仿宋"/>
          <w:b/>
          <w:bCs/>
          <w:color w:val="auto"/>
          <w:sz w:val="24"/>
        </w:rPr>
        <w:t>及验收方法</w:t>
      </w:r>
    </w:p>
    <w:p>
      <w:pPr>
        <w:spacing w:line="360" w:lineRule="auto"/>
        <w:ind w:firstLine="480" w:firstLineChars="200"/>
        <w:rPr>
          <w:rFonts w:ascii="仿宋" w:hAnsi="仿宋" w:eastAsia="仿宋" w:cs="仿宋"/>
          <w:color w:val="auto"/>
          <w:sz w:val="24"/>
        </w:rPr>
      </w:pPr>
      <w:r>
        <w:rPr>
          <w:rFonts w:hint="eastAsia" w:ascii="仿宋" w:hAnsi="仿宋" w:eastAsia="仿宋" w:cs="仿宋"/>
          <w:bCs/>
          <w:color w:val="auto"/>
          <w:sz w:val="24"/>
        </w:rPr>
        <w:t>7.1</w:t>
      </w:r>
      <w:r>
        <w:rPr>
          <w:rFonts w:hint="eastAsia" w:ascii="仿宋" w:hAnsi="仿宋" w:eastAsia="仿宋" w:cs="仿宋"/>
          <w:color w:val="auto"/>
          <w:sz w:val="24"/>
        </w:rPr>
        <w:t>履行时间</w:t>
      </w:r>
      <w:r>
        <w:rPr>
          <w:rFonts w:hint="eastAsia" w:ascii="仿宋" w:hAnsi="仿宋" w:eastAsia="仿宋" w:cs="仿宋"/>
          <w:bCs/>
          <w:color w:val="auto"/>
          <w:sz w:val="24"/>
        </w:rPr>
        <w:t>：</w:t>
      </w:r>
      <w:r>
        <w:rPr>
          <w:rFonts w:hint="eastAsia" w:ascii="仿宋" w:hAnsi="仿宋" w:eastAsia="仿宋" w:cs="仿宋"/>
          <w:color w:val="auto"/>
          <w:sz w:val="24"/>
        </w:rPr>
        <w:t>自合同签订之日起至11月30日前质量分析报告上报，并完成验收。</w:t>
      </w:r>
    </w:p>
    <w:p>
      <w:pPr>
        <w:spacing w:line="360" w:lineRule="auto"/>
        <w:ind w:firstLine="480" w:firstLineChars="200"/>
        <w:rPr>
          <w:rFonts w:ascii="仿宋" w:hAnsi="仿宋" w:eastAsia="仿宋" w:cs="仿宋"/>
          <w:color w:val="auto"/>
          <w:sz w:val="24"/>
        </w:rPr>
      </w:pPr>
      <w:r>
        <w:rPr>
          <w:rFonts w:hint="eastAsia" w:ascii="仿宋" w:hAnsi="仿宋" w:eastAsia="仿宋" w:cs="仿宋"/>
          <w:bCs/>
          <w:color w:val="auto"/>
          <w:sz w:val="24"/>
        </w:rPr>
        <w:t xml:space="preserve">7.2 </w:t>
      </w:r>
      <w:r>
        <w:rPr>
          <w:rFonts w:hint="eastAsia" w:ascii="仿宋" w:hAnsi="仿宋" w:eastAsia="仿宋" w:cs="仿宋"/>
          <w:color w:val="auto"/>
          <w:sz w:val="24"/>
        </w:rPr>
        <w:t>履行地点</w:t>
      </w:r>
      <w:r>
        <w:rPr>
          <w:rFonts w:hint="eastAsia" w:ascii="仿宋" w:hAnsi="仿宋" w:eastAsia="仿宋" w:cs="仿宋"/>
          <w:bCs/>
          <w:color w:val="auto"/>
          <w:sz w:val="24"/>
        </w:rPr>
        <w:t>：浙江省</w:t>
      </w:r>
      <w:r>
        <w:rPr>
          <w:rFonts w:hint="eastAsia" w:ascii="仿宋" w:hAnsi="仿宋" w:eastAsia="仿宋" w:cs="仿宋"/>
          <w:color w:val="auto"/>
          <w:sz w:val="24"/>
        </w:rPr>
        <w:t>内。</w:t>
      </w:r>
    </w:p>
    <w:p>
      <w:pPr>
        <w:spacing w:line="360" w:lineRule="auto"/>
        <w:ind w:firstLine="480" w:firstLineChars="200"/>
        <w:rPr>
          <w:rFonts w:ascii="仿宋" w:hAnsi="仿宋" w:eastAsia="仿宋" w:cs="仿宋"/>
          <w:color w:val="auto"/>
          <w:sz w:val="24"/>
        </w:rPr>
      </w:pPr>
      <w:r>
        <w:rPr>
          <w:rFonts w:hint="eastAsia" w:ascii="仿宋" w:hAnsi="仿宋" w:eastAsia="仿宋" w:cs="仿宋"/>
          <w:bCs/>
          <w:color w:val="auto"/>
          <w:sz w:val="24"/>
        </w:rPr>
        <w:t>7.3甲方成立验收小</w:t>
      </w:r>
      <w:r>
        <w:rPr>
          <w:rFonts w:hint="eastAsia" w:ascii="仿宋" w:hAnsi="仿宋" w:eastAsia="仿宋" w:cs="仿宋"/>
          <w:color w:val="auto"/>
          <w:sz w:val="24"/>
        </w:rPr>
        <w:t>组，按照采购合同的约定对投标人履约情况进行验收。</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7.4</w:t>
      </w:r>
      <w:r>
        <w:rPr>
          <w:rFonts w:hint="eastAsia" w:ascii="仿宋" w:hAnsi="仿宋" w:eastAsia="仿宋" w:cs="仿宋"/>
          <w:bCs/>
          <w:color w:val="auto"/>
          <w:sz w:val="24"/>
        </w:rPr>
        <w:t>验收标准:</w:t>
      </w:r>
      <w:r>
        <w:rPr>
          <w:rFonts w:hint="eastAsia" w:ascii="仿宋" w:hAnsi="仿宋" w:eastAsia="仿宋" w:cs="仿宋"/>
          <w:color w:val="auto"/>
          <w:sz w:val="24"/>
        </w:rPr>
        <w:t xml:space="preserve"> 对抽检各品种完成时限进行验收，要求抽检按期完成率100%；对抽检各完成批次数量进行验收，要求抽检批次3500批（含药品快检）；对提交纸质或者电子分析报告进行验收，要求报告数≥2份；对退修的报告进行检查，因检验差错造成的报告书退修，退修率≤0.5%。</w:t>
      </w:r>
    </w:p>
    <w:p>
      <w:pPr>
        <w:spacing w:line="360" w:lineRule="auto"/>
        <w:ind w:firstLine="482" w:firstLineChars="200"/>
        <w:rPr>
          <w:rFonts w:ascii="仿宋" w:hAnsi="仿宋" w:eastAsia="仿宋" w:cs="仿宋"/>
          <w:b/>
          <w:bCs/>
          <w:color w:val="auto"/>
          <w:sz w:val="24"/>
        </w:rPr>
      </w:pPr>
      <w:bookmarkStart w:id="415" w:name="_Toc17069"/>
      <w:bookmarkStart w:id="416" w:name="_Toc7527"/>
      <w:r>
        <w:rPr>
          <w:rFonts w:hint="eastAsia" w:ascii="仿宋" w:hAnsi="仿宋" w:eastAsia="仿宋" w:cs="仿宋"/>
          <w:b/>
          <w:bCs/>
          <w:color w:val="auto"/>
          <w:sz w:val="24"/>
        </w:rPr>
        <w:t>8. 款项支付</w:t>
      </w:r>
      <w:bookmarkEnd w:id="415"/>
      <w:bookmarkEnd w:id="416"/>
    </w:p>
    <w:p>
      <w:pPr>
        <w:spacing w:line="360" w:lineRule="auto"/>
        <w:ind w:firstLine="480" w:firstLineChars="200"/>
        <w:rPr>
          <w:rFonts w:ascii="仿宋" w:hAnsi="仿宋" w:eastAsia="仿宋" w:cs="仿宋"/>
          <w:color w:val="auto"/>
          <w:sz w:val="24"/>
        </w:rPr>
      </w:pPr>
      <w:bookmarkStart w:id="417" w:name="_Toc25347"/>
      <w:bookmarkStart w:id="418" w:name="_Toc22173"/>
      <w:r>
        <w:rPr>
          <w:rFonts w:hint="eastAsia" w:ascii="仿宋" w:hAnsi="仿宋" w:eastAsia="仿宋" w:cs="仿宋"/>
          <w:color w:val="auto"/>
          <w:sz w:val="24"/>
        </w:rPr>
        <w:t xml:space="preserve">8.1 </w:t>
      </w:r>
      <w:r>
        <w:rPr>
          <w:rFonts w:hint="eastAsia" w:ascii="仿宋" w:hAnsi="仿宋" w:eastAsia="仿宋" w:cs="仿宋"/>
          <w:bCs/>
          <w:color w:val="auto"/>
          <w:sz w:val="24"/>
        </w:rPr>
        <w:t>付款方式：自合同生效且具备实施条件并于收到发票后7个工作日内，采购人支付合同总额的40%；当项目抽检批次完成80%时，采购人收到相应金额发票后7个工作日内支付合同总额的40%；待验收合格后根据实际结算情况支付尾款。</w:t>
      </w:r>
    </w:p>
    <w:p>
      <w:pPr>
        <w:pStyle w:val="24"/>
        <w:ind w:firstLine="480" w:firstLineChars="200"/>
        <w:rPr>
          <w:rFonts w:ascii="仿宋" w:hAnsi="仿宋" w:eastAsia="仿宋" w:cs="仿宋"/>
          <w:color w:val="auto"/>
          <w:szCs w:val="24"/>
        </w:rPr>
      </w:pPr>
      <w:r>
        <w:rPr>
          <w:rFonts w:hint="eastAsia" w:ascii="仿宋" w:hAnsi="仿宋" w:eastAsia="仿宋" w:cs="仿宋"/>
          <w:color w:val="auto"/>
          <w:szCs w:val="24"/>
        </w:rPr>
        <w:t>8.2 合同款项支付时，乙方应及时向甲方提供相应合规的票据。</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9. 税费</w:t>
      </w:r>
      <w:bookmarkEnd w:id="417"/>
      <w:bookmarkEnd w:id="418"/>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9.1本合同执行中相关的一切税费均由乙方负担。</w:t>
      </w:r>
    </w:p>
    <w:p>
      <w:pPr>
        <w:numPr>
          <w:ilvl w:val="0"/>
          <w:numId w:val="12"/>
        </w:num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安全和保密要求</w:t>
      </w:r>
    </w:p>
    <w:p>
      <w:pPr>
        <w:pStyle w:val="26"/>
        <w:spacing w:line="360" w:lineRule="auto"/>
        <w:rPr>
          <w:rFonts w:ascii="仿宋" w:hAnsi="仿宋" w:eastAsia="仿宋" w:cs="仿宋"/>
          <w:color w:val="auto"/>
        </w:rPr>
      </w:pPr>
      <w:r>
        <w:rPr>
          <w:rFonts w:hint="eastAsia" w:ascii="仿宋" w:hAnsi="仿宋" w:eastAsia="仿宋" w:cs="仿宋"/>
          <w:color w:val="auto"/>
        </w:rPr>
        <w:t>10.1 乙方应保证工作人员具备相应工作资质，严格遵守国家法律法规、相关技术安全规范与甲方的规章制度，并服从甲方安排。</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10.2 乙方及工作人员应严格按照甲方安全规定，采取严格的安全防护和防火措施，并承担由于自身原因造成的财产损失和伤亡事故的责任和由此发生的费用。</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10.3 发生重大伤亡事故，乙方应按规定立即上报相关部门并通知甲方代表。同时按政府有关部门的要求处理。所发生的一切费用由事故责任方承担。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10.4 乙方及其工作人员应对接触到的甲方文件及资料（包括技术文件、设计图纸、商业秘密、经营信息、技术服务成果等）予以保密，不得向任何第三方泄露，该保密条款永久有效。</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11. 合同的变更</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对本合同作任何更改或补充，必须经甲乙双方协商签字盖章后方可生效。</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12. 违约责任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12.1如果因非不可抗力造成未能按本合同的约定提交服务成果，应当支付</w:t>
      </w:r>
      <w:r>
        <w:rPr>
          <w:rFonts w:hint="eastAsia" w:ascii="仿宋" w:hAnsi="仿宋" w:eastAsia="仿宋" w:cs="仿宋"/>
          <w:color w:val="auto"/>
          <w:sz w:val="24"/>
          <w:u w:val="single"/>
        </w:rPr>
        <w:t>合同金额的2%</w:t>
      </w:r>
      <w:r>
        <w:rPr>
          <w:rFonts w:hint="eastAsia" w:ascii="仿宋" w:hAnsi="仿宋" w:eastAsia="仿宋" w:cs="仿宋"/>
          <w:color w:val="auto"/>
          <w:sz w:val="24"/>
        </w:rPr>
        <w:t>为违约金，并继续履行本合同。</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12.2因违约或服务质量问题，使得甲方遭受损失，甲方有权要求赔偿相应损失。</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12.3双方均可由于对方没有履行其在本合同项下的义务而终止本合同，但应提前一个月以书面形式通知对方。</w:t>
      </w:r>
    </w:p>
    <w:p>
      <w:pPr>
        <w:numPr>
          <w:ilvl w:val="0"/>
          <w:numId w:val="13"/>
        </w:numPr>
        <w:spacing w:line="360" w:lineRule="auto"/>
        <w:ind w:firstLine="482" w:firstLineChars="200"/>
        <w:rPr>
          <w:rFonts w:ascii="仿宋" w:hAnsi="仿宋" w:eastAsia="仿宋" w:cs="仿宋"/>
          <w:b/>
          <w:color w:val="auto"/>
          <w:sz w:val="24"/>
        </w:rPr>
      </w:pPr>
      <w:r>
        <w:rPr>
          <w:rFonts w:hint="eastAsia" w:ascii="仿宋" w:hAnsi="仿宋" w:eastAsia="仿宋" w:cs="仿宋"/>
          <w:b/>
          <w:bCs/>
          <w:color w:val="auto"/>
          <w:sz w:val="24"/>
        </w:rPr>
        <w:t>不可抗力事件处理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13.1由于发生不能预见、不能避免并不能克服的不可抗力情形，致使直接影响本合同的履行或不能按照本合同项下之约定履行时，遇有不可抗力的应当立即书面通知对方，并在发生不可抗力之日起30日内，提供不可抗力详情及合同不能履行或部分不能履行，或延期履行的书面证明，该项证明文件应当有不可抗力发生地的公正机关出具。</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13.2根据不可抗力对本合同的影响程度，双方应当协商是否解除本合同或部分免除履行本合同的责任，或延期履行本合同。</w:t>
      </w:r>
    </w:p>
    <w:p>
      <w:pPr>
        <w:numPr>
          <w:ilvl w:val="0"/>
          <w:numId w:val="13"/>
        </w:numPr>
        <w:spacing w:line="360" w:lineRule="auto"/>
        <w:ind w:firstLine="482" w:firstLineChars="200"/>
        <w:rPr>
          <w:rFonts w:ascii="仿宋" w:hAnsi="仿宋" w:eastAsia="仿宋" w:cs="仿宋"/>
          <w:b/>
          <w:bCs/>
          <w:color w:val="auto"/>
          <w:sz w:val="24"/>
        </w:rPr>
      </w:pPr>
      <w:bookmarkStart w:id="419" w:name="_Toc6622"/>
      <w:bookmarkStart w:id="420" w:name="_Toc19911"/>
      <w:r>
        <w:rPr>
          <w:rFonts w:hint="eastAsia" w:ascii="仿宋" w:hAnsi="仿宋" w:eastAsia="仿宋" w:cs="仿宋"/>
          <w:b/>
          <w:bCs/>
          <w:color w:val="auto"/>
          <w:sz w:val="24"/>
        </w:rPr>
        <w:t>诉讼</w:t>
      </w:r>
      <w:bookmarkEnd w:id="419"/>
      <w:bookmarkEnd w:id="420"/>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14.1双方因履行本合同而发生的争议，应协商、调解解决。</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14.2协商、调解不成的，确定按以下第</w:t>
      </w:r>
      <w:r>
        <w:rPr>
          <w:rFonts w:hint="eastAsia" w:ascii="仿宋" w:hAnsi="仿宋" w:eastAsia="仿宋" w:cs="仿宋"/>
          <w:color w:val="auto"/>
          <w:sz w:val="24"/>
          <w:u w:val="single"/>
        </w:rPr>
        <w:t xml:space="preserve">  1  </w:t>
      </w:r>
      <w:r>
        <w:rPr>
          <w:rFonts w:hint="eastAsia" w:ascii="仿宋" w:hAnsi="仿宋" w:eastAsia="仿宋" w:cs="仿宋"/>
          <w:color w:val="auto"/>
          <w:sz w:val="24"/>
        </w:rPr>
        <w:t>种方式处理：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14.2.1提交</w:t>
      </w:r>
      <w:r>
        <w:rPr>
          <w:rFonts w:hint="eastAsia" w:ascii="仿宋" w:hAnsi="仿宋" w:eastAsia="仿宋" w:cs="仿宋"/>
          <w:color w:val="auto"/>
          <w:sz w:val="24"/>
          <w:u w:val="single"/>
        </w:rPr>
        <w:t xml:space="preserve">     杭州    </w:t>
      </w:r>
      <w:r>
        <w:rPr>
          <w:rFonts w:hint="eastAsia" w:ascii="仿宋" w:hAnsi="仿宋" w:eastAsia="仿宋" w:cs="仿宋"/>
          <w:color w:val="auto"/>
          <w:sz w:val="24"/>
        </w:rPr>
        <w:t>仲裁委员会仲裁；</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14.2.2依法向委托方所在地的人民法院起诉。</w:t>
      </w:r>
    </w:p>
    <w:p>
      <w:pPr>
        <w:numPr>
          <w:ilvl w:val="0"/>
          <w:numId w:val="13"/>
        </w:numPr>
        <w:spacing w:line="360" w:lineRule="auto"/>
        <w:ind w:firstLine="482" w:firstLineChars="200"/>
        <w:rPr>
          <w:rFonts w:ascii="仿宋" w:hAnsi="仿宋" w:eastAsia="仿宋" w:cs="仿宋"/>
          <w:b/>
          <w:bCs/>
          <w:color w:val="auto"/>
          <w:sz w:val="24"/>
        </w:rPr>
      </w:pPr>
      <w:bookmarkStart w:id="421" w:name="_Toc14216"/>
      <w:bookmarkStart w:id="422" w:name="_Toc17172"/>
      <w:r>
        <w:rPr>
          <w:rFonts w:hint="eastAsia" w:ascii="仿宋" w:hAnsi="仿宋" w:eastAsia="仿宋" w:cs="仿宋"/>
          <w:b/>
          <w:bCs/>
          <w:color w:val="auto"/>
          <w:sz w:val="24"/>
        </w:rPr>
        <w:t>合同生效及其它</w:t>
      </w:r>
      <w:bookmarkEnd w:id="421"/>
      <w:bookmarkEnd w:id="422"/>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15.1双方确定：本合同及相关附件中所涉及的有关名词和术语，其定义和解释如下：</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15.1.1“合同”系指甲乙双方签署的、约定双方权利义务的文件和文件所提到的构成合同的所有文件。</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15.1.2除有特别说明外，“天”、“日”均指自然日。</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15.2合同执行中涉及采购资金和采购内容修改或补充的，须经财政部门审批，并签书面补充协议报政府采购监督管理部门备案，方可作为主合同不可分割的一部分。</w:t>
      </w:r>
    </w:p>
    <w:p>
      <w:pPr>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15.3与履行本合同有关的下列文件，经双方以</w:t>
      </w:r>
      <w:r>
        <w:rPr>
          <w:rFonts w:hint="eastAsia" w:ascii="仿宋" w:hAnsi="仿宋" w:eastAsia="仿宋" w:cs="仿宋"/>
          <w:bCs/>
          <w:color w:val="auto"/>
          <w:sz w:val="24"/>
          <w:u w:val="single"/>
        </w:rPr>
        <w:t xml:space="preserve">   /     </w:t>
      </w:r>
      <w:r>
        <w:rPr>
          <w:rFonts w:hint="eastAsia" w:ascii="仿宋" w:hAnsi="仿宋" w:eastAsia="仿宋" w:cs="仿宋"/>
          <w:bCs/>
          <w:color w:val="auto"/>
          <w:sz w:val="24"/>
        </w:rPr>
        <w:t>方式确认后，为本合同的组成部分：</w:t>
      </w:r>
      <w:r>
        <w:rPr>
          <w:rFonts w:hint="eastAsia" w:ascii="仿宋" w:hAnsi="仿宋" w:eastAsia="仿宋" w:cs="仿宋"/>
          <w:bCs/>
          <w:color w:val="auto"/>
          <w:sz w:val="24"/>
          <w:u w:val="single"/>
        </w:rPr>
        <w:t xml:space="preserve">          /       </w:t>
      </w:r>
      <w:r>
        <w:rPr>
          <w:rFonts w:hint="eastAsia" w:ascii="仿宋" w:hAnsi="仿宋" w:eastAsia="仿宋" w:cs="仿宋"/>
          <w:bCs/>
          <w:color w:val="auto"/>
          <w:sz w:val="24"/>
        </w:rPr>
        <w:t>。</w:t>
      </w:r>
    </w:p>
    <w:p>
      <w:pPr>
        <w:spacing w:line="360" w:lineRule="auto"/>
        <w:ind w:firstLine="480" w:firstLineChars="200"/>
        <w:rPr>
          <w:rFonts w:ascii="仿宋" w:hAnsi="仿宋" w:eastAsia="仿宋" w:cs="仿宋"/>
          <w:bCs/>
          <w:color w:val="auto"/>
          <w:sz w:val="24"/>
          <w:u w:val="single"/>
        </w:rPr>
      </w:pPr>
      <w:r>
        <w:rPr>
          <w:rFonts w:hint="eastAsia" w:ascii="仿宋" w:hAnsi="仿宋" w:eastAsia="仿宋" w:cs="仿宋"/>
          <w:bCs/>
          <w:color w:val="auto"/>
          <w:sz w:val="24"/>
        </w:rPr>
        <w:t>15.4双方约定本合同其他相关事项为：</w:t>
      </w:r>
      <w:r>
        <w:rPr>
          <w:rFonts w:hint="eastAsia" w:ascii="仿宋" w:hAnsi="仿宋" w:eastAsia="仿宋" w:cs="仿宋"/>
          <w:bCs/>
          <w:color w:val="auto"/>
          <w:sz w:val="24"/>
          <w:u w:val="single"/>
        </w:rPr>
        <w:t xml:space="preserve">             /      </w:t>
      </w:r>
      <w:r>
        <w:rPr>
          <w:rFonts w:hint="eastAsia" w:ascii="仿宋" w:hAnsi="仿宋" w:eastAsia="仿宋" w:cs="仿宋"/>
          <w:bCs/>
          <w:color w:val="auto"/>
          <w:sz w:val="24"/>
        </w:rPr>
        <w:t>。</w:t>
      </w:r>
    </w:p>
    <w:p>
      <w:pPr>
        <w:spacing w:line="360" w:lineRule="auto"/>
        <w:ind w:right="-250" w:rightChars="-119" w:firstLine="480" w:firstLineChars="200"/>
        <w:rPr>
          <w:rFonts w:ascii="仿宋" w:hAnsi="仿宋" w:eastAsia="仿宋" w:cs="仿宋"/>
          <w:color w:val="auto"/>
          <w:sz w:val="24"/>
        </w:rPr>
      </w:pPr>
      <w:r>
        <w:rPr>
          <w:rFonts w:hint="eastAsia" w:ascii="仿宋" w:hAnsi="仿宋" w:eastAsia="仿宋" w:cs="仿宋"/>
          <w:bCs/>
          <w:color w:val="auto"/>
          <w:sz w:val="24"/>
        </w:rPr>
        <w:t>15.5本合</w:t>
      </w:r>
      <w:r>
        <w:rPr>
          <w:rFonts w:hint="eastAsia" w:ascii="仿宋" w:hAnsi="仿宋" w:eastAsia="仿宋" w:cs="仿宋"/>
          <w:color w:val="auto"/>
          <w:sz w:val="24"/>
        </w:rPr>
        <w:t xml:space="preserve">同一式六份，具有同等法律效力。甲方四份、乙方与鉴证方各执一份。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15.6本合同未尽事宜，遵照《中华人民共和国民法典》有关条文执行。</w:t>
      </w:r>
    </w:p>
    <w:p>
      <w:pPr>
        <w:spacing w:line="360" w:lineRule="auto"/>
        <w:ind w:firstLine="480" w:firstLineChars="200"/>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甲方（盖章）：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法定代表人或授权委托人（签字或盖章）：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联系人：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地址：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电话：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纳税人识别号：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开户银行：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账号：</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签约日期：    年   月   日 </w:t>
      </w:r>
    </w:p>
    <w:p>
      <w:pPr>
        <w:spacing w:line="360" w:lineRule="auto"/>
        <w:ind w:firstLine="480" w:firstLineChars="200"/>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乙方（盖章）：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法定代表人或授权委托人（签字或盖章）：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联系人：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地址：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电话：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纳税人识别号：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开户银行：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账号：</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签约日期：    年   月   日</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鉴证方（盖章）：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法定代表人或授权委托人（签字或盖章）：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联系人：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地址：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电话：</w:t>
      </w:r>
    </w:p>
    <w:p>
      <w:pPr>
        <w:spacing w:line="360" w:lineRule="auto"/>
        <w:ind w:firstLine="480" w:firstLineChars="200"/>
        <w:rPr>
          <w:rFonts w:eastAsia="仿宋_GB2312"/>
          <w:color w:val="auto"/>
          <w:sz w:val="32"/>
          <w:szCs w:val="32"/>
        </w:rPr>
      </w:pPr>
      <w:r>
        <w:rPr>
          <w:rFonts w:hint="eastAsia" w:ascii="仿宋" w:hAnsi="仿宋" w:eastAsia="仿宋" w:cs="仿宋"/>
          <w:color w:val="auto"/>
          <w:sz w:val="24"/>
        </w:rPr>
        <w:t xml:space="preserve">鉴证日期：   年   月   日 </w:t>
      </w:r>
      <w:r>
        <w:rPr>
          <w:rFonts w:eastAsia="仿宋_GB2312"/>
          <w:color w:val="auto"/>
          <w:sz w:val="32"/>
          <w:szCs w:val="32"/>
        </w:rPr>
        <w:t xml:space="preserve">   </w:t>
      </w:r>
    </w:p>
    <w:p>
      <w:pPr>
        <w:spacing w:line="520" w:lineRule="exact"/>
        <w:rPr>
          <w:rFonts w:ascii="仿宋" w:hAnsi="仿宋" w:eastAsia="仿宋" w:cs="仿宋"/>
          <w:color w:val="auto"/>
          <w:sz w:val="24"/>
        </w:rPr>
      </w:pPr>
    </w:p>
    <w:p>
      <w:pPr>
        <w:spacing w:line="520" w:lineRule="exact"/>
        <w:rPr>
          <w:rFonts w:ascii="仿宋" w:hAnsi="仿宋" w:eastAsia="仿宋" w:cs="仿宋"/>
          <w:color w:val="auto"/>
          <w:sz w:val="24"/>
        </w:rPr>
      </w:pPr>
    </w:p>
    <w:p>
      <w:pPr>
        <w:spacing w:line="520" w:lineRule="exact"/>
        <w:rPr>
          <w:rFonts w:ascii="仿宋" w:hAnsi="仿宋" w:eastAsia="仿宋" w:cs="仿宋"/>
          <w:color w:val="auto"/>
          <w:sz w:val="24"/>
        </w:rPr>
      </w:pPr>
    </w:p>
    <w:p>
      <w:pPr>
        <w:spacing w:line="520" w:lineRule="exact"/>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b/>
          <w:color w:val="auto"/>
          <w:sz w:val="36"/>
          <w:szCs w:val="20"/>
        </w:rPr>
      </w:pPr>
      <w:r>
        <w:rPr>
          <w:rFonts w:hint="eastAsia" w:ascii="仿宋" w:hAnsi="仿宋" w:eastAsia="仿宋" w:cs="仿宋"/>
          <w:b/>
          <w:color w:val="auto"/>
          <w:sz w:val="36"/>
          <w:szCs w:val="20"/>
        </w:rPr>
        <w:br w:type="page"/>
      </w:r>
    </w:p>
    <w:p>
      <w:pPr>
        <w:spacing w:line="360" w:lineRule="auto"/>
        <w:jc w:val="center"/>
        <w:outlineLvl w:val="0"/>
        <w:rPr>
          <w:rFonts w:ascii="仿宋" w:hAnsi="仿宋" w:eastAsia="仿宋" w:cs="仿宋"/>
          <w:b/>
          <w:color w:val="auto"/>
          <w:sz w:val="36"/>
          <w:szCs w:val="20"/>
        </w:rPr>
      </w:pPr>
      <w:bookmarkStart w:id="423" w:name="_Toc12455"/>
      <w:r>
        <w:rPr>
          <w:rFonts w:hint="eastAsia" w:ascii="仿宋" w:hAnsi="仿宋" w:eastAsia="仿宋" w:cs="仿宋"/>
          <w:b/>
          <w:color w:val="auto"/>
          <w:sz w:val="36"/>
          <w:szCs w:val="20"/>
        </w:rPr>
        <w:t>第六部分</w:t>
      </w:r>
      <w:bookmarkEnd w:id="404"/>
      <w:r>
        <w:rPr>
          <w:rFonts w:hint="eastAsia" w:ascii="仿宋" w:hAnsi="仿宋" w:eastAsia="仿宋" w:cs="仿宋"/>
          <w:b/>
          <w:color w:val="auto"/>
          <w:sz w:val="36"/>
          <w:szCs w:val="20"/>
        </w:rPr>
        <w:t xml:space="preserve"> </w:t>
      </w:r>
      <w:bookmarkEnd w:id="405"/>
      <w:r>
        <w:rPr>
          <w:rFonts w:hint="eastAsia" w:ascii="仿宋" w:hAnsi="仿宋" w:eastAsia="仿宋" w:cs="仿宋"/>
          <w:b/>
          <w:color w:val="auto"/>
          <w:sz w:val="36"/>
          <w:szCs w:val="20"/>
        </w:rPr>
        <w:t>应提交的有关格式范例</w:t>
      </w:r>
      <w:bookmarkEnd w:id="423"/>
    </w:p>
    <w:p>
      <w:pPr>
        <w:rPr>
          <w:rFonts w:ascii="仿宋" w:hAnsi="仿宋" w:eastAsia="仿宋" w:cs="仿宋"/>
          <w:color w:val="auto"/>
        </w:rPr>
      </w:pPr>
    </w:p>
    <w:p>
      <w:pPr>
        <w:spacing w:line="360" w:lineRule="auto"/>
        <w:jc w:val="center"/>
        <w:outlineLvl w:val="1"/>
        <w:rPr>
          <w:rFonts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pPr>
        <w:jc w:val="center"/>
        <w:rPr>
          <w:rFonts w:ascii="仿宋" w:hAnsi="仿宋" w:eastAsia="仿宋" w:cs="仿宋"/>
          <w:color w:val="auto"/>
          <w:sz w:val="32"/>
          <w:szCs w:val="32"/>
        </w:rPr>
      </w:pPr>
      <w:r>
        <w:rPr>
          <w:rFonts w:hint="eastAsia" w:ascii="仿宋" w:hAnsi="仿宋" w:eastAsia="仿宋" w:cs="仿宋"/>
          <w:color w:val="auto"/>
          <w:sz w:val="32"/>
          <w:szCs w:val="32"/>
        </w:rPr>
        <w:t>目录</w:t>
      </w:r>
    </w:p>
    <w:p>
      <w:pPr>
        <w:rPr>
          <w:rFonts w:ascii="仿宋" w:hAnsi="仿宋" w:eastAsia="仿宋" w:cs="仿宋"/>
          <w:color w:val="auto"/>
        </w:rPr>
      </w:pPr>
    </w:p>
    <w:p>
      <w:pPr>
        <w:pStyle w:val="26"/>
        <w:rPr>
          <w:rFonts w:ascii="仿宋" w:hAnsi="仿宋" w:eastAsia="仿宋" w:cs="仿宋"/>
          <w:color w:val="auto"/>
        </w:rPr>
      </w:pPr>
    </w:p>
    <w:p>
      <w:pPr>
        <w:numPr>
          <w:ilvl w:val="0"/>
          <w:numId w:val="14"/>
        </w:numPr>
        <w:snapToGrid w:val="0"/>
        <w:spacing w:line="360" w:lineRule="auto"/>
        <w:rPr>
          <w:rFonts w:ascii="仿宋" w:hAnsi="仿宋" w:eastAsia="仿宋" w:cs="仿宋"/>
          <w:color w:val="auto"/>
          <w:sz w:val="24"/>
        </w:rPr>
      </w:pPr>
      <w:r>
        <w:rPr>
          <w:rFonts w:hint="eastAsia" w:ascii="仿宋" w:hAnsi="仿宋" w:eastAsia="仿宋" w:cs="仿宋"/>
          <w:color w:val="auto"/>
          <w:sz w:val="24"/>
        </w:rPr>
        <w:t>符合参加政府采购活动应当具备的一般条件的承诺函……………（页码）</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（2）联合协议………………………………………………………………（页码）</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（3）落实政府采购政策需满足的资格要求………………………………（页码）</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（4）本项目的特定资格要求………………………………………………（页码）</w:t>
      </w:r>
    </w:p>
    <w:p>
      <w:pPr>
        <w:pStyle w:val="3"/>
        <w:rPr>
          <w:rFonts w:ascii="仿宋" w:eastAsia="仿宋" w:cs="仿宋"/>
          <w:color w:val="auto"/>
        </w:rPr>
      </w:pPr>
    </w:p>
    <w:p>
      <w:pPr>
        <w:snapToGrid w:val="0"/>
        <w:spacing w:line="360" w:lineRule="auto"/>
        <w:ind w:firstLine="480" w:firstLineChars="200"/>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p>
    <w:p>
      <w:pPr>
        <w:snapToGrid w:val="0"/>
        <w:spacing w:line="360" w:lineRule="auto"/>
        <w:ind w:right="480"/>
        <w:rPr>
          <w:rFonts w:ascii="仿宋" w:hAnsi="仿宋" w:eastAsia="仿宋" w:cs="仿宋"/>
          <w:b/>
          <w:color w:val="auto"/>
          <w:kern w:val="0"/>
          <w:sz w:val="32"/>
          <w:szCs w:val="32"/>
        </w:rPr>
      </w:pPr>
      <w:r>
        <w:rPr>
          <w:rFonts w:hint="eastAsia" w:ascii="仿宋" w:hAnsi="仿宋" w:eastAsia="仿宋" w:cs="仿宋"/>
          <w:color w:val="auto"/>
          <w:kern w:val="0"/>
          <w:sz w:val="24"/>
        </w:rPr>
        <w:br w:type="page"/>
      </w:r>
      <w:r>
        <w:rPr>
          <w:rFonts w:hint="eastAsia" w:ascii="仿宋" w:hAnsi="仿宋" w:eastAsia="仿宋" w:cs="仿宋"/>
          <w:b/>
          <w:color w:val="auto"/>
          <w:kern w:val="0"/>
          <w:sz w:val="32"/>
          <w:szCs w:val="32"/>
        </w:rPr>
        <w:t>一、 符合参加政府采购活动应当具备的一般条件的承诺函</w:t>
      </w:r>
    </w:p>
    <w:p>
      <w:pPr>
        <w:snapToGrid w:val="0"/>
        <w:spacing w:line="360" w:lineRule="auto"/>
        <w:rPr>
          <w:rFonts w:ascii="仿宋" w:hAnsi="仿宋" w:eastAsia="仿宋" w:cs="仿宋"/>
          <w:color w:val="auto"/>
          <w:sz w:val="24"/>
          <w:u w:val="single"/>
        </w:rPr>
      </w:pPr>
    </w:p>
    <w:p>
      <w:pPr>
        <w:snapToGrid w:val="0"/>
        <w:spacing w:line="360" w:lineRule="auto"/>
        <w:rPr>
          <w:rFonts w:ascii="仿宋" w:hAnsi="仿宋" w:eastAsia="仿宋" w:cs="仿宋"/>
          <w:color w:val="auto"/>
          <w:sz w:val="24"/>
        </w:rPr>
      </w:pPr>
      <w:r>
        <w:rPr>
          <w:rFonts w:hint="eastAsia" w:ascii="仿宋" w:hAnsi="仿宋" w:eastAsia="仿宋" w:cs="仿宋"/>
          <w:color w:val="auto"/>
          <w:sz w:val="24"/>
          <w:u w:val="single"/>
        </w:rPr>
        <w:t>浙江省药品监督管理局</w:t>
      </w:r>
      <w:r>
        <w:rPr>
          <w:rFonts w:hint="eastAsia" w:ascii="仿宋" w:hAnsi="仿宋" w:eastAsia="仿宋" w:cs="仿宋"/>
          <w:color w:val="auto"/>
          <w:sz w:val="24"/>
        </w:rPr>
        <w:t>：</w:t>
      </w:r>
    </w:p>
    <w:p>
      <w:pPr>
        <w:snapToGrid w:val="0"/>
        <w:spacing w:line="360" w:lineRule="auto"/>
        <w:ind w:firstLine="420"/>
        <w:rPr>
          <w:rFonts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u w:val="single"/>
        </w:rPr>
        <w:t>2023年浙江省省级药品抽检委托检验服务项目</w:t>
      </w:r>
      <w:r>
        <w:rPr>
          <w:rFonts w:hint="eastAsia" w:ascii="仿宋" w:hAnsi="仿宋" w:eastAsia="仿宋" w:cs="仿宋"/>
          <w:color w:val="auto"/>
          <w:sz w:val="24"/>
        </w:rPr>
        <w:t>【项目编号：</w:t>
      </w:r>
      <w:r>
        <w:rPr>
          <w:rFonts w:hint="eastAsia" w:ascii="仿宋" w:hAnsi="仿宋" w:eastAsia="仿宋" w:cs="仿宋"/>
          <w:color w:val="auto"/>
          <w:sz w:val="24"/>
          <w:u w:val="single"/>
        </w:rPr>
        <w:t>ZJ-2370240-02</w:t>
      </w:r>
      <w:r>
        <w:rPr>
          <w:rFonts w:hint="eastAsia" w:ascii="仿宋" w:hAnsi="仿宋" w:eastAsia="仿宋" w:cs="仿宋"/>
          <w:color w:val="auto"/>
          <w:sz w:val="24"/>
        </w:rPr>
        <w:t>】政府采购活动，郑重承诺：</w:t>
      </w:r>
    </w:p>
    <w:p>
      <w:pPr>
        <w:snapToGrid w:val="0"/>
        <w:spacing w:line="360" w:lineRule="auto"/>
        <w:ind w:firstLine="420" w:firstLineChars="175"/>
        <w:rPr>
          <w:rFonts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pPr>
        <w:snapToGrid w:val="0"/>
        <w:spacing w:line="360" w:lineRule="auto"/>
        <w:ind w:firstLine="420" w:firstLineChars="175"/>
        <w:rPr>
          <w:rFonts w:ascii="仿宋" w:hAnsi="仿宋" w:eastAsia="仿宋" w:cs="仿宋"/>
          <w:color w:val="auto"/>
          <w:sz w:val="24"/>
        </w:rPr>
      </w:pPr>
      <w:r>
        <w:rPr>
          <w:rFonts w:hint="eastAsia" w:ascii="仿宋" w:hAnsi="仿宋" w:eastAsia="仿宋" w:cs="仿宋"/>
          <w:color w:val="auto"/>
          <w:sz w:val="24"/>
        </w:rPr>
        <w:t>1.具有独立承担民事责任的能力；</w:t>
      </w:r>
    </w:p>
    <w:p>
      <w:pPr>
        <w:snapToGrid w:val="0"/>
        <w:spacing w:line="360" w:lineRule="auto"/>
        <w:ind w:firstLine="420" w:firstLineChars="175"/>
        <w:rPr>
          <w:rFonts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pPr>
        <w:snapToGrid w:val="0"/>
        <w:spacing w:line="360" w:lineRule="auto"/>
        <w:ind w:firstLine="420" w:firstLineChars="175"/>
        <w:rPr>
          <w:rFonts w:ascii="仿宋" w:hAnsi="仿宋" w:eastAsia="仿宋" w:cs="仿宋"/>
          <w:color w:val="auto"/>
          <w:sz w:val="24"/>
        </w:rPr>
      </w:pPr>
      <w:r>
        <w:rPr>
          <w:rFonts w:hint="eastAsia" w:ascii="仿宋" w:hAnsi="仿宋" w:eastAsia="仿宋" w:cs="仿宋"/>
          <w:color w:val="auto"/>
          <w:sz w:val="24"/>
        </w:rPr>
        <w:t>3.具有履行合同所必需的设备和专业技术能力；</w:t>
      </w:r>
    </w:p>
    <w:p>
      <w:pPr>
        <w:snapToGrid w:val="0"/>
        <w:spacing w:line="360" w:lineRule="auto"/>
        <w:ind w:firstLine="420" w:firstLineChars="175"/>
        <w:rPr>
          <w:rFonts w:ascii="仿宋" w:hAnsi="仿宋" w:eastAsia="仿宋" w:cs="仿宋"/>
          <w:color w:val="auto"/>
          <w:sz w:val="24"/>
        </w:rPr>
      </w:pPr>
      <w:r>
        <w:rPr>
          <w:rFonts w:hint="eastAsia" w:ascii="仿宋" w:hAnsi="仿宋" w:eastAsia="仿宋" w:cs="仿宋"/>
          <w:color w:val="auto"/>
          <w:sz w:val="24"/>
        </w:rPr>
        <w:t>4.有依法缴纳税收和社会保障资金的良好记录；</w:t>
      </w:r>
    </w:p>
    <w:p>
      <w:pPr>
        <w:snapToGrid w:val="0"/>
        <w:spacing w:line="360" w:lineRule="auto"/>
        <w:ind w:firstLine="420" w:firstLineChars="175"/>
        <w:rPr>
          <w:rFonts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pPr>
        <w:snapToGrid w:val="0"/>
        <w:spacing w:line="360" w:lineRule="auto"/>
        <w:ind w:firstLine="420" w:firstLineChars="175"/>
        <w:rPr>
          <w:rFonts w:ascii="仿宋" w:hAnsi="仿宋" w:eastAsia="仿宋" w:cs="仿宋"/>
          <w:color w:val="auto"/>
          <w:sz w:val="24"/>
        </w:rPr>
      </w:pPr>
      <w:r>
        <w:rPr>
          <w:rFonts w:hint="eastAsia" w:ascii="仿宋" w:hAnsi="仿宋" w:eastAsia="仿宋" w:cs="仿宋"/>
          <w:color w:val="auto"/>
          <w:sz w:val="24"/>
        </w:rPr>
        <w:t>6.具有法律、行政法规规定的其他条件。</w:t>
      </w:r>
    </w:p>
    <w:p>
      <w:pPr>
        <w:snapToGrid w:val="0"/>
        <w:spacing w:line="360" w:lineRule="auto"/>
        <w:ind w:firstLine="420" w:firstLineChars="175"/>
        <w:rPr>
          <w:rFonts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20" w:firstLineChars="175"/>
        <w:rPr>
          <w:rFonts w:ascii="仿宋" w:hAnsi="仿宋" w:eastAsia="仿宋" w:cs="仿宋"/>
          <w:color w:val="auto"/>
          <w:sz w:val="24"/>
        </w:rPr>
      </w:pPr>
      <w:r>
        <w:rPr>
          <w:rFonts w:hint="eastAsia" w:ascii="仿宋" w:hAnsi="仿宋" w:eastAsia="仿宋" w:cs="仿宋"/>
          <w:color w:val="auto"/>
          <w:sz w:val="24"/>
        </w:rPr>
        <w:t>（三）不存在以下情况：</w:t>
      </w:r>
    </w:p>
    <w:p>
      <w:pPr>
        <w:snapToGrid w:val="0"/>
        <w:spacing w:line="360" w:lineRule="auto"/>
        <w:ind w:firstLine="420" w:firstLineChars="175"/>
        <w:rPr>
          <w:rFonts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pPr>
        <w:snapToGrid w:val="0"/>
        <w:spacing w:line="360" w:lineRule="auto"/>
        <w:ind w:firstLine="420" w:firstLineChars="175"/>
        <w:rPr>
          <w:rFonts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pPr>
        <w:pStyle w:val="26"/>
        <w:rPr>
          <w:rFonts w:ascii="仿宋" w:hAnsi="仿宋" w:eastAsia="仿宋" w:cs="仿宋"/>
          <w:color w:val="auto"/>
        </w:rPr>
      </w:pPr>
    </w:p>
    <w:p>
      <w:pPr>
        <w:rPr>
          <w:rFonts w:ascii="仿宋" w:hAnsi="仿宋" w:eastAsia="仿宋" w:cs="仿宋"/>
          <w:color w:val="auto"/>
        </w:rPr>
      </w:pPr>
    </w:p>
    <w:p>
      <w:pPr>
        <w:snapToGrid w:val="0"/>
        <w:spacing w:line="360" w:lineRule="auto"/>
        <w:ind w:firstLine="5520" w:firstLineChars="2300"/>
        <w:rPr>
          <w:rFonts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日</w:t>
      </w: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rPr>
          <w:rFonts w:ascii="仿宋" w:hAnsi="仿宋" w:eastAsia="仿宋" w:cs="仿宋"/>
          <w:color w:val="auto"/>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rPr>
          <w:rFonts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pPr>
        <w:snapToGrid w:val="0"/>
        <w:spacing w:line="360" w:lineRule="auto"/>
        <w:ind w:right="480"/>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二、联合协议（如果有）</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rPr>
          <w:rFonts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pPr>
        <w:snapToGrid w:val="0"/>
        <w:spacing w:line="360" w:lineRule="auto"/>
        <w:ind w:right="480"/>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三、落实政府采购政策需满足的资格要求</w:t>
      </w:r>
    </w:p>
    <w:p>
      <w:pPr>
        <w:spacing w:line="360" w:lineRule="auto"/>
        <w:rPr>
          <w:rFonts w:ascii="仿宋" w:hAnsi="仿宋" w:eastAsia="仿宋" w:cs="仿宋"/>
          <w:color w:val="auto"/>
          <w:sz w:val="24"/>
        </w:rPr>
      </w:pPr>
      <w:r>
        <w:rPr>
          <w:rFonts w:hint="eastAsia" w:ascii="仿宋" w:hAnsi="仿宋" w:eastAsia="仿宋" w:cs="仿宋"/>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 xml:space="preserve">.专门面向中小企业，服务全部由符合政策要求的中小企业（或小微企业）承接的，提供相应的中小企业声明函（附件7）。 </w:t>
      </w:r>
    </w:p>
    <w:p>
      <w:pPr>
        <w:widowControl/>
        <w:spacing w:line="360" w:lineRule="auto"/>
        <w:ind w:firstLine="480"/>
        <w:jc w:val="left"/>
        <w:rPr>
          <w:rFonts w:ascii="仿宋" w:hAnsi="仿宋" w:eastAsia="仿宋" w:cs="仿宋"/>
          <w:color w:val="auto"/>
          <w:sz w:val="24"/>
        </w:rPr>
      </w:pPr>
    </w:p>
    <w:p>
      <w:pPr>
        <w:widowControl/>
        <w:spacing w:line="360" w:lineRule="auto"/>
        <w:ind w:firstLine="472" w:firstLineChars="196"/>
        <w:jc w:val="left"/>
        <w:rPr>
          <w:rFonts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
          <w:color w:val="auto"/>
          <w:sz w:val="24"/>
        </w:rPr>
      </w:pPr>
      <w:r>
        <w:rPr>
          <w:rFonts w:hint="eastAsia" w:ascii="仿宋" w:hAnsi="仿宋" w:eastAsia="仿宋" w:cs="仿宋"/>
          <w:b/>
          <w:color w:val="auto"/>
          <w:sz w:val="24"/>
        </w:rPr>
        <w:t xml:space="preserve">    </w:t>
      </w:r>
    </w:p>
    <w:p>
      <w:pPr>
        <w:snapToGrid w:val="0"/>
        <w:spacing w:before="50" w:after="50" w:line="360" w:lineRule="auto"/>
        <w:ind w:firstLine="472" w:firstLineChars="196"/>
        <w:jc w:val="left"/>
        <w:rPr>
          <w:rFonts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 xml:space="preserve">视同符合了资格条件，无需再向中小企业分包，无需提供分包意向协议。 </w:t>
      </w:r>
    </w:p>
    <w:p>
      <w:pPr>
        <w:widowControl/>
        <w:spacing w:line="360" w:lineRule="auto"/>
        <w:ind w:firstLine="480"/>
        <w:jc w:val="left"/>
        <w:rPr>
          <w:rFonts w:ascii="仿宋" w:hAnsi="仿宋" w:eastAsia="仿宋" w:cs="仿宋"/>
          <w:color w:val="auto"/>
          <w:sz w:val="24"/>
        </w:rPr>
      </w:pPr>
    </w:p>
    <w:p>
      <w:pPr>
        <w:rPr>
          <w:rFonts w:ascii="仿宋" w:hAnsi="仿宋" w:eastAsia="仿宋" w:cs="仿宋"/>
          <w:b/>
          <w:color w:val="auto"/>
          <w:kern w:val="0"/>
          <w:sz w:val="32"/>
          <w:szCs w:val="32"/>
        </w:rPr>
      </w:pPr>
      <w:r>
        <w:rPr>
          <w:rFonts w:hint="eastAsia" w:ascii="仿宋" w:hAnsi="仿宋" w:eastAsia="仿宋" w:cs="仿宋"/>
          <w:b/>
          <w:color w:val="auto"/>
          <w:sz w:val="24"/>
        </w:rPr>
        <w:br w:type="page"/>
      </w:r>
    </w:p>
    <w:p>
      <w:pPr>
        <w:widowControl/>
        <w:spacing w:line="360" w:lineRule="auto"/>
        <w:ind w:left="150"/>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四、本项目的特定资格要求</w:t>
      </w:r>
    </w:p>
    <w:p>
      <w:pPr>
        <w:spacing w:line="360" w:lineRule="auto"/>
        <w:jc w:val="center"/>
        <w:rPr>
          <w:rFonts w:ascii="仿宋" w:hAnsi="仿宋" w:eastAsia="仿宋" w:cs="仿宋"/>
          <w:color w:val="auto"/>
          <w:sz w:val="24"/>
        </w:rPr>
      </w:pPr>
    </w:p>
    <w:p>
      <w:pPr>
        <w:spacing w:line="360" w:lineRule="auto"/>
        <w:jc w:val="center"/>
        <w:rPr>
          <w:rFonts w:ascii="仿宋" w:hAnsi="仿宋" w:eastAsia="仿宋" w:cs="仿宋"/>
          <w:color w:val="auto"/>
          <w:sz w:val="24"/>
        </w:rPr>
      </w:pPr>
      <w:r>
        <w:rPr>
          <w:rFonts w:hint="eastAsia" w:ascii="仿宋" w:hAnsi="仿宋" w:eastAsia="仿宋" w:cs="仿宋"/>
          <w:color w:val="auto"/>
          <w:sz w:val="24"/>
        </w:rPr>
        <w:t>（根据招标公告本项目的特定资格要求提供相应的材料；未要求的，无需提供）</w:t>
      </w:r>
    </w:p>
    <w:p>
      <w:pPr>
        <w:rPr>
          <w:rFonts w:ascii="仿宋" w:hAnsi="仿宋" w:eastAsia="仿宋" w:cs="仿宋"/>
          <w:color w:val="auto"/>
        </w:rPr>
      </w:pPr>
    </w:p>
    <w:p>
      <w:pPr>
        <w:rPr>
          <w:rFonts w:ascii="仿宋" w:hAnsi="仿宋" w:eastAsia="仿宋" w:cs="仿宋"/>
          <w:b/>
          <w:color w:val="auto"/>
          <w:kern w:val="0"/>
          <w:sz w:val="36"/>
          <w:szCs w:val="36"/>
        </w:rPr>
      </w:pPr>
      <w:r>
        <w:rPr>
          <w:rFonts w:hint="eastAsia" w:ascii="仿宋" w:hAnsi="仿宋" w:eastAsia="仿宋" w:cs="仿宋"/>
          <w:b/>
          <w:color w:val="auto"/>
          <w:kern w:val="0"/>
          <w:sz w:val="32"/>
          <w:szCs w:val="32"/>
        </w:rPr>
        <w:br w:type="page"/>
      </w:r>
    </w:p>
    <w:p>
      <w:pPr>
        <w:spacing w:line="360" w:lineRule="auto"/>
        <w:jc w:val="center"/>
        <w:outlineLvl w:val="1"/>
        <w:rPr>
          <w:rFonts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pPr>
        <w:rPr>
          <w:rFonts w:ascii="仿宋" w:hAnsi="仿宋" w:eastAsia="仿宋" w:cs="仿宋"/>
          <w:color w:val="auto"/>
        </w:rPr>
      </w:pPr>
    </w:p>
    <w:p>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目录</w:t>
      </w:r>
    </w:p>
    <w:p>
      <w:pPr>
        <w:numPr>
          <w:ilvl w:val="0"/>
          <w:numId w:val="15"/>
        </w:numPr>
        <w:snapToGrid w:val="0"/>
        <w:spacing w:line="360" w:lineRule="auto"/>
        <w:ind w:hanging="5"/>
        <w:rPr>
          <w:rFonts w:ascii="仿宋" w:hAnsi="仿宋" w:eastAsia="仿宋" w:cs="仿宋"/>
          <w:color w:val="auto"/>
          <w:sz w:val="24"/>
        </w:rPr>
      </w:pPr>
      <w:r>
        <w:rPr>
          <w:rFonts w:hint="eastAsia" w:ascii="仿宋" w:hAnsi="仿宋" w:eastAsia="仿宋" w:cs="仿宋"/>
          <w:color w:val="auto"/>
          <w:sz w:val="24"/>
        </w:rPr>
        <w:t>投标函…………………………………………………………………………（页码）</w:t>
      </w:r>
    </w:p>
    <w:p>
      <w:pPr>
        <w:numPr>
          <w:ilvl w:val="0"/>
          <w:numId w:val="15"/>
        </w:numPr>
        <w:snapToGrid w:val="0"/>
        <w:spacing w:line="360" w:lineRule="auto"/>
        <w:ind w:hanging="5"/>
        <w:rPr>
          <w:rFonts w:ascii="仿宋" w:hAnsi="仿宋" w:eastAsia="仿宋" w:cs="仿宋"/>
          <w:color w:val="auto"/>
          <w:sz w:val="24"/>
        </w:rPr>
      </w:pPr>
      <w:r>
        <w:rPr>
          <w:rFonts w:hint="eastAsia" w:ascii="仿宋" w:hAnsi="仿宋" w:eastAsia="仿宋" w:cs="仿宋"/>
          <w:color w:val="auto"/>
          <w:sz w:val="24"/>
        </w:rPr>
        <w:t>授权委托书或法定代表人（单位负责人、自然人本人）身份证明………（页码）</w:t>
      </w:r>
    </w:p>
    <w:p>
      <w:pPr>
        <w:numPr>
          <w:ilvl w:val="0"/>
          <w:numId w:val="15"/>
        </w:numPr>
        <w:snapToGrid w:val="0"/>
        <w:spacing w:line="360" w:lineRule="auto"/>
        <w:ind w:hanging="5"/>
        <w:rPr>
          <w:rFonts w:ascii="仿宋" w:hAnsi="仿宋" w:eastAsia="仿宋" w:cs="仿宋"/>
          <w:color w:val="auto"/>
          <w:sz w:val="24"/>
        </w:rPr>
      </w:pPr>
      <w:r>
        <w:rPr>
          <w:rFonts w:hint="eastAsia" w:ascii="仿宋" w:hAnsi="仿宋" w:eastAsia="仿宋" w:cs="仿宋"/>
          <w:color w:val="auto"/>
          <w:sz w:val="24"/>
        </w:rPr>
        <w:t>分包意向协议…………………………………………………………………（页码）</w:t>
      </w:r>
    </w:p>
    <w:p>
      <w:pPr>
        <w:numPr>
          <w:ilvl w:val="0"/>
          <w:numId w:val="15"/>
        </w:numPr>
        <w:snapToGrid w:val="0"/>
        <w:spacing w:line="360" w:lineRule="auto"/>
        <w:ind w:hanging="5"/>
        <w:rPr>
          <w:rFonts w:ascii="仿宋" w:hAnsi="仿宋" w:eastAsia="仿宋" w:cs="仿宋"/>
          <w:color w:val="auto"/>
          <w:sz w:val="24"/>
        </w:rPr>
      </w:pPr>
      <w:r>
        <w:rPr>
          <w:rFonts w:hint="eastAsia" w:ascii="仿宋" w:hAnsi="仿宋" w:eastAsia="仿宋" w:cs="仿宋"/>
          <w:color w:val="auto"/>
          <w:sz w:val="24"/>
        </w:rPr>
        <w:t>符合性审查资料………………………………………………………………（页码）</w:t>
      </w:r>
    </w:p>
    <w:p>
      <w:pPr>
        <w:numPr>
          <w:ilvl w:val="0"/>
          <w:numId w:val="15"/>
        </w:numPr>
        <w:snapToGrid w:val="0"/>
        <w:spacing w:line="360" w:lineRule="auto"/>
        <w:ind w:hanging="5"/>
        <w:rPr>
          <w:rFonts w:ascii="仿宋" w:hAnsi="仿宋" w:eastAsia="仿宋" w:cs="仿宋"/>
          <w:color w:val="auto"/>
          <w:sz w:val="24"/>
        </w:rPr>
      </w:pPr>
      <w:r>
        <w:rPr>
          <w:rFonts w:hint="eastAsia" w:ascii="仿宋" w:hAnsi="仿宋" w:eastAsia="仿宋" w:cs="仿宋"/>
          <w:color w:val="auto"/>
          <w:sz w:val="24"/>
        </w:rPr>
        <w:t>评标标准相应的商务技术资料………………………………………………（页码）</w:t>
      </w:r>
    </w:p>
    <w:p>
      <w:pPr>
        <w:numPr>
          <w:ilvl w:val="0"/>
          <w:numId w:val="15"/>
        </w:numPr>
        <w:snapToGrid w:val="0"/>
        <w:spacing w:line="360" w:lineRule="auto"/>
        <w:ind w:hanging="5"/>
        <w:rPr>
          <w:rFonts w:ascii="仿宋" w:hAnsi="仿宋" w:eastAsia="仿宋" w:cs="仿宋"/>
          <w:color w:val="auto"/>
          <w:sz w:val="24"/>
        </w:rPr>
      </w:pPr>
      <w:r>
        <w:rPr>
          <w:rFonts w:hint="eastAsia" w:ascii="仿宋" w:hAnsi="仿宋" w:eastAsia="仿宋" w:cs="仿宋"/>
          <w:color w:val="auto"/>
          <w:sz w:val="24"/>
        </w:rPr>
        <w:t>投标标的清单…………………………………………………………………（页码）</w:t>
      </w:r>
    </w:p>
    <w:p>
      <w:pPr>
        <w:numPr>
          <w:ilvl w:val="0"/>
          <w:numId w:val="15"/>
        </w:numPr>
        <w:snapToGrid w:val="0"/>
        <w:spacing w:line="360" w:lineRule="auto"/>
        <w:ind w:hanging="5"/>
        <w:rPr>
          <w:rFonts w:ascii="仿宋" w:hAnsi="仿宋" w:eastAsia="仿宋" w:cs="仿宋"/>
          <w:color w:val="auto"/>
          <w:sz w:val="24"/>
        </w:rPr>
      </w:pPr>
      <w:r>
        <w:rPr>
          <w:rFonts w:hint="eastAsia" w:ascii="仿宋" w:hAnsi="仿宋" w:eastAsia="仿宋" w:cs="仿宋"/>
          <w:color w:val="auto"/>
          <w:sz w:val="24"/>
        </w:rPr>
        <w:t>商务技术偏离表………………………………………………………………（页码）</w:t>
      </w:r>
    </w:p>
    <w:p>
      <w:pPr>
        <w:numPr>
          <w:ilvl w:val="0"/>
          <w:numId w:val="15"/>
        </w:numPr>
        <w:snapToGrid w:val="0"/>
        <w:spacing w:line="360" w:lineRule="auto"/>
        <w:ind w:hanging="5"/>
        <w:rPr>
          <w:rFonts w:ascii="仿宋" w:hAnsi="仿宋" w:eastAsia="仿宋" w:cs="仿宋"/>
          <w:color w:val="auto"/>
          <w:sz w:val="24"/>
        </w:rPr>
      </w:pPr>
      <w:r>
        <w:rPr>
          <w:rFonts w:hint="eastAsia" w:ascii="仿宋" w:hAnsi="仿宋" w:eastAsia="仿宋" w:cs="仿宋"/>
          <w:color w:val="auto"/>
          <w:sz w:val="24"/>
          <w:lang w:val="zh-CN"/>
        </w:rPr>
        <w:t>政府采购供应商廉洁自律承诺书</w:t>
      </w:r>
      <w:r>
        <w:rPr>
          <w:rFonts w:hint="eastAsia" w:ascii="仿宋" w:hAnsi="仿宋" w:eastAsia="仿宋" w:cs="仿宋"/>
          <w:color w:val="auto"/>
          <w:sz w:val="24"/>
        </w:rPr>
        <w:t>……………………………………………（页码）</w:t>
      </w:r>
    </w:p>
    <w:p>
      <w:pPr>
        <w:rPr>
          <w:rFonts w:ascii="仿宋" w:hAnsi="仿宋" w:eastAsia="仿宋" w:cs="仿宋"/>
          <w:color w:val="auto"/>
          <w:lang w:val="zh-CN"/>
        </w:rPr>
      </w:pPr>
    </w:p>
    <w:p>
      <w:pPr>
        <w:rPr>
          <w:rFonts w:ascii="仿宋" w:hAnsi="仿宋" w:eastAsia="仿宋" w:cs="仿宋"/>
          <w:color w:val="auto"/>
          <w:lang w:val="zh-CN"/>
        </w:rPr>
      </w:pPr>
    </w:p>
    <w:p>
      <w:pPr>
        <w:rPr>
          <w:rFonts w:ascii="仿宋" w:hAnsi="仿宋" w:eastAsia="仿宋" w:cs="仿宋"/>
          <w:color w:val="auto"/>
          <w:lang w:val="zh-CN"/>
        </w:rPr>
      </w:pPr>
    </w:p>
    <w:p>
      <w:pPr>
        <w:rPr>
          <w:rFonts w:ascii="仿宋" w:hAnsi="仿宋" w:eastAsia="仿宋" w:cs="仿宋"/>
          <w:color w:val="auto"/>
          <w:lang w:val="zh-CN"/>
        </w:rPr>
      </w:pPr>
    </w:p>
    <w:p>
      <w:pPr>
        <w:rPr>
          <w:rFonts w:ascii="仿宋" w:hAnsi="仿宋" w:eastAsia="仿宋" w:cs="仿宋"/>
          <w:color w:val="auto"/>
          <w:lang w:val="zh-CN"/>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pPr>
        <w:snapToGrid w:val="0"/>
        <w:spacing w:line="360" w:lineRule="auto"/>
        <w:jc w:val="center"/>
        <w:outlineLvl w:val="1"/>
        <w:rPr>
          <w:rFonts w:ascii="仿宋" w:hAnsi="仿宋" w:eastAsia="仿宋" w:cs="仿宋"/>
          <w:b/>
          <w:color w:val="auto"/>
          <w:sz w:val="32"/>
          <w:szCs w:val="32"/>
        </w:rPr>
      </w:pPr>
      <w:r>
        <w:rPr>
          <w:rFonts w:hint="eastAsia" w:ascii="仿宋" w:hAnsi="仿宋" w:eastAsia="仿宋" w:cs="仿宋"/>
          <w:b/>
          <w:color w:val="auto"/>
          <w:kern w:val="0"/>
          <w:sz w:val="32"/>
          <w:szCs w:val="32"/>
        </w:rPr>
        <w:t>一、投标</w:t>
      </w:r>
      <w:r>
        <w:rPr>
          <w:rFonts w:hint="eastAsia" w:ascii="仿宋" w:hAnsi="仿宋" w:eastAsia="仿宋" w:cs="仿宋"/>
          <w:b/>
          <w:color w:val="auto"/>
          <w:sz w:val="32"/>
          <w:szCs w:val="32"/>
        </w:rPr>
        <w:t>函</w:t>
      </w:r>
    </w:p>
    <w:p>
      <w:pPr>
        <w:snapToGrid w:val="0"/>
        <w:spacing w:line="360" w:lineRule="exact"/>
        <w:rPr>
          <w:rFonts w:ascii="仿宋" w:hAnsi="仿宋" w:eastAsia="仿宋" w:cs="仿宋"/>
          <w:color w:val="auto"/>
          <w:sz w:val="24"/>
        </w:rPr>
      </w:pPr>
      <w:r>
        <w:rPr>
          <w:rFonts w:hint="eastAsia" w:ascii="仿宋" w:hAnsi="仿宋" w:eastAsia="仿宋" w:cs="仿宋"/>
          <w:color w:val="auto"/>
          <w:sz w:val="24"/>
          <w:u w:val="single"/>
        </w:rPr>
        <w:t>浙江省药品监督管理局</w:t>
      </w:r>
      <w:r>
        <w:rPr>
          <w:rFonts w:hint="eastAsia" w:ascii="仿宋" w:hAnsi="仿宋" w:eastAsia="仿宋" w:cs="仿宋"/>
          <w:color w:val="auto"/>
          <w:sz w:val="24"/>
        </w:rPr>
        <w:t>：</w:t>
      </w:r>
    </w:p>
    <w:p>
      <w:pPr>
        <w:snapToGrid w:val="0"/>
        <w:spacing w:line="360" w:lineRule="exact"/>
        <w:ind w:firstLine="480" w:firstLineChars="200"/>
        <w:rPr>
          <w:rFonts w:ascii="仿宋" w:hAnsi="仿宋" w:eastAsia="仿宋" w:cs="仿宋"/>
          <w:color w:val="auto"/>
          <w:sz w:val="24"/>
        </w:rPr>
      </w:pPr>
      <w:r>
        <w:rPr>
          <w:rFonts w:hint="eastAsia" w:ascii="仿宋" w:hAnsi="仿宋" w:eastAsia="仿宋" w:cs="仿宋"/>
          <w:color w:val="auto"/>
          <w:sz w:val="24"/>
        </w:rPr>
        <w:t>我方参加你方组织的</w:t>
      </w:r>
      <w:r>
        <w:rPr>
          <w:rFonts w:hint="eastAsia" w:ascii="仿宋" w:hAnsi="仿宋" w:eastAsia="仿宋" w:cs="仿宋"/>
          <w:color w:val="auto"/>
          <w:sz w:val="24"/>
          <w:u w:val="single"/>
        </w:rPr>
        <w:t>2023年浙江省省级药品抽检委托检验服务项目</w:t>
      </w:r>
      <w:r>
        <w:rPr>
          <w:rFonts w:hint="eastAsia" w:ascii="仿宋" w:hAnsi="仿宋" w:eastAsia="仿宋" w:cs="仿宋"/>
          <w:color w:val="auto"/>
          <w:sz w:val="24"/>
        </w:rPr>
        <w:t>【项目编号：</w:t>
      </w:r>
      <w:r>
        <w:rPr>
          <w:rFonts w:hint="eastAsia" w:ascii="仿宋" w:hAnsi="仿宋" w:eastAsia="仿宋" w:cs="仿宋"/>
          <w:color w:val="auto"/>
          <w:sz w:val="24"/>
          <w:u w:val="single"/>
        </w:rPr>
        <w:t>ZJ-2370240-02</w:t>
      </w:r>
      <w:r>
        <w:rPr>
          <w:rFonts w:hint="eastAsia" w:ascii="仿宋" w:hAnsi="仿宋" w:eastAsia="仿宋" w:cs="仿宋"/>
          <w:color w:val="auto"/>
          <w:sz w:val="24"/>
        </w:rPr>
        <w:t>】招标的有关活动，并对此项目进行投标。为此：</w:t>
      </w:r>
    </w:p>
    <w:p>
      <w:pPr>
        <w:snapToGrid w:val="0"/>
        <w:spacing w:line="360" w:lineRule="exact"/>
        <w:ind w:firstLine="420"/>
        <w:rPr>
          <w:rFonts w:ascii="仿宋" w:hAnsi="仿宋" w:eastAsia="仿宋" w:cs="仿宋"/>
          <w:color w:val="auto"/>
          <w:sz w:val="24"/>
        </w:rPr>
      </w:pPr>
      <w:r>
        <w:rPr>
          <w:rFonts w:hint="eastAsia" w:ascii="仿宋" w:hAnsi="仿宋" w:eastAsia="仿宋" w:cs="仿宋"/>
          <w:color w:val="auto"/>
          <w:sz w:val="24"/>
        </w:rPr>
        <w:t>1、我方承诺投标有效期从提交投标文件的截止之日起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本投标文件在投标有效期满之前均具有约束力。</w:t>
      </w:r>
    </w:p>
    <w:p>
      <w:pPr>
        <w:snapToGrid w:val="0"/>
        <w:spacing w:line="360" w:lineRule="exact"/>
        <w:ind w:firstLine="480" w:firstLineChars="200"/>
        <w:rPr>
          <w:rFonts w:ascii="仿宋" w:hAnsi="仿宋" w:eastAsia="仿宋" w:cs="仿宋"/>
          <w:color w:val="auto"/>
          <w:sz w:val="24"/>
        </w:rPr>
      </w:pPr>
      <w:r>
        <w:rPr>
          <w:rFonts w:hint="eastAsia" w:ascii="仿宋" w:hAnsi="仿宋" w:eastAsia="仿宋" w:cs="仿宋"/>
          <w:color w:val="auto"/>
          <w:sz w:val="24"/>
        </w:rPr>
        <w:t>2、我方的投标文件包括以下内容：</w:t>
      </w:r>
    </w:p>
    <w:p>
      <w:pPr>
        <w:snapToGrid w:val="0"/>
        <w:spacing w:line="360" w:lineRule="exact"/>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2.1资格文件：</w:t>
      </w:r>
    </w:p>
    <w:p>
      <w:pPr>
        <w:snapToGrid w:val="0"/>
        <w:spacing w:line="36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2.1.1承诺函；</w:t>
      </w:r>
    </w:p>
    <w:p>
      <w:pPr>
        <w:snapToGrid w:val="0"/>
        <w:spacing w:line="36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2.1.2联合协议（如果有)；</w:t>
      </w:r>
    </w:p>
    <w:p>
      <w:pPr>
        <w:snapToGrid w:val="0"/>
        <w:spacing w:line="36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2.1.3落实政府采购政策需满足的资格要求（如果有)</w:t>
      </w:r>
      <w:r>
        <w:rPr>
          <w:rFonts w:hint="eastAsia" w:ascii="仿宋" w:hAnsi="仿宋" w:eastAsia="仿宋" w:cs="仿宋"/>
          <w:bCs/>
          <w:color w:val="auto"/>
          <w:sz w:val="24"/>
        </w:rPr>
        <w:t>；</w:t>
      </w:r>
    </w:p>
    <w:p>
      <w:pPr>
        <w:snapToGrid w:val="0"/>
        <w:spacing w:line="36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2.1.4本项目的特定资格要求</w:t>
      </w:r>
      <w:r>
        <w:rPr>
          <w:rFonts w:hint="eastAsia" w:ascii="仿宋" w:hAnsi="仿宋" w:eastAsia="仿宋" w:cs="仿宋"/>
          <w:bCs/>
          <w:color w:val="auto"/>
          <w:sz w:val="24"/>
        </w:rPr>
        <w:t>（如果有）。</w:t>
      </w:r>
    </w:p>
    <w:p>
      <w:pPr>
        <w:snapToGrid w:val="0"/>
        <w:spacing w:line="360" w:lineRule="exact"/>
        <w:ind w:left="210" w:leftChars="100" w:firstLine="480" w:firstLineChars="200"/>
        <w:rPr>
          <w:rFonts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pPr>
        <w:snapToGrid w:val="0"/>
        <w:spacing w:line="36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2.2.1投标函；</w:t>
      </w:r>
      <w:r>
        <w:rPr>
          <w:rFonts w:hint="eastAsia" w:ascii="仿宋" w:hAnsi="仿宋" w:eastAsia="仿宋" w:cs="仿宋"/>
          <w:color w:val="auto"/>
          <w:sz w:val="24"/>
          <w:lang w:val="zh-CN"/>
        </w:rPr>
        <w:t xml:space="preserve"> </w:t>
      </w:r>
    </w:p>
    <w:p>
      <w:pPr>
        <w:snapToGrid w:val="0"/>
        <w:spacing w:line="36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pPr>
        <w:snapToGrid w:val="0"/>
        <w:spacing w:line="36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2.2.3分包意向协议（</w:t>
      </w:r>
      <w:r>
        <w:rPr>
          <w:rFonts w:hint="eastAsia" w:ascii="仿宋" w:hAnsi="仿宋" w:eastAsia="仿宋" w:cs="仿宋"/>
          <w:bCs/>
          <w:color w:val="auto"/>
          <w:sz w:val="24"/>
        </w:rPr>
        <w:t>如果有</w:t>
      </w:r>
      <w:r>
        <w:rPr>
          <w:rFonts w:hint="eastAsia" w:ascii="仿宋" w:hAnsi="仿宋" w:eastAsia="仿宋" w:cs="仿宋"/>
          <w:color w:val="auto"/>
          <w:sz w:val="24"/>
        </w:rPr>
        <w:t>）；</w:t>
      </w:r>
    </w:p>
    <w:p>
      <w:pPr>
        <w:snapToGrid w:val="0"/>
        <w:spacing w:line="36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2.2.4符合性审查资料；</w:t>
      </w:r>
    </w:p>
    <w:p>
      <w:pPr>
        <w:snapToGrid w:val="0"/>
        <w:spacing w:line="36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2.2.5评标标准相应的商务技术资料；</w:t>
      </w:r>
    </w:p>
    <w:p>
      <w:pPr>
        <w:snapToGrid w:val="0"/>
        <w:spacing w:line="36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2.2.6投标标的清单；</w:t>
      </w:r>
    </w:p>
    <w:p>
      <w:pPr>
        <w:snapToGrid w:val="0"/>
        <w:spacing w:line="36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2.2.7商务技术偏离表；</w:t>
      </w:r>
    </w:p>
    <w:p>
      <w:pPr>
        <w:snapToGrid w:val="0"/>
        <w:spacing w:line="360" w:lineRule="exact"/>
        <w:ind w:left="420" w:leftChars="200" w:firstLine="480" w:firstLineChars="200"/>
        <w:rPr>
          <w:rFonts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pPr>
        <w:snapToGrid w:val="0"/>
        <w:spacing w:line="360" w:lineRule="exact"/>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pPr>
        <w:snapToGrid w:val="0"/>
        <w:spacing w:line="36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2.3.1开标一览表（报价表）；</w:t>
      </w:r>
    </w:p>
    <w:p>
      <w:pPr>
        <w:snapToGrid w:val="0"/>
        <w:spacing w:line="36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2.3.1中小企业声明函（如果有)。</w:t>
      </w:r>
    </w:p>
    <w:p>
      <w:pPr>
        <w:snapToGrid w:val="0"/>
        <w:spacing w:line="360" w:lineRule="exact"/>
        <w:ind w:firstLine="420"/>
        <w:rPr>
          <w:rFonts w:ascii="仿宋" w:hAnsi="仿宋" w:eastAsia="仿宋" w:cs="仿宋"/>
          <w:color w:val="auto"/>
          <w:sz w:val="24"/>
        </w:rPr>
      </w:pPr>
      <w:r>
        <w:rPr>
          <w:rFonts w:hint="eastAsia" w:ascii="仿宋" w:hAnsi="仿宋" w:eastAsia="仿宋" w:cs="仿宋"/>
          <w:color w:val="auto"/>
          <w:sz w:val="24"/>
        </w:rPr>
        <w:t>3、我方承诺除商务技术偏离表列出的偏离外，我方响应招标文件的全部要求。</w:t>
      </w:r>
    </w:p>
    <w:p>
      <w:pPr>
        <w:snapToGrid w:val="0"/>
        <w:spacing w:line="360" w:lineRule="exact"/>
        <w:ind w:firstLine="420"/>
        <w:rPr>
          <w:rFonts w:ascii="仿宋" w:hAnsi="仿宋" w:eastAsia="仿宋" w:cs="仿宋"/>
          <w:color w:val="auto"/>
          <w:sz w:val="24"/>
        </w:rPr>
      </w:pPr>
      <w:r>
        <w:rPr>
          <w:rFonts w:hint="eastAsia" w:ascii="仿宋" w:hAnsi="仿宋" w:eastAsia="仿宋" w:cs="仿宋"/>
          <w:color w:val="auto"/>
          <w:sz w:val="24"/>
        </w:rPr>
        <w:t>4、如我方中标，我方承诺：</w:t>
      </w:r>
    </w:p>
    <w:p>
      <w:pPr>
        <w:snapToGrid w:val="0"/>
        <w:spacing w:line="360" w:lineRule="exact"/>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 xml:space="preserve">4.1在收到中标通知书后，在中标通知书规定的期限内与你方签订合同； </w:t>
      </w:r>
    </w:p>
    <w:p>
      <w:pPr>
        <w:snapToGrid w:val="0"/>
        <w:spacing w:line="360" w:lineRule="exact"/>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pPr>
        <w:snapToGrid w:val="0"/>
        <w:spacing w:line="360" w:lineRule="exact"/>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 xml:space="preserve">4.3按照招标文件要求提交履约保证金； </w:t>
      </w:r>
    </w:p>
    <w:p>
      <w:pPr>
        <w:snapToGrid w:val="0"/>
        <w:spacing w:line="360" w:lineRule="exact"/>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 xml:space="preserve">4.4在合同约定的期限内完成合同规定的全部义务。 </w:t>
      </w:r>
    </w:p>
    <w:p>
      <w:pPr>
        <w:snapToGrid w:val="0"/>
        <w:spacing w:line="360" w:lineRule="exact"/>
        <w:ind w:firstLine="420"/>
        <w:rPr>
          <w:rFonts w:ascii="仿宋" w:hAnsi="仿宋" w:eastAsia="仿宋" w:cs="仿宋"/>
          <w:color w:val="auto"/>
          <w:sz w:val="24"/>
        </w:rPr>
      </w:pPr>
      <w:r>
        <w:rPr>
          <w:rFonts w:hint="eastAsia" w:ascii="仿宋" w:hAnsi="仿宋" w:eastAsia="仿宋" w:cs="仿宋"/>
          <w:color w:val="auto"/>
          <w:sz w:val="24"/>
        </w:rPr>
        <w:t>5、其他补充说明:</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napToGrid w:val="0"/>
        <w:spacing w:line="360" w:lineRule="exact"/>
        <w:ind w:firstLine="3600" w:firstLineChars="1500"/>
        <w:rPr>
          <w:rFonts w:ascii="仿宋" w:hAnsi="仿宋" w:eastAsia="仿宋" w:cs="仿宋"/>
          <w:color w:val="auto"/>
          <w:sz w:val="24"/>
        </w:rPr>
      </w:pPr>
    </w:p>
    <w:p>
      <w:pPr>
        <w:snapToGrid w:val="0"/>
        <w:spacing w:line="360" w:lineRule="exact"/>
        <w:ind w:firstLine="3600" w:firstLineChars="1500"/>
        <w:rPr>
          <w:rFonts w:ascii="仿宋" w:hAnsi="仿宋" w:eastAsia="仿宋" w:cs="仿宋"/>
          <w:color w:val="auto"/>
          <w:sz w:val="24"/>
        </w:rPr>
      </w:pPr>
      <w:r>
        <w:rPr>
          <w:rFonts w:hint="eastAsia" w:ascii="仿宋" w:hAnsi="仿宋" w:eastAsia="仿宋" w:cs="仿宋"/>
          <w:color w:val="auto"/>
          <w:sz w:val="24"/>
        </w:rPr>
        <w:t xml:space="preserve">投标人名称（电子签名）：                          </w:t>
      </w:r>
    </w:p>
    <w:p>
      <w:pPr>
        <w:snapToGrid w:val="0"/>
        <w:spacing w:line="360" w:lineRule="exact"/>
        <w:jc w:val="center"/>
        <w:rPr>
          <w:rFonts w:ascii="仿宋" w:hAnsi="仿宋" w:eastAsia="仿宋" w:cs="仿宋"/>
          <w:color w:val="auto"/>
          <w:kern w:val="0"/>
          <w:sz w:val="24"/>
          <w:u w:val="single"/>
        </w:rPr>
      </w:pPr>
      <w:r>
        <w:rPr>
          <w:rFonts w:hint="eastAsia" w:ascii="仿宋" w:hAnsi="仿宋" w:eastAsia="仿宋" w:cs="仿宋"/>
          <w:color w:val="auto"/>
          <w:sz w:val="24"/>
        </w:rPr>
        <w:t xml:space="preserve">     日期：</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日</w:t>
      </w:r>
    </w:p>
    <w:p>
      <w:pPr>
        <w:spacing w:line="360" w:lineRule="auto"/>
        <w:ind w:right="420"/>
        <w:rPr>
          <w:rFonts w:ascii="仿宋" w:hAnsi="仿宋" w:eastAsia="仿宋" w:cs="仿宋"/>
          <w:color w:val="auto"/>
          <w:sz w:val="24"/>
        </w:rPr>
      </w:pPr>
    </w:p>
    <w:p>
      <w:pPr>
        <w:spacing w:line="360" w:lineRule="auto"/>
        <w:ind w:right="420"/>
        <w:rPr>
          <w:rFonts w:ascii="仿宋" w:hAnsi="仿宋" w:eastAsia="仿宋" w:cs="仿宋"/>
          <w:color w:val="auto"/>
          <w:sz w:val="24"/>
        </w:rPr>
      </w:pPr>
      <w:r>
        <w:rPr>
          <w:rFonts w:hint="eastAsia" w:ascii="仿宋" w:hAnsi="仿宋" w:eastAsia="仿宋" w:cs="仿宋"/>
          <w:color w:val="auto"/>
          <w:sz w:val="24"/>
        </w:rPr>
        <w:t>注：按本格式和要求提供。</w:t>
      </w:r>
    </w:p>
    <w:p>
      <w:pPr>
        <w:rPr>
          <w:rFonts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pPr>
        <w:snapToGrid w:val="0"/>
        <w:spacing w:line="360" w:lineRule="auto"/>
        <w:jc w:val="center"/>
        <w:outlineLvl w:val="1"/>
        <w:rPr>
          <w:rFonts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二、授权委托书或法定代表人（单位负责人、自然人本人）身份证明</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 xml:space="preserve">                                </w:t>
      </w:r>
    </w:p>
    <w:p>
      <w:pPr>
        <w:snapToGrid w:val="0"/>
        <w:spacing w:line="360" w:lineRule="auto"/>
        <w:jc w:val="center"/>
        <w:rPr>
          <w:rFonts w:ascii="仿宋" w:hAnsi="仿宋" w:eastAsia="仿宋" w:cs="仿宋"/>
          <w:color w:val="auto"/>
        </w:rPr>
      </w:pPr>
      <w:r>
        <w:rPr>
          <w:rFonts w:hint="eastAsia" w:ascii="仿宋" w:hAnsi="仿宋" w:eastAsia="仿宋" w:cs="仿宋"/>
          <w:b/>
          <w:color w:val="auto"/>
          <w:kern w:val="0"/>
          <w:sz w:val="32"/>
          <w:szCs w:val="32"/>
          <w:lang w:val="zh-CN"/>
        </w:rPr>
        <w:t>授权委托书（适用于非联合体投标）</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sz w:val="24"/>
          <w:u w:val="single"/>
        </w:rPr>
        <w:t>浙江省药品监督管理局</w:t>
      </w:r>
      <w:r>
        <w:rPr>
          <w:rFonts w:hint="eastAsia" w:ascii="仿宋" w:hAnsi="仿宋" w:eastAsia="仿宋" w:cs="仿宋"/>
          <w:color w:val="auto"/>
          <w:kern w:val="0"/>
          <w:sz w:val="24"/>
          <w:lang w:val="zh-CN"/>
        </w:rPr>
        <w:t>：</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u w:val="single"/>
        </w:rPr>
        <w:t>2023年浙江省省级药品抽检委托检验服务项目</w:t>
      </w:r>
      <w:r>
        <w:rPr>
          <w:rFonts w:hint="eastAsia" w:ascii="仿宋" w:hAnsi="仿宋" w:eastAsia="仿宋" w:cs="仿宋"/>
          <w:color w:val="auto"/>
          <w:sz w:val="24"/>
        </w:rPr>
        <w:t>【项目编号：</w:t>
      </w:r>
      <w:r>
        <w:rPr>
          <w:rFonts w:hint="eastAsia" w:ascii="仿宋" w:hAnsi="仿宋" w:eastAsia="仿宋" w:cs="仿宋"/>
          <w:color w:val="auto"/>
          <w:sz w:val="24"/>
          <w:u w:val="single"/>
        </w:rPr>
        <w:t>ZJ-2370240-02</w:t>
      </w:r>
      <w:r>
        <w:rPr>
          <w:rFonts w:hint="eastAsia" w:ascii="仿宋" w:hAnsi="仿宋" w:eastAsia="仿宋" w:cs="仿宋"/>
          <w:color w:val="auto"/>
          <w:sz w:val="24"/>
        </w:rPr>
        <w:t>】</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日止。</w:t>
      </w:r>
    </w:p>
    <w:p>
      <w:pPr>
        <w:snapToGrid w:val="0"/>
        <w:spacing w:line="360" w:lineRule="auto"/>
        <w:ind w:firstLine="576"/>
        <w:rPr>
          <w:rFonts w:ascii="仿宋" w:hAnsi="仿宋" w:eastAsia="仿宋" w:cs="仿宋"/>
          <w:color w:val="auto"/>
          <w:kern w:val="0"/>
          <w:sz w:val="24"/>
        </w:rPr>
      </w:pPr>
      <w:r>
        <w:rPr>
          <w:rFonts w:hint="eastAsia" w:ascii="仿宋" w:hAnsi="仿宋" w:eastAsia="仿宋" w:cs="仿宋"/>
          <w:color w:val="auto"/>
          <w:kern w:val="0"/>
          <w:sz w:val="24"/>
          <w:lang w:val="zh-CN"/>
        </w:rPr>
        <w:t>特此告知。</w:t>
      </w:r>
    </w:p>
    <w:p>
      <w:pPr>
        <w:snapToGrid w:val="0"/>
        <w:spacing w:line="360" w:lineRule="auto"/>
        <w:ind w:firstLine="3360" w:firstLineChars="1400"/>
        <w:rPr>
          <w:rFonts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pPr>
        <w:snapToGrid w:val="0"/>
        <w:spacing w:line="360" w:lineRule="auto"/>
        <w:ind w:firstLine="3360" w:firstLineChars="1400"/>
        <w:rPr>
          <w:rFonts w:ascii="仿宋" w:hAnsi="仿宋" w:eastAsia="仿宋" w:cs="仿宋"/>
          <w:color w:val="auto"/>
          <w:kern w:val="0"/>
          <w:sz w:val="24"/>
          <w:lang w:val="zh-CN"/>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日</w:t>
      </w:r>
    </w:p>
    <w:p>
      <w:pPr>
        <w:snapToGrid w:val="0"/>
        <w:spacing w:line="360" w:lineRule="auto"/>
        <w:rPr>
          <w:rFonts w:ascii="仿宋" w:hAnsi="仿宋" w:eastAsia="仿宋" w:cs="仿宋"/>
          <w:color w:val="auto"/>
          <w:sz w:val="24"/>
        </w:rPr>
      </w:pPr>
    </w:p>
    <w:p>
      <w:pPr>
        <w:snapToGrid w:val="0"/>
        <w:spacing w:line="360" w:lineRule="auto"/>
        <w:rPr>
          <w:rFonts w:ascii="仿宋" w:hAnsi="仿宋" w:eastAsia="仿宋" w:cs="仿宋"/>
          <w:color w:val="auto"/>
          <w:sz w:val="24"/>
        </w:rPr>
      </w:pPr>
    </w:p>
    <w:p>
      <w:pPr>
        <w:snapToGrid w:val="0"/>
        <w:spacing w:line="360" w:lineRule="auto"/>
        <w:rPr>
          <w:rFonts w:ascii="仿宋" w:hAnsi="仿宋" w:eastAsia="仿宋" w:cs="仿宋"/>
          <w:color w:val="auto"/>
          <w:sz w:val="24"/>
        </w:rPr>
      </w:pPr>
    </w:p>
    <w:p>
      <w:pPr>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lang w:val="zh-CN"/>
        </w:rPr>
        <w:t xml:space="preserve">      </w:t>
      </w:r>
      <w:r>
        <w:rPr>
          <w:rFonts w:hint="eastAsia" w:ascii="仿宋" w:hAnsi="仿宋" w:eastAsia="仿宋" w:cs="仿宋"/>
          <w:b/>
          <w:color w:val="auto"/>
          <w:kern w:val="0"/>
          <w:sz w:val="32"/>
          <w:szCs w:val="32"/>
        </w:rPr>
        <w:t xml:space="preserve"> </w:t>
      </w:r>
      <w:r>
        <w:rPr>
          <w:rFonts w:hint="eastAsia" w:ascii="仿宋" w:hAnsi="仿宋" w:eastAsia="仿宋" w:cs="仿宋"/>
          <w:b/>
          <w:color w:val="auto"/>
          <w:kern w:val="0"/>
          <w:sz w:val="32"/>
          <w:szCs w:val="32"/>
          <w:lang w:val="zh-CN"/>
        </w:rPr>
        <w:t>授权委托书（适用于联合体投标）</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sz w:val="24"/>
          <w:u w:val="single"/>
        </w:rPr>
        <w:t>浙江省药品监督管理局</w:t>
      </w:r>
      <w:r>
        <w:rPr>
          <w:rFonts w:hint="eastAsia" w:ascii="仿宋" w:hAnsi="仿宋" w:eastAsia="仿宋" w:cs="仿宋"/>
          <w:color w:val="auto"/>
          <w:kern w:val="0"/>
          <w:sz w:val="24"/>
          <w:lang w:val="zh-CN"/>
        </w:rPr>
        <w:t>：</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u w:val="single"/>
        </w:rPr>
        <w:t>2023年浙江省省级药品抽检委托检验服务项目</w:t>
      </w:r>
      <w:r>
        <w:rPr>
          <w:rFonts w:hint="eastAsia" w:ascii="仿宋" w:hAnsi="仿宋" w:eastAsia="仿宋" w:cs="仿宋"/>
          <w:color w:val="auto"/>
          <w:sz w:val="24"/>
        </w:rPr>
        <w:t>【项目编号：</w:t>
      </w:r>
      <w:r>
        <w:rPr>
          <w:rFonts w:hint="eastAsia" w:ascii="仿宋" w:hAnsi="仿宋" w:eastAsia="仿宋" w:cs="仿宋"/>
          <w:color w:val="auto"/>
          <w:sz w:val="24"/>
          <w:u w:val="single"/>
        </w:rPr>
        <w:t>ZJ-2370240-02</w:t>
      </w:r>
      <w:r>
        <w:rPr>
          <w:rFonts w:hint="eastAsia" w:ascii="仿宋" w:hAnsi="仿宋" w:eastAsia="仿宋" w:cs="仿宋"/>
          <w:color w:val="auto"/>
          <w:sz w:val="24"/>
        </w:rPr>
        <w:t>】</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rPr>
        <w:t>委托期限：</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日止。</w:t>
      </w:r>
    </w:p>
    <w:p>
      <w:pPr>
        <w:snapToGrid w:val="0"/>
        <w:spacing w:line="360" w:lineRule="auto"/>
        <w:ind w:firstLine="576"/>
        <w:rPr>
          <w:rFonts w:ascii="仿宋" w:hAnsi="仿宋" w:eastAsia="仿宋" w:cs="仿宋"/>
          <w:color w:val="auto"/>
          <w:kern w:val="0"/>
          <w:sz w:val="24"/>
        </w:rPr>
      </w:pPr>
      <w:r>
        <w:rPr>
          <w:rFonts w:hint="eastAsia" w:ascii="仿宋" w:hAnsi="仿宋" w:eastAsia="仿宋" w:cs="仿宋"/>
          <w:color w:val="auto"/>
          <w:kern w:val="0"/>
          <w:sz w:val="24"/>
          <w:lang w:val="zh-CN"/>
        </w:rPr>
        <w:t>特此告知。</w:t>
      </w: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rPr>
          <w:rFonts w:ascii="仿宋" w:hAnsi="仿宋" w:eastAsia="仿宋" w:cs="仿宋"/>
          <w:color w:val="auto"/>
        </w:rPr>
      </w:pPr>
    </w:p>
    <w:p>
      <w:pPr>
        <w:snapToGrid w:val="0"/>
        <w:spacing w:line="360" w:lineRule="auto"/>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760" w:firstLineChars="2400"/>
        <w:rPr>
          <w:rFonts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日</w:t>
      </w:r>
    </w:p>
    <w:p>
      <w:pPr>
        <w:rPr>
          <w:rFonts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br w:type="page"/>
      </w:r>
    </w:p>
    <w:p>
      <w:pPr>
        <w:autoSpaceDE w:val="0"/>
        <w:autoSpaceDN w:val="0"/>
        <w:spacing w:line="360" w:lineRule="auto"/>
        <w:jc w:val="center"/>
        <w:rPr>
          <w:rFonts w:ascii="仿宋" w:hAnsi="仿宋" w:eastAsia="仿宋" w:cs="仿宋"/>
          <w:b/>
          <w:color w:val="auto"/>
          <w:kern w:val="0"/>
          <w:sz w:val="32"/>
          <w:szCs w:val="32"/>
          <w:lang w:val="zh-CN"/>
        </w:rPr>
      </w:pPr>
    </w:p>
    <w:p>
      <w:pPr>
        <w:autoSpaceDE w:val="0"/>
        <w:autoSpaceDN w:val="0"/>
        <w:spacing w:line="360" w:lineRule="auto"/>
        <w:jc w:val="center"/>
        <w:rPr>
          <w:rFonts w:ascii="仿宋" w:hAnsi="仿宋" w:eastAsia="仿宋" w:cs="仿宋"/>
          <w:b/>
          <w:color w:val="auto"/>
          <w:sz w:val="24"/>
        </w:rPr>
      </w:pPr>
      <w:r>
        <w:rPr>
          <w:rFonts w:hint="eastAsia" w:ascii="仿宋" w:hAnsi="仿宋" w:eastAsia="仿宋" w:cs="仿宋"/>
          <w:b/>
          <w:color w:val="auto"/>
          <w:kern w:val="0"/>
          <w:sz w:val="32"/>
          <w:szCs w:val="32"/>
          <w:lang w:val="zh-CN"/>
        </w:rPr>
        <w:t>法定代表人、单位负责人或自然人本人</w:t>
      </w:r>
      <w:r>
        <w:rPr>
          <w:rFonts w:hint="eastAsia" w:ascii="仿宋" w:hAnsi="仿宋" w:eastAsia="仿宋" w:cs="仿宋"/>
          <w:b/>
          <w:color w:val="auto"/>
          <w:sz w:val="30"/>
          <w:szCs w:val="30"/>
        </w:rPr>
        <w:t>的身份证明（适用于法定代表人、单位负责人或者自然人本人代表投标人参加投标）</w:t>
      </w:r>
    </w:p>
    <w:p>
      <w:pPr>
        <w:pStyle w:val="151"/>
        <w:spacing w:line="360" w:lineRule="auto"/>
        <w:rPr>
          <w:rFonts w:ascii="仿宋" w:hAnsi="仿宋" w:eastAsia="仿宋" w:cs="仿宋"/>
          <w:bCs/>
          <w:color w:val="auto"/>
          <w:sz w:val="24"/>
        </w:rPr>
      </w:pPr>
      <w:r>
        <w:rPr>
          <w:rFonts w:hint="eastAsia" w:ascii="仿宋" w:hAnsi="仿宋" w:eastAsia="仿宋" w:cs="仿宋"/>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ascii="仿宋" w:hAnsi="仿宋" w:eastAsia="仿宋" w:cs="仿宋"/>
                <w:bCs/>
                <w:color w:val="auto"/>
                <w:sz w:val="24"/>
              </w:rPr>
            </w:pPr>
            <w:r>
              <w:rPr>
                <w:rFonts w:hint="eastAsia" w:ascii="仿宋" w:hAnsi="仿宋" w:eastAsia="仿宋" w:cs="仿宋"/>
                <w:bCs/>
                <w:color w:val="auto"/>
                <w:sz w:val="24"/>
              </w:rPr>
              <w:t>正面：                                 反面：</w:t>
            </w:r>
          </w:p>
          <w:p>
            <w:pPr>
              <w:pStyle w:val="151"/>
              <w:adjustRightInd w:val="0"/>
              <w:spacing w:line="360" w:lineRule="auto"/>
              <w:rPr>
                <w:rFonts w:ascii="仿宋" w:hAnsi="仿宋" w:eastAsia="仿宋" w:cs="仿宋"/>
                <w:bCs/>
                <w:color w:val="auto"/>
                <w:sz w:val="24"/>
              </w:rPr>
            </w:pPr>
          </w:p>
        </w:tc>
      </w:tr>
    </w:tbl>
    <w:p>
      <w:pPr>
        <w:snapToGrid w:val="0"/>
        <w:spacing w:line="360" w:lineRule="auto"/>
        <w:ind w:firstLine="576"/>
        <w:jc w:val="center"/>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pPr>
        <w:snapToGrid w:val="0"/>
        <w:spacing w:line="360" w:lineRule="auto"/>
        <w:ind w:firstLine="3360" w:firstLineChars="1400"/>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投标人名称(电子签名)：                              </w:t>
      </w:r>
    </w:p>
    <w:p>
      <w:pPr>
        <w:spacing w:line="360" w:lineRule="auto"/>
        <w:ind w:firstLine="3360" w:firstLineChars="1400"/>
        <w:rPr>
          <w:rFonts w:ascii="仿宋" w:hAnsi="仿宋" w:eastAsia="仿宋" w:cs="仿宋"/>
          <w:color w:val="auto"/>
          <w:kern w:val="0"/>
          <w:sz w:val="24"/>
          <w:lang w:val="zh-CN"/>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日</w:t>
      </w: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rPr>
          <w:rFonts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pPr>
        <w:snapToGrid w:val="0"/>
        <w:spacing w:line="360" w:lineRule="auto"/>
        <w:jc w:val="center"/>
        <w:outlineLvl w:val="1"/>
        <w:rPr>
          <w:rFonts w:ascii="仿宋" w:hAnsi="仿宋" w:eastAsia="仿宋" w:cs="仿宋"/>
          <w:b/>
          <w:color w:val="auto"/>
          <w:kern w:val="0"/>
          <w:sz w:val="32"/>
          <w:szCs w:val="32"/>
          <w:lang w:val="zh-CN"/>
        </w:rPr>
      </w:pPr>
    </w:p>
    <w:p>
      <w:pPr>
        <w:snapToGrid w:val="0"/>
        <w:spacing w:line="360" w:lineRule="auto"/>
        <w:jc w:val="center"/>
        <w:outlineLvl w:val="1"/>
        <w:rPr>
          <w:rFonts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三、分包意向协议（如果有）</w:t>
      </w:r>
    </w:p>
    <w:p>
      <w:pPr>
        <w:widowControl/>
        <w:spacing w:line="360" w:lineRule="auto"/>
        <w:ind w:firstLine="482" w:firstLineChars="200"/>
        <w:jc w:val="left"/>
        <w:rPr>
          <w:rFonts w:ascii="仿宋" w:hAnsi="仿宋" w:eastAsia="仿宋" w:cs="仿宋"/>
          <w:color w:val="auto"/>
          <w:sz w:val="24"/>
        </w:rPr>
      </w:pPr>
      <w:r>
        <w:rPr>
          <w:rFonts w:hint="eastAsia" w:ascii="仿宋" w:hAnsi="仿宋" w:eastAsia="仿宋" w:cs="仿宋"/>
          <w:b/>
          <w:color w:val="auto"/>
          <w:sz w:val="24"/>
        </w:rPr>
        <w:t>[中标后以分包方式履行合同的，提供分包意向协议(附件6)；采购人不同意分包或者投标人中标后不以分包方式履行合同的，则不需要提供。]</w:t>
      </w:r>
    </w:p>
    <w:p>
      <w:pPr>
        <w:rPr>
          <w:rFonts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br w:type="page"/>
      </w:r>
    </w:p>
    <w:p>
      <w:pPr>
        <w:snapToGrid w:val="0"/>
        <w:spacing w:line="360" w:lineRule="auto"/>
        <w:jc w:val="center"/>
        <w:outlineLvl w:val="1"/>
        <w:rPr>
          <w:rFonts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四、符合性审查资料</w:t>
      </w:r>
    </w:p>
    <w:p>
      <w:pPr>
        <w:jc w:val="center"/>
        <w:rPr>
          <w:rFonts w:ascii="仿宋" w:hAnsi="仿宋" w:eastAsia="仿宋" w:cs="仿宋"/>
          <w:b/>
          <w:color w:val="auto"/>
          <w:kern w:val="0"/>
          <w:sz w:val="32"/>
          <w:szCs w:val="32"/>
        </w:rPr>
      </w:pPr>
    </w:p>
    <w:tbl>
      <w:tblPr>
        <w:tblStyle w:val="63"/>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序号</w:t>
            </w:r>
          </w:p>
        </w:tc>
        <w:tc>
          <w:tcPr>
            <w:tcW w:w="4245" w:type="dxa"/>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实质性要求</w:t>
            </w:r>
          </w:p>
        </w:tc>
        <w:tc>
          <w:tcPr>
            <w:tcW w:w="2551" w:type="dxa"/>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需要提供的符合性审查资料</w:t>
            </w:r>
          </w:p>
        </w:tc>
        <w:tc>
          <w:tcPr>
            <w:tcW w:w="1672" w:type="dxa"/>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ascii="仿宋" w:hAnsi="仿宋" w:eastAsia="仿宋" w:cs="仿宋"/>
                <w:bCs/>
                <w:color w:val="auto"/>
                <w:sz w:val="24"/>
              </w:rPr>
            </w:pPr>
            <w:r>
              <w:rPr>
                <w:rFonts w:hint="eastAsia" w:ascii="仿宋" w:hAnsi="仿宋" w:eastAsia="仿宋" w:cs="仿宋"/>
                <w:bCs/>
                <w:color w:val="auto"/>
                <w:sz w:val="24"/>
              </w:rPr>
              <w:t>1</w:t>
            </w:r>
          </w:p>
        </w:tc>
        <w:tc>
          <w:tcPr>
            <w:tcW w:w="4245" w:type="dxa"/>
            <w:vAlign w:val="center"/>
          </w:tcPr>
          <w:p>
            <w:pPr>
              <w:snapToGrid w:val="0"/>
              <w:spacing w:line="400" w:lineRule="exact"/>
              <w:rPr>
                <w:rFonts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2551" w:type="dxa"/>
            <w:vAlign w:val="center"/>
          </w:tcPr>
          <w:p>
            <w:pPr>
              <w:snapToGrid w:val="0"/>
              <w:spacing w:line="400" w:lineRule="exact"/>
              <w:rPr>
                <w:rFonts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c>
          <w:tcPr>
            <w:tcW w:w="1672" w:type="dxa"/>
            <w:vAlign w:val="center"/>
          </w:tcPr>
          <w:p>
            <w:pPr>
              <w:snapToGrid w:val="0"/>
              <w:spacing w:line="400" w:lineRule="exact"/>
              <w:rPr>
                <w:rFonts w:ascii="仿宋" w:hAnsi="仿宋" w:eastAsia="仿宋" w:cs="仿宋"/>
                <w:color w:val="auto"/>
                <w:sz w:val="24"/>
              </w:rPr>
            </w:pPr>
            <w:r>
              <w:rPr>
                <w:rFonts w:hint="eastAsia" w:ascii="仿宋" w:hAnsi="仿宋" w:eastAsia="仿宋" w:cs="仿宋"/>
                <w:color w:val="auto"/>
                <w:sz w:val="24"/>
              </w:rPr>
              <w:t>见投标文件</w:t>
            </w:r>
          </w:p>
          <w:p>
            <w:pPr>
              <w:snapToGrid w:val="0"/>
              <w:spacing w:line="400" w:lineRule="exact"/>
              <w:rPr>
                <w:rFonts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ascii="仿宋" w:hAnsi="仿宋" w:eastAsia="仿宋" w:cs="仿宋"/>
                <w:bCs/>
                <w:color w:val="auto"/>
                <w:sz w:val="24"/>
              </w:rPr>
            </w:pPr>
            <w:r>
              <w:rPr>
                <w:rFonts w:hint="eastAsia" w:ascii="仿宋" w:hAnsi="仿宋" w:eastAsia="仿宋" w:cs="仿宋"/>
                <w:bCs/>
                <w:color w:val="auto"/>
                <w:sz w:val="24"/>
              </w:rPr>
              <w:t>2</w:t>
            </w:r>
          </w:p>
        </w:tc>
        <w:tc>
          <w:tcPr>
            <w:tcW w:w="4245" w:type="dxa"/>
            <w:vAlign w:val="center"/>
          </w:tcPr>
          <w:p>
            <w:pPr>
              <w:snapToGrid w:val="0"/>
              <w:spacing w:line="400" w:lineRule="exact"/>
              <w:rPr>
                <w:rFonts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2551" w:type="dxa"/>
            <w:vAlign w:val="center"/>
          </w:tcPr>
          <w:p>
            <w:pPr>
              <w:snapToGrid w:val="0"/>
              <w:spacing w:line="400" w:lineRule="exact"/>
              <w:rPr>
                <w:rFonts w:ascii="仿宋" w:hAnsi="仿宋" w:eastAsia="仿宋" w:cs="仿宋"/>
                <w:color w:val="auto"/>
                <w:sz w:val="24"/>
              </w:rPr>
            </w:pPr>
            <w:r>
              <w:rPr>
                <w:rFonts w:hint="eastAsia" w:ascii="仿宋" w:hAnsi="仿宋" w:eastAsia="仿宋" w:cs="仿宋"/>
                <w:color w:val="auto"/>
                <w:sz w:val="24"/>
              </w:rPr>
              <w:t>投标函</w:t>
            </w:r>
          </w:p>
        </w:tc>
        <w:tc>
          <w:tcPr>
            <w:tcW w:w="1672" w:type="dxa"/>
            <w:vAlign w:val="center"/>
          </w:tcPr>
          <w:p>
            <w:pPr>
              <w:snapToGrid w:val="0"/>
              <w:spacing w:line="400" w:lineRule="exact"/>
              <w:rPr>
                <w:rFonts w:ascii="仿宋" w:hAnsi="仿宋" w:eastAsia="仿宋" w:cs="仿宋"/>
                <w:color w:val="auto"/>
                <w:sz w:val="24"/>
              </w:rPr>
            </w:pPr>
            <w:r>
              <w:rPr>
                <w:rFonts w:hint="eastAsia" w:ascii="仿宋" w:hAnsi="仿宋" w:eastAsia="仿宋" w:cs="仿宋"/>
                <w:color w:val="auto"/>
                <w:sz w:val="24"/>
              </w:rPr>
              <w:t>见投标文件</w:t>
            </w:r>
          </w:p>
          <w:p>
            <w:pPr>
              <w:snapToGrid w:val="0"/>
              <w:spacing w:line="400" w:lineRule="exact"/>
              <w:rPr>
                <w:rFonts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ascii="仿宋" w:hAnsi="仿宋" w:eastAsia="仿宋" w:cs="仿宋"/>
                <w:bCs/>
                <w:color w:val="auto"/>
                <w:sz w:val="24"/>
              </w:rPr>
            </w:pPr>
            <w:r>
              <w:rPr>
                <w:rFonts w:hint="eastAsia" w:ascii="仿宋" w:hAnsi="仿宋" w:eastAsia="仿宋" w:cs="仿宋"/>
                <w:bCs/>
                <w:color w:val="auto"/>
                <w:sz w:val="24"/>
              </w:rPr>
              <w:t>3</w:t>
            </w:r>
          </w:p>
        </w:tc>
        <w:tc>
          <w:tcPr>
            <w:tcW w:w="4245" w:type="dxa"/>
            <w:vAlign w:val="center"/>
          </w:tcPr>
          <w:p>
            <w:pPr>
              <w:snapToGrid w:val="0"/>
              <w:spacing w:line="400" w:lineRule="exact"/>
              <w:rPr>
                <w:rFonts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2551" w:type="dxa"/>
            <w:vAlign w:val="center"/>
          </w:tcPr>
          <w:p>
            <w:pPr>
              <w:snapToGrid w:val="0"/>
              <w:spacing w:line="400" w:lineRule="exact"/>
              <w:rPr>
                <w:rFonts w:ascii="仿宋" w:hAnsi="仿宋" w:eastAsia="仿宋" w:cs="仿宋"/>
                <w:color w:val="auto"/>
                <w:sz w:val="24"/>
              </w:rPr>
            </w:pPr>
            <w:r>
              <w:rPr>
                <w:rFonts w:hint="eastAsia" w:ascii="仿宋" w:hAnsi="仿宋" w:eastAsia="仿宋" w:cs="仿宋"/>
                <w:color w:val="auto"/>
                <w:kern w:val="0"/>
                <w:sz w:val="24"/>
              </w:rPr>
              <w:t>招标文件其它实质性要求相应的材料（“▲” 系指实质性要求条款，招标文件无其它实质性要求的，无需提供）</w:t>
            </w:r>
          </w:p>
        </w:tc>
        <w:tc>
          <w:tcPr>
            <w:tcW w:w="1672" w:type="dxa"/>
            <w:vAlign w:val="center"/>
          </w:tcPr>
          <w:p>
            <w:pPr>
              <w:snapToGrid w:val="0"/>
              <w:spacing w:line="400" w:lineRule="exact"/>
              <w:rPr>
                <w:rFonts w:ascii="仿宋" w:hAnsi="仿宋" w:eastAsia="仿宋" w:cs="仿宋"/>
                <w:color w:val="auto"/>
                <w:sz w:val="24"/>
              </w:rPr>
            </w:pPr>
            <w:r>
              <w:rPr>
                <w:rFonts w:hint="eastAsia" w:ascii="仿宋" w:hAnsi="仿宋" w:eastAsia="仿宋" w:cs="仿宋"/>
                <w:color w:val="auto"/>
                <w:sz w:val="24"/>
              </w:rPr>
              <w:t>见投标文件</w:t>
            </w:r>
          </w:p>
          <w:p>
            <w:pPr>
              <w:snapToGrid w:val="0"/>
              <w:spacing w:line="400" w:lineRule="exact"/>
              <w:rPr>
                <w:rFonts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pPr>
        <w:spacing w:line="360" w:lineRule="auto"/>
        <w:ind w:right="420"/>
        <w:rPr>
          <w:rFonts w:ascii="仿宋" w:hAnsi="仿宋" w:eastAsia="仿宋" w:cs="仿宋"/>
          <w:color w:val="auto"/>
          <w:sz w:val="24"/>
        </w:rPr>
      </w:pPr>
      <w:r>
        <w:rPr>
          <w:rFonts w:hint="eastAsia" w:ascii="仿宋" w:hAnsi="仿宋" w:eastAsia="仿宋" w:cs="仿宋"/>
          <w:color w:val="auto"/>
          <w:sz w:val="24"/>
        </w:rPr>
        <w:t>注：按本格式和要求提供。</w:t>
      </w: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 xml:space="preserve">            </w:t>
      </w: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rPr>
          <w:rFonts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pPr>
        <w:snapToGrid w:val="0"/>
        <w:spacing w:line="360" w:lineRule="auto"/>
        <w:jc w:val="center"/>
        <w:outlineLvl w:val="1"/>
        <w:rPr>
          <w:rFonts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五、评标标准相应的商务技术资料</w:t>
      </w:r>
    </w:p>
    <w:p>
      <w:pPr>
        <w:snapToGrid w:val="0"/>
        <w:spacing w:line="360" w:lineRule="auto"/>
        <w:jc w:val="left"/>
        <w:rPr>
          <w:rFonts w:ascii="仿宋" w:hAnsi="仿宋" w:eastAsia="仿宋" w:cs="仿宋"/>
          <w:b/>
          <w:color w:val="auto"/>
          <w:sz w:val="24"/>
        </w:rPr>
      </w:pPr>
    </w:p>
    <w:p>
      <w:pPr>
        <w:snapToGrid w:val="0"/>
        <w:spacing w:line="360" w:lineRule="auto"/>
        <w:jc w:val="left"/>
        <w:rPr>
          <w:rFonts w:ascii="仿宋" w:hAnsi="仿宋" w:eastAsia="仿宋" w:cs="仿宋"/>
          <w:b/>
          <w:color w:val="auto"/>
          <w:sz w:val="24"/>
        </w:rPr>
      </w:pPr>
      <w:r>
        <w:rPr>
          <w:rFonts w:hint="eastAsia" w:ascii="仿宋" w:hAnsi="仿宋" w:eastAsia="仿宋" w:cs="仿宋"/>
          <w:b/>
          <w:color w:val="auto"/>
          <w:sz w:val="24"/>
        </w:rPr>
        <w:t>（按招标文件第四部分评标办法前附表中“投标文件中评标标准相应的商务技术资料目录”提供资料）</w:t>
      </w: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rPr>
          <w:rFonts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pPr>
        <w:snapToGrid w:val="0"/>
        <w:spacing w:line="360" w:lineRule="auto"/>
        <w:jc w:val="center"/>
        <w:outlineLvl w:val="1"/>
        <w:rPr>
          <w:rFonts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rPr>
            </w:pPr>
          </w:p>
        </w:tc>
      </w:tr>
    </w:tbl>
    <w:p>
      <w:pPr>
        <w:spacing w:line="360" w:lineRule="auto"/>
        <w:ind w:right="420"/>
        <w:rPr>
          <w:rFonts w:ascii="仿宋" w:hAnsi="仿宋" w:eastAsia="仿宋" w:cs="仿宋"/>
          <w:color w:val="auto"/>
          <w:sz w:val="24"/>
        </w:rPr>
      </w:pPr>
      <w:r>
        <w:rPr>
          <w:rFonts w:hint="eastAsia" w:ascii="仿宋" w:hAnsi="仿宋" w:eastAsia="仿宋" w:cs="仿宋"/>
          <w:color w:val="auto"/>
          <w:sz w:val="24"/>
        </w:rPr>
        <w:t>注：按本格式和要求提供。</w:t>
      </w: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br w:type="page"/>
      </w:r>
    </w:p>
    <w:p>
      <w:pPr>
        <w:snapToGrid w:val="0"/>
        <w:spacing w:line="360" w:lineRule="auto"/>
        <w:jc w:val="center"/>
        <w:outlineLvl w:val="1"/>
        <w:rPr>
          <w:rFonts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七、商务技术偏离表</w:t>
      </w:r>
    </w:p>
    <w:p>
      <w:pPr>
        <w:jc w:val="center"/>
        <w:rPr>
          <w:rFonts w:ascii="仿宋" w:hAnsi="仿宋" w:eastAsia="仿宋" w:cs="仿宋"/>
          <w:b/>
          <w:bCs/>
          <w:color w:val="auto"/>
          <w:sz w:val="24"/>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 w:hAnsi="仿宋" w:eastAsia="仿宋" w:cs="仿宋"/>
                <w:b/>
                <w:bCs/>
                <w:color w:val="auto"/>
                <w:sz w:val="24"/>
              </w:rPr>
            </w:pPr>
            <w:r>
              <w:rPr>
                <w:rFonts w:hint="eastAsia" w:ascii="仿宋" w:hAnsi="仿宋" w:eastAsia="仿宋" w:cs="仿宋"/>
                <w:b/>
                <w:bCs/>
                <w:color w:val="auto"/>
                <w:sz w:val="24"/>
              </w:rPr>
              <w:t>序号</w:t>
            </w:r>
          </w:p>
        </w:tc>
        <w:tc>
          <w:tcPr>
            <w:tcW w:w="3683" w:type="dxa"/>
            <w:vAlign w:val="center"/>
          </w:tcPr>
          <w:p>
            <w:pPr>
              <w:snapToGrid w:val="0"/>
              <w:spacing w:line="400" w:lineRule="exact"/>
              <w:jc w:val="center"/>
              <w:rPr>
                <w:rFonts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546" w:type="dxa"/>
            <w:vAlign w:val="center"/>
          </w:tcPr>
          <w:p>
            <w:pPr>
              <w:snapToGrid w:val="0"/>
              <w:spacing w:line="400" w:lineRule="exact"/>
              <w:jc w:val="center"/>
              <w:rPr>
                <w:rFonts w:ascii="仿宋" w:hAnsi="仿宋" w:eastAsia="仿宋" w:cs="仿宋"/>
                <w:b/>
                <w:bCs/>
                <w:color w:val="auto"/>
                <w:sz w:val="24"/>
              </w:rPr>
            </w:pPr>
            <w:r>
              <w:rPr>
                <w:rFonts w:hint="eastAsia" w:ascii="仿宋" w:hAnsi="仿宋" w:eastAsia="仿宋" w:cs="仿宋"/>
                <w:b/>
                <w:bCs/>
                <w:color w:val="auto"/>
                <w:sz w:val="24"/>
              </w:rPr>
              <w:t>投标文件章节及具体内容</w:t>
            </w:r>
          </w:p>
        </w:tc>
        <w:tc>
          <w:tcPr>
            <w:tcW w:w="1276" w:type="dxa"/>
            <w:vAlign w:val="center"/>
          </w:tcPr>
          <w:p>
            <w:pPr>
              <w:snapToGrid w:val="0"/>
              <w:spacing w:line="400" w:lineRule="exact"/>
              <w:jc w:val="center"/>
              <w:rPr>
                <w:rFonts w:ascii="仿宋" w:hAnsi="仿宋" w:eastAsia="仿宋" w:cs="仿宋"/>
                <w:b/>
                <w:bCs/>
                <w:color w:val="auto"/>
                <w:sz w:val="24"/>
              </w:rPr>
            </w:pPr>
            <w:r>
              <w:rPr>
                <w:rFonts w:hint="eastAsia" w:ascii="仿宋" w:hAnsi="仿宋" w:eastAsia="仿宋" w:cs="仿宋"/>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 w:hAnsi="仿宋" w:eastAsia="仿宋" w:cs="仿宋"/>
                <w:color w:val="auto"/>
                <w:kern w:val="0"/>
                <w:sz w:val="24"/>
              </w:rPr>
            </w:pPr>
            <w:r>
              <w:rPr>
                <w:rFonts w:hint="eastAsia" w:ascii="仿宋" w:hAnsi="仿宋" w:eastAsia="仿宋" w:cs="仿宋"/>
                <w:color w:val="auto"/>
                <w:kern w:val="0"/>
                <w:sz w:val="24"/>
              </w:rPr>
              <w:t>1</w:t>
            </w:r>
          </w:p>
        </w:tc>
        <w:tc>
          <w:tcPr>
            <w:tcW w:w="3683" w:type="dxa"/>
            <w:vAlign w:val="center"/>
          </w:tcPr>
          <w:p>
            <w:pPr>
              <w:snapToGrid w:val="0"/>
              <w:spacing w:line="400" w:lineRule="exact"/>
              <w:jc w:val="center"/>
              <w:rPr>
                <w:rFonts w:ascii="仿宋" w:hAnsi="仿宋" w:eastAsia="仿宋" w:cs="仿宋"/>
                <w:b/>
                <w:color w:val="auto"/>
                <w:kern w:val="0"/>
                <w:sz w:val="32"/>
                <w:szCs w:val="32"/>
              </w:rPr>
            </w:pPr>
          </w:p>
        </w:tc>
        <w:tc>
          <w:tcPr>
            <w:tcW w:w="3546" w:type="dxa"/>
            <w:vAlign w:val="center"/>
          </w:tcPr>
          <w:p>
            <w:pPr>
              <w:snapToGrid w:val="0"/>
              <w:spacing w:line="400" w:lineRule="exact"/>
              <w:jc w:val="center"/>
              <w:rPr>
                <w:rFonts w:ascii="仿宋" w:hAnsi="仿宋" w:eastAsia="仿宋" w:cs="仿宋"/>
                <w:b/>
                <w:color w:val="auto"/>
                <w:kern w:val="0"/>
                <w:sz w:val="32"/>
                <w:szCs w:val="32"/>
              </w:rPr>
            </w:pPr>
          </w:p>
        </w:tc>
        <w:tc>
          <w:tcPr>
            <w:tcW w:w="1276" w:type="dxa"/>
            <w:vAlign w:val="center"/>
          </w:tcPr>
          <w:p>
            <w:pPr>
              <w:snapToGrid w:val="0"/>
              <w:spacing w:line="400" w:lineRule="exact"/>
              <w:jc w:val="center"/>
              <w:rPr>
                <w:rFonts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 w:hAnsi="仿宋" w:eastAsia="仿宋" w:cs="仿宋"/>
                <w:color w:val="auto"/>
                <w:kern w:val="0"/>
                <w:sz w:val="24"/>
              </w:rPr>
            </w:pPr>
            <w:r>
              <w:rPr>
                <w:rFonts w:hint="eastAsia" w:ascii="仿宋" w:hAnsi="仿宋" w:eastAsia="仿宋" w:cs="仿宋"/>
                <w:color w:val="auto"/>
                <w:kern w:val="0"/>
                <w:sz w:val="24"/>
              </w:rPr>
              <w:t>2</w:t>
            </w:r>
          </w:p>
        </w:tc>
        <w:tc>
          <w:tcPr>
            <w:tcW w:w="3683" w:type="dxa"/>
            <w:vAlign w:val="center"/>
          </w:tcPr>
          <w:p>
            <w:pPr>
              <w:snapToGrid w:val="0"/>
              <w:spacing w:line="400" w:lineRule="exact"/>
              <w:jc w:val="center"/>
              <w:rPr>
                <w:rFonts w:ascii="仿宋" w:hAnsi="仿宋" w:eastAsia="仿宋" w:cs="仿宋"/>
                <w:b/>
                <w:color w:val="auto"/>
                <w:kern w:val="0"/>
                <w:sz w:val="32"/>
                <w:szCs w:val="32"/>
              </w:rPr>
            </w:pPr>
          </w:p>
        </w:tc>
        <w:tc>
          <w:tcPr>
            <w:tcW w:w="3546" w:type="dxa"/>
            <w:vAlign w:val="center"/>
          </w:tcPr>
          <w:p>
            <w:pPr>
              <w:snapToGrid w:val="0"/>
              <w:spacing w:line="400" w:lineRule="exact"/>
              <w:jc w:val="center"/>
              <w:rPr>
                <w:rFonts w:ascii="仿宋" w:hAnsi="仿宋" w:eastAsia="仿宋" w:cs="仿宋"/>
                <w:b/>
                <w:color w:val="auto"/>
                <w:kern w:val="0"/>
                <w:sz w:val="32"/>
                <w:szCs w:val="32"/>
              </w:rPr>
            </w:pPr>
          </w:p>
        </w:tc>
        <w:tc>
          <w:tcPr>
            <w:tcW w:w="1276" w:type="dxa"/>
            <w:vAlign w:val="center"/>
          </w:tcPr>
          <w:p>
            <w:pPr>
              <w:snapToGrid w:val="0"/>
              <w:spacing w:line="400" w:lineRule="exact"/>
              <w:jc w:val="center"/>
              <w:rPr>
                <w:rFonts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 w:hAnsi="仿宋" w:eastAsia="仿宋" w:cs="仿宋"/>
                <w:color w:val="auto"/>
                <w:kern w:val="0"/>
                <w:sz w:val="24"/>
              </w:rPr>
            </w:pPr>
            <w:r>
              <w:rPr>
                <w:rFonts w:hint="eastAsia" w:ascii="仿宋" w:hAnsi="仿宋" w:eastAsia="仿宋" w:cs="仿宋"/>
                <w:color w:val="auto"/>
                <w:kern w:val="0"/>
                <w:sz w:val="24"/>
              </w:rPr>
              <w:t>……</w:t>
            </w:r>
          </w:p>
        </w:tc>
        <w:tc>
          <w:tcPr>
            <w:tcW w:w="3683" w:type="dxa"/>
            <w:vAlign w:val="center"/>
          </w:tcPr>
          <w:p>
            <w:pPr>
              <w:snapToGrid w:val="0"/>
              <w:spacing w:line="400" w:lineRule="exact"/>
              <w:jc w:val="center"/>
              <w:rPr>
                <w:rFonts w:ascii="仿宋" w:hAnsi="仿宋" w:eastAsia="仿宋" w:cs="仿宋"/>
                <w:b/>
                <w:color w:val="auto"/>
                <w:kern w:val="0"/>
                <w:sz w:val="32"/>
                <w:szCs w:val="32"/>
              </w:rPr>
            </w:pPr>
          </w:p>
        </w:tc>
        <w:tc>
          <w:tcPr>
            <w:tcW w:w="3546" w:type="dxa"/>
            <w:vAlign w:val="center"/>
          </w:tcPr>
          <w:p>
            <w:pPr>
              <w:snapToGrid w:val="0"/>
              <w:spacing w:line="400" w:lineRule="exact"/>
              <w:jc w:val="center"/>
              <w:rPr>
                <w:rFonts w:ascii="仿宋" w:hAnsi="仿宋" w:eastAsia="仿宋" w:cs="仿宋"/>
                <w:b/>
                <w:color w:val="auto"/>
                <w:kern w:val="0"/>
                <w:sz w:val="32"/>
                <w:szCs w:val="32"/>
              </w:rPr>
            </w:pPr>
          </w:p>
        </w:tc>
        <w:tc>
          <w:tcPr>
            <w:tcW w:w="1276" w:type="dxa"/>
            <w:vAlign w:val="center"/>
          </w:tcPr>
          <w:p>
            <w:pPr>
              <w:snapToGrid w:val="0"/>
              <w:spacing w:line="400" w:lineRule="exact"/>
              <w:jc w:val="center"/>
              <w:rPr>
                <w:rFonts w:ascii="仿宋" w:hAnsi="仿宋" w:eastAsia="仿宋" w:cs="仿宋"/>
                <w:b/>
                <w:color w:val="auto"/>
                <w:kern w:val="0"/>
                <w:sz w:val="32"/>
                <w:szCs w:val="32"/>
              </w:rPr>
            </w:pPr>
          </w:p>
        </w:tc>
      </w:tr>
    </w:tbl>
    <w:p>
      <w:pPr>
        <w:jc w:val="left"/>
        <w:rPr>
          <w:rFonts w:ascii="仿宋" w:hAnsi="仿宋" w:eastAsia="仿宋" w:cs="仿宋"/>
          <w:color w:val="auto"/>
          <w:kern w:val="0"/>
          <w:sz w:val="24"/>
        </w:rPr>
      </w:pPr>
      <w:r>
        <w:rPr>
          <w:rFonts w:hint="eastAsia" w:ascii="仿宋" w:hAnsi="仿宋" w:eastAsia="仿宋" w:cs="仿宋"/>
          <w:color w:val="auto"/>
          <w:kern w:val="0"/>
          <w:sz w:val="24"/>
        </w:rPr>
        <w:t>投标人保证：除商务技术偏离表列出的偏离外，投标人响应招标文件的全部要求</w:t>
      </w:r>
    </w:p>
    <w:p>
      <w:pPr>
        <w:jc w:val="center"/>
        <w:rPr>
          <w:rFonts w:ascii="仿宋" w:hAnsi="仿宋" w:eastAsia="仿宋" w:cs="仿宋"/>
          <w:b/>
          <w:color w:val="auto"/>
          <w:kern w:val="0"/>
          <w:sz w:val="32"/>
          <w:szCs w:val="32"/>
        </w:rPr>
      </w:pPr>
    </w:p>
    <w:p>
      <w:pPr>
        <w:spacing w:line="360" w:lineRule="auto"/>
        <w:ind w:right="420"/>
        <w:rPr>
          <w:rFonts w:ascii="仿宋" w:hAnsi="仿宋" w:eastAsia="仿宋" w:cs="仿宋"/>
          <w:color w:val="auto"/>
          <w:sz w:val="24"/>
        </w:rPr>
      </w:pPr>
      <w:r>
        <w:rPr>
          <w:rFonts w:hint="eastAsia" w:ascii="仿宋" w:hAnsi="仿宋" w:eastAsia="仿宋" w:cs="仿宋"/>
          <w:color w:val="auto"/>
          <w:sz w:val="24"/>
        </w:rPr>
        <w:t>注：按本格式和要求提供。</w:t>
      </w:r>
    </w:p>
    <w:p>
      <w:pPr>
        <w:rPr>
          <w:rFonts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pPr>
        <w:snapToGrid w:val="0"/>
        <w:spacing w:line="360" w:lineRule="auto"/>
        <w:jc w:val="center"/>
        <w:outlineLvl w:val="1"/>
        <w:rPr>
          <w:rFonts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八、政府采购供应商廉洁自律承诺书</w:t>
      </w:r>
    </w:p>
    <w:p>
      <w:pPr>
        <w:snapToGrid w:val="0"/>
        <w:spacing w:line="360" w:lineRule="auto"/>
        <w:rPr>
          <w:rFonts w:ascii="仿宋" w:hAnsi="仿宋" w:eastAsia="仿宋" w:cs="仿宋"/>
          <w:color w:val="auto"/>
          <w:sz w:val="24"/>
        </w:rPr>
      </w:pPr>
    </w:p>
    <w:p>
      <w:pPr>
        <w:snapToGrid w:val="0"/>
        <w:spacing w:line="360" w:lineRule="auto"/>
        <w:rPr>
          <w:rFonts w:ascii="仿宋" w:hAnsi="仿宋" w:eastAsia="仿宋" w:cs="仿宋"/>
          <w:color w:val="auto"/>
          <w:kern w:val="0"/>
          <w:sz w:val="24"/>
        </w:rPr>
      </w:pPr>
      <w:r>
        <w:rPr>
          <w:rFonts w:hint="eastAsia" w:ascii="仿宋" w:hAnsi="仿宋" w:eastAsia="仿宋" w:cs="仿宋"/>
          <w:color w:val="auto"/>
          <w:sz w:val="24"/>
          <w:u w:val="single"/>
        </w:rPr>
        <w:t>浙江省药品监督管理局</w:t>
      </w:r>
      <w:r>
        <w:rPr>
          <w:rFonts w:hint="eastAsia" w:ascii="仿宋" w:hAnsi="仿宋" w:eastAsia="仿宋" w:cs="仿宋"/>
          <w:color w:val="auto"/>
          <w:kern w:val="0"/>
          <w:sz w:val="24"/>
          <w:lang w:val="zh-CN"/>
        </w:rPr>
        <w:t>：</w:t>
      </w:r>
    </w:p>
    <w:p>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好处；</w:t>
      </w:r>
    </w:p>
    <w:p>
      <w:pPr>
        <w:autoSpaceDE w:val="0"/>
        <w:autoSpaceDN w:val="0"/>
        <w:spacing w:line="360" w:lineRule="auto"/>
        <w:ind w:left="481" w:leftChars="229"/>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w:t>
      </w:r>
    </w:p>
    <w:p>
      <w:pPr>
        <w:autoSpaceDE w:val="0"/>
        <w:autoSpaceDN w:val="0"/>
        <w:spacing w:line="360" w:lineRule="auto"/>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color w:val="auto"/>
          <w:kern w:val="0"/>
          <w:sz w:val="24"/>
          <w:lang w:val="zh-CN"/>
        </w:rPr>
      </w:pPr>
    </w:p>
    <w:p>
      <w:pPr>
        <w:autoSpaceDE w:val="0"/>
        <w:autoSpaceDN w:val="0"/>
        <w:spacing w:line="360" w:lineRule="auto"/>
        <w:ind w:left="2"/>
        <w:jc w:val="left"/>
        <w:rPr>
          <w:rFonts w:ascii="仿宋" w:hAnsi="仿宋" w:eastAsia="仿宋" w:cs="仿宋"/>
          <w:color w:val="auto"/>
          <w:kern w:val="0"/>
          <w:sz w:val="24"/>
          <w:lang w:val="zh-CN"/>
        </w:rPr>
      </w:pPr>
    </w:p>
    <w:p>
      <w:pPr>
        <w:autoSpaceDE w:val="0"/>
        <w:autoSpaceDN w:val="0"/>
        <w:spacing w:line="360" w:lineRule="auto"/>
        <w:ind w:right="1120" w:firstLine="3357" w:firstLineChars="1399"/>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w:t>
      </w:r>
    </w:p>
    <w:p>
      <w:pPr>
        <w:spacing w:line="360" w:lineRule="auto"/>
        <w:ind w:firstLine="3357" w:firstLineChars="1399"/>
        <w:rPr>
          <w:rFonts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日</w:t>
      </w:r>
    </w:p>
    <w:p>
      <w:pPr>
        <w:spacing w:line="360" w:lineRule="auto"/>
        <w:ind w:right="420"/>
        <w:rPr>
          <w:rFonts w:ascii="仿宋" w:hAnsi="仿宋" w:eastAsia="仿宋" w:cs="仿宋"/>
          <w:color w:val="auto"/>
          <w:sz w:val="24"/>
        </w:rPr>
      </w:pPr>
      <w:r>
        <w:rPr>
          <w:rFonts w:hint="eastAsia" w:ascii="仿宋" w:hAnsi="仿宋" w:eastAsia="仿宋" w:cs="仿宋"/>
          <w:color w:val="auto"/>
          <w:sz w:val="24"/>
        </w:rPr>
        <w:t>注：按本格式和要求提供。</w:t>
      </w:r>
    </w:p>
    <w:p>
      <w:pPr>
        <w:rPr>
          <w:rFonts w:ascii="仿宋" w:hAnsi="仿宋" w:eastAsia="仿宋" w:cs="仿宋"/>
          <w:b/>
          <w:color w:val="auto"/>
          <w:kern w:val="0"/>
          <w:sz w:val="36"/>
          <w:szCs w:val="36"/>
        </w:rPr>
      </w:pPr>
      <w:r>
        <w:rPr>
          <w:rFonts w:hint="eastAsia" w:ascii="仿宋" w:hAnsi="仿宋" w:eastAsia="仿宋" w:cs="仿宋"/>
          <w:b/>
          <w:color w:val="auto"/>
          <w:kern w:val="0"/>
          <w:sz w:val="36"/>
          <w:szCs w:val="36"/>
        </w:rPr>
        <w:br w:type="page"/>
      </w:r>
    </w:p>
    <w:p>
      <w:pPr>
        <w:spacing w:line="360" w:lineRule="auto"/>
        <w:jc w:val="center"/>
        <w:outlineLvl w:val="1"/>
        <w:rPr>
          <w:rFonts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pPr>
        <w:jc w:val="center"/>
        <w:rPr>
          <w:rFonts w:ascii="仿宋" w:hAnsi="仿宋" w:eastAsia="仿宋" w:cs="仿宋"/>
          <w:b/>
          <w:bCs/>
          <w:color w:val="auto"/>
          <w:sz w:val="28"/>
          <w:szCs w:val="28"/>
        </w:rPr>
      </w:pPr>
    </w:p>
    <w:p>
      <w:pPr>
        <w:jc w:val="center"/>
        <w:rPr>
          <w:rFonts w:ascii="仿宋" w:hAnsi="仿宋" w:eastAsia="仿宋" w:cs="仿宋"/>
          <w:b/>
          <w:bCs/>
          <w:color w:val="auto"/>
          <w:sz w:val="28"/>
          <w:szCs w:val="28"/>
        </w:rPr>
      </w:pPr>
      <w:r>
        <w:rPr>
          <w:rFonts w:hint="eastAsia" w:ascii="仿宋" w:hAnsi="仿宋" w:eastAsia="仿宋" w:cs="仿宋"/>
          <w:b/>
          <w:bCs/>
          <w:color w:val="auto"/>
          <w:sz w:val="28"/>
          <w:szCs w:val="28"/>
        </w:rPr>
        <w:t>目录</w:t>
      </w:r>
    </w:p>
    <w:p>
      <w:pPr>
        <w:rPr>
          <w:rFonts w:ascii="仿宋" w:hAnsi="仿宋" w:eastAsia="仿宋" w:cs="仿宋"/>
          <w:color w:val="auto"/>
        </w:rPr>
      </w:pP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（1）开标一览表（报价表）及明细表……………………………………………（页码）</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（2）专项监督检验费/基本药物检验费明细表（如有）………………………（页码）</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（3）中小企业声明函（如果有）…………………………………………………（页码）</w:t>
      </w: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pStyle w:val="693"/>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sectPr>
          <w:headerReference r:id="rId9" w:type="first"/>
          <w:footerReference r:id="rId11" w:type="first"/>
          <w:headerReference r:id="rId8" w:type="default"/>
          <w:footerReference r:id="rId10" w:type="default"/>
          <w:type w:val="continuous"/>
          <w:pgSz w:w="11906" w:h="16838"/>
          <w:pgMar w:top="1276" w:right="1418" w:bottom="1247" w:left="1418" w:header="851" w:footer="992" w:gutter="0"/>
          <w:cols w:space="0" w:num="1"/>
          <w:titlePg/>
          <w:docGrid w:linePitch="312" w:charSpace="0"/>
        </w:sectPr>
      </w:pPr>
    </w:p>
    <w:p>
      <w:pPr>
        <w:snapToGrid w:val="0"/>
        <w:spacing w:line="360" w:lineRule="auto"/>
        <w:jc w:val="center"/>
        <w:outlineLvl w:val="1"/>
        <w:rPr>
          <w:rFonts w:ascii="仿宋" w:hAnsi="仿宋" w:eastAsia="仿宋" w:cs="仿宋"/>
          <w:b/>
          <w:color w:val="auto"/>
          <w:kern w:val="0"/>
          <w:sz w:val="32"/>
          <w:szCs w:val="32"/>
        </w:rPr>
      </w:pPr>
      <w:r>
        <w:rPr>
          <w:rFonts w:hint="eastAsia" w:ascii="仿宋" w:hAnsi="仿宋" w:eastAsia="仿宋" w:cs="仿宋"/>
          <w:b/>
          <w:color w:val="auto"/>
          <w:kern w:val="0"/>
          <w:sz w:val="32"/>
          <w:szCs w:val="32"/>
          <w:lang w:val="zh-CN"/>
        </w:rPr>
        <w:t>一、开标一览表（报价表）</w:t>
      </w:r>
      <w:r>
        <w:rPr>
          <w:rFonts w:hint="eastAsia" w:ascii="仿宋" w:hAnsi="仿宋" w:eastAsia="仿宋" w:cs="仿宋"/>
          <w:b/>
          <w:color w:val="auto"/>
          <w:kern w:val="0"/>
          <w:sz w:val="32"/>
          <w:szCs w:val="32"/>
        </w:rPr>
        <w:t>及明细表</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sz w:val="24"/>
          <w:u w:val="single"/>
        </w:rPr>
        <w:t>浙江省药品监督管理局</w:t>
      </w:r>
      <w:r>
        <w:rPr>
          <w:rFonts w:hint="eastAsia" w:ascii="仿宋" w:hAnsi="仿宋" w:eastAsia="仿宋" w:cs="仿宋"/>
          <w:color w:val="auto"/>
          <w:kern w:val="0"/>
          <w:sz w:val="24"/>
          <w:lang w:val="zh-CN"/>
        </w:rPr>
        <w:t>：</w:t>
      </w:r>
    </w:p>
    <w:p>
      <w:pPr>
        <w:snapToGrid w:val="0"/>
        <w:spacing w:line="360" w:lineRule="auto"/>
        <w:ind w:firstLine="482"/>
        <w:rPr>
          <w:rFonts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u w:val="single"/>
        </w:rPr>
        <w:t>2023年浙江省省级药品抽检委托检验服务项目</w:t>
      </w:r>
      <w:r>
        <w:rPr>
          <w:rFonts w:hint="eastAsia" w:ascii="仿宋" w:hAnsi="仿宋" w:eastAsia="仿宋" w:cs="仿宋"/>
          <w:color w:val="auto"/>
          <w:kern w:val="0"/>
          <w:sz w:val="24"/>
          <w:lang w:val="zh-CN"/>
        </w:rPr>
        <w:t>【项目编号：</w:t>
      </w:r>
      <w:r>
        <w:rPr>
          <w:rFonts w:hint="eastAsia" w:ascii="仿宋" w:hAnsi="仿宋" w:eastAsia="仿宋" w:cs="仿宋"/>
          <w:color w:val="auto"/>
          <w:sz w:val="24"/>
          <w:u w:val="single"/>
        </w:rPr>
        <w:t>ZJ-2370240-02</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pPr>
        <w:spacing w:line="360" w:lineRule="auto"/>
        <w:jc w:val="center"/>
        <w:rPr>
          <w:rFonts w:ascii="仿宋" w:hAnsi="仿宋" w:eastAsia="仿宋" w:cs="仿宋"/>
          <w:color w:val="auto"/>
          <w:lang w:val="zh-CN"/>
        </w:rPr>
      </w:pPr>
      <w:r>
        <w:rPr>
          <w:rFonts w:hint="eastAsia" w:ascii="仿宋" w:hAnsi="仿宋" w:eastAsia="仿宋" w:cs="仿宋"/>
          <w:b/>
          <w:color w:val="auto"/>
          <w:kern w:val="0"/>
          <w:sz w:val="24"/>
          <w:lang w:val="zh-CN"/>
        </w:rPr>
        <w:t>开标一览表（报价表）(单位均为人民币元)</w:t>
      </w:r>
    </w:p>
    <w:tbl>
      <w:tblPr>
        <w:tblStyle w:val="63"/>
        <w:tblW w:w="14234" w:type="dxa"/>
        <w:tblInd w:w="103" w:type="dxa"/>
        <w:tblLayout w:type="fixed"/>
        <w:tblCellMar>
          <w:top w:w="0" w:type="dxa"/>
          <w:left w:w="0" w:type="dxa"/>
          <w:bottom w:w="0" w:type="dxa"/>
          <w:right w:w="0" w:type="dxa"/>
        </w:tblCellMar>
      </w:tblPr>
      <w:tblGrid>
        <w:gridCol w:w="827"/>
        <w:gridCol w:w="1481"/>
        <w:gridCol w:w="1385"/>
        <w:gridCol w:w="2009"/>
        <w:gridCol w:w="1751"/>
        <w:gridCol w:w="1722"/>
        <w:gridCol w:w="1540"/>
        <w:gridCol w:w="1923"/>
        <w:gridCol w:w="1596"/>
      </w:tblGrid>
      <w:tr>
        <w:tblPrEx>
          <w:tblCellMar>
            <w:top w:w="0" w:type="dxa"/>
            <w:left w:w="0" w:type="dxa"/>
            <w:bottom w:w="0" w:type="dxa"/>
            <w:right w:w="0" w:type="dxa"/>
          </w:tblCellMar>
        </w:tblPrEx>
        <w:trPr>
          <w:trHeight w:val="698" w:hRule="exact"/>
        </w:trPr>
        <w:tc>
          <w:tcPr>
            <w:tcW w:w="827" w:type="dxa"/>
            <w:tcBorders>
              <w:top w:val="single" w:color="000000" w:sz="4" w:space="0"/>
              <w:left w:val="single" w:color="000000" w:sz="4" w:space="0"/>
              <w:bottom w:val="single" w:color="000000" w:sz="6" w:space="0"/>
              <w:right w:val="single" w:color="000000" w:sz="6" w:space="0"/>
            </w:tcBorders>
            <w:shd w:val="clear" w:color="auto" w:fill="auto"/>
            <w:vAlign w:val="center"/>
          </w:tcPr>
          <w:p>
            <w:pPr>
              <w:pStyle w:val="484"/>
              <w:jc w:val="center"/>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序号</w:t>
            </w:r>
          </w:p>
        </w:tc>
        <w:tc>
          <w:tcPr>
            <w:tcW w:w="1481" w:type="dxa"/>
            <w:tcBorders>
              <w:top w:val="single" w:color="000000" w:sz="4" w:space="0"/>
              <w:left w:val="single" w:color="000000" w:sz="6" w:space="0"/>
              <w:bottom w:val="single" w:color="000000" w:sz="6" w:space="0"/>
              <w:right w:val="single" w:color="000000" w:sz="6" w:space="0"/>
            </w:tcBorders>
            <w:shd w:val="clear" w:color="auto" w:fill="auto"/>
            <w:vAlign w:val="center"/>
          </w:tcPr>
          <w:p>
            <w:pPr>
              <w:pStyle w:val="484"/>
              <w:jc w:val="center"/>
              <w:rPr>
                <w:rFonts w:ascii="仿宋" w:hAnsi="仿宋" w:eastAsia="仿宋" w:cs="仿宋"/>
                <w:color w:val="auto"/>
                <w:kern w:val="0"/>
                <w:sz w:val="24"/>
                <w:szCs w:val="24"/>
                <w:lang w:val="zh-CN"/>
              </w:rPr>
            </w:pPr>
            <w:r>
              <w:rPr>
                <w:rFonts w:hint="eastAsia" w:ascii="仿宋" w:hAnsi="仿宋" w:eastAsia="仿宋" w:cs="仿宋"/>
                <w:color w:val="auto"/>
                <w:kern w:val="0"/>
                <w:sz w:val="24"/>
                <w:szCs w:val="24"/>
              </w:rPr>
              <w:t>报价类别</w:t>
            </w:r>
          </w:p>
        </w:tc>
        <w:tc>
          <w:tcPr>
            <w:tcW w:w="1385" w:type="dxa"/>
            <w:tcBorders>
              <w:top w:val="single" w:color="000000" w:sz="4" w:space="0"/>
              <w:left w:val="single" w:color="000000" w:sz="6" w:space="0"/>
              <w:bottom w:val="single" w:color="000000" w:sz="6" w:space="0"/>
              <w:right w:val="single" w:color="auto" w:sz="4" w:space="0"/>
            </w:tcBorders>
            <w:shd w:val="clear" w:color="auto" w:fill="auto"/>
            <w:vAlign w:val="center"/>
          </w:tcPr>
          <w:p>
            <w:pPr>
              <w:pStyle w:val="484"/>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每批平均报价（元/批）</w:t>
            </w:r>
          </w:p>
        </w:tc>
        <w:tc>
          <w:tcPr>
            <w:tcW w:w="2009" w:type="dxa"/>
            <w:tcBorders>
              <w:top w:val="single" w:color="000000" w:sz="4" w:space="0"/>
              <w:left w:val="single" w:color="auto" w:sz="4" w:space="0"/>
              <w:bottom w:val="single" w:color="000000" w:sz="6" w:space="0"/>
              <w:right w:val="single" w:color="auto" w:sz="4" w:space="0"/>
            </w:tcBorders>
            <w:shd w:val="clear" w:color="auto" w:fill="auto"/>
            <w:vAlign w:val="center"/>
          </w:tcPr>
          <w:p>
            <w:pPr>
              <w:pStyle w:val="484"/>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批次数（批）</w:t>
            </w:r>
          </w:p>
        </w:tc>
        <w:tc>
          <w:tcPr>
            <w:tcW w:w="1751" w:type="dxa"/>
            <w:tcBorders>
              <w:top w:val="single" w:color="000000" w:sz="4" w:space="0"/>
              <w:left w:val="single" w:color="auto" w:sz="4" w:space="0"/>
              <w:bottom w:val="single" w:color="000000" w:sz="6" w:space="0"/>
              <w:right w:val="single" w:color="000000" w:sz="6" w:space="0"/>
            </w:tcBorders>
            <w:shd w:val="clear" w:color="auto" w:fill="auto"/>
            <w:vAlign w:val="center"/>
          </w:tcPr>
          <w:p>
            <w:pPr>
              <w:pStyle w:val="484"/>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合价（元）</w:t>
            </w:r>
          </w:p>
        </w:tc>
        <w:tc>
          <w:tcPr>
            <w:tcW w:w="1722" w:type="dxa"/>
            <w:tcBorders>
              <w:top w:val="single" w:color="000000" w:sz="4" w:space="0"/>
              <w:left w:val="single" w:color="auto" w:sz="4" w:space="0"/>
              <w:bottom w:val="single" w:color="000000" w:sz="6" w:space="0"/>
              <w:right w:val="single" w:color="000000" w:sz="6" w:space="0"/>
            </w:tcBorders>
            <w:shd w:val="clear" w:color="auto" w:fill="auto"/>
            <w:vAlign w:val="center"/>
          </w:tcPr>
          <w:p>
            <w:pPr>
              <w:pStyle w:val="484"/>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服务时间</w:t>
            </w:r>
          </w:p>
        </w:tc>
        <w:tc>
          <w:tcPr>
            <w:tcW w:w="1540" w:type="dxa"/>
            <w:tcBorders>
              <w:top w:val="single" w:color="000000" w:sz="4" w:space="0"/>
              <w:left w:val="single" w:color="auto" w:sz="4" w:space="0"/>
              <w:bottom w:val="single" w:color="000000" w:sz="6" w:space="0"/>
              <w:right w:val="single" w:color="000000" w:sz="6" w:space="0"/>
            </w:tcBorders>
            <w:shd w:val="clear" w:color="auto" w:fill="auto"/>
            <w:vAlign w:val="center"/>
          </w:tcPr>
          <w:p>
            <w:pPr>
              <w:pStyle w:val="484"/>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服务范围</w:t>
            </w:r>
          </w:p>
        </w:tc>
        <w:tc>
          <w:tcPr>
            <w:tcW w:w="1923" w:type="dxa"/>
            <w:tcBorders>
              <w:top w:val="single" w:color="000000" w:sz="4" w:space="0"/>
              <w:left w:val="single" w:color="auto" w:sz="4" w:space="0"/>
              <w:bottom w:val="single" w:color="000000" w:sz="6" w:space="0"/>
              <w:right w:val="single" w:color="000000" w:sz="6" w:space="0"/>
            </w:tcBorders>
            <w:shd w:val="clear" w:color="auto" w:fill="auto"/>
            <w:vAlign w:val="center"/>
          </w:tcPr>
          <w:p>
            <w:pPr>
              <w:pStyle w:val="484"/>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服务标准</w:t>
            </w:r>
          </w:p>
        </w:tc>
        <w:tc>
          <w:tcPr>
            <w:tcW w:w="1596" w:type="dxa"/>
            <w:tcBorders>
              <w:top w:val="single" w:color="000000" w:sz="4" w:space="0"/>
              <w:left w:val="single" w:color="auto" w:sz="4" w:space="0"/>
              <w:bottom w:val="single" w:color="000000" w:sz="6" w:space="0"/>
              <w:right w:val="single" w:color="000000" w:sz="6" w:space="0"/>
            </w:tcBorders>
            <w:shd w:val="clear" w:color="auto" w:fill="auto"/>
            <w:vAlign w:val="center"/>
          </w:tcPr>
          <w:p>
            <w:pPr>
              <w:pStyle w:val="484"/>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备注</w:t>
            </w:r>
          </w:p>
        </w:tc>
      </w:tr>
      <w:tr>
        <w:tblPrEx>
          <w:tblCellMar>
            <w:top w:w="0" w:type="dxa"/>
            <w:left w:w="0" w:type="dxa"/>
            <w:bottom w:w="0" w:type="dxa"/>
            <w:right w:w="0" w:type="dxa"/>
          </w:tblCellMar>
        </w:tblPrEx>
        <w:trPr>
          <w:trHeight w:val="973" w:hRule="exact"/>
        </w:trPr>
        <w:tc>
          <w:tcPr>
            <w:tcW w:w="827" w:type="dxa"/>
            <w:tcBorders>
              <w:top w:val="single" w:color="000000" w:sz="4" w:space="0"/>
              <w:left w:val="single" w:color="000000" w:sz="4" w:space="0"/>
              <w:bottom w:val="single" w:color="000000" w:sz="4" w:space="0"/>
              <w:right w:val="single" w:color="000000" w:sz="6" w:space="0"/>
            </w:tcBorders>
            <w:shd w:val="clear" w:color="auto" w:fill="auto"/>
            <w:vAlign w:val="center"/>
          </w:tcPr>
          <w:p>
            <w:pPr>
              <w:pStyle w:val="484"/>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1481" w:type="dxa"/>
            <w:tcBorders>
              <w:top w:val="single" w:color="000000" w:sz="4" w:space="0"/>
              <w:left w:val="single" w:color="000000" w:sz="6" w:space="0"/>
              <w:bottom w:val="single" w:color="000000" w:sz="4" w:space="0"/>
              <w:right w:val="single" w:color="000000" w:sz="6" w:space="0"/>
            </w:tcBorders>
            <w:shd w:val="clear" w:color="auto" w:fill="auto"/>
            <w:vAlign w:val="center"/>
          </w:tcPr>
          <w:p>
            <w:pPr>
              <w:pStyle w:val="484"/>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专项监督检验费</w:t>
            </w:r>
          </w:p>
        </w:tc>
        <w:tc>
          <w:tcPr>
            <w:tcW w:w="1385" w:type="dxa"/>
            <w:tcBorders>
              <w:top w:val="single" w:color="000000" w:sz="4" w:space="0"/>
              <w:left w:val="single" w:color="000000" w:sz="6" w:space="0"/>
              <w:bottom w:val="single" w:color="000000" w:sz="4" w:space="0"/>
              <w:right w:val="single" w:color="auto" w:sz="4" w:space="0"/>
            </w:tcBorders>
            <w:shd w:val="clear" w:color="auto" w:fill="auto"/>
            <w:vAlign w:val="center"/>
          </w:tcPr>
          <w:p>
            <w:pPr>
              <w:pStyle w:val="484"/>
              <w:jc w:val="center"/>
              <w:rPr>
                <w:rFonts w:ascii="仿宋" w:hAnsi="仿宋" w:eastAsia="仿宋" w:cs="仿宋"/>
                <w:color w:val="auto"/>
                <w:kern w:val="0"/>
                <w:sz w:val="24"/>
                <w:szCs w:val="24"/>
              </w:rPr>
            </w:pPr>
          </w:p>
        </w:tc>
        <w:tc>
          <w:tcPr>
            <w:tcW w:w="200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484"/>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900</w:t>
            </w:r>
          </w:p>
        </w:tc>
        <w:tc>
          <w:tcPr>
            <w:tcW w:w="1751" w:type="dxa"/>
            <w:tcBorders>
              <w:top w:val="single" w:color="000000" w:sz="4" w:space="0"/>
              <w:left w:val="single" w:color="auto" w:sz="4" w:space="0"/>
              <w:bottom w:val="single" w:color="000000" w:sz="4" w:space="0"/>
              <w:right w:val="single" w:color="000000" w:sz="6" w:space="0"/>
            </w:tcBorders>
            <w:shd w:val="clear" w:color="auto" w:fill="auto"/>
            <w:vAlign w:val="center"/>
          </w:tcPr>
          <w:p>
            <w:pPr>
              <w:pStyle w:val="484"/>
              <w:jc w:val="center"/>
              <w:rPr>
                <w:rFonts w:ascii="仿宋" w:hAnsi="仿宋" w:eastAsia="仿宋" w:cs="仿宋"/>
                <w:color w:val="auto"/>
                <w:kern w:val="0"/>
                <w:sz w:val="24"/>
                <w:szCs w:val="24"/>
              </w:rPr>
            </w:pPr>
          </w:p>
        </w:tc>
        <w:tc>
          <w:tcPr>
            <w:tcW w:w="1722" w:type="dxa"/>
            <w:tcBorders>
              <w:top w:val="single" w:color="000000" w:sz="4" w:space="0"/>
              <w:left w:val="single" w:color="auto" w:sz="4" w:space="0"/>
              <w:bottom w:val="single" w:color="000000" w:sz="4" w:space="0"/>
              <w:right w:val="single" w:color="000000" w:sz="6" w:space="0"/>
            </w:tcBorders>
            <w:shd w:val="clear" w:color="auto" w:fill="auto"/>
            <w:vAlign w:val="center"/>
          </w:tcPr>
          <w:p>
            <w:pPr>
              <w:pStyle w:val="484"/>
              <w:jc w:val="center"/>
              <w:rPr>
                <w:rFonts w:ascii="仿宋" w:hAnsi="仿宋" w:eastAsia="仿宋" w:cs="仿宋"/>
                <w:color w:val="auto"/>
                <w:kern w:val="0"/>
                <w:sz w:val="24"/>
                <w:szCs w:val="24"/>
                <w:lang w:val="zh-CN"/>
              </w:rPr>
            </w:pPr>
          </w:p>
        </w:tc>
        <w:tc>
          <w:tcPr>
            <w:tcW w:w="1540" w:type="dxa"/>
            <w:tcBorders>
              <w:top w:val="single" w:color="000000" w:sz="4" w:space="0"/>
              <w:left w:val="single" w:color="auto" w:sz="4" w:space="0"/>
              <w:bottom w:val="single" w:color="000000" w:sz="4" w:space="0"/>
              <w:right w:val="single" w:color="000000" w:sz="6" w:space="0"/>
            </w:tcBorders>
            <w:shd w:val="clear" w:color="auto" w:fill="auto"/>
            <w:vAlign w:val="center"/>
          </w:tcPr>
          <w:p>
            <w:pPr>
              <w:pStyle w:val="484"/>
              <w:jc w:val="center"/>
              <w:rPr>
                <w:rFonts w:ascii="仿宋" w:hAnsi="仿宋" w:eastAsia="仿宋" w:cs="仿宋"/>
                <w:bCs/>
                <w:color w:val="auto"/>
                <w:sz w:val="24"/>
                <w:szCs w:val="24"/>
              </w:rPr>
            </w:pPr>
          </w:p>
        </w:tc>
        <w:tc>
          <w:tcPr>
            <w:tcW w:w="1923" w:type="dxa"/>
            <w:tcBorders>
              <w:top w:val="single" w:color="000000" w:sz="4" w:space="0"/>
              <w:left w:val="single" w:color="auto" w:sz="4" w:space="0"/>
              <w:bottom w:val="single" w:color="000000" w:sz="4" w:space="0"/>
              <w:right w:val="single" w:color="000000" w:sz="6" w:space="0"/>
            </w:tcBorders>
            <w:shd w:val="clear" w:color="auto" w:fill="auto"/>
            <w:vAlign w:val="center"/>
          </w:tcPr>
          <w:p>
            <w:pPr>
              <w:pStyle w:val="484"/>
              <w:jc w:val="center"/>
              <w:rPr>
                <w:rFonts w:ascii="仿宋" w:hAnsi="仿宋" w:eastAsia="仿宋" w:cs="仿宋"/>
                <w:bCs/>
                <w:color w:val="auto"/>
                <w:sz w:val="24"/>
                <w:szCs w:val="24"/>
              </w:rPr>
            </w:pPr>
          </w:p>
        </w:tc>
        <w:tc>
          <w:tcPr>
            <w:tcW w:w="1596" w:type="dxa"/>
            <w:tcBorders>
              <w:top w:val="single" w:color="000000" w:sz="4" w:space="0"/>
              <w:left w:val="single" w:color="auto" w:sz="4" w:space="0"/>
              <w:bottom w:val="single" w:color="000000" w:sz="4" w:space="0"/>
              <w:right w:val="single" w:color="000000" w:sz="6" w:space="0"/>
            </w:tcBorders>
            <w:shd w:val="clear" w:color="auto" w:fill="auto"/>
            <w:vAlign w:val="center"/>
          </w:tcPr>
          <w:p>
            <w:pPr>
              <w:pStyle w:val="484"/>
              <w:jc w:val="center"/>
              <w:rPr>
                <w:rFonts w:ascii="仿宋" w:hAnsi="仿宋" w:eastAsia="仿宋" w:cs="仿宋"/>
                <w:bCs/>
                <w:color w:val="auto"/>
                <w:sz w:val="24"/>
                <w:szCs w:val="24"/>
              </w:rPr>
            </w:pPr>
          </w:p>
        </w:tc>
      </w:tr>
      <w:tr>
        <w:tblPrEx>
          <w:tblCellMar>
            <w:top w:w="0" w:type="dxa"/>
            <w:left w:w="0" w:type="dxa"/>
            <w:bottom w:w="0" w:type="dxa"/>
            <w:right w:w="0" w:type="dxa"/>
          </w:tblCellMar>
        </w:tblPrEx>
        <w:trPr>
          <w:trHeight w:val="973" w:hRule="exact"/>
        </w:trPr>
        <w:tc>
          <w:tcPr>
            <w:tcW w:w="827" w:type="dxa"/>
            <w:tcBorders>
              <w:top w:val="single" w:color="000000" w:sz="4" w:space="0"/>
              <w:left w:val="single" w:color="000000" w:sz="4" w:space="0"/>
              <w:bottom w:val="single" w:color="000000" w:sz="4" w:space="0"/>
              <w:right w:val="single" w:color="000000" w:sz="6" w:space="0"/>
            </w:tcBorders>
            <w:shd w:val="clear" w:color="auto" w:fill="auto"/>
            <w:vAlign w:val="center"/>
          </w:tcPr>
          <w:p>
            <w:pPr>
              <w:pStyle w:val="484"/>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1481" w:type="dxa"/>
            <w:tcBorders>
              <w:top w:val="single" w:color="000000" w:sz="4" w:space="0"/>
              <w:left w:val="single" w:color="000000" w:sz="6" w:space="0"/>
              <w:bottom w:val="single" w:color="000000" w:sz="4" w:space="0"/>
              <w:right w:val="single" w:color="000000" w:sz="6" w:space="0"/>
            </w:tcBorders>
            <w:shd w:val="clear" w:color="auto" w:fill="auto"/>
            <w:vAlign w:val="center"/>
          </w:tcPr>
          <w:p>
            <w:pPr>
              <w:pStyle w:val="484"/>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基本药物检验费</w:t>
            </w:r>
          </w:p>
        </w:tc>
        <w:tc>
          <w:tcPr>
            <w:tcW w:w="1385" w:type="dxa"/>
            <w:tcBorders>
              <w:top w:val="single" w:color="000000" w:sz="4" w:space="0"/>
              <w:left w:val="single" w:color="000000" w:sz="6" w:space="0"/>
              <w:bottom w:val="single" w:color="000000" w:sz="4" w:space="0"/>
              <w:right w:val="single" w:color="auto" w:sz="4" w:space="0"/>
            </w:tcBorders>
            <w:shd w:val="clear" w:color="auto" w:fill="auto"/>
            <w:vAlign w:val="center"/>
          </w:tcPr>
          <w:p>
            <w:pPr>
              <w:pStyle w:val="484"/>
              <w:jc w:val="center"/>
              <w:rPr>
                <w:rFonts w:ascii="仿宋" w:hAnsi="仿宋" w:eastAsia="仿宋" w:cs="仿宋"/>
                <w:color w:val="auto"/>
                <w:kern w:val="0"/>
                <w:sz w:val="24"/>
                <w:szCs w:val="24"/>
              </w:rPr>
            </w:pPr>
          </w:p>
        </w:tc>
        <w:tc>
          <w:tcPr>
            <w:tcW w:w="200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484"/>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1100</w:t>
            </w:r>
          </w:p>
        </w:tc>
        <w:tc>
          <w:tcPr>
            <w:tcW w:w="1751" w:type="dxa"/>
            <w:tcBorders>
              <w:top w:val="single" w:color="000000" w:sz="4" w:space="0"/>
              <w:left w:val="single" w:color="auto" w:sz="4" w:space="0"/>
              <w:bottom w:val="single" w:color="000000" w:sz="4" w:space="0"/>
              <w:right w:val="single" w:color="000000" w:sz="6" w:space="0"/>
            </w:tcBorders>
            <w:shd w:val="clear" w:color="auto" w:fill="auto"/>
            <w:vAlign w:val="center"/>
          </w:tcPr>
          <w:p>
            <w:pPr>
              <w:pStyle w:val="484"/>
              <w:jc w:val="center"/>
              <w:rPr>
                <w:rFonts w:ascii="仿宋" w:hAnsi="仿宋" w:eastAsia="仿宋" w:cs="仿宋"/>
                <w:color w:val="auto"/>
                <w:kern w:val="0"/>
                <w:sz w:val="24"/>
                <w:szCs w:val="24"/>
              </w:rPr>
            </w:pPr>
          </w:p>
        </w:tc>
        <w:tc>
          <w:tcPr>
            <w:tcW w:w="1722" w:type="dxa"/>
            <w:tcBorders>
              <w:top w:val="single" w:color="000000" w:sz="4" w:space="0"/>
              <w:left w:val="single" w:color="auto" w:sz="4" w:space="0"/>
              <w:bottom w:val="single" w:color="000000" w:sz="4" w:space="0"/>
              <w:right w:val="single" w:color="000000" w:sz="6" w:space="0"/>
            </w:tcBorders>
            <w:shd w:val="clear" w:color="auto" w:fill="auto"/>
            <w:vAlign w:val="center"/>
          </w:tcPr>
          <w:p>
            <w:pPr>
              <w:pStyle w:val="484"/>
              <w:jc w:val="center"/>
              <w:rPr>
                <w:rFonts w:ascii="仿宋" w:hAnsi="仿宋" w:eastAsia="仿宋" w:cs="仿宋"/>
                <w:color w:val="auto"/>
                <w:kern w:val="0"/>
                <w:sz w:val="24"/>
                <w:szCs w:val="24"/>
                <w:lang w:val="zh-CN"/>
              </w:rPr>
            </w:pPr>
          </w:p>
        </w:tc>
        <w:tc>
          <w:tcPr>
            <w:tcW w:w="1540" w:type="dxa"/>
            <w:tcBorders>
              <w:top w:val="single" w:color="000000" w:sz="4" w:space="0"/>
              <w:left w:val="single" w:color="auto" w:sz="4" w:space="0"/>
              <w:bottom w:val="single" w:color="000000" w:sz="4" w:space="0"/>
              <w:right w:val="single" w:color="000000" w:sz="6" w:space="0"/>
            </w:tcBorders>
            <w:shd w:val="clear" w:color="auto" w:fill="auto"/>
            <w:vAlign w:val="center"/>
          </w:tcPr>
          <w:p>
            <w:pPr>
              <w:pStyle w:val="484"/>
              <w:jc w:val="center"/>
              <w:rPr>
                <w:rFonts w:ascii="仿宋" w:hAnsi="仿宋" w:eastAsia="仿宋" w:cs="仿宋"/>
                <w:bCs/>
                <w:color w:val="auto"/>
                <w:sz w:val="24"/>
                <w:szCs w:val="24"/>
              </w:rPr>
            </w:pPr>
          </w:p>
        </w:tc>
        <w:tc>
          <w:tcPr>
            <w:tcW w:w="1923" w:type="dxa"/>
            <w:tcBorders>
              <w:top w:val="single" w:color="000000" w:sz="4" w:space="0"/>
              <w:left w:val="single" w:color="auto" w:sz="4" w:space="0"/>
              <w:bottom w:val="single" w:color="000000" w:sz="4" w:space="0"/>
              <w:right w:val="single" w:color="000000" w:sz="6" w:space="0"/>
            </w:tcBorders>
            <w:shd w:val="clear" w:color="auto" w:fill="auto"/>
            <w:vAlign w:val="center"/>
          </w:tcPr>
          <w:p>
            <w:pPr>
              <w:pStyle w:val="484"/>
              <w:jc w:val="center"/>
              <w:rPr>
                <w:rFonts w:ascii="仿宋" w:hAnsi="仿宋" w:eastAsia="仿宋" w:cs="仿宋"/>
                <w:bCs/>
                <w:color w:val="auto"/>
                <w:sz w:val="24"/>
                <w:szCs w:val="24"/>
              </w:rPr>
            </w:pPr>
          </w:p>
        </w:tc>
        <w:tc>
          <w:tcPr>
            <w:tcW w:w="1596" w:type="dxa"/>
            <w:tcBorders>
              <w:top w:val="single" w:color="000000" w:sz="4" w:space="0"/>
              <w:left w:val="single" w:color="auto" w:sz="4" w:space="0"/>
              <w:bottom w:val="single" w:color="000000" w:sz="4" w:space="0"/>
              <w:right w:val="single" w:color="000000" w:sz="6" w:space="0"/>
            </w:tcBorders>
            <w:shd w:val="clear" w:color="auto" w:fill="auto"/>
            <w:vAlign w:val="center"/>
          </w:tcPr>
          <w:p>
            <w:pPr>
              <w:pStyle w:val="484"/>
              <w:jc w:val="center"/>
              <w:rPr>
                <w:rFonts w:ascii="仿宋" w:hAnsi="仿宋" w:eastAsia="仿宋" w:cs="仿宋"/>
                <w:bCs/>
                <w:color w:val="auto"/>
                <w:sz w:val="24"/>
                <w:szCs w:val="24"/>
              </w:rPr>
            </w:pPr>
          </w:p>
        </w:tc>
      </w:tr>
      <w:tr>
        <w:tblPrEx>
          <w:tblCellMar>
            <w:top w:w="0" w:type="dxa"/>
            <w:left w:w="0" w:type="dxa"/>
            <w:bottom w:w="0" w:type="dxa"/>
            <w:right w:w="0" w:type="dxa"/>
          </w:tblCellMar>
        </w:tblPrEx>
        <w:trPr>
          <w:trHeight w:val="973" w:hRule="exact"/>
        </w:trPr>
        <w:tc>
          <w:tcPr>
            <w:tcW w:w="827" w:type="dxa"/>
            <w:tcBorders>
              <w:top w:val="single" w:color="000000" w:sz="4" w:space="0"/>
              <w:left w:val="single" w:color="000000" w:sz="4" w:space="0"/>
              <w:bottom w:val="single" w:color="000000" w:sz="4" w:space="0"/>
              <w:right w:val="single" w:color="000000" w:sz="6" w:space="0"/>
            </w:tcBorders>
            <w:shd w:val="clear" w:color="auto" w:fill="auto"/>
            <w:vAlign w:val="center"/>
          </w:tcPr>
          <w:p>
            <w:pPr>
              <w:pStyle w:val="484"/>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1481" w:type="dxa"/>
            <w:tcBorders>
              <w:top w:val="single" w:color="000000" w:sz="4" w:space="0"/>
              <w:left w:val="single" w:color="000000" w:sz="6" w:space="0"/>
              <w:bottom w:val="single" w:color="000000" w:sz="4" w:space="0"/>
              <w:right w:val="single" w:color="000000" w:sz="6" w:space="0"/>
            </w:tcBorders>
            <w:shd w:val="clear" w:color="auto" w:fill="auto"/>
            <w:vAlign w:val="center"/>
          </w:tcPr>
          <w:p>
            <w:pPr>
              <w:pStyle w:val="484"/>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快速检验</w:t>
            </w:r>
          </w:p>
        </w:tc>
        <w:tc>
          <w:tcPr>
            <w:tcW w:w="1385" w:type="dxa"/>
            <w:tcBorders>
              <w:top w:val="single" w:color="000000" w:sz="4" w:space="0"/>
              <w:left w:val="single" w:color="000000" w:sz="6" w:space="0"/>
              <w:bottom w:val="single" w:color="000000" w:sz="4" w:space="0"/>
              <w:right w:val="single" w:color="auto" w:sz="4" w:space="0"/>
            </w:tcBorders>
            <w:shd w:val="clear" w:color="auto" w:fill="auto"/>
            <w:vAlign w:val="center"/>
          </w:tcPr>
          <w:p>
            <w:pPr>
              <w:pStyle w:val="484"/>
              <w:jc w:val="center"/>
              <w:rPr>
                <w:rFonts w:ascii="仿宋" w:hAnsi="仿宋" w:eastAsia="仿宋" w:cs="仿宋"/>
                <w:color w:val="auto"/>
                <w:kern w:val="0"/>
                <w:sz w:val="24"/>
                <w:szCs w:val="24"/>
              </w:rPr>
            </w:pPr>
          </w:p>
        </w:tc>
        <w:tc>
          <w:tcPr>
            <w:tcW w:w="200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484"/>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1500</w:t>
            </w:r>
          </w:p>
        </w:tc>
        <w:tc>
          <w:tcPr>
            <w:tcW w:w="1751" w:type="dxa"/>
            <w:tcBorders>
              <w:top w:val="single" w:color="000000" w:sz="4" w:space="0"/>
              <w:left w:val="single" w:color="auto" w:sz="4" w:space="0"/>
              <w:bottom w:val="single" w:color="000000" w:sz="4" w:space="0"/>
              <w:right w:val="single" w:color="000000" w:sz="6" w:space="0"/>
            </w:tcBorders>
            <w:shd w:val="clear" w:color="auto" w:fill="auto"/>
            <w:vAlign w:val="center"/>
          </w:tcPr>
          <w:p>
            <w:pPr>
              <w:pStyle w:val="484"/>
              <w:jc w:val="center"/>
              <w:rPr>
                <w:rFonts w:ascii="仿宋" w:hAnsi="仿宋" w:eastAsia="仿宋" w:cs="仿宋"/>
                <w:color w:val="auto"/>
                <w:kern w:val="0"/>
                <w:sz w:val="24"/>
                <w:szCs w:val="24"/>
              </w:rPr>
            </w:pPr>
          </w:p>
        </w:tc>
        <w:tc>
          <w:tcPr>
            <w:tcW w:w="1722" w:type="dxa"/>
            <w:tcBorders>
              <w:top w:val="single" w:color="000000" w:sz="4" w:space="0"/>
              <w:left w:val="single" w:color="auto" w:sz="4" w:space="0"/>
              <w:bottom w:val="single" w:color="000000" w:sz="4" w:space="0"/>
              <w:right w:val="single" w:color="000000" w:sz="6" w:space="0"/>
            </w:tcBorders>
            <w:shd w:val="clear" w:color="auto" w:fill="auto"/>
            <w:vAlign w:val="center"/>
          </w:tcPr>
          <w:p>
            <w:pPr>
              <w:pStyle w:val="484"/>
              <w:jc w:val="center"/>
              <w:rPr>
                <w:rFonts w:ascii="仿宋" w:hAnsi="仿宋" w:eastAsia="仿宋" w:cs="仿宋"/>
                <w:color w:val="auto"/>
                <w:kern w:val="0"/>
                <w:sz w:val="24"/>
                <w:szCs w:val="24"/>
                <w:lang w:val="zh-CN"/>
              </w:rPr>
            </w:pPr>
          </w:p>
        </w:tc>
        <w:tc>
          <w:tcPr>
            <w:tcW w:w="1540" w:type="dxa"/>
            <w:tcBorders>
              <w:top w:val="single" w:color="000000" w:sz="4" w:space="0"/>
              <w:left w:val="single" w:color="auto" w:sz="4" w:space="0"/>
              <w:bottom w:val="single" w:color="000000" w:sz="4" w:space="0"/>
              <w:right w:val="single" w:color="000000" w:sz="6" w:space="0"/>
            </w:tcBorders>
            <w:shd w:val="clear" w:color="auto" w:fill="auto"/>
            <w:vAlign w:val="center"/>
          </w:tcPr>
          <w:p>
            <w:pPr>
              <w:pStyle w:val="484"/>
              <w:jc w:val="center"/>
              <w:rPr>
                <w:rFonts w:ascii="仿宋" w:hAnsi="仿宋" w:eastAsia="仿宋" w:cs="仿宋"/>
                <w:bCs/>
                <w:color w:val="auto"/>
                <w:sz w:val="24"/>
                <w:szCs w:val="24"/>
              </w:rPr>
            </w:pPr>
          </w:p>
        </w:tc>
        <w:tc>
          <w:tcPr>
            <w:tcW w:w="1923" w:type="dxa"/>
            <w:tcBorders>
              <w:top w:val="single" w:color="000000" w:sz="4" w:space="0"/>
              <w:left w:val="single" w:color="auto" w:sz="4" w:space="0"/>
              <w:bottom w:val="single" w:color="000000" w:sz="4" w:space="0"/>
              <w:right w:val="single" w:color="000000" w:sz="6" w:space="0"/>
            </w:tcBorders>
            <w:shd w:val="clear" w:color="auto" w:fill="auto"/>
            <w:vAlign w:val="center"/>
          </w:tcPr>
          <w:p>
            <w:pPr>
              <w:pStyle w:val="484"/>
              <w:jc w:val="center"/>
              <w:rPr>
                <w:rFonts w:ascii="仿宋" w:hAnsi="仿宋" w:eastAsia="仿宋" w:cs="仿宋"/>
                <w:bCs/>
                <w:color w:val="auto"/>
                <w:sz w:val="24"/>
                <w:szCs w:val="24"/>
              </w:rPr>
            </w:pPr>
          </w:p>
        </w:tc>
        <w:tc>
          <w:tcPr>
            <w:tcW w:w="1596" w:type="dxa"/>
            <w:tcBorders>
              <w:top w:val="single" w:color="000000" w:sz="4" w:space="0"/>
              <w:left w:val="single" w:color="auto" w:sz="4" w:space="0"/>
              <w:bottom w:val="single" w:color="000000" w:sz="4" w:space="0"/>
              <w:right w:val="single" w:color="000000" w:sz="6" w:space="0"/>
            </w:tcBorders>
            <w:shd w:val="clear" w:color="auto" w:fill="auto"/>
            <w:vAlign w:val="center"/>
          </w:tcPr>
          <w:p>
            <w:pPr>
              <w:pStyle w:val="484"/>
              <w:jc w:val="center"/>
              <w:rPr>
                <w:rFonts w:ascii="仿宋" w:hAnsi="仿宋" w:eastAsia="仿宋" w:cs="仿宋"/>
                <w:bCs/>
                <w:color w:val="auto"/>
                <w:sz w:val="24"/>
                <w:szCs w:val="24"/>
              </w:rPr>
            </w:pPr>
          </w:p>
        </w:tc>
      </w:tr>
      <w:tr>
        <w:tblPrEx>
          <w:tblCellMar>
            <w:top w:w="0" w:type="dxa"/>
            <w:left w:w="0" w:type="dxa"/>
            <w:bottom w:w="0" w:type="dxa"/>
            <w:right w:w="0" w:type="dxa"/>
          </w:tblCellMar>
        </w:tblPrEx>
        <w:trPr>
          <w:trHeight w:val="973" w:hRule="exact"/>
        </w:trPr>
        <w:tc>
          <w:tcPr>
            <w:tcW w:w="5702" w:type="dxa"/>
            <w:gridSpan w:val="4"/>
            <w:tcBorders>
              <w:top w:val="single" w:color="000000" w:sz="4" w:space="0"/>
              <w:left w:val="single" w:color="000000" w:sz="4" w:space="0"/>
              <w:bottom w:val="single" w:color="000000" w:sz="4" w:space="0"/>
              <w:right w:val="single" w:color="000000" w:sz="6" w:space="0"/>
            </w:tcBorders>
            <w:shd w:val="clear" w:color="auto" w:fill="auto"/>
            <w:vAlign w:val="center"/>
          </w:tcPr>
          <w:p>
            <w:pPr>
              <w:pStyle w:val="484"/>
              <w:jc w:val="left"/>
              <w:rPr>
                <w:rFonts w:ascii="仿宋" w:hAnsi="仿宋" w:eastAsia="仿宋" w:cs="仿宋"/>
                <w:bCs/>
                <w:color w:val="auto"/>
                <w:sz w:val="24"/>
                <w:szCs w:val="24"/>
              </w:rPr>
            </w:pPr>
            <w:r>
              <w:rPr>
                <w:rFonts w:hint="eastAsia" w:ascii="仿宋" w:hAnsi="仿宋" w:eastAsia="仿宋" w:cs="仿宋"/>
                <w:color w:val="auto"/>
                <w:kern w:val="0"/>
                <w:sz w:val="24"/>
                <w:szCs w:val="24"/>
              </w:rPr>
              <w:t>投标总价（总报价=专项监督检验报价+基本药物检验报价+快速检验报价）</w:t>
            </w:r>
          </w:p>
        </w:tc>
        <w:tc>
          <w:tcPr>
            <w:tcW w:w="8532" w:type="dxa"/>
            <w:gridSpan w:val="5"/>
            <w:tcBorders>
              <w:top w:val="single" w:color="000000" w:sz="4" w:space="0"/>
              <w:left w:val="single" w:color="000000" w:sz="6" w:space="0"/>
              <w:bottom w:val="single" w:color="000000" w:sz="4" w:space="0"/>
              <w:right w:val="single" w:color="000000" w:sz="6" w:space="0"/>
            </w:tcBorders>
            <w:shd w:val="clear" w:color="auto" w:fill="auto"/>
            <w:vAlign w:val="center"/>
          </w:tcPr>
          <w:p>
            <w:pPr>
              <w:pStyle w:val="484"/>
              <w:jc w:val="left"/>
              <w:rPr>
                <w:rFonts w:ascii="仿宋" w:hAnsi="仿宋" w:eastAsia="仿宋" w:cs="仿宋"/>
                <w:bCs/>
                <w:color w:val="auto"/>
                <w:sz w:val="24"/>
                <w:szCs w:val="24"/>
              </w:rPr>
            </w:pPr>
            <w:r>
              <w:rPr>
                <w:rFonts w:hint="eastAsia" w:ascii="仿宋" w:hAnsi="仿宋" w:eastAsia="仿宋" w:cs="仿宋"/>
                <w:bCs/>
                <w:color w:val="auto"/>
                <w:sz w:val="24"/>
                <w:szCs w:val="24"/>
              </w:rPr>
              <w:t>小写：</w:t>
            </w:r>
          </w:p>
          <w:p>
            <w:pPr>
              <w:pStyle w:val="484"/>
              <w:jc w:val="left"/>
              <w:rPr>
                <w:rFonts w:ascii="仿宋" w:hAnsi="仿宋" w:eastAsia="仿宋" w:cs="仿宋"/>
                <w:bCs/>
                <w:color w:val="auto"/>
                <w:sz w:val="24"/>
                <w:szCs w:val="24"/>
              </w:rPr>
            </w:pPr>
            <w:r>
              <w:rPr>
                <w:rFonts w:hint="eastAsia" w:ascii="仿宋" w:hAnsi="仿宋" w:eastAsia="仿宋" w:cs="仿宋"/>
                <w:bCs/>
                <w:color w:val="auto"/>
                <w:sz w:val="24"/>
                <w:szCs w:val="24"/>
              </w:rPr>
              <w:t>大写：</w:t>
            </w:r>
          </w:p>
        </w:tc>
      </w:tr>
    </w:tbl>
    <w:p>
      <w:pPr>
        <w:snapToGrid w:val="0"/>
        <w:spacing w:line="360" w:lineRule="auto"/>
        <w:ind w:left="480"/>
        <w:rPr>
          <w:rFonts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pPr>
        <w:snapToGrid w:val="0"/>
        <w:spacing w:line="360" w:lineRule="auto"/>
        <w:ind w:left="-2" w:leftChars="-1"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1、投标人需按本表格式填写，</w:t>
      </w:r>
      <w:r>
        <w:rPr>
          <w:rFonts w:hint="eastAsia" w:ascii="仿宋" w:hAnsi="仿宋" w:eastAsia="仿宋" w:cs="仿宋"/>
          <w:b/>
          <w:bCs/>
          <w:color w:val="auto"/>
          <w:kern w:val="0"/>
          <w:sz w:val="24"/>
          <w:lang w:val="zh-CN"/>
        </w:rPr>
        <w:t>否则视为投标文件含有采购人不能接受的附加条件，投标无效</w:t>
      </w:r>
      <w:r>
        <w:rPr>
          <w:rFonts w:hint="eastAsia" w:ascii="仿宋" w:hAnsi="仿宋" w:eastAsia="仿宋" w:cs="仿宋"/>
          <w:color w:val="auto"/>
          <w:kern w:val="0"/>
          <w:sz w:val="24"/>
          <w:lang w:val="zh-CN"/>
        </w:rPr>
        <w:t>。</w:t>
      </w:r>
    </w:p>
    <w:p>
      <w:pPr>
        <w:snapToGrid w:val="0"/>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2、有关本项目实施所涉及的一切费用均计入报价。</w:t>
      </w:r>
      <w:r>
        <w:rPr>
          <w:rFonts w:hint="eastAsia" w:ascii="仿宋" w:hAnsi="仿宋" w:eastAsia="仿宋" w:cs="仿宋"/>
          <w:b/>
          <w:color w:val="auto"/>
          <w:kern w:val="0"/>
          <w:sz w:val="24"/>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不得出现“0元”“免费赠送”等形式的无偿报价，</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投标文件含有采购人不能接受的附加条件的，投标无效</w:t>
      </w:r>
      <w:r>
        <w:rPr>
          <w:rFonts w:hint="eastAsia" w:ascii="仿宋" w:hAnsi="仿宋" w:eastAsia="仿宋" w:cs="仿宋"/>
          <w:b/>
          <w:color w:val="auto"/>
          <w:kern w:val="0"/>
          <w:sz w:val="24"/>
          <w:lang w:val="zh-CN"/>
        </w:rPr>
        <w:t>。采购内容未包含在《开标一览表（报价表）》名称栏中，投标人不能作出合理解释的，视为投标文件含有采购人不能接受的附加条件的，投标无效。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szCs w:val="22"/>
        </w:rPr>
        <w:t>4</w:t>
      </w:r>
      <w:r>
        <w:rPr>
          <w:rFonts w:hint="eastAsia" w:ascii="仿宋" w:hAnsi="仿宋" w:eastAsia="仿宋" w:cs="仿宋"/>
          <w:color w:val="auto"/>
          <w:kern w:val="0"/>
          <w:sz w:val="24"/>
          <w:szCs w:val="22"/>
          <w:lang w:val="zh-CN"/>
        </w:rPr>
        <w:t>、</w:t>
      </w:r>
      <w:r>
        <w:rPr>
          <w:rFonts w:hint="eastAsia" w:ascii="仿宋" w:hAnsi="仿宋" w:eastAsia="仿宋" w:cs="仿宋"/>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仿宋" w:hAnsi="仿宋" w:eastAsia="仿宋" w:cs="仿宋"/>
          <w:b/>
          <w:color w:val="auto"/>
          <w:kern w:val="0"/>
          <w:sz w:val="24"/>
        </w:rPr>
      </w:pPr>
    </w:p>
    <w:p>
      <w:pPr>
        <w:pStyle w:val="693"/>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pPr>
    </w:p>
    <w:p>
      <w:pPr>
        <w:autoSpaceDE w:val="0"/>
        <w:autoSpaceDN w:val="0"/>
        <w:spacing w:line="360" w:lineRule="auto"/>
        <w:ind w:left="2" w:leftChars="1" w:right="1120" w:firstLine="8880" w:firstLineChars="37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w:t>
      </w:r>
    </w:p>
    <w:p>
      <w:pPr>
        <w:spacing w:line="360" w:lineRule="auto"/>
        <w:ind w:left="4620" w:leftChars="2200" w:firstLine="4320" w:firstLineChars="1800"/>
        <w:rPr>
          <w:rFonts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日</w:t>
      </w:r>
    </w:p>
    <w:p>
      <w:pPr>
        <w:rPr>
          <w:rFonts w:ascii="仿宋" w:hAnsi="仿宋" w:eastAsia="仿宋" w:cs="仿宋"/>
          <w:color w:val="auto"/>
          <w:sz w:val="32"/>
          <w:szCs w:val="32"/>
        </w:rPr>
      </w:pPr>
      <w:r>
        <w:rPr>
          <w:rFonts w:hint="eastAsia" w:ascii="仿宋" w:hAnsi="仿宋" w:eastAsia="仿宋" w:cs="仿宋"/>
          <w:color w:val="auto"/>
          <w:sz w:val="32"/>
          <w:szCs w:val="32"/>
        </w:rPr>
        <w:br w:type="page"/>
      </w:r>
    </w:p>
    <w:p>
      <w:pPr>
        <w:pStyle w:val="693"/>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sectPr>
          <w:pgSz w:w="16838" w:h="11906" w:orient="landscape"/>
          <w:pgMar w:top="1418" w:right="1247" w:bottom="1418" w:left="1276" w:header="851" w:footer="992" w:gutter="0"/>
          <w:cols w:space="720" w:num="1"/>
          <w:titlePg/>
          <w:docGrid w:linePitch="312" w:charSpace="0"/>
        </w:sectPr>
      </w:pPr>
    </w:p>
    <w:p>
      <w:pPr>
        <w:numPr>
          <w:ilvl w:val="0"/>
          <w:numId w:val="16"/>
        </w:numPr>
        <w:snapToGrid w:val="0"/>
        <w:spacing w:line="360" w:lineRule="auto"/>
        <w:jc w:val="center"/>
        <w:outlineLvl w:val="1"/>
        <w:rPr>
          <w:rFonts w:ascii="仿宋" w:hAnsi="仿宋" w:eastAsia="仿宋" w:cs="仿宋"/>
          <w:b/>
          <w:color w:val="auto"/>
          <w:kern w:val="0"/>
          <w:sz w:val="32"/>
          <w:szCs w:val="32"/>
        </w:rPr>
      </w:pPr>
      <w:r>
        <w:rPr>
          <w:rFonts w:hint="eastAsia" w:ascii="仿宋" w:hAnsi="仿宋" w:eastAsia="仿宋" w:cs="仿宋"/>
          <w:b/>
          <w:color w:val="auto"/>
          <w:kern w:val="0"/>
          <w:sz w:val="32"/>
          <w:szCs w:val="32"/>
          <w:lang w:val="zh-CN"/>
        </w:rPr>
        <w:t>专项监督检验费</w:t>
      </w:r>
      <w:r>
        <w:rPr>
          <w:rFonts w:hint="eastAsia" w:ascii="仿宋" w:hAnsi="仿宋" w:eastAsia="仿宋" w:cs="仿宋"/>
          <w:b/>
          <w:color w:val="auto"/>
          <w:kern w:val="0"/>
          <w:sz w:val="32"/>
          <w:szCs w:val="32"/>
        </w:rPr>
        <w:t>/基本药物检验费明细表（如有）</w:t>
      </w:r>
    </w:p>
    <w:p>
      <w:pPr>
        <w:jc w:val="center"/>
        <w:rPr>
          <w:color w:val="auto"/>
        </w:rPr>
      </w:pPr>
    </w:p>
    <w:p>
      <w:pPr>
        <w:jc w:val="center"/>
        <w:rPr>
          <w:color w:val="auto"/>
        </w:rPr>
      </w:pPr>
      <w:r>
        <w:rPr>
          <w:rFonts w:hint="eastAsia"/>
          <w:color w:val="auto"/>
        </w:rPr>
        <w:t>（格式自拟）</w:t>
      </w:r>
    </w:p>
    <w:p>
      <w:pPr>
        <w:snapToGrid w:val="0"/>
        <w:spacing w:line="360" w:lineRule="auto"/>
        <w:jc w:val="center"/>
        <w:outlineLvl w:val="1"/>
        <w:rPr>
          <w:rFonts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pPr>
        <w:rPr>
          <w:rFonts w:ascii="仿宋" w:hAnsi="仿宋" w:eastAsia="仿宋" w:cs="仿宋"/>
          <w:b/>
          <w:color w:val="auto"/>
          <w:kern w:val="0"/>
          <w:sz w:val="32"/>
          <w:szCs w:val="32"/>
        </w:rPr>
      </w:pPr>
    </w:p>
    <w:p>
      <w:pPr>
        <w:snapToGrid w:val="0"/>
        <w:spacing w:line="360" w:lineRule="auto"/>
        <w:jc w:val="center"/>
        <w:outlineLvl w:val="1"/>
        <w:rPr>
          <w:rFonts w:ascii="仿宋" w:hAnsi="仿宋" w:eastAsia="仿宋" w:cs="仿宋"/>
          <w:b/>
          <w:color w:val="auto"/>
          <w:kern w:val="0"/>
          <w:sz w:val="32"/>
          <w:szCs w:val="32"/>
        </w:rPr>
      </w:pPr>
      <w:r>
        <w:rPr>
          <w:rFonts w:hint="eastAsia" w:ascii="仿宋" w:hAnsi="仿宋" w:eastAsia="仿宋" w:cs="仿宋"/>
          <w:b/>
          <w:color w:val="auto"/>
          <w:kern w:val="0"/>
          <w:sz w:val="32"/>
          <w:szCs w:val="32"/>
        </w:rPr>
        <w:t>三、中小企业声明函（如果有）</w:t>
      </w:r>
    </w:p>
    <w:p>
      <w:pPr>
        <w:spacing w:line="360" w:lineRule="auto"/>
        <w:ind w:firstLine="482" w:firstLineChars="200"/>
        <w:rPr>
          <w:rFonts w:ascii="仿宋" w:hAnsi="仿宋" w:eastAsia="仿宋" w:cs="仿宋"/>
          <w:b/>
          <w:color w:val="auto"/>
          <w:sz w:val="32"/>
          <w:szCs w:val="32"/>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r>
        <w:rPr>
          <w:rFonts w:hint="eastAsia" w:ascii="仿宋" w:hAnsi="仿宋" w:eastAsia="仿宋" w:cs="仿宋"/>
          <w:b/>
          <w:color w:val="auto"/>
          <w:sz w:val="32"/>
          <w:szCs w:val="32"/>
        </w:rPr>
        <w:br w:type="page"/>
      </w:r>
    </w:p>
    <w:p>
      <w:pPr>
        <w:rPr>
          <w:rFonts w:ascii="仿宋" w:hAnsi="仿宋" w:eastAsia="仿宋" w:cs="仿宋"/>
          <w:b/>
          <w:color w:val="auto"/>
          <w:kern w:val="0"/>
          <w:sz w:val="32"/>
          <w:szCs w:val="32"/>
        </w:rPr>
      </w:pPr>
      <w:bookmarkStart w:id="424" w:name="_Toc465665161"/>
    </w:p>
    <w:p>
      <w:pPr>
        <w:snapToGrid w:val="0"/>
        <w:spacing w:line="360" w:lineRule="auto"/>
        <w:jc w:val="center"/>
        <w:outlineLvl w:val="1"/>
        <w:rPr>
          <w:rFonts w:ascii="仿宋" w:hAnsi="仿宋" w:eastAsia="仿宋" w:cs="仿宋"/>
          <w:b/>
          <w:color w:val="auto"/>
          <w:kern w:val="0"/>
          <w:sz w:val="32"/>
          <w:szCs w:val="32"/>
        </w:rPr>
      </w:pPr>
      <w:r>
        <w:rPr>
          <w:rFonts w:hint="eastAsia" w:ascii="仿宋" w:hAnsi="仿宋" w:eastAsia="仿宋" w:cs="仿宋"/>
          <w:b/>
          <w:color w:val="auto"/>
          <w:kern w:val="0"/>
          <w:sz w:val="32"/>
          <w:szCs w:val="32"/>
        </w:rPr>
        <w:t>附件</w:t>
      </w:r>
      <w:bookmarkEnd w:id="424"/>
    </w:p>
    <w:p>
      <w:pPr>
        <w:spacing w:line="360" w:lineRule="auto"/>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附件1：</w:t>
      </w:r>
    </w:p>
    <w:p>
      <w:pPr>
        <w:spacing w:line="360" w:lineRule="auto"/>
        <w:jc w:val="center"/>
        <w:rPr>
          <w:rFonts w:ascii="仿宋" w:hAnsi="仿宋" w:eastAsia="仿宋" w:cs="仿宋"/>
          <w:b/>
          <w:color w:val="auto"/>
          <w:spacing w:val="6"/>
          <w:sz w:val="32"/>
          <w:szCs w:val="32"/>
        </w:rPr>
      </w:pPr>
      <w:bookmarkStart w:id="425" w:name="OLE_LINK13"/>
      <w:bookmarkStart w:id="426" w:name="OLE_LINK14"/>
      <w:r>
        <w:rPr>
          <w:rFonts w:hint="eastAsia" w:ascii="仿宋" w:hAnsi="仿宋" w:eastAsia="仿宋" w:cs="仿宋"/>
          <w:b/>
          <w:color w:val="auto"/>
          <w:spacing w:val="6"/>
          <w:sz w:val="32"/>
          <w:szCs w:val="32"/>
        </w:rPr>
        <w:t>残疾人福利性单位声明函</w:t>
      </w:r>
    </w:p>
    <w:bookmarkEnd w:id="425"/>
    <w:bookmarkEnd w:id="426"/>
    <w:p>
      <w:pPr>
        <w:spacing w:line="360" w:lineRule="auto"/>
        <w:rPr>
          <w:rFonts w:ascii="仿宋" w:hAnsi="仿宋" w:eastAsia="仿宋" w:cs="仿宋"/>
          <w:b/>
          <w:color w:val="auto"/>
          <w:spacing w:val="6"/>
          <w:sz w:val="30"/>
          <w:szCs w:val="30"/>
        </w:rPr>
      </w:pP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u w:val="single"/>
        </w:rPr>
        <w:t>浙江省药品监督管理局</w:t>
      </w:r>
      <w:r>
        <w:rPr>
          <w:rFonts w:hint="eastAsia" w:ascii="仿宋" w:hAnsi="仿宋" w:eastAsia="仿宋" w:cs="仿宋"/>
          <w:color w:val="auto"/>
          <w:sz w:val="24"/>
        </w:rPr>
        <w:t>的</w:t>
      </w:r>
      <w:r>
        <w:rPr>
          <w:rFonts w:hint="eastAsia" w:ascii="仿宋" w:hAnsi="仿宋" w:eastAsia="仿宋" w:cs="仿宋"/>
          <w:color w:val="auto"/>
          <w:sz w:val="24"/>
          <w:u w:val="single"/>
        </w:rPr>
        <w:t>2023年浙江省省级药品抽检委托检验服务项目</w:t>
      </w:r>
      <w:r>
        <w:rPr>
          <w:rFonts w:hint="eastAsia" w:ascii="仿宋" w:hAnsi="仿宋" w:eastAsia="仿宋" w:cs="仿宋"/>
          <w:color w:val="auto"/>
          <w:sz w:val="24"/>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pPr>
        <w:spacing w:line="360" w:lineRule="auto"/>
        <w:ind w:firstLine="480" w:firstLineChars="200"/>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p>
    <w:p>
      <w:pPr>
        <w:tabs>
          <w:tab w:val="left" w:pos="4860"/>
        </w:tabs>
        <w:spacing w:line="360" w:lineRule="auto"/>
        <w:ind w:right="1560" w:firstLine="3360" w:firstLineChars="1400"/>
        <w:rPr>
          <w:rFonts w:ascii="仿宋" w:hAnsi="仿宋" w:eastAsia="仿宋" w:cs="仿宋"/>
          <w:color w:val="auto"/>
          <w:sz w:val="24"/>
        </w:rPr>
      </w:pPr>
      <w:r>
        <w:rPr>
          <w:rFonts w:hint="eastAsia" w:ascii="仿宋" w:hAnsi="仿宋" w:eastAsia="仿宋" w:cs="仿宋"/>
          <w:color w:val="auto"/>
          <w:kern w:val="0"/>
          <w:sz w:val="24"/>
          <w:lang w:val="zh-CN"/>
        </w:rPr>
        <w:t>投标人名称（电子签名）</w:t>
      </w:r>
      <w:r>
        <w:rPr>
          <w:rFonts w:hint="eastAsia" w:ascii="仿宋" w:hAnsi="仿宋" w:eastAsia="仿宋" w:cs="仿宋"/>
          <w:color w:val="auto"/>
          <w:sz w:val="24"/>
        </w:rPr>
        <w:t>：</w:t>
      </w:r>
    </w:p>
    <w:p>
      <w:pPr>
        <w:tabs>
          <w:tab w:val="left" w:pos="4860"/>
        </w:tabs>
        <w:spacing w:line="360" w:lineRule="auto"/>
        <w:ind w:right="1560" w:firstLine="3360" w:firstLineChars="1400"/>
        <w:rPr>
          <w:rFonts w:ascii="仿宋" w:hAnsi="仿宋" w:eastAsia="仿宋" w:cs="仿宋"/>
          <w:color w:val="auto"/>
          <w:sz w:val="24"/>
        </w:rPr>
      </w:pPr>
      <w:r>
        <w:rPr>
          <w:rFonts w:hint="eastAsia" w:ascii="仿宋" w:hAnsi="仿宋" w:eastAsia="仿宋" w:cs="仿宋"/>
          <w:color w:val="auto"/>
          <w:sz w:val="24"/>
        </w:rPr>
        <w:t>日  期：</w:t>
      </w:r>
      <w:r>
        <w:rPr>
          <w:rFonts w:hint="eastAsia" w:ascii="仿宋" w:hAnsi="仿宋" w:eastAsia="仿宋" w:cs="仿宋"/>
          <w:color w:val="auto"/>
          <w:sz w:val="24"/>
          <w:lang w:val="zh-CN"/>
        </w:rPr>
        <w:t xml:space="preserve"> </w:t>
      </w:r>
      <w:r>
        <w:rPr>
          <w:rFonts w:hint="eastAsia" w:ascii="仿宋" w:hAnsi="仿宋" w:eastAsia="仿宋" w:cs="仿宋"/>
          <w:color w:val="auto"/>
          <w:sz w:val="24"/>
        </w:rPr>
        <w:t xml:space="preserve">  </w:t>
      </w:r>
      <w:r>
        <w:rPr>
          <w:rFonts w:hint="eastAsia" w:ascii="仿宋" w:hAnsi="仿宋" w:eastAsia="仿宋" w:cs="仿宋"/>
          <w:color w:val="auto"/>
          <w:sz w:val="24"/>
          <w:lang w:val="zh-CN"/>
        </w:rPr>
        <w:t xml:space="preserve"> 年 </w:t>
      </w:r>
      <w:r>
        <w:rPr>
          <w:rFonts w:hint="eastAsia" w:ascii="仿宋" w:hAnsi="仿宋" w:eastAsia="仿宋" w:cs="仿宋"/>
          <w:color w:val="auto"/>
          <w:sz w:val="24"/>
        </w:rPr>
        <w:t xml:space="preserve"> </w:t>
      </w:r>
      <w:r>
        <w:rPr>
          <w:rFonts w:hint="eastAsia" w:ascii="仿宋" w:hAnsi="仿宋" w:eastAsia="仿宋" w:cs="仿宋"/>
          <w:color w:val="auto"/>
          <w:sz w:val="24"/>
          <w:lang w:val="zh-CN"/>
        </w:rPr>
        <w:t xml:space="preserve"> 月   日</w:t>
      </w:r>
    </w:p>
    <w:p>
      <w:pPr>
        <w:tabs>
          <w:tab w:val="left" w:pos="4860"/>
        </w:tabs>
        <w:spacing w:line="360" w:lineRule="auto"/>
        <w:ind w:right="1560" w:firstLine="3360" w:firstLineChars="1400"/>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p>
    <w:p>
      <w:pP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pPr>
        <w:spacing w:line="360" w:lineRule="auto"/>
        <w:jc w:val="left"/>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附件2：质疑函范本及制作说明</w:t>
      </w:r>
    </w:p>
    <w:p>
      <w:pPr>
        <w:spacing w:line="360" w:lineRule="auto"/>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pPr>
        <w:snapToGrid w:val="0"/>
        <w:spacing w:beforeLines="100" w:line="360" w:lineRule="auto"/>
        <w:rPr>
          <w:rFonts w:ascii="仿宋" w:hAnsi="仿宋" w:eastAsia="仿宋" w:cs="仿宋"/>
          <w:bCs/>
          <w:color w:val="auto"/>
          <w:sz w:val="24"/>
        </w:rPr>
      </w:pPr>
      <w:r>
        <w:rPr>
          <w:rFonts w:hint="eastAsia" w:ascii="仿宋" w:hAnsi="仿宋" w:eastAsia="仿宋" w:cs="仿宋"/>
          <w:bCs/>
          <w:color w:val="auto"/>
          <w:sz w:val="24"/>
        </w:rPr>
        <w:t>一、质疑供应商基本信息</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bCs/>
          <w:color w:val="auto"/>
          <w:sz w:val="24"/>
        </w:rPr>
      </w:pPr>
      <w:r>
        <w:rPr>
          <w:rFonts w:hint="eastAsia" w:ascii="仿宋" w:hAnsi="仿宋" w:eastAsia="仿宋" w:cs="仿宋"/>
          <w:bCs/>
          <w:color w:val="auto"/>
          <w:sz w:val="24"/>
        </w:rPr>
        <w:t>二、质疑项目基本情况</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bCs/>
          <w:color w:val="auto"/>
          <w:sz w:val="24"/>
        </w:rPr>
      </w:pPr>
      <w:r>
        <w:rPr>
          <w:rFonts w:hint="eastAsia" w:ascii="仿宋" w:hAnsi="仿宋" w:eastAsia="仿宋" w:cs="仿宋"/>
          <w:bCs/>
          <w:color w:val="auto"/>
          <w:sz w:val="24"/>
        </w:rPr>
        <w:t>三、质疑事项具体内容</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color w:val="auto"/>
          <w:sz w:val="24"/>
        </w:rPr>
      </w:pP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质疑事项2</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w:t>
      </w:r>
    </w:p>
    <w:p>
      <w:pPr>
        <w:snapToGrid w:val="0"/>
        <w:spacing w:line="360" w:lineRule="auto"/>
        <w:rPr>
          <w:rFonts w:ascii="仿宋" w:hAnsi="仿宋" w:eastAsia="仿宋" w:cs="仿宋"/>
          <w:bCs/>
          <w:color w:val="auto"/>
          <w:sz w:val="24"/>
        </w:rPr>
      </w:pPr>
      <w:r>
        <w:rPr>
          <w:rFonts w:hint="eastAsia" w:ascii="仿宋" w:hAnsi="仿宋" w:eastAsia="仿宋" w:cs="仿宋"/>
          <w:bCs/>
          <w:color w:val="auto"/>
          <w:sz w:val="24"/>
        </w:rPr>
        <w:t>四、与质疑事项相关的质疑请求</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签字(签章)：                   公章：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日期：    </w:t>
      </w:r>
    </w:p>
    <w:p>
      <w:pPr>
        <w:spacing w:line="360" w:lineRule="auto"/>
        <w:jc w:val="center"/>
        <w:rPr>
          <w:rFonts w:ascii="仿宋" w:hAnsi="仿宋" w:eastAsia="仿宋" w:cs="仿宋"/>
          <w:b/>
          <w:bCs/>
          <w:color w:val="auto"/>
          <w:sz w:val="24"/>
        </w:rPr>
      </w:pPr>
    </w:p>
    <w:p>
      <w:pPr>
        <w:spacing w:line="360" w:lineRule="auto"/>
        <w:rPr>
          <w:rFonts w:ascii="仿宋" w:hAnsi="仿宋" w:eastAsia="仿宋" w:cs="仿宋"/>
          <w:b/>
          <w:color w:val="auto"/>
          <w:sz w:val="24"/>
        </w:rPr>
      </w:pPr>
    </w:p>
    <w:p>
      <w:pPr>
        <w:spacing w:line="360" w:lineRule="auto"/>
        <w:rPr>
          <w:rFonts w:ascii="仿宋" w:hAnsi="仿宋" w:eastAsia="仿宋" w:cs="仿宋"/>
          <w:b/>
          <w:color w:val="auto"/>
          <w:sz w:val="24"/>
        </w:rPr>
      </w:pPr>
    </w:p>
    <w:p>
      <w:pPr>
        <w:spacing w:line="360" w:lineRule="auto"/>
        <w:rPr>
          <w:rFonts w:ascii="仿宋" w:hAnsi="仿宋" w:eastAsia="仿宋" w:cs="仿宋"/>
          <w:b/>
          <w:color w:val="auto"/>
          <w:sz w:val="24"/>
        </w:rPr>
      </w:pPr>
    </w:p>
    <w:p>
      <w:pPr>
        <w:spacing w:line="360" w:lineRule="auto"/>
        <w:rPr>
          <w:rFonts w:ascii="仿宋" w:hAnsi="仿宋" w:eastAsia="仿宋" w:cs="仿宋"/>
          <w:b/>
          <w:color w:val="auto"/>
          <w:sz w:val="24"/>
        </w:rPr>
      </w:pPr>
      <w:r>
        <w:rPr>
          <w:rFonts w:hint="eastAsia" w:ascii="仿宋" w:hAnsi="仿宋" w:eastAsia="仿宋" w:cs="仿宋"/>
          <w:b/>
          <w:color w:val="auto"/>
          <w:sz w:val="24"/>
        </w:rPr>
        <w:t>质疑函制作说明：</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5.质疑函的质疑请求应与质疑事项相关。</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color w:val="auto"/>
          <w:sz w:val="30"/>
          <w:szCs w:val="30"/>
        </w:rPr>
      </w:pPr>
    </w:p>
    <w:p>
      <w:pPr>
        <w:spacing w:line="360" w:lineRule="auto"/>
        <w:jc w:val="center"/>
        <w:rPr>
          <w:rFonts w:ascii="仿宋" w:hAnsi="仿宋" w:eastAsia="仿宋" w:cs="仿宋"/>
          <w:b/>
          <w:color w:val="auto"/>
          <w:spacing w:val="6"/>
          <w:sz w:val="32"/>
          <w:szCs w:val="32"/>
        </w:rPr>
      </w:pPr>
    </w:p>
    <w:p>
      <w:pPr>
        <w:spacing w:line="360" w:lineRule="auto"/>
        <w:jc w:val="center"/>
        <w:rPr>
          <w:rFonts w:ascii="仿宋" w:hAnsi="仿宋" w:eastAsia="仿宋" w:cs="仿宋"/>
          <w:b/>
          <w:color w:val="auto"/>
          <w:spacing w:val="6"/>
          <w:sz w:val="32"/>
          <w:szCs w:val="32"/>
        </w:rPr>
      </w:pPr>
    </w:p>
    <w:p>
      <w:pPr>
        <w:spacing w:line="360" w:lineRule="auto"/>
        <w:jc w:val="center"/>
        <w:rPr>
          <w:rFonts w:ascii="仿宋" w:hAnsi="仿宋" w:eastAsia="仿宋" w:cs="仿宋"/>
          <w:b/>
          <w:color w:val="auto"/>
          <w:spacing w:val="6"/>
          <w:sz w:val="32"/>
          <w:szCs w:val="32"/>
        </w:rPr>
      </w:pPr>
    </w:p>
    <w:p>
      <w:pPr>
        <w:spacing w:line="360" w:lineRule="auto"/>
        <w:jc w:val="center"/>
        <w:rPr>
          <w:rFonts w:ascii="仿宋" w:hAnsi="仿宋" w:eastAsia="仿宋" w:cs="仿宋"/>
          <w:b/>
          <w:color w:val="auto"/>
          <w:spacing w:val="6"/>
          <w:sz w:val="32"/>
          <w:szCs w:val="32"/>
        </w:rPr>
      </w:pPr>
    </w:p>
    <w:p>
      <w:pPr>
        <w:spacing w:line="360" w:lineRule="auto"/>
        <w:jc w:val="center"/>
        <w:rPr>
          <w:rFonts w:ascii="仿宋" w:hAnsi="仿宋" w:eastAsia="仿宋" w:cs="仿宋"/>
          <w:b/>
          <w:color w:val="auto"/>
          <w:spacing w:val="6"/>
          <w:sz w:val="32"/>
          <w:szCs w:val="32"/>
        </w:rPr>
      </w:pPr>
    </w:p>
    <w:p>
      <w:pPr>
        <w:spacing w:line="360" w:lineRule="auto"/>
        <w:jc w:val="center"/>
        <w:rPr>
          <w:rFonts w:ascii="仿宋" w:hAnsi="仿宋" w:eastAsia="仿宋" w:cs="仿宋"/>
          <w:b/>
          <w:color w:val="auto"/>
          <w:spacing w:val="6"/>
          <w:sz w:val="32"/>
          <w:szCs w:val="32"/>
        </w:rPr>
      </w:pPr>
    </w:p>
    <w:p>
      <w:pPr>
        <w:spacing w:line="360" w:lineRule="auto"/>
        <w:jc w:val="center"/>
        <w:rPr>
          <w:rFonts w:ascii="仿宋" w:hAnsi="仿宋" w:eastAsia="仿宋" w:cs="仿宋"/>
          <w:b/>
          <w:color w:val="auto"/>
          <w:spacing w:val="6"/>
          <w:sz w:val="32"/>
          <w:szCs w:val="32"/>
        </w:rPr>
      </w:pPr>
    </w:p>
    <w:p>
      <w:pPr>
        <w:spacing w:line="360" w:lineRule="auto"/>
        <w:jc w:val="center"/>
        <w:rPr>
          <w:rFonts w:ascii="仿宋" w:hAnsi="仿宋" w:eastAsia="仿宋" w:cs="仿宋"/>
          <w:b/>
          <w:color w:val="auto"/>
          <w:spacing w:val="6"/>
          <w:sz w:val="32"/>
          <w:szCs w:val="32"/>
        </w:rPr>
      </w:pPr>
    </w:p>
    <w:p>
      <w:pPr>
        <w:spacing w:line="360" w:lineRule="auto"/>
        <w:jc w:val="center"/>
        <w:rPr>
          <w:rFonts w:ascii="仿宋" w:hAnsi="仿宋" w:eastAsia="仿宋" w:cs="仿宋"/>
          <w:b/>
          <w:color w:val="auto"/>
          <w:spacing w:val="6"/>
          <w:sz w:val="32"/>
          <w:szCs w:val="32"/>
        </w:rPr>
      </w:pPr>
    </w:p>
    <w:p>
      <w:pPr>
        <w:spacing w:line="360" w:lineRule="auto"/>
        <w:jc w:val="center"/>
        <w:rPr>
          <w:rFonts w:ascii="仿宋" w:hAnsi="仿宋" w:eastAsia="仿宋" w:cs="仿宋"/>
          <w:b/>
          <w:color w:val="auto"/>
          <w:spacing w:val="6"/>
          <w:sz w:val="32"/>
          <w:szCs w:val="32"/>
        </w:rPr>
      </w:pPr>
    </w:p>
    <w:p>
      <w:pPr>
        <w:spacing w:line="360" w:lineRule="auto"/>
        <w:jc w:val="center"/>
        <w:rPr>
          <w:rFonts w:ascii="仿宋" w:hAnsi="仿宋" w:eastAsia="仿宋" w:cs="仿宋"/>
          <w:b/>
          <w:color w:val="auto"/>
          <w:spacing w:val="6"/>
          <w:sz w:val="32"/>
          <w:szCs w:val="32"/>
        </w:rPr>
      </w:pPr>
    </w:p>
    <w:p>
      <w:pPr>
        <w:spacing w:line="360" w:lineRule="auto"/>
        <w:jc w:val="center"/>
        <w:rPr>
          <w:rFonts w:ascii="仿宋" w:hAnsi="仿宋" w:eastAsia="仿宋" w:cs="仿宋"/>
          <w:b/>
          <w:color w:val="auto"/>
          <w:spacing w:val="6"/>
          <w:sz w:val="32"/>
          <w:szCs w:val="32"/>
        </w:rPr>
      </w:pPr>
    </w:p>
    <w:p>
      <w:pPr>
        <w:spacing w:line="360" w:lineRule="auto"/>
        <w:jc w:val="left"/>
        <w:rPr>
          <w:rFonts w:ascii="仿宋" w:hAnsi="仿宋" w:eastAsia="仿宋" w:cs="仿宋"/>
          <w:b/>
          <w:color w:val="auto"/>
          <w:spacing w:val="6"/>
          <w:sz w:val="32"/>
          <w:szCs w:val="32"/>
        </w:rPr>
      </w:pPr>
    </w:p>
    <w:p>
      <w:pPr>
        <w:spacing w:line="360" w:lineRule="auto"/>
        <w:jc w:val="left"/>
        <w:rPr>
          <w:rFonts w:ascii="仿宋" w:hAnsi="仿宋" w:eastAsia="仿宋" w:cs="仿宋"/>
          <w:b/>
          <w:color w:val="auto"/>
          <w:spacing w:val="6"/>
          <w:sz w:val="32"/>
          <w:szCs w:val="32"/>
        </w:rPr>
      </w:pPr>
    </w:p>
    <w:p>
      <w:pPr>
        <w:spacing w:line="360" w:lineRule="auto"/>
        <w:jc w:val="left"/>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附件3：投诉书范本及制作说明</w:t>
      </w:r>
    </w:p>
    <w:p>
      <w:pPr>
        <w:spacing w:line="360" w:lineRule="auto"/>
        <w:jc w:val="center"/>
        <w:rPr>
          <w:rFonts w:ascii="仿宋" w:hAnsi="仿宋" w:eastAsia="仿宋" w:cs="仿宋"/>
          <w:b/>
          <w:color w:val="auto"/>
          <w:sz w:val="24"/>
        </w:rPr>
      </w:pPr>
    </w:p>
    <w:p>
      <w:pPr>
        <w:spacing w:line="360" w:lineRule="auto"/>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pPr>
        <w:spacing w:line="360" w:lineRule="auto"/>
        <w:rPr>
          <w:rFonts w:ascii="仿宋" w:hAnsi="仿宋" w:eastAsia="仿宋" w:cs="仿宋"/>
          <w:color w:val="auto"/>
          <w:sz w:val="24"/>
        </w:rPr>
      </w:pPr>
      <w:r>
        <w:rPr>
          <w:rFonts w:hint="eastAsia" w:ascii="仿宋" w:hAnsi="仿宋" w:eastAsia="仿宋" w:cs="仿宋"/>
          <w:color w:val="auto"/>
          <w:sz w:val="24"/>
        </w:rPr>
        <w:t>一、投诉相关主体基本情况</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tabs>
          <w:tab w:val="left" w:pos="6510"/>
        </w:tabs>
        <w:spacing w:line="360" w:lineRule="auto"/>
        <w:jc w:val="left"/>
        <w:rPr>
          <w:rFonts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tabs>
          <w:tab w:val="left" w:pos="6510"/>
        </w:tabs>
        <w:spacing w:line="360" w:lineRule="auto"/>
        <w:rPr>
          <w:rFonts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被投诉人2</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二、投诉项目基本情况</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三、质疑基本情况</w:t>
      </w:r>
    </w:p>
    <w:p>
      <w:pPr>
        <w:spacing w:line="360" w:lineRule="auto"/>
        <w:ind w:firstLine="480" w:firstLineChars="200"/>
        <w:rPr>
          <w:rFonts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360" w:lineRule="auto"/>
        <w:ind w:firstLine="360" w:firstLineChars="150"/>
        <w:rPr>
          <w:rFonts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pPr>
        <w:spacing w:line="360" w:lineRule="auto"/>
        <w:rPr>
          <w:rFonts w:ascii="仿宋" w:hAnsi="仿宋" w:eastAsia="仿宋" w:cs="仿宋"/>
          <w:color w:val="auto"/>
          <w:sz w:val="24"/>
        </w:rPr>
      </w:pPr>
      <w:r>
        <w:rPr>
          <w:rFonts w:hint="eastAsia" w:ascii="仿宋" w:hAnsi="仿宋" w:eastAsia="仿宋" w:cs="仿宋"/>
          <w:color w:val="auto"/>
          <w:sz w:val="24"/>
        </w:rPr>
        <w:t>四、投诉事项具体内容</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投诉事项2</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w:t>
      </w:r>
    </w:p>
    <w:p>
      <w:pPr>
        <w:spacing w:line="360" w:lineRule="auto"/>
        <w:rPr>
          <w:rFonts w:ascii="仿宋" w:hAnsi="仿宋" w:eastAsia="仿宋" w:cs="仿宋"/>
          <w:color w:val="auto"/>
          <w:sz w:val="24"/>
        </w:rPr>
      </w:pPr>
      <w:r>
        <w:rPr>
          <w:rFonts w:hint="eastAsia" w:ascii="仿宋" w:hAnsi="仿宋" w:eastAsia="仿宋" w:cs="仿宋"/>
          <w:color w:val="auto"/>
          <w:sz w:val="24"/>
        </w:rPr>
        <w:t>五、与投诉事项相关的投诉请求</w:t>
      </w:r>
    </w:p>
    <w:p>
      <w:pPr>
        <w:spacing w:line="360" w:lineRule="auto"/>
        <w:rPr>
          <w:rFonts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签字(签章)：                   公章：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日期：    </w:t>
      </w:r>
    </w:p>
    <w:p>
      <w:pPr>
        <w:spacing w:line="360" w:lineRule="auto"/>
        <w:rPr>
          <w:rFonts w:ascii="仿宋" w:hAnsi="仿宋" w:eastAsia="仿宋" w:cs="仿宋"/>
          <w:b/>
          <w:color w:val="auto"/>
          <w:sz w:val="24"/>
        </w:rPr>
      </w:pPr>
    </w:p>
    <w:p>
      <w:pPr>
        <w:spacing w:line="360" w:lineRule="auto"/>
        <w:rPr>
          <w:rFonts w:ascii="仿宋" w:hAnsi="仿宋" w:eastAsia="仿宋" w:cs="仿宋"/>
          <w:b/>
          <w:color w:val="auto"/>
          <w:sz w:val="24"/>
        </w:rPr>
      </w:pPr>
    </w:p>
    <w:p>
      <w:pPr>
        <w:spacing w:line="360" w:lineRule="auto"/>
        <w:rPr>
          <w:rFonts w:ascii="仿宋" w:hAnsi="仿宋" w:eastAsia="仿宋" w:cs="仿宋"/>
          <w:b/>
          <w:color w:val="auto"/>
          <w:sz w:val="24"/>
        </w:rPr>
      </w:pPr>
      <w:r>
        <w:rPr>
          <w:rFonts w:hint="eastAsia" w:ascii="仿宋" w:hAnsi="仿宋" w:eastAsia="仿宋" w:cs="仿宋"/>
          <w:b/>
          <w:color w:val="auto"/>
          <w:sz w:val="24"/>
        </w:rPr>
        <w:t>投诉书制作说明：</w:t>
      </w:r>
    </w:p>
    <w:p>
      <w:pPr>
        <w:widowControl/>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6.投诉书的投诉请求应与投诉事项相关。</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color w:val="auto"/>
          <w:sz w:val="24"/>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bCs/>
          <w:color w:val="auto"/>
          <w:sz w:val="32"/>
          <w:szCs w:val="32"/>
        </w:rPr>
      </w:pPr>
      <w:r>
        <w:rPr>
          <w:rFonts w:hint="eastAsia" w:ascii="仿宋" w:hAnsi="仿宋" w:eastAsia="仿宋" w:cs="仿宋"/>
          <w:b/>
          <w:color w:val="auto"/>
          <w:spacing w:val="6"/>
          <w:sz w:val="32"/>
          <w:szCs w:val="32"/>
        </w:rPr>
        <w:t>附件4：</w:t>
      </w:r>
      <w:r>
        <w:rPr>
          <w:rFonts w:hint="eastAsia" w:ascii="仿宋" w:hAnsi="仿宋" w:eastAsia="仿宋" w:cs="仿宋"/>
          <w:b/>
          <w:bCs/>
          <w:color w:val="auto"/>
          <w:sz w:val="32"/>
          <w:szCs w:val="32"/>
        </w:rPr>
        <w:t>业务专用章使用说明函</w:t>
      </w:r>
    </w:p>
    <w:p>
      <w:pPr>
        <w:spacing w:line="360" w:lineRule="auto"/>
        <w:rPr>
          <w:rFonts w:ascii="仿宋" w:hAnsi="仿宋" w:eastAsia="仿宋" w:cs="仿宋"/>
          <w:color w:val="auto"/>
          <w:sz w:val="24"/>
          <w:u w:val="single"/>
        </w:rPr>
      </w:pPr>
    </w:p>
    <w:p>
      <w:pPr>
        <w:spacing w:line="360" w:lineRule="auto"/>
        <w:rPr>
          <w:rFonts w:ascii="仿宋" w:hAnsi="仿宋" w:eastAsia="仿宋" w:cs="仿宋"/>
          <w:color w:val="auto"/>
          <w:sz w:val="24"/>
        </w:rPr>
      </w:pPr>
      <w:r>
        <w:rPr>
          <w:rFonts w:hint="eastAsia" w:ascii="仿宋" w:hAnsi="仿宋" w:eastAsia="仿宋" w:cs="仿宋"/>
          <w:color w:val="auto"/>
          <w:sz w:val="24"/>
          <w:u w:val="single"/>
        </w:rPr>
        <w:t>浙江省药品监督管理局、浙江国际招投标有限公司</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w:t>
      </w:r>
      <w:r>
        <w:rPr>
          <w:rFonts w:hint="eastAsia" w:ascii="仿宋" w:hAnsi="仿宋" w:eastAsia="仿宋" w:cs="仿宋"/>
          <w:color w:val="auto"/>
          <w:sz w:val="24"/>
          <w:u w:val="single"/>
        </w:rPr>
        <w:t>2023年浙江省省级药品抽检委托检验服务项目</w:t>
      </w:r>
      <w:r>
        <w:rPr>
          <w:rFonts w:hint="eastAsia" w:ascii="仿宋" w:hAnsi="仿宋" w:eastAsia="仿宋" w:cs="仿宋"/>
          <w:color w:val="auto"/>
          <w:sz w:val="24"/>
        </w:rPr>
        <w:t>【项目编号：</w:t>
      </w:r>
      <w:r>
        <w:rPr>
          <w:rFonts w:hint="eastAsia" w:ascii="仿宋" w:hAnsi="仿宋" w:eastAsia="仿宋" w:cs="仿宋"/>
          <w:color w:val="auto"/>
          <w:sz w:val="24"/>
          <w:u w:val="single"/>
        </w:rPr>
        <w:t>ZJ-2370240-02</w:t>
      </w:r>
      <w:r>
        <w:rPr>
          <w:rFonts w:hint="eastAsia" w:ascii="仿宋" w:hAnsi="仿宋" w:eastAsia="仿宋" w:cs="仿宋"/>
          <w:color w:val="auto"/>
          <w:sz w:val="24"/>
        </w:rPr>
        <w:t>】</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特此说明。</w:t>
      </w:r>
    </w:p>
    <w:p>
      <w:pPr>
        <w:spacing w:line="360" w:lineRule="auto"/>
        <w:ind w:firstLine="494"/>
        <w:rPr>
          <w:rFonts w:ascii="仿宋" w:hAnsi="仿宋" w:eastAsia="仿宋" w:cs="仿宋"/>
          <w:color w:val="auto"/>
          <w:sz w:val="24"/>
        </w:rPr>
      </w:pPr>
    </w:p>
    <w:p>
      <w:pPr>
        <w:spacing w:line="360" w:lineRule="auto"/>
        <w:ind w:firstLine="494"/>
        <w:rPr>
          <w:rFonts w:ascii="仿宋" w:hAnsi="仿宋" w:eastAsia="仿宋" w:cs="仿宋"/>
          <w:color w:val="auto"/>
          <w:sz w:val="24"/>
        </w:rPr>
      </w:pPr>
    </w:p>
    <w:p>
      <w:pPr>
        <w:spacing w:line="360" w:lineRule="auto"/>
        <w:ind w:firstLine="494"/>
        <w:rPr>
          <w:rFonts w:ascii="仿宋" w:hAnsi="仿宋" w:eastAsia="仿宋" w:cs="仿宋"/>
          <w:color w:val="auto"/>
          <w:sz w:val="24"/>
        </w:rPr>
      </w:pPr>
    </w:p>
    <w:p>
      <w:pPr>
        <w:spacing w:line="360" w:lineRule="auto"/>
        <w:ind w:right="480" w:firstLine="4080" w:firstLineChars="1700"/>
        <w:rPr>
          <w:rFonts w:ascii="仿宋" w:hAnsi="仿宋" w:eastAsia="仿宋" w:cs="仿宋"/>
          <w:color w:val="auto"/>
          <w:sz w:val="24"/>
        </w:rPr>
      </w:pPr>
      <w:r>
        <w:rPr>
          <w:rFonts w:hint="eastAsia" w:ascii="仿宋" w:hAnsi="仿宋" w:eastAsia="仿宋" w:cs="仿宋"/>
          <w:color w:val="auto"/>
          <w:sz w:val="24"/>
        </w:rPr>
        <w:t>投标单位（法定名称章）：</w:t>
      </w:r>
    </w:p>
    <w:p>
      <w:pPr>
        <w:ind w:right="1440" w:firstLine="494"/>
        <w:jc w:val="center"/>
        <w:rPr>
          <w:rFonts w:ascii="仿宋" w:hAnsi="仿宋" w:eastAsia="仿宋" w:cs="仿宋"/>
          <w:color w:val="auto"/>
          <w:sz w:val="24"/>
        </w:rPr>
      </w:pPr>
      <w:r>
        <w:rPr>
          <w:rFonts w:hint="eastAsia" w:ascii="仿宋" w:hAnsi="仿宋" w:eastAsia="仿宋" w:cs="仿宋"/>
          <w:color w:val="auto"/>
          <w:sz w:val="24"/>
        </w:rPr>
        <w:t xml:space="preserve">                              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rPr>
          <w:rFonts w:ascii="仿宋" w:hAnsi="仿宋" w:eastAsia="仿宋" w:cs="仿宋"/>
          <w:color w:val="auto"/>
          <w:sz w:val="24"/>
        </w:rPr>
      </w:pPr>
      <w:r>
        <w:rPr>
          <w:rFonts w:hint="eastAsia" w:ascii="仿宋" w:hAnsi="仿宋" w:eastAsia="仿宋" w:cs="仿宋"/>
          <w:b/>
          <w:bCs/>
          <w:color w:val="auto"/>
          <w:sz w:val="24"/>
        </w:rPr>
        <w:t>附：</w:t>
      </w:r>
    </w:p>
    <w:p>
      <w:pPr>
        <w:spacing w:line="360" w:lineRule="auto"/>
        <w:rPr>
          <w:rFonts w:ascii="仿宋" w:hAnsi="仿宋" w:eastAsia="仿宋" w:cs="仿宋"/>
          <w:bCs/>
          <w:color w:val="auto"/>
          <w:sz w:val="24"/>
        </w:rPr>
      </w:pPr>
      <w:r>
        <w:rPr>
          <w:rFonts w:ascii="仿宋" w:hAnsi="仿宋" w:eastAsia="仿宋" w:cs="仿宋"/>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仿宋"/>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rPr>
        <w:t>投标单位法定名称章（印模）                投标单位“XX专用章”（印模）</w:t>
      </w: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pPr>
        <w:autoSpaceDE w:val="0"/>
        <w:autoSpaceDN w:val="0"/>
        <w:jc w:val="center"/>
        <w:rPr>
          <w:rFonts w:ascii="仿宋" w:hAnsi="仿宋" w:eastAsia="仿宋" w:cs="仿宋"/>
          <w:b/>
          <w:color w:val="auto"/>
          <w:kern w:val="0"/>
          <w:sz w:val="32"/>
          <w:szCs w:val="32"/>
          <w:lang w:val="zh-CN"/>
        </w:rPr>
      </w:pPr>
      <w:r>
        <w:rPr>
          <w:rFonts w:hint="eastAsia" w:ascii="仿宋" w:hAnsi="仿宋" w:eastAsia="仿宋" w:cs="仿宋"/>
          <w:b/>
          <w:bCs/>
          <w:color w:val="auto"/>
          <w:sz w:val="32"/>
          <w:szCs w:val="32"/>
        </w:rPr>
        <w:t>附件5：</w:t>
      </w:r>
      <w:r>
        <w:rPr>
          <w:rFonts w:hint="eastAsia" w:ascii="仿宋" w:hAnsi="仿宋" w:eastAsia="仿宋" w:cs="仿宋"/>
          <w:b/>
          <w:bCs/>
          <w:color w:val="auto"/>
          <w:sz w:val="32"/>
          <w:szCs w:val="32"/>
          <w:lang w:val="zh-CN"/>
        </w:rPr>
        <w:t>联合协议</w:t>
      </w:r>
    </w:p>
    <w:p>
      <w:pPr>
        <w:widowControl/>
        <w:spacing w:line="360" w:lineRule="auto"/>
        <w:ind w:firstLine="482" w:firstLineChars="200"/>
        <w:jc w:val="left"/>
        <w:rPr>
          <w:rFonts w:ascii="仿宋" w:hAnsi="仿宋" w:eastAsia="仿宋" w:cs="仿宋"/>
          <w:b/>
          <w:color w:val="auto"/>
          <w:sz w:val="24"/>
        </w:rPr>
      </w:pPr>
    </w:p>
    <w:p>
      <w:pPr>
        <w:widowControl/>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pPr>
        <w:pStyle w:val="3"/>
        <w:rPr>
          <w:rFonts w:ascii="仿宋" w:eastAsia="仿宋" w:cs="仿宋"/>
          <w:color w:val="auto"/>
        </w:rPr>
      </w:pP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u w:val="single"/>
        </w:rPr>
        <w:t>2023年浙江省省级药品抽检委托检验服务项目</w:t>
      </w:r>
      <w:r>
        <w:rPr>
          <w:rFonts w:hint="eastAsia" w:ascii="仿宋" w:hAnsi="仿宋" w:eastAsia="仿宋" w:cs="仿宋"/>
          <w:color w:val="auto"/>
          <w:sz w:val="24"/>
        </w:rPr>
        <w:t>【项目编号：</w:t>
      </w:r>
      <w:r>
        <w:rPr>
          <w:rFonts w:hint="eastAsia" w:ascii="仿宋" w:hAnsi="仿宋" w:eastAsia="仿宋" w:cs="仿宋"/>
          <w:color w:val="auto"/>
          <w:sz w:val="24"/>
          <w:u w:val="single"/>
        </w:rPr>
        <w:t>ZJ-2370240-02</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投标。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（联合体成员1）</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（联合体成员2）</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四、联合体成员中小企业合同份额。</w:t>
      </w:r>
    </w:p>
    <w:p>
      <w:pPr>
        <w:snapToGrid w:val="0"/>
        <w:spacing w:line="360" w:lineRule="auto"/>
        <w:ind w:firstLine="576"/>
        <w:rPr>
          <w:rFonts w:ascii="仿宋" w:hAnsi="仿宋" w:eastAsia="仿宋" w:cs="仿宋"/>
          <w:b/>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u w:val="single"/>
        </w:rPr>
        <w:t>（</w:t>
      </w:r>
      <w:bookmarkStart w:id="427" w:name="_Hlk101131882"/>
      <w:r>
        <w:rPr>
          <w:rFonts w:hint="eastAsia" w:ascii="仿宋" w:hAnsi="仿宋" w:eastAsia="仿宋" w:cs="仿宋"/>
          <w:color w:val="auto"/>
          <w:kern w:val="0"/>
          <w:sz w:val="24"/>
          <w:u w:val="single"/>
        </w:rPr>
        <w:t>联合体成员X,……</w:t>
      </w:r>
      <w:bookmarkEnd w:id="427"/>
      <w:r>
        <w:rPr>
          <w:rFonts w:hint="eastAsia" w:ascii="仿宋" w:hAnsi="仿宋" w:eastAsia="仿宋" w:cs="仿宋"/>
          <w:color w:val="auto"/>
          <w:kern w:val="0"/>
          <w:sz w:val="24"/>
          <w:u w:val="single"/>
        </w:rPr>
        <w:t>）</w:t>
      </w:r>
      <w:r>
        <w:rPr>
          <w:rFonts w:hint="eastAsia" w:ascii="仿宋" w:hAnsi="仿宋" w:eastAsia="仿宋" w:cs="仿宋"/>
          <w:color w:val="auto"/>
          <w:kern w:val="0"/>
          <w:sz w:val="24"/>
        </w:rPr>
        <w:t>提供的服务由小微企业承接，其合同份额占到合同总金额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w:t>
      </w:r>
      <w:bookmarkStart w:id="428" w:name="_Hlk101133598"/>
      <w:r>
        <w:rPr>
          <w:rFonts w:hint="eastAsia" w:ascii="仿宋" w:hAnsi="仿宋" w:eastAsia="仿宋" w:cs="仿宋"/>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rPr>
        <w:t>拟享受以上价格扣除政策的，填写有关内容。</w:t>
      </w:r>
      <w:bookmarkEnd w:id="428"/>
      <w:r>
        <w:rPr>
          <w:rFonts w:hint="eastAsia" w:ascii="仿宋" w:hAnsi="仿宋" w:eastAsia="仿宋" w:cs="仿宋"/>
          <w:b/>
          <w:color w:val="auto"/>
          <w:kern w:val="0"/>
          <w:sz w:val="24"/>
          <w:lang w:val="zh-CN"/>
        </w:rPr>
        <w:t>）</w:t>
      </w:r>
    </w:p>
    <w:p>
      <w:pPr>
        <w:spacing w:line="360" w:lineRule="auto"/>
        <w:ind w:firstLine="480" w:firstLineChars="200"/>
        <w:rPr>
          <w:rFonts w:ascii="仿宋" w:hAnsi="仿宋" w:eastAsia="仿宋" w:cs="仿宋"/>
          <w:b/>
          <w:bCs/>
          <w:color w:val="auto"/>
          <w:kern w:val="0"/>
          <w:sz w:val="24"/>
          <w:lang w:val="zh-CN"/>
        </w:rPr>
      </w:pPr>
      <w:r>
        <w:rPr>
          <w:rFonts w:hint="eastAsia" w:ascii="仿宋" w:hAnsi="仿宋" w:eastAsia="仿宋" w:cs="仿宋"/>
          <w:color w:val="auto"/>
          <w:sz w:val="24"/>
        </w:rPr>
        <w:t>2、</w:t>
      </w:r>
      <w:bookmarkStart w:id="429" w:name="_Hlk101133173"/>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lang w:val="zh-CN"/>
        </w:rPr>
        <w:t>）</w:t>
      </w:r>
      <w:bookmarkEnd w:id="429"/>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right="960"/>
        <w:jc w:val="center"/>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pPr>
        <w:snapToGrid w:val="0"/>
        <w:spacing w:line="360" w:lineRule="auto"/>
        <w:jc w:val="right"/>
        <w:rPr>
          <w:rFonts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pPr>
        <w:spacing w:line="360" w:lineRule="auto"/>
        <w:ind w:right="420"/>
        <w:rPr>
          <w:rFonts w:ascii="仿宋" w:hAnsi="仿宋" w:eastAsia="仿宋" w:cs="仿宋"/>
          <w:color w:val="auto"/>
          <w:sz w:val="24"/>
        </w:rPr>
      </w:pPr>
      <w:r>
        <w:rPr>
          <w:rFonts w:hint="eastAsia" w:ascii="仿宋" w:hAnsi="仿宋" w:eastAsia="仿宋" w:cs="仿宋"/>
          <w:color w:val="auto"/>
          <w:sz w:val="24"/>
        </w:rPr>
        <w:t>注：按本格式和要求提供。</w:t>
      </w: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widowControl/>
        <w:adjustRightInd/>
        <w:jc w:val="left"/>
        <w:rPr>
          <w:rFonts w:ascii="仿宋" w:hAnsi="仿宋" w:eastAsia="仿宋" w:cs="仿宋"/>
          <w:b/>
          <w:color w:val="auto"/>
          <w:spacing w:val="6"/>
          <w:sz w:val="32"/>
          <w:szCs w:val="32"/>
        </w:rPr>
      </w:pPr>
    </w:p>
    <w:p>
      <w:pP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pPr>
        <w:snapToGrid w:val="0"/>
        <w:spacing w:line="360" w:lineRule="auto"/>
        <w:jc w:val="center"/>
        <w:rPr>
          <w:rFonts w:ascii="仿宋" w:hAnsi="仿宋" w:eastAsia="仿宋" w:cs="仿宋"/>
          <w:b/>
          <w:color w:val="auto"/>
          <w:kern w:val="0"/>
          <w:sz w:val="32"/>
          <w:szCs w:val="32"/>
        </w:rPr>
      </w:pPr>
      <w:r>
        <w:rPr>
          <w:rFonts w:hint="eastAsia" w:ascii="仿宋" w:hAnsi="仿宋" w:eastAsia="仿宋" w:cs="仿宋"/>
          <w:b/>
          <w:color w:val="auto"/>
          <w:spacing w:val="6"/>
          <w:sz w:val="32"/>
          <w:szCs w:val="32"/>
        </w:rPr>
        <w:t>附件6：</w:t>
      </w:r>
      <w:r>
        <w:rPr>
          <w:rFonts w:hint="eastAsia" w:ascii="仿宋" w:hAnsi="仿宋" w:eastAsia="仿宋" w:cs="仿宋"/>
          <w:b/>
          <w:color w:val="auto"/>
          <w:kern w:val="0"/>
          <w:sz w:val="32"/>
          <w:szCs w:val="32"/>
        </w:rPr>
        <w:t>分包意向协议</w:t>
      </w:r>
    </w:p>
    <w:p>
      <w:pPr>
        <w:widowControl/>
        <w:spacing w:line="360" w:lineRule="auto"/>
        <w:ind w:firstLine="120" w:firstLineChars="50"/>
        <w:jc w:val="left"/>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u w:val="single"/>
        </w:rPr>
        <w:t>2023年浙江省省级药品抽检委托检验服务项目</w:t>
      </w:r>
      <w:r>
        <w:rPr>
          <w:rFonts w:hint="eastAsia" w:ascii="仿宋" w:hAnsi="仿宋" w:eastAsia="仿宋" w:cs="仿宋"/>
          <w:color w:val="auto"/>
          <w:sz w:val="24"/>
        </w:rPr>
        <w:t>【项目编号：ZJ-2370240-02】</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w:t>
      </w:r>
      <w:r>
        <w:rPr>
          <w:rFonts w:hint="eastAsia" w:ascii="仿宋" w:hAnsi="仿宋" w:eastAsia="仿宋" w:cs="仿宋"/>
          <w:color w:val="auto"/>
          <w:kern w:val="0"/>
          <w:sz w:val="24"/>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（分包供应商1名称）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（分包供应商2名称），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pPr>
        <w:pStyle w:val="3"/>
        <w:ind w:left="664" w:leftChars="316" w:firstLine="229" w:firstLineChars="95"/>
        <w:rPr>
          <w:rFonts w:ascii="仿宋" w:eastAsia="仿宋" w:cs="仿宋"/>
          <w:color w:val="auto"/>
          <w:kern w:val="0"/>
          <w:sz w:val="24"/>
          <w:szCs w:val="24"/>
        </w:rPr>
      </w:pPr>
      <w:r>
        <w:rPr>
          <w:rFonts w:hint="eastAsia" w:ascii="仿宋" w:eastAsia="仿宋" w:cs="仿宋"/>
          <w:color w:val="auto"/>
          <w:kern w:val="0"/>
          <w:sz w:val="24"/>
          <w:szCs w:val="24"/>
        </w:rPr>
        <w:t>……</w:t>
      </w:r>
    </w:p>
    <w:p>
      <w:pPr>
        <w:rPr>
          <w:rFonts w:ascii="仿宋" w:hAnsi="仿宋" w:eastAsia="仿宋" w:cs="仿宋"/>
          <w:color w:val="auto"/>
          <w:kern w:val="0"/>
          <w:sz w:val="24"/>
          <w:lang w:val="zh-CN"/>
        </w:rPr>
      </w:pPr>
      <w:r>
        <w:rPr>
          <w:rFonts w:hint="eastAsia" w:ascii="仿宋" w:hAnsi="仿宋" w:eastAsia="仿宋" w:cs="仿宋"/>
          <w:color w:val="auto"/>
          <w:lang w:val="zh-CN"/>
        </w:rPr>
        <w:t xml:space="preserve"> </w:t>
      </w:r>
      <w:r>
        <w:rPr>
          <w:rFonts w:hint="eastAsia" w:ascii="仿宋" w:hAnsi="仿宋" w:eastAsia="仿宋" w:cs="仿宋"/>
          <w:color w:val="auto"/>
        </w:rPr>
        <w:t xml:space="preserve">    </w:t>
      </w:r>
      <w:r>
        <w:rPr>
          <w:rFonts w:hint="eastAsia" w:ascii="仿宋" w:hAnsi="仿宋" w:eastAsia="仿宋" w:cs="仿宋"/>
          <w:color w:val="auto"/>
          <w:kern w:val="0"/>
          <w:sz w:val="24"/>
          <w:lang w:val="zh-CN"/>
        </w:rPr>
        <w:t>二、分包供应商中小企业合同份额</w:t>
      </w:r>
    </w:p>
    <w:p>
      <w:pPr>
        <w:snapToGrid w:val="0"/>
        <w:spacing w:line="360" w:lineRule="auto"/>
        <w:ind w:firstLine="576"/>
        <w:rPr>
          <w:rFonts w:ascii="仿宋" w:hAnsi="仿宋" w:eastAsia="仿宋" w:cs="仿宋"/>
          <w:b/>
          <w:color w:val="auto"/>
          <w:kern w:val="0"/>
          <w:sz w:val="24"/>
          <w:lang w:val="zh-CN"/>
        </w:rPr>
      </w:pPr>
      <w:r>
        <w:rPr>
          <w:rFonts w:hint="eastAsia" w:ascii="仿宋" w:hAnsi="仿宋" w:eastAsia="仿宋" w:cs="仿宋"/>
          <w:color w:val="auto"/>
          <w:kern w:val="0"/>
          <w:sz w:val="24"/>
        </w:rPr>
        <w:t>1、</w:t>
      </w:r>
      <w:r>
        <w:rPr>
          <w:rFonts w:hint="eastAsia" w:ascii="仿宋" w:hAnsi="仿宋" w:eastAsia="仿宋" w:cs="仿宋"/>
          <w:color w:val="auto"/>
          <w:kern w:val="0"/>
          <w:sz w:val="24"/>
          <w:u w:val="single"/>
        </w:rPr>
        <w:t>（分包供应商X,……）提供的服务全部由小微企业承接，</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rPr>
        <w:t>。</w:t>
      </w:r>
      <w:r>
        <w:rPr>
          <w:rFonts w:hint="eastAsia" w:ascii="仿宋" w:hAnsi="仿宋" w:eastAsia="仿宋" w:cs="仿宋"/>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pPr>
        <w:spacing w:line="360" w:lineRule="auto"/>
        <w:ind w:firstLine="480" w:firstLineChars="200"/>
        <w:rPr>
          <w:rFonts w:ascii="仿宋" w:hAnsi="仿宋" w:eastAsia="仿宋" w:cs="仿宋"/>
          <w:b/>
          <w:bCs/>
          <w:color w:val="auto"/>
          <w:kern w:val="0"/>
          <w:sz w:val="24"/>
          <w:lang w:val="zh-CN"/>
        </w:rPr>
      </w:pPr>
      <w:r>
        <w:rPr>
          <w:rFonts w:hint="eastAsia" w:ascii="仿宋" w:hAnsi="仿宋" w:eastAsia="仿宋" w:cs="仿宋"/>
          <w:color w:val="auto"/>
          <w:sz w:val="24"/>
        </w:rPr>
        <w:t>2、中小企业合同金额达到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要求合同分包形式参加的项目或采购包，供应商按招标文件第一部分招标公告申请人的资格要求中规定的</w:t>
      </w:r>
      <w:r>
        <w:rPr>
          <w:rFonts w:hint="eastAsia" w:ascii="仿宋" w:hAnsi="仿宋" w:eastAsia="仿宋" w:cs="仿宋"/>
          <w:b/>
          <w:color w:val="auto"/>
          <w:kern w:val="0"/>
          <w:sz w:val="24"/>
          <w:lang w:val="zh-CN"/>
        </w:rPr>
        <w:t>分包意向协议</w:t>
      </w:r>
      <w:r>
        <w:rPr>
          <w:rFonts w:hint="eastAsia" w:ascii="仿宋" w:hAnsi="仿宋" w:eastAsia="仿宋" w:cs="仿宋"/>
          <w:b/>
          <w:bCs/>
          <w:color w:val="auto"/>
          <w:sz w:val="24"/>
        </w:rPr>
        <w:t>中中小企业、小微企业合同金额应当达到的比例要求填写。</w:t>
      </w:r>
      <w:r>
        <w:rPr>
          <w:rFonts w:hint="eastAsia" w:ascii="仿宋" w:hAnsi="仿宋" w:eastAsia="仿宋" w:cs="仿宋"/>
          <w:b/>
          <w:bCs/>
          <w:color w:val="auto"/>
          <w:kern w:val="0"/>
          <w:sz w:val="24"/>
          <w:lang w:val="zh-CN"/>
        </w:rPr>
        <w:t>）</w:t>
      </w:r>
    </w:p>
    <w:p>
      <w:pPr>
        <w:snapToGrid w:val="0"/>
        <w:spacing w:line="360" w:lineRule="auto"/>
        <w:ind w:firstLine="576"/>
        <w:rPr>
          <w:rFonts w:ascii="仿宋" w:hAnsi="仿宋" w:eastAsia="仿宋" w:cs="仿宋"/>
          <w:color w:val="auto"/>
          <w:u w:val="single"/>
        </w:rPr>
      </w:pPr>
      <w:r>
        <w:rPr>
          <w:rFonts w:hint="eastAsia" w:ascii="仿宋" w:hAnsi="仿宋" w:eastAsia="仿宋" w:cs="仿宋"/>
          <w:color w:val="auto"/>
          <w:kern w:val="0"/>
          <w:sz w:val="24"/>
          <w:lang w:val="zh-CN"/>
        </w:rPr>
        <w:t>三、分包工作履行期限、地点、方式：</w:t>
      </w:r>
      <w:r>
        <w:rPr>
          <w:rFonts w:hint="eastAsia" w:ascii="仿宋" w:hAnsi="仿宋" w:eastAsia="仿宋" w:cs="仿宋"/>
          <w:color w:val="auto"/>
          <w:u w:val="single"/>
        </w:rPr>
        <w:t xml:space="preserve">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四、质量：</w:t>
      </w:r>
      <w:r>
        <w:rPr>
          <w:rFonts w:hint="eastAsia" w:ascii="仿宋" w:hAnsi="仿宋" w:eastAsia="仿宋" w:cs="仿宋"/>
          <w:color w:val="auto"/>
          <w:u w:val="single"/>
        </w:rPr>
        <w:t xml:space="preserve">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五、价款或者报酬：</w:t>
      </w:r>
      <w:r>
        <w:rPr>
          <w:rFonts w:hint="eastAsia" w:ascii="仿宋" w:hAnsi="仿宋" w:eastAsia="仿宋" w:cs="仿宋"/>
          <w:color w:val="auto"/>
          <w:u w:val="single"/>
        </w:rPr>
        <w:t xml:space="preserve">                                              </w:t>
      </w:r>
    </w:p>
    <w:p>
      <w:pPr>
        <w:snapToGrid w:val="0"/>
        <w:spacing w:line="360" w:lineRule="auto"/>
        <w:ind w:left="573" w:leftChars="273"/>
        <w:rPr>
          <w:rFonts w:ascii="仿宋" w:hAnsi="仿宋" w:eastAsia="仿宋" w:cs="仿宋"/>
          <w:color w:val="auto"/>
          <w:kern w:val="0"/>
          <w:sz w:val="24"/>
          <w:lang w:val="zh-CN"/>
        </w:rPr>
      </w:pPr>
      <w:r>
        <w:rPr>
          <w:rFonts w:hint="eastAsia" w:ascii="仿宋" w:hAnsi="仿宋" w:eastAsia="仿宋" w:cs="仿宋"/>
          <w:color w:val="auto"/>
          <w:kern w:val="0"/>
          <w:sz w:val="24"/>
          <w:lang w:val="zh-CN"/>
        </w:rPr>
        <w:t>六、违约责任：</w:t>
      </w:r>
      <w:r>
        <w:rPr>
          <w:rFonts w:hint="eastAsia" w:ascii="仿宋" w:hAnsi="仿宋" w:eastAsia="仿宋" w:cs="仿宋"/>
          <w:color w:val="auto"/>
          <w:u w:val="single"/>
        </w:rPr>
        <w:t xml:space="preserve">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七、争议解决的办法：</w:t>
      </w:r>
      <w:r>
        <w:rPr>
          <w:rFonts w:hint="eastAsia" w:ascii="仿宋" w:hAnsi="仿宋" w:eastAsia="仿宋" w:cs="仿宋"/>
          <w:color w:val="auto"/>
          <w:u w:val="single"/>
        </w:rPr>
        <w:t xml:space="preserve">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八、其他：</w:t>
      </w: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  。                                           </w:t>
      </w:r>
    </w:p>
    <w:p>
      <w:pPr>
        <w:snapToGrid w:val="0"/>
        <w:spacing w:line="360" w:lineRule="auto"/>
        <w:ind w:left="5758" w:leftChars="342" w:hanging="5040" w:hangingChars="2100"/>
        <w:jc w:val="right"/>
        <w:rPr>
          <w:rFonts w:ascii="仿宋" w:hAnsi="仿宋" w:eastAsia="仿宋" w:cs="仿宋"/>
          <w:color w:val="auto"/>
          <w:kern w:val="0"/>
          <w:sz w:val="24"/>
          <w:lang w:val="zh-CN"/>
        </w:rPr>
      </w:pPr>
      <w:r>
        <w:rPr>
          <w:rFonts w:hint="eastAsia" w:ascii="仿宋" w:hAnsi="仿宋" w:eastAsia="仿宋" w:cs="仿宋"/>
          <w:color w:val="auto"/>
          <w:kern w:val="0"/>
          <w:sz w:val="24"/>
          <w:lang w:val="zh-CN"/>
        </w:rPr>
        <w:t>投标人名称(电子签名)：</w:t>
      </w:r>
    </w:p>
    <w:p>
      <w:pPr>
        <w:snapToGrid w:val="0"/>
        <w:spacing w:line="360" w:lineRule="auto"/>
        <w:jc w:val="right"/>
        <w:rPr>
          <w:rFonts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分包供应商名称(电子签名/公章)：</w:t>
      </w:r>
    </w:p>
    <w:p>
      <w:pPr>
        <w:snapToGrid w:val="0"/>
        <w:spacing w:line="360" w:lineRule="auto"/>
        <w:ind w:firstLine="5760" w:firstLineChars="2400"/>
        <w:jc w:val="right"/>
        <w:rPr>
          <w:rFonts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ind w:left="5758" w:leftChars="342" w:hanging="5040" w:hangingChars="2100"/>
        <w:jc w:val="right"/>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spacing w:line="360" w:lineRule="auto"/>
        <w:ind w:right="420"/>
        <w:rPr>
          <w:rFonts w:ascii="仿宋" w:hAnsi="仿宋" w:eastAsia="仿宋" w:cs="仿宋"/>
          <w:color w:val="auto"/>
          <w:sz w:val="24"/>
        </w:rPr>
      </w:pPr>
      <w:r>
        <w:rPr>
          <w:rFonts w:hint="eastAsia" w:ascii="仿宋" w:hAnsi="仿宋" w:eastAsia="仿宋" w:cs="仿宋"/>
          <w:color w:val="auto"/>
          <w:sz w:val="24"/>
        </w:rPr>
        <w:t>注：按本格式和要求提供。</w:t>
      </w:r>
    </w:p>
    <w:p>
      <w:pPr>
        <w:autoSpaceDE w:val="0"/>
        <w:autoSpaceDN w:val="0"/>
        <w:rPr>
          <w:rFonts w:ascii="仿宋" w:hAnsi="仿宋" w:eastAsia="仿宋" w:cs="仿宋"/>
          <w:b/>
          <w:bCs/>
          <w:color w:val="auto"/>
          <w:sz w:val="32"/>
          <w:szCs w:val="32"/>
        </w:rPr>
      </w:pPr>
      <w:r>
        <w:rPr>
          <w:rFonts w:hint="eastAsia" w:ascii="仿宋" w:hAnsi="仿宋" w:eastAsia="仿宋" w:cs="仿宋"/>
          <w:b/>
          <w:color w:val="auto"/>
          <w:spacing w:val="6"/>
          <w:sz w:val="32"/>
          <w:szCs w:val="32"/>
        </w:rPr>
        <w:t>附件7：</w:t>
      </w:r>
      <w:r>
        <w:rPr>
          <w:rFonts w:hint="eastAsia" w:ascii="仿宋" w:hAnsi="仿宋" w:eastAsia="仿宋" w:cs="仿宋"/>
          <w:b/>
          <w:color w:val="auto"/>
          <w:sz w:val="32"/>
          <w:szCs w:val="32"/>
        </w:rPr>
        <w:t>中小企业声明函</w:t>
      </w:r>
    </w:p>
    <w:p>
      <w:pPr>
        <w:spacing w:line="360" w:lineRule="auto"/>
        <w:jc w:val="center"/>
        <w:rPr>
          <w:rFonts w:ascii="仿宋" w:hAnsi="仿宋" w:eastAsia="仿宋" w:cs="仿宋"/>
          <w:color w:val="auto"/>
          <w:sz w:val="24"/>
          <w:u w:val="single"/>
        </w:rPr>
      </w:pPr>
    </w:p>
    <w:p>
      <w:pPr>
        <w:spacing w:line="360" w:lineRule="auto"/>
        <w:jc w:val="center"/>
        <w:rPr>
          <w:rFonts w:ascii="仿宋" w:hAnsi="仿宋" w:eastAsia="仿宋" w:cs="仿宋"/>
          <w:b/>
          <w:color w:val="auto"/>
          <w:sz w:val="32"/>
          <w:szCs w:val="32"/>
        </w:rPr>
      </w:pPr>
      <w:r>
        <w:rPr>
          <w:rFonts w:hint="eastAsia" w:ascii="仿宋" w:hAnsi="仿宋" w:eastAsia="仿宋" w:cs="仿宋"/>
          <w:b/>
          <w:color w:val="auto"/>
          <w:sz w:val="32"/>
          <w:szCs w:val="32"/>
        </w:rPr>
        <w:t>中小企业声明函（服务）</w:t>
      </w:r>
    </w:p>
    <w:p>
      <w:pPr>
        <w:spacing w:line="360" w:lineRule="auto"/>
        <w:rPr>
          <w:rFonts w:ascii="仿宋" w:hAnsi="仿宋" w:eastAsia="仿宋" w:cs="仿宋"/>
          <w:color w:val="auto"/>
        </w:rPr>
      </w:pPr>
    </w:p>
    <w:p>
      <w:pPr>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浙江省药品监督管理局</w:t>
      </w:r>
      <w:r>
        <w:rPr>
          <w:rFonts w:hint="eastAsia" w:ascii="仿宋" w:hAnsi="仿宋" w:eastAsia="仿宋" w:cs="仿宋"/>
          <w:color w:val="auto"/>
          <w:sz w:val="24"/>
        </w:rPr>
        <w:t>的</w:t>
      </w:r>
      <w:r>
        <w:rPr>
          <w:rFonts w:hint="eastAsia" w:ascii="仿宋" w:hAnsi="仿宋" w:eastAsia="仿宋" w:cs="仿宋"/>
          <w:color w:val="auto"/>
          <w:sz w:val="24"/>
          <w:u w:val="single"/>
        </w:rPr>
        <w:t>2023年浙江省省级药品抽检委托检验服务项目</w:t>
      </w:r>
      <w:r>
        <w:rPr>
          <w:rFonts w:hint="eastAsia" w:ascii="仿宋" w:hAnsi="仿宋" w:eastAsia="仿宋" w:cs="仿宋"/>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pPr>
        <w:spacing w:line="360" w:lineRule="auto"/>
        <w:ind w:right="1760"/>
        <w:jc w:val="right"/>
        <w:rPr>
          <w:rFonts w:ascii="仿宋" w:hAnsi="仿宋" w:eastAsia="仿宋" w:cs="仿宋"/>
          <w:color w:val="auto"/>
          <w:sz w:val="24"/>
        </w:rPr>
      </w:pPr>
      <w:r>
        <w:rPr>
          <w:rFonts w:hint="eastAsia" w:ascii="仿宋" w:hAnsi="仿宋" w:eastAsia="仿宋" w:cs="仿宋"/>
          <w:color w:val="auto"/>
          <w:sz w:val="24"/>
        </w:rPr>
        <w:t>投标人名称（电子签名）：</w:t>
      </w:r>
    </w:p>
    <w:p>
      <w:pPr>
        <w:spacing w:line="360" w:lineRule="auto"/>
        <w:ind w:right="1120" w:firstLine="4680" w:firstLineChars="1950"/>
        <w:rPr>
          <w:rFonts w:ascii="仿宋" w:hAnsi="仿宋" w:eastAsia="仿宋" w:cs="仿宋"/>
          <w:color w:val="auto"/>
          <w:sz w:val="24"/>
        </w:rPr>
      </w:pPr>
      <w:r>
        <w:rPr>
          <w:rFonts w:hint="eastAsia" w:ascii="仿宋" w:hAnsi="仿宋" w:eastAsia="仿宋" w:cs="仿宋"/>
          <w:color w:val="auto"/>
          <w:sz w:val="24"/>
        </w:rPr>
        <w:t>日 期：</w:t>
      </w:r>
    </w:p>
    <w:p>
      <w:pPr>
        <w:spacing w:line="360" w:lineRule="auto"/>
        <w:ind w:firstLine="310" w:firstLineChars="147"/>
        <w:jc w:val="left"/>
        <w:rPr>
          <w:rFonts w:ascii="仿宋" w:hAnsi="仿宋" w:eastAsia="仿宋" w:cs="仿宋"/>
          <w:b/>
          <w:color w:val="auto"/>
          <w:szCs w:val="21"/>
        </w:rPr>
      </w:pPr>
    </w:p>
    <w:p>
      <w:pPr>
        <w:spacing w:line="360" w:lineRule="auto"/>
        <w:ind w:right="420"/>
        <w:rPr>
          <w:rFonts w:ascii="仿宋" w:hAnsi="仿宋" w:eastAsia="仿宋" w:cs="仿宋"/>
          <w:color w:val="auto"/>
          <w:sz w:val="24"/>
        </w:rPr>
      </w:pPr>
      <w:r>
        <w:rPr>
          <w:rFonts w:hint="eastAsia" w:ascii="仿宋" w:hAnsi="仿宋" w:eastAsia="仿宋" w:cs="仿宋"/>
          <w:color w:val="auto"/>
          <w:sz w:val="24"/>
        </w:rPr>
        <w:t xml:space="preserve">   注：</w:t>
      </w:r>
      <w:r>
        <w:rPr>
          <w:rFonts w:hint="eastAsia" w:ascii="仿宋" w:hAnsi="仿宋" w:eastAsia="仿宋" w:cs="仿宋"/>
          <w:b/>
          <w:bCs/>
          <w:color w:val="auto"/>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 w:hAnsi="仿宋" w:eastAsia="仿宋" w:cs="仿宋"/>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24"/>
        </w:rPr>
        <w:t>2.符合《关于促进残疾人就业政府采购政策的通知》（财库〔2017〕141号）</w:t>
      </w:r>
    </w:p>
    <w:p>
      <w:pPr>
        <w:spacing w:line="360" w:lineRule="auto"/>
        <w:ind w:right="420" w:firstLine="480" w:firstLineChars="200"/>
        <w:rPr>
          <w:rFonts w:ascii="仿宋" w:hAnsi="仿宋" w:eastAsia="仿宋" w:cs="仿宋"/>
          <w:color w:val="auto"/>
          <w:sz w:val="24"/>
        </w:rPr>
      </w:pPr>
      <w:r>
        <w:rPr>
          <w:rFonts w:hint="eastAsia" w:ascii="仿宋" w:hAnsi="仿宋" w:eastAsia="仿宋" w:cs="仿宋"/>
          <w:color w:val="auto"/>
          <w:sz w:val="24"/>
        </w:rPr>
        <w:t>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 w:hAnsi="仿宋" w:eastAsia="仿宋" w:cs="仿宋"/>
          <w:color w:val="auto"/>
        </w:rPr>
      </w:pPr>
    </w:p>
    <w:p>
      <w:pPr>
        <w:spacing w:line="360" w:lineRule="auto"/>
        <w:ind w:right="420"/>
        <w:rPr>
          <w:rFonts w:ascii="仿宋" w:hAnsi="仿宋" w:eastAsia="仿宋" w:cs="仿宋"/>
          <w:color w:val="auto"/>
        </w:rPr>
      </w:pPr>
    </w:p>
    <w:p>
      <w:pPr>
        <w:spacing w:line="360" w:lineRule="auto"/>
        <w:rPr>
          <w:rFonts w:ascii="仿宋" w:hAnsi="仿宋" w:eastAsia="仿宋" w:cs="仿宋"/>
          <w:bCs/>
          <w:color w:val="auto"/>
          <w:sz w:val="24"/>
        </w:rPr>
      </w:pPr>
    </w:p>
    <w:sectPr>
      <w:footerReference r:id="rId17" w:type="first"/>
      <w:footerReference r:id="rId16"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separate"/>
    </w:r>
    <w:r>
      <w:rPr>
        <w:rStyle w:val="73"/>
      </w:rPr>
      <w:t>0</w: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jc w:val="center"/>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41"/>
                      <w:jc w:val="center"/>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jc w:val="center"/>
                          </w:pPr>
                          <w:r>
                            <w:t xml:space="preserve">第 </w:t>
                          </w:r>
                          <w:r>
                            <w:fldChar w:fldCharType="begin"/>
                          </w:r>
                          <w:r>
                            <w:instrText xml:space="preserve"> PAGE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41"/>
                      <w:jc w:val="center"/>
                    </w:pPr>
                    <w:r>
                      <w:t xml:space="preserve">第 </w:t>
                    </w:r>
                    <w:r>
                      <w:fldChar w:fldCharType="begin"/>
                    </w:r>
                    <w:r>
                      <w:instrText xml:space="preserve"> PAGE  \* MERGEFORMAT </w:instrText>
                    </w:r>
                    <w:r>
                      <w:fldChar w:fldCharType="separate"/>
                    </w:r>
                    <w:r>
                      <w:t>62</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jc w:val="center"/>
                          </w:pPr>
                          <w:r>
                            <w:t xml:space="preserve">第 </w:t>
                          </w:r>
                          <w:r>
                            <w:fldChar w:fldCharType="begin"/>
                          </w:r>
                          <w:r>
                            <w:instrText xml:space="preserve"> PAGE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pPr>
                      <w:pStyle w:val="41"/>
                      <w:jc w:val="center"/>
                    </w:pPr>
                    <w:r>
                      <w:t xml:space="preserve">第 </w:t>
                    </w:r>
                    <w:r>
                      <w:fldChar w:fldCharType="begin"/>
                    </w:r>
                    <w:r>
                      <w:instrText xml:space="preserve"> PAGE  \* MERGEFORMAT </w:instrText>
                    </w:r>
                    <w:r>
                      <w:fldChar w:fldCharType="separate"/>
                    </w:r>
                    <w:r>
                      <w:t>75</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jc w:val="center"/>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pPr>
                      <w:pStyle w:val="41"/>
                      <w:jc w:val="center"/>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jc w:val="center"/>
                          </w:pPr>
                          <w:r>
                            <w:t xml:space="preserve">第 </w:t>
                          </w:r>
                          <w:r>
                            <w:fldChar w:fldCharType="begin"/>
                          </w:r>
                          <w:r>
                            <w:instrText xml:space="preserve"> PAGE  \* MERGEFORMAT </w:instrText>
                          </w:r>
                          <w:r>
                            <w:fldChar w:fldCharType="separate"/>
                          </w:r>
                          <w:r>
                            <w:t>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41"/>
                      <w:jc w:val="center"/>
                    </w:pPr>
                    <w:r>
                      <w:t xml:space="preserve">第 </w:t>
                    </w:r>
                    <w:r>
                      <w:fldChar w:fldCharType="begin"/>
                    </w:r>
                    <w:r>
                      <w:instrText xml:space="preserve"> PAGE  \* MERGEFORMAT </w:instrText>
                    </w:r>
                    <w:r>
                      <w:fldChar w:fldCharType="separate"/>
                    </w:r>
                    <w:r>
                      <w:t>0</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jc w:val="center"/>
                          </w:pPr>
                          <w:r>
                            <w:t xml:space="preserve">第 </w:t>
                          </w:r>
                          <w:r>
                            <w:fldChar w:fldCharType="begin"/>
                          </w:r>
                          <w:r>
                            <w:instrText xml:space="preserve"> PAGE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41"/>
                      <w:jc w:val="center"/>
                    </w:pPr>
                    <w:r>
                      <w:t xml:space="preserve">第 </w:t>
                    </w:r>
                    <w:r>
                      <w:fldChar w:fldCharType="begin"/>
                    </w:r>
                    <w:r>
                      <w:instrText xml:space="preserve"> PAGE  \* MERGEFORMAT </w:instrText>
                    </w:r>
                    <w:r>
                      <w:fldChar w:fldCharType="separate"/>
                    </w:r>
                    <w:r>
                      <w:t>76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9F7E2078"/>
    <w:multiLevelType w:val="singleLevel"/>
    <w:tmpl w:val="9F7E2078"/>
    <w:lvl w:ilvl="0" w:tentative="0">
      <w:start w:val="1"/>
      <w:numFmt w:val="decimal"/>
      <w:suff w:val="space"/>
      <w:lvlText w:val="%1."/>
      <w:lvlJc w:val="left"/>
    </w:lvl>
  </w:abstractNum>
  <w:abstractNum w:abstractNumId="2">
    <w:nsid w:val="A9AF2B09"/>
    <w:multiLevelType w:val="singleLevel"/>
    <w:tmpl w:val="A9AF2B09"/>
    <w:lvl w:ilvl="0" w:tentative="0">
      <w:start w:val="1"/>
      <w:numFmt w:val="decimal"/>
      <w:lvlText w:val="(%1)"/>
      <w:lvlJc w:val="left"/>
      <w:pPr>
        <w:ind w:left="425" w:hanging="425"/>
      </w:pPr>
      <w:rPr>
        <w:rFonts w:hint="default"/>
        <w:b w:val="0"/>
        <w:bCs w:val="0"/>
      </w:rPr>
    </w:lvl>
  </w:abstractNum>
  <w:abstractNum w:abstractNumId="3">
    <w:nsid w:val="AA50585F"/>
    <w:multiLevelType w:val="singleLevel"/>
    <w:tmpl w:val="AA50585F"/>
    <w:lvl w:ilvl="0" w:tentative="0">
      <w:start w:val="10"/>
      <w:numFmt w:val="decimal"/>
      <w:suff w:val="space"/>
      <w:lvlText w:val="%1."/>
      <w:lvlJc w:val="left"/>
    </w:lvl>
  </w:abstractNum>
  <w:abstractNum w:abstractNumId="4">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5">
    <w:nsid w:val="D9EC99C5"/>
    <w:multiLevelType w:val="singleLevel"/>
    <w:tmpl w:val="D9EC99C5"/>
    <w:lvl w:ilvl="0" w:tentative="0">
      <w:start w:val="1"/>
      <w:numFmt w:val="decimal"/>
      <w:lvlText w:val="(%1)"/>
      <w:lvlJc w:val="left"/>
      <w:pPr>
        <w:ind w:left="425" w:hanging="425"/>
      </w:pPr>
      <w:rPr>
        <w:rFonts w:hint="default"/>
      </w:rPr>
    </w:lvl>
  </w:abstractNum>
  <w:abstractNum w:abstractNumId="6">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F3AC0A76"/>
    <w:multiLevelType w:val="singleLevel"/>
    <w:tmpl w:val="F3AC0A76"/>
    <w:lvl w:ilvl="0" w:tentative="0">
      <w:start w:val="13"/>
      <w:numFmt w:val="decimal"/>
      <w:suff w:val="space"/>
      <w:lvlText w:val="%1."/>
      <w:lvlJc w:val="left"/>
    </w:lvl>
  </w:abstractNum>
  <w:abstractNum w:abstractNumId="8">
    <w:nsid w:val="01824C56"/>
    <w:multiLevelType w:val="singleLevel"/>
    <w:tmpl w:val="01824C56"/>
    <w:lvl w:ilvl="0" w:tentative="0">
      <w:start w:val="1"/>
      <w:numFmt w:val="decimal"/>
      <w:suff w:val="nothing"/>
      <w:lvlText w:val="（%1）"/>
      <w:lvlJc w:val="left"/>
    </w:lvl>
  </w:abstractNum>
  <w:abstractNum w:abstractNumId="9">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1818B8E5"/>
    <w:multiLevelType w:val="multilevel"/>
    <w:tmpl w:val="1818B8E5"/>
    <w:lvl w:ilvl="0" w:tentative="0">
      <w:start w:val="1"/>
      <w:numFmt w:val="decimal"/>
      <w:lvlText w:val="%1."/>
      <w:lvlJc w:val="left"/>
      <w:pPr>
        <w:tabs>
          <w:tab w:val="left" w:pos="399"/>
        </w:tabs>
        <w:ind w:left="405" w:hanging="405"/>
      </w:pPr>
      <w:rPr>
        <w:rFonts w:hint="default"/>
        <w:b/>
        <w:sz w:val="24"/>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2">
    <w:nsid w:val="513F8985"/>
    <w:multiLevelType w:val="singleLevel"/>
    <w:tmpl w:val="513F8985"/>
    <w:lvl w:ilvl="0" w:tentative="0">
      <w:start w:val="1"/>
      <w:numFmt w:val="decimal"/>
      <w:lvlText w:val="(%1)"/>
      <w:lvlJc w:val="left"/>
      <w:pPr>
        <w:ind w:left="425" w:hanging="425"/>
      </w:pPr>
      <w:rPr>
        <w:rFonts w:hint="default"/>
      </w:rPr>
    </w:lvl>
  </w:abstractNum>
  <w:abstractNum w:abstractNumId="13">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4">
    <w:nsid w:val="7C921329"/>
    <w:multiLevelType w:val="singleLevel"/>
    <w:tmpl w:val="7C921329"/>
    <w:lvl w:ilvl="0" w:tentative="0">
      <w:start w:val="5"/>
      <w:numFmt w:val="decimal"/>
      <w:lvlText w:val="%1."/>
      <w:lvlJc w:val="left"/>
      <w:pPr>
        <w:tabs>
          <w:tab w:val="left" w:pos="312"/>
        </w:tabs>
      </w:pPr>
    </w:lvl>
  </w:abstractNum>
  <w:abstractNum w:abstractNumId="15">
    <w:nsid w:val="7EBAD55F"/>
    <w:multiLevelType w:val="singleLevel"/>
    <w:tmpl w:val="7EBAD55F"/>
    <w:lvl w:ilvl="0" w:tentative="0">
      <w:start w:val="2"/>
      <w:numFmt w:val="chineseCounting"/>
      <w:suff w:val="nothing"/>
      <w:lvlText w:val="%1、"/>
      <w:lvlJc w:val="left"/>
      <w:rPr>
        <w:rFonts w:hint="eastAsia"/>
      </w:rPr>
    </w:lvl>
  </w:abstractNum>
  <w:num w:numId="1">
    <w:abstractNumId w:val="4"/>
  </w:num>
  <w:num w:numId="2">
    <w:abstractNumId w:val="2"/>
  </w:num>
  <w:num w:numId="3">
    <w:abstractNumId w:val="5"/>
  </w:num>
  <w:num w:numId="4">
    <w:abstractNumId w:val="11"/>
  </w:num>
  <w:num w:numId="5">
    <w:abstractNumId w:val="14"/>
  </w:num>
  <w:num w:numId="6">
    <w:abstractNumId w:val="0"/>
  </w:num>
  <w:num w:numId="7">
    <w:abstractNumId w:val="10"/>
  </w:num>
  <w:num w:numId="8">
    <w:abstractNumId w:val="13"/>
  </w:num>
  <w:num w:numId="9">
    <w:abstractNumId w:val="6"/>
  </w:num>
  <w:num w:numId="10">
    <w:abstractNumId w:val="9"/>
  </w:num>
  <w:num w:numId="11">
    <w:abstractNumId w:val="1"/>
  </w:num>
  <w:num w:numId="12">
    <w:abstractNumId w:val="3"/>
  </w:num>
  <w:num w:numId="13">
    <w:abstractNumId w:val="7"/>
  </w:num>
  <w:num w:numId="14">
    <w:abstractNumId w:val="8"/>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hideSpellingErrors/>
  <w:documentProtection w:edit="readOnly" w:formatting="1" w:enforcement="1" w:cryptProviderType="rsaFull" w:cryptAlgorithmClass="hash" w:cryptAlgorithmType="typeAny" w:cryptAlgorithmSid="4" w:cryptSpinCount="0" w:hash="7crhcy2R9wWor7S/EQTB1Rotg0I=" w:salt="pTgDO53Y7yTR+CyJvi1XeA=="/>
  <w:defaultTabStop w:val="420"/>
  <w:drawingGridVerticalSpacing w:val="156"/>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xZDNhOWE2YmI1NzhmNDhiOTY3NzA1ZmExNmMzOD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8CF"/>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93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689"/>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6EE6"/>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3564"/>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784"/>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F11"/>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C59"/>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8A4"/>
    <w:rsid w:val="006753AC"/>
    <w:rsid w:val="00675430"/>
    <w:rsid w:val="006755F0"/>
    <w:rsid w:val="00675749"/>
    <w:rsid w:val="006759FE"/>
    <w:rsid w:val="00677382"/>
    <w:rsid w:val="006776D5"/>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3B47"/>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4A6"/>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B49"/>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7CE"/>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115"/>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C5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1AE7"/>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1CEF"/>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BD2"/>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02"/>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988"/>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77B93"/>
    <w:rsid w:val="01884FC7"/>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23891"/>
    <w:rsid w:val="04076900"/>
    <w:rsid w:val="041A5A3B"/>
    <w:rsid w:val="042311BA"/>
    <w:rsid w:val="042B157A"/>
    <w:rsid w:val="04493A67"/>
    <w:rsid w:val="048F763B"/>
    <w:rsid w:val="049F330E"/>
    <w:rsid w:val="04AA775C"/>
    <w:rsid w:val="04AF1889"/>
    <w:rsid w:val="04E427F1"/>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47962"/>
    <w:rsid w:val="08751CAA"/>
    <w:rsid w:val="087E4C40"/>
    <w:rsid w:val="08D132DE"/>
    <w:rsid w:val="08D66AD6"/>
    <w:rsid w:val="08DA33A3"/>
    <w:rsid w:val="08DF6BFD"/>
    <w:rsid w:val="08E80F13"/>
    <w:rsid w:val="09335624"/>
    <w:rsid w:val="0944690F"/>
    <w:rsid w:val="09535675"/>
    <w:rsid w:val="095F057D"/>
    <w:rsid w:val="09642282"/>
    <w:rsid w:val="09733572"/>
    <w:rsid w:val="09772C16"/>
    <w:rsid w:val="098353B5"/>
    <w:rsid w:val="09A92330"/>
    <w:rsid w:val="09AF6076"/>
    <w:rsid w:val="09B06B87"/>
    <w:rsid w:val="09B149AA"/>
    <w:rsid w:val="09C13146"/>
    <w:rsid w:val="09E04166"/>
    <w:rsid w:val="0A1C0718"/>
    <w:rsid w:val="0A2957BF"/>
    <w:rsid w:val="0A3E7710"/>
    <w:rsid w:val="0A5B7E63"/>
    <w:rsid w:val="0AA374A5"/>
    <w:rsid w:val="0AAB7649"/>
    <w:rsid w:val="0ABC5606"/>
    <w:rsid w:val="0B30404E"/>
    <w:rsid w:val="0B4C6C14"/>
    <w:rsid w:val="0B5F1DB6"/>
    <w:rsid w:val="0B631A88"/>
    <w:rsid w:val="0B683D45"/>
    <w:rsid w:val="0B794AD1"/>
    <w:rsid w:val="0B7F3F11"/>
    <w:rsid w:val="0B884417"/>
    <w:rsid w:val="0BAA3DB4"/>
    <w:rsid w:val="0BF6188C"/>
    <w:rsid w:val="0BF73C91"/>
    <w:rsid w:val="0C170175"/>
    <w:rsid w:val="0C4C2CDB"/>
    <w:rsid w:val="0C571A41"/>
    <w:rsid w:val="0C5C1171"/>
    <w:rsid w:val="0C5E1CBC"/>
    <w:rsid w:val="0C615B50"/>
    <w:rsid w:val="0C8445DA"/>
    <w:rsid w:val="0C87121B"/>
    <w:rsid w:val="0C900B73"/>
    <w:rsid w:val="0CC007F7"/>
    <w:rsid w:val="0CFE707A"/>
    <w:rsid w:val="0D063BDA"/>
    <w:rsid w:val="0D08375F"/>
    <w:rsid w:val="0D184CFB"/>
    <w:rsid w:val="0D4A7419"/>
    <w:rsid w:val="0D827401"/>
    <w:rsid w:val="0D84094E"/>
    <w:rsid w:val="0D8A00E9"/>
    <w:rsid w:val="0D8D589E"/>
    <w:rsid w:val="0DA01C73"/>
    <w:rsid w:val="0DD6239B"/>
    <w:rsid w:val="0DD63300"/>
    <w:rsid w:val="0DEF1CBA"/>
    <w:rsid w:val="0DF50604"/>
    <w:rsid w:val="0DF702FE"/>
    <w:rsid w:val="0E060E51"/>
    <w:rsid w:val="0E5604B2"/>
    <w:rsid w:val="0E676B46"/>
    <w:rsid w:val="0E6D5D79"/>
    <w:rsid w:val="0E9D0089"/>
    <w:rsid w:val="0EB803EE"/>
    <w:rsid w:val="0EBE0962"/>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967668"/>
    <w:rsid w:val="10C26171"/>
    <w:rsid w:val="10F33360"/>
    <w:rsid w:val="10FC16EA"/>
    <w:rsid w:val="110F1D40"/>
    <w:rsid w:val="11266F33"/>
    <w:rsid w:val="118963A1"/>
    <w:rsid w:val="1193257A"/>
    <w:rsid w:val="119F149A"/>
    <w:rsid w:val="11C00100"/>
    <w:rsid w:val="11C6522A"/>
    <w:rsid w:val="11E104CC"/>
    <w:rsid w:val="11E20309"/>
    <w:rsid w:val="11EB2FAE"/>
    <w:rsid w:val="12255233"/>
    <w:rsid w:val="12530213"/>
    <w:rsid w:val="127723A9"/>
    <w:rsid w:val="12862074"/>
    <w:rsid w:val="12883966"/>
    <w:rsid w:val="129E45B4"/>
    <w:rsid w:val="12A26ED5"/>
    <w:rsid w:val="12D81596"/>
    <w:rsid w:val="13072A44"/>
    <w:rsid w:val="13326FB6"/>
    <w:rsid w:val="135F4BE2"/>
    <w:rsid w:val="139B1A0A"/>
    <w:rsid w:val="139D25C7"/>
    <w:rsid w:val="13BF3CE4"/>
    <w:rsid w:val="13E31BB7"/>
    <w:rsid w:val="141008D8"/>
    <w:rsid w:val="14125FE6"/>
    <w:rsid w:val="146D271E"/>
    <w:rsid w:val="14982588"/>
    <w:rsid w:val="149A5AD9"/>
    <w:rsid w:val="14A7619D"/>
    <w:rsid w:val="150536C3"/>
    <w:rsid w:val="150C1963"/>
    <w:rsid w:val="151447A0"/>
    <w:rsid w:val="154A6454"/>
    <w:rsid w:val="15762120"/>
    <w:rsid w:val="16593D9D"/>
    <w:rsid w:val="16A8729C"/>
    <w:rsid w:val="16B33777"/>
    <w:rsid w:val="16BC70A7"/>
    <w:rsid w:val="16C6339E"/>
    <w:rsid w:val="172974B0"/>
    <w:rsid w:val="172F2D79"/>
    <w:rsid w:val="17557BEF"/>
    <w:rsid w:val="17617830"/>
    <w:rsid w:val="17D349C1"/>
    <w:rsid w:val="17ED1368"/>
    <w:rsid w:val="1830729E"/>
    <w:rsid w:val="1870062C"/>
    <w:rsid w:val="18817102"/>
    <w:rsid w:val="18830A15"/>
    <w:rsid w:val="18852B28"/>
    <w:rsid w:val="188B5321"/>
    <w:rsid w:val="18EA78A5"/>
    <w:rsid w:val="19147A43"/>
    <w:rsid w:val="19193231"/>
    <w:rsid w:val="194C2D7A"/>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C2169D"/>
    <w:rsid w:val="1BD75AB8"/>
    <w:rsid w:val="1C0459C2"/>
    <w:rsid w:val="1C073E2E"/>
    <w:rsid w:val="1C1B3B4A"/>
    <w:rsid w:val="1C88086E"/>
    <w:rsid w:val="1CE25AD0"/>
    <w:rsid w:val="1CFA6621"/>
    <w:rsid w:val="1D235971"/>
    <w:rsid w:val="1D266CE1"/>
    <w:rsid w:val="1D3963AF"/>
    <w:rsid w:val="1D6A673C"/>
    <w:rsid w:val="1D9247AE"/>
    <w:rsid w:val="1DB567EC"/>
    <w:rsid w:val="1DF51A98"/>
    <w:rsid w:val="1E3D060F"/>
    <w:rsid w:val="1E3F7D2E"/>
    <w:rsid w:val="1E4134E4"/>
    <w:rsid w:val="1E5062B3"/>
    <w:rsid w:val="1E523514"/>
    <w:rsid w:val="1E714A66"/>
    <w:rsid w:val="1E802593"/>
    <w:rsid w:val="1E8D0421"/>
    <w:rsid w:val="1EA703CC"/>
    <w:rsid w:val="1EB7330C"/>
    <w:rsid w:val="1F0A0FF3"/>
    <w:rsid w:val="1F424E16"/>
    <w:rsid w:val="1F514B65"/>
    <w:rsid w:val="1F5771FF"/>
    <w:rsid w:val="1F642B4A"/>
    <w:rsid w:val="1FE868A9"/>
    <w:rsid w:val="20034907"/>
    <w:rsid w:val="20173E4B"/>
    <w:rsid w:val="201E48A5"/>
    <w:rsid w:val="20471345"/>
    <w:rsid w:val="204E48BC"/>
    <w:rsid w:val="208921B3"/>
    <w:rsid w:val="20973DEB"/>
    <w:rsid w:val="20B26522"/>
    <w:rsid w:val="20B44310"/>
    <w:rsid w:val="211116EB"/>
    <w:rsid w:val="216133FC"/>
    <w:rsid w:val="21D56769"/>
    <w:rsid w:val="21E52EF3"/>
    <w:rsid w:val="21FB5D7B"/>
    <w:rsid w:val="220B1C3D"/>
    <w:rsid w:val="221D1D20"/>
    <w:rsid w:val="22334A87"/>
    <w:rsid w:val="22BE6801"/>
    <w:rsid w:val="22CA2A17"/>
    <w:rsid w:val="233500BF"/>
    <w:rsid w:val="23377FF7"/>
    <w:rsid w:val="236B425F"/>
    <w:rsid w:val="237A203E"/>
    <w:rsid w:val="23836192"/>
    <w:rsid w:val="23901F29"/>
    <w:rsid w:val="239C0061"/>
    <w:rsid w:val="23B908A4"/>
    <w:rsid w:val="23E95BEF"/>
    <w:rsid w:val="23FD0064"/>
    <w:rsid w:val="242D091A"/>
    <w:rsid w:val="245375B0"/>
    <w:rsid w:val="24642C0A"/>
    <w:rsid w:val="24B22173"/>
    <w:rsid w:val="24B95AD9"/>
    <w:rsid w:val="24BE24DA"/>
    <w:rsid w:val="24CF5825"/>
    <w:rsid w:val="24D663E6"/>
    <w:rsid w:val="24D77F2B"/>
    <w:rsid w:val="24FA1991"/>
    <w:rsid w:val="251944AD"/>
    <w:rsid w:val="251C31E3"/>
    <w:rsid w:val="258B00E2"/>
    <w:rsid w:val="25A917A6"/>
    <w:rsid w:val="25BE27CC"/>
    <w:rsid w:val="25F74A5C"/>
    <w:rsid w:val="2628662C"/>
    <w:rsid w:val="262D45DE"/>
    <w:rsid w:val="266A4519"/>
    <w:rsid w:val="26A53EF9"/>
    <w:rsid w:val="26A94201"/>
    <w:rsid w:val="26AC274F"/>
    <w:rsid w:val="27044A29"/>
    <w:rsid w:val="271D34C8"/>
    <w:rsid w:val="276142BF"/>
    <w:rsid w:val="27783712"/>
    <w:rsid w:val="27907362"/>
    <w:rsid w:val="27E40FE2"/>
    <w:rsid w:val="28333E1D"/>
    <w:rsid w:val="28416434"/>
    <w:rsid w:val="28454BD6"/>
    <w:rsid w:val="28455253"/>
    <w:rsid w:val="284B2E0F"/>
    <w:rsid w:val="28551971"/>
    <w:rsid w:val="285B1C53"/>
    <w:rsid w:val="289F7086"/>
    <w:rsid w:val="28C32028"/>
    <w:rsid w:val="28CC490F"/>
    <w:rsid w:val="28DE40AA"/>
    <w:rsid w:val="2915627C"/>
    <w:rsid w:val="29345E77"/>
    <w:rsid w:val="294C65AD"/>
    <w:rsid w:val="295D73A9"/>
    <w:rsid w:val="29806583"/>
    <w:rsid w:val="298B3C4C"/>
    <w:rsid w:val="29A16373"/>
    <w:rsid w:val="29F26D24"/>
    <w:rsid w:val="2A15033F"/>
    <w:rsid w:val="2A1662C1"/>
    <w:rsid w:val="2A1C7367"/>
    <w:rsid w:val="2A2815FA"/>
    <w:rsid w:val="2A4E45E1"/>
    <w:rsid w:val="2A5A3D38"/>
    <w:rsid w:val="2A6D4BE6"/>
    <w:rsid w:val="2A6D6092"/>
    <w:rsid w:val="2A7D76B4"/>
    <w:rsid w:val="2B437463"/>
    <w:rsid w:val="2B7807EE"/>
    <w:rsid w:val="2BBF00EC"/>
    <w:rsid w:val="2BC37CFD"/>
    <w:rsid w:val="2BD5237F"/>
    <w:rsid w:val="2BE536CE"/>
    <w:rsid w:val="2BE758D9"/>
    <w:rsid w:val="2BE961B4"/>
    <w:rsid w:val="2C09049E"/>
    <w:rsid w:val="2C095A82"/>
    <w:rsid w:val="2C0A653C"/>
    <w:rsid w:val="2C191F85"/>
    <w:rsid w:val="2C631A05"/>
    <w:rsid w:val="2CE82D6F"/>
    <w:rsid w:val="2D1063D5"/>
    <w:rsid w:val="2D343236"/>
    <w:rsid w:val="2DD15014"/>
    <w:rsid w:val="2DD53272"/>
    <w:rsid w:val="2DF72DE4"/>
    <w:rsid w:val="2E0220AF"/>
    <w:rsid w:val="2E3D585B"/>
    <w:rsid w:val="2E483EDC"/>
    <w:rsid w:val="2E4B082A"/>
    <w:rsid w:val="2E5D4E86"/>
    <w:rsid w:val="2E5D790B"/>
    <w:rsid w:val="2E7516FD"/>
    <w:rsid w:val="2E9A3C18"/>
    <w:rsid w:val="2EBB0FEE"/>
    <w:rsid w:val="2EC63002"/>
    <w:rsid w:val="2F0A6B38"/>
    <w:rsid w:val="2F5A5701"/>
    <w:rsid w:val="2F7F3386"/>
    <w:rsid w:val="2F823EF7"/>
    <w:rsid w:val="2F946CCB"/>
    <w:rsid w:val="2FA76EBB"/>
    <w:rsid w:val="2FB254A3"/>
    <w:rsid w:val="2FD25781"/>
    <w:rsid w:val="2FF34A8E"/>
    <w:rsid w:val="2FFD7934"/>
    <w:rsid w:val="301901A1"/>
    <w:rsid w:val="30733ACD"/>
    <w:rsid w:val="308C3862"/>
    <w:rsid w:val="309379D8"/>
    <w:rsid w:val="30A270F7"/>
    <w:rsid w:val="30DF1478"/>
    <w:rsid w:val="30EC586F"/>
    <w:rsid w:val="311F091A"/>
    <w:rsid w:val="315E1E05"/>
    <w:rsid w:val="319C6071"/>
    <w:rsid w:val="31A82D30"/>
    <w:rsid w:val="31AC537E"/>
    <w:rsid w:val="31BF318C"/>
    <w:rsid w:val="31E3679B"/>
    <w:rsid w:val="31E732FD"/>
    <w:rsid w:val="32517576"/>
    <w:rsid w:val="32A06700"/>
    <w:rsid w:val="32BE5C2C"/>
    <w:rsid w:val="32FB6478"/>
    <w:rsid w:val="33263B3F"/>
    <w:rsid w:val="336963EB"/>
    <w:rsid w:val="33816EEB"/>
    <w:rsid w:val="33CE5DAA"/>
    <w:rsid w:val="33EB55CD"/>
    <w:rsid w:val="33EC4C02"/>
    <w:rsid w:val="340D2360"/>
    <w:rsid w:val="3410665D"/>
    <w:rsid w:val="34186D6F"/>
    <w:rsid w:val="34211214"/>
    <w:rsid w:val="342E63AB"/>
    <w:rsid w:val="343520A9"/>
    <w:rsid w:val="34411A94"/>
    <w:rsid w:val="34950E68"/>
    <w:rsid w:val="34986E94"/>
    <w:rsid w:val="34AF62C9"/>
    <w:rsid w:val="34CB4388"/>
    <w:rsid w:val="34D522FE"/>
    <w:rsid w:val="34FA6E12"/>
    <w:rsid w:val="358D5588"/>
    <w:rsid w:val="360B4FFE"/>
    <w:rsid w:val="363A3B40"/>
    <w:rsid w:val="365279A9"/>
    <w:rsid w:val="365302AE"/>
    <w:rsid w:val="36607A0A"/>
    <w:rsid w:val="366E227C"/>
    <w:rsid w:val="366F2E0D"/>
    <w:rsid w:val="367B6A5C"/>
    <w:rsid w:val="36A74ADA"/>
    <w:rsid w:val="36AD60D5"/>
    <w:rsid w:val="36B224F9"/>
    <w:rsid w:val="36B643BD"/>
    <w:rsid w:val="36EC0CC9"/>
    <w:rsid w:val="373E659C"/>
    <w:rsid w:val="373F410B"/>
    <w:rsid w:val="379B4CDE"/>
    <w:rsid w:val="37A161FF"/>
    <w:rsid w:val="37D2768F"/>
    <w:rsid w:val="37EE7094"/>
    <w:rsid w:val="381E0825"/>
    <w:rsid w:val="38296C89"/>
    <w:rsid w:val="383002EB"/>
    <w:rsid w:val="38586797"/>
    <w:rsid w:val="38BC0149"/>
    <w:rsid w:val="38D87D1C"/>
    <w:rsid w:val="39636459"/>
    <w:rsid w:val="396843AB"/>
    <w:rsid w:val="396B7F6C"/>
    <w:rsid w:val="39B417A9"/>
    <w:rsid w:val="39FC5695"/>
    <w:rsid w:val="3A006D8E"/>
    <w:rsid w:val="3A137505"/>
    <w:rsid w:val="3A3651E5"/>
    <w:rsid w:val="3A56234B"/>
    <w:rsid w:val="3A744481"/>
    <w:rsid w:val="3A8C7BEF"/>
    <w:rsid w:val="3A906246"/>
    <w:rsid w:val="3B2349B7"/>
    <w:rsid w:val="3B616CFF"/>
    <w:rsid w:val="3B6259F6"/>
    <w:rsid w:val="3B976654"/>
    <w:rsid w:val="3BC01EFC"/>
    <w:rsid w:val="3BCA786A"/>
    <w:rsid w:val="3BD31E2F"/>
    <w:rsid w:val="3BF15831"/>
    <w:rsid w:val="3C105946"/>
    <w:rsid w:val="3C471448"/>
    <w:rsid w:val="3C4C0A09"/>
    <w:rsid w:val="3C5F759A"/>
    <w:rsid w:val="3C6C525A"/>
    <w:rsid w:val="3CCE23CB"/>
    <w:rsid w:val="3CD17D17"/>
    <w:rsid w:val="3D3C7F39"/>
    <w:rsid w:val="3D440F09"/>
    <w:rsid w:val="3D4504A0"/>
    <w:rsid w:val="3D5B369C"/>
    <w:rsid w:val="3D8734BB"/>
    <w:rsid w:val="3D9A11D4"/>
    <w:rsid w:val="3DA16D89"/>
    <w:rsid w:val="3DA364BE"/>
    <w:rsid w:val="3DD81B88"/>
    <w:rsid w:val="3DDB5FE6"/>
    <w:rsid w:val="3DE041CB"/>
    <w:rsid w:val="3E0D48F6"/>
    <w:rsid w:val="3E1868B4"/>
    <w:rsid w:val="3E377251"/>
    <w:rsid w:val="3E42664B"/>
    <w:rsid w:val="3E5A7334"/>
    <w:rsid w:val="3E5D6110"/>
    <w:rsid w:val="3E7B5D6B"/>
    <w:rsid w:val="3E843E66"/>
    <w:rsid w:val="3E8F51FE"/>
    <w:rsid w:val="3E926F87"/>
    <w:rsid w:val="3E9A59DE"/>
    <w:rsid w:val="3EAF4836"/>
    <w:rsid w:val="3EC33DFA"/>
    <w:rsid w:val="3EEE4F62"/>
    <w:rsid w:val="3F060E16"/>
    <w:rsid w:val="3F1D1096"/>
    <w:rsid w:val="3F2F0234"/>
    <w:rsid w:val="3F6363FE"/>
    <w:rsid w:val="3F756B8F"/>
    <w:rsid w:val="3F95482B"/>
    <w:rsid w:val="3FDC20A8"/>
    <w:rsid w:val="400C3FD4"/>
    <w:rsid w:val="4019356B"/>
    <w:rsid w:val="40220229"/>
    <w:rsid w:val="403326AF"/>
    <w:rsid w:val="40592157"/>
    <w:rsid w:val="406E1CAE"/>
    <w:rsid w:val="409B63DD"/>
    <w:rsid w:val="40A0133A"/>
    <w:rsid w:val="40A634B2"/>
    <w:rsid w:val="40C31A53"/>
    <w:rsid w:val="40FF545D"/>
    <w:rsid w:val="410067C8"/>
    <w:rsid w:val="41015EE4"/>
    <w:rsid w:val="418F0D2A"/>
    <w:rsid w:val="41D01505"/>
    <w:rsid w:val="41F850FE"/>
    <w:rsid w:val="422D7DE0"/>
    <w:rsid w:val="42474939"/>
    <w:rsid w:val="424C3C57"/>
    <w:rsid w:val="42613FF3"/>
    <w:rsid w:val="42660D96"/>
    <w:rsid w:val="428667D2"/>
    <w:rsid w:val="42A27568"/>
    <w:rsid w:val="42CD1CE0"/>
    <w:rsid w:val="42D90AA2"/>
    <w:rsid w:val="42E1381E"/>
    <w:rsid w:val="42ED6459"/>
    <w:rsid w:val="42FE58DD"/>
    <w:rsid w:val="43174B3D"/>
    <w:rsid w:val="434B790E"/>
    <w:rsid w:val="4360274F"/>
    <w:rsid w:val="43977AB6"/>
    <w:rsid w:val="43A3342B"/>
    <w:rsid w:val="43C77C27"/>
    <w:rsid w:val="43DE09EE"/>
    <w:rsid w:val="44002FAD"/>
    <w:rsid w:val="445F0B62"/>
    <w:rsid w:val="449101DD"/>
    <w:rsid w:val="44DE1391"/>
    <w:rsid w:val="451B225C"/>
    <w:rsid w:val="452410C9"/>
    <w:rsid w:val="45317DFB"/>
    <w:rsid w:val="45326F8A"/>
    <w:rsid w:val="45367649"/>
    <w:rsid w:val="45436A4F"/>
    <w:rsid w:val="456D3CE4"/>
    <w:rsid w:val="4579042C"/>
    <w:rsid w:val="457F0571"/>
    <w:rsid w:val="45851176"/>
    <w:rsid w:val="459704BE"/>
    <w:rsid w:val="45C63B94"/>
    <w:rsid w:val="460E7DA5"/>
    <w:rsid w:val="46422483"/>
    <w:rsid w:val="464B6EA4"/>
    <w:rsid w:val="4659254A"/>
    <w:rsid w:val="465B0637"/>
    <w:rsid w:val="465E3F0D"/>
    <w:rsid w:val="466A16E6"/>
    <w:rsid w:val="46893F2B"/>
    <w:rsid w:val="468E1363"/>
    <w:rsid w:val="46C4686E"/>
    <w:rsid w:val="477B778F"/>
    <w:rsid w:val="478203EC"/>
    <w:rsid w:val="47AF663C"/>
    <w:rsid w:val="47B025FA"/>
    <w:rsid w:val="4809698F"/>
    <w:rsid w:val="4811697D"/>
    <w:rsid w:val="484D0E76"/>
    <w:rsid w:val="487A3E25"/>
    <w:rsid w:val="488B5503"/>
    <w:rsid w:val="48937E21"/>
    <w:rsid w:val="48986FBE"/>
    <w:rsid w:val="489A0361"/>
    <w:rsid w:val="48B94FF3"/>
    <w:rsid w:val="48C121A1"/>
    <w:rsid w:val="48E37AAB"/>
    <w:rsid w:val="48FD4B4C"/>
    <w:rsid w:val="490A68E0"/>
    <w:rsid w:val="491055FE"/>
    <w:rsid w:val="493F2815"/>
    <w:rsid w:val="495F5B3E"/>
    <w:rsid w:val="496F77D7"/>
    <w:rsid w:val="497654FD"/>
    <w:rsid w:val="49B64211"/>
    <w:rsid w:val="49C41430"/>
    <w:rsid w:val="49F6167F"/>
    <w:rsid w:val="4A064FA0"/>
    <w:rsid w:val="4A16615C"/>
    <w:rsid w:val="4A4424D7"/>
    <w:rsid w:val="4AB82D0F"/>
    <w:rsid w:val="4AEB7664"/>
    <w:rsid w:val="4AFD7C19"/>
    <w:rsid w:val="4B0567D1"/>
    <w:rsid w:val="4B236AAE"/>
    <w:rsid w:val="4B704048"/>
    <w:rsid w:val="4B707271"/>
    <w:rsid w:val="4B9739F7"/>
    <w:rsid w:val="4BEE2503"/>
    <w:rsid w:val="4C245A30"/>
    <w:rsid w:val="4CB6685F"/>
    <w:rsid w:val="4CC367FE"/>
    <w:rsid w:val="4CD269E9"/>
    <w:rsid w:val="4CEE3FB3"/>
    <w:rsid w:val="4D077F3C"/>
    <w:rsid w:val="4D0B7988"/>
    <w:rsid w:val="4D123355"/>
    <w:rsid w:val="4D2A3B31"/>
    <w:rsid w:val="4D312C52"/>
    <w:rsid w:val="4D83369F"/>
    <w:rsid w:val="4D8973D9"/>
    <w:rsid w:val="4D905305"/>
    <w:rsid w:val="4D964A72"/>
    <w:rsid w:val="4D9C1254"/>
    <w:rsid w:val="4DDB12DF"/>
    <w:rsid w:val="4DE14B44"/>
    <w:rsid w:val="4E793892"/>
    <w:rsid w:val="4E800872"/>
    <w:rsid w:val="4EC569ED"/>
    <w:rsid w:val="4ED50EA1"/>
    <w:rsid w:val="4ED82BCE"/>
    <w:rsid w:val="4EEC050C"/>
    <w:rsid w:val="4F104EC3"/>
    <w:rsid w:val="4F240A83"/>
    <w:rsid w:val="4F47354A"/>
    <w:rsid w:val="4F911C54"/>
    <w:rsid w:val="4FA36D99"/>
    <w:rsid w:val="4FAA6B99"/>
    <w:rsid w:val="4FE625E0"/>
    <w:rsid w:val="50084580"/>
    <w:rsid w:val="50211ADF"/>
    <w:rsid w:val="5021480F"/>
    <w:rsid w:val="50342751"/>
    <w:rsid w:val="5035610E"/>
    <w:rsid w:val="50962ECB"/>
    <w:rsid w:val="50A42E38"/>
    <w:rsid w:val="50A4577F"/>
    <w:rsid w:val="50A9256B"/>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1232D7"/>
    <w:rsid w:val="53544462"/>
    <w:rsid w:val="537E1566"/>
    <w:rsid w:val="5397158E"/>
    <w:rsid w:val="54013861"/>
    <w:rsid w:val="54487265"/>
    <w:rsid w:val="544D6070"/>
    <w:rsid w:val="54605E1E"/>
    <w:rsid w:val="5488609D"/>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9872DA"/>
    <w:rsid w:val="56D6524D"/>
    <w:rsid w:val="57032A2C"/>
    <w:rsid w:val="570D3394"/>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DC4708"/>
    <w:rsid w:val="58E363A9"/>
    <w:rsid w:val="595E1678"/>
    <w:rsid w:val="59690543"/>
    <w:rsid w:val="596D5BD4"/>
    <w:rsid w:val="597E3DD8"/>
    <w:rsid w:val="59F80043"/>
    <w:rsid w:val="5A09252F"/>
    <w:rsid w:val="5A096A5E"/>
    <w:rsid w:val="5A0B2778"/>
    <w:rsid w:val="5A2A7C7B"/>
    <w:rsid w:val="5A392C1D"/>
    <w:rsid w:val="5A3E2560"/>
    <w:rsid w:val="5A5D3B6E"/>
    <w:rsid w:val="5A637A76"/>
    <w:rsid w:val="5A6D33BA"/>
    <w:rsid w:val="5A792B1F"/>
    <w:rsid w:val="5A874767"/>
    <w:rsid w:val="5AAD6F28"/>
    <w:rsid w:val="5AD63A24"/>
    <w:rsid w:val="5AFE1043"/>
    <w:rsid w:val="5B2E1A1D"/>
    <w:rsid w:val="5B843A1C"/>
    <w:rsid w:val="5B873E3F"/>
    <w:rsid w:val="5C02690E"/>
    <w:rsid w:val="5C196DA7"/>
    <w:rsid w:val="5C2A048C"/>
    <w:rsid w:val="5C3D7520"/>
    <w:rsid w:val="5C80234E"/>
    <w:rsid w:val="5C8A680C"/>
    <w:rsid w:val="5C9E3D89"/>
    <w:rsid w:val="5CAF373E"/>
    <w:rsid w:val="5CE6195E"/>
    <w:rsid w:val="5D0C4701"/>
    <w:rsid w:val="5D0F0395"/>
    <w:rsid w:val="5D221076"/>
    <w:rsid w:val="5D397964"/>
    <w:rsid w:val="5D5A391C"/>
    <w:rsid w:val="5D5F10C0"/>
    <w:rsid w:val="5D70362F"/>
    <w:rsid w:val="5D891B7B"/>
    <w:rsid w:val="5DAD38EE"/>
    <w:rsid w:val="5E006862"/>
    <w:rsid w:val="5E0207B9"/>
    <w:rsid w:val="5E1834A1"/>
    <w:rsid w:val="5E261785"/>
    <w:rsid w:val="5E4A7017"/>
    <w:rsid w:val="5E552BBA"/>
    <w:rsid w:val="5E611C10"/>
    <w:rsid w:val="5E9A0132"/>
    <w:rsid w:val="5EFC7377"/>
    <w:rsid w:val="5F06174D"/>
    <w:rsid w:val="5F3A3602"/>
    <w:rsid w:val="5F6277C6"/>
    <w:rsid w:val="5F6D0B1D"/>
    <w:rsid w:val="5F8D0B82"/>
    <w:rsid w:val="5FB12F09"/>
    <w:rsid w:val="5FCC5339"/>
    <w:rsid w:val="5FE34A5B"/>
    <w:rsid w:val="5FFE1E36"/>
    <w:rsid w:val="601A4F56"/>
    <w:rsid w:val="60232584"/>
    <w:rsid w:val="603E0FD8"/>
    <w:rsid w:val="607330CE"/>
    <w:rsid w:val="60825176"/>
    <w:rsid w:val="609F2AC4"/>
    <w:rsid w:val="60B0331E"/>
    <w:rsid w:val="60E6692F"/>
    <w:rsid w:val="60FA2EE8"/>
    <w:rsid w:val="61054A27"/>
    <w:rsid w:val="610A52BC"/>
    <w:rsid w:val="611D2366"/>
    <w:rsid w:val="613447A9"/>
    <w:rsid w:val="6136222A"/>
    <w:rsid w:val="61421856"/>
    <w:rsid w:val="615148D9"/>
    <w:rsid w:val="615227C4"/>
    <w:rsid w:val="61654E3F"/>
    <w:rsid w:val="6182292A"/>
    <w:rsid w:val="619F7F92"/>
    <w:rsid w:val="61F94C26"/>
    <w:rsid w:val="62000E56"/>
    <w:rsid w:val="62074E72"/>
    <w:rsid w:val="622926A3"/>
    <w:rsid w:val="624F3E49"/>
    <w:rsid w:val="62632286"/>
    <w:rsid w:val="62851331"/>
    <w:rsid w:val="62885958"/>
    <w:rsid w:val="62950E64"/>
    <w:rsid w:val="62F20047"/>
    <w:rsid w:val="62F40B65"/>
    <w:rsid w:val="62FC2CFE"/>
    <w:rsid w:val="63024505"/>
    <w:rsid w:val="635B1DB5"/>
    <w:rsid w:val="63711FED"/>
    <w:rsid w:val="63880DDC"/>
    <w:rsid w:val="638D750D"/>
    <w:rsid w:val="63AC6CC0"/>
    <w:rsid w:val="64055776"/>
    <w:rsid w:val="640F01E2"/>
    <w:rsid w:val="64240056"/>
    <w:rsid w:val="643E143A"/>
    <w:rsid w:val="648B6EEF"/>
    <w:rsid w:val="64C158BF"/>
    <w:rsid w:val="64CE2EAA"/>
    <w:rsid w:val="653C3090"/>
    <w:rsid w:val="65854376"/>
    <w:rsid w:val="658767BE"/>
    <w:rsid w:val="65892531"/>
    <w:rsid w:val="660B132F"/>
    <w:rsid w:val="66195831"/>
    <w:rsid w:val="662E75B1"/>
    <w:rsid w:val="66342C2E"/>
    <w:rsid w:val="663E784C"/>
    <w:rsid w:val="664459EA"/>
    <w:rsid w:val="66682447"/>
    <w:rsid w:val="66786085"/>
    <w:rsid w:val="668B6A45"/>
    <w:rsid w:val="672F3F24"/>
    <w:rsid w:val="673E055F"/>
    <w:rsid w:val="67551CE3"/>
    <w:rsid w:val="67A22552"/>
    <w:rsid w:val="67B22DCC"/>
    <w:rsid w:val="67BE71AA"/>
    <w:rsid w:val="67D90273"/>
    <w:rsid w:val="67DE5875"/>
    <w:rsid w:val="67E55852"/>
    <w:rsid w:val="67EB1AB4"/>
    <w:rsid w:val="67FA1285"/>
    <w:rsid w:val="68303C5A"/>
    <w:rsid w:val="68551F4F"/>
    <w:rsid w:val="687C10C9"/>
    <w:rsid w:val="68840C16"/>
    <w:rsid w:val="68876EFB"/>
    <w:rsid w:val="68884654"/>
    <w:rsid w:val="689F444F"/>
    <w:rsid w:val="68B96DBB"/>
    <w:rsid w:val="68CA2805"/>
    <w:rsid w:val="68E937A3"/>
    <w:rsid w:val="693E15D3"/>
    <w:rsid w:val="69627681"/>
    <w:rsid w:val="69663C7E"/>
    <w:rsid w:val="6977531D"/>
    <w:rsid w:val="69CC2BFF"/>
    <w:rsid w:val="69FD55B8"/>
    <w:rsid w:val="6A0B1C62"/>
    <w:rsid w:val="6A2406C8"/>
    <w:rsid w:val="6A952C08"/>
    <w:rsid w:val="6ADE0BD1"/>
    <w:rsid w:val="6AE96859"/>
    <w:rsid w:val="6B147746"/>
    <w:rsid w:val="6B24787C"/>
    <w:rsid w:val="6B573233"/>
    <w:rsid w:val="6B5B6274"/>
    <w:rsid w:val="6B7E4D28"/>
    <w:rsid w:val="6B935D53"/>
    <w:rsid w:val="6BBE07EE"/>
    <w:rsid w:val="6C196F71"/>
    <w:rsid w:val="6C226FCB"/>
    <w:rsid w:val="6C31226F"/>
    <w:rsid w:val="6C552F0B"/>
    <w:rsid w:val="6C845001"/>
    <w:rsid w:val="6C8C67B7"/>
    <w:rsid w:val="6C9D744C"/>
    <w:rsid w:val="6D167928"/>
    <w:rsid w:val="6D26299B"/>
    <w:rsid w:val="6D4772EC"/>
    <w:rsid w:val="6D4D2ACF"/>
    <w:rsid w:val="6D5C2CA1"/>
    <w:rsid w:val="6D9078AF"/>
    <w:rsid w:val="6DAA3FEF"/>
    <w:rsid w:val="6DC0172B"/>
    <w:rsid w:val="6DCB690C"/>
    <w:rsid w:val="6DD41A5B"/>
    <w:rsid w:val="6DF43C2E"/>
    <w:rsid w:val="6DF51CA3"/>
    <w:rsid w:val="6E8335BD"/>
    <w:rsid w:val="6E895AEA"/>
    <w:rsid w:val="6E8E12EF"/>
    <w:rsid w:val="6E8F0906"/>
    <w:rsid w:val="6E972936"/>
    <w:rsid w:val="6ED446C5"/>
    <w:rsid w:val="6F2A7D94"/>
    <w:rsid w:val="6F416882"/>
    <w:rsid w:val="6F8331F1"/>
    <w:rsid w:val="6FA67EF8"/>
    <w:rsid w:val="6FAE1A09"/>
    <w:rsid w:val="6FB3C281"/>
    <w:rsid w:val="6FD75BF8"/>
    <w:rsid w:val="703B30DF"/>
    <w:rsid w:val="707723D0"/>
    <w:rsid w:val="70F5661B"/>
    <w:rsid w:val="71360107"/>
    <w:rsid w:val="713B688E"/>
    <w:rsid w:val="71D43752"/>
    <w:rsid w:val="71F1796A"/>
    <w:rsid w:val="71F71F4E"/>
    <w:rsid w:val="72154626"/>
    <w:rsid w:val="72262B5D"/>
    <w:rsid w:val="72283FF7"/>
    <w:rsid w:val="722E7212"/>
    <w:rsid w:val="723A0474"/>
    <w:rsid w:val="725923E4"/>
    <w:rsid w:val="727513DC"/>
    <w:rsid w:val="72864BF7"/>
    <w:rsid w:val="729023FC"/>
    <w:rsid w:val="73260244"/>
    <w:rsid w:val="732B09DB"/>
    <w:rsid w:val="73C0646E"/>
    <w:rsid w:val="742222F5"/>
    <w:rsid w:val="742B4A2D"/>
    <w:rsid w:val="74476126"/>
    <w:rsid w:val="746A72A3"/>
    <w:rsid w:val="74706664"/>
    <w:rsid w:val="747F3682"/>
    <w:rsid w:val="749C4185"/>
    <w:rsid w:val="75067759"/>
    <w:rsid w:val="752E6DCD"/>
    <w:rsid w:val="7551380D"/>
    <w:rsid w:val="75600BE5"/>
    <w:rsid w:val="7564475C"/>
    <w:rsid w:val="7583797F"/>
    <w:rsid w:val="75AD5982"/>
    <w:rsid w:val="75D20F1D"/>
    <w:rsid w:val="75DA2C18"/>
    <w:rsid w:val="75F54412"/>
    <w:rsid w:val="761D08E0"/>
    <w:rsid w:val="765D347C"/>
    <w:rsid w:val="76826699"/>
    <w:rsid w:val="76B16BF0"/>
    <w:rsid w:val="76C87133"/>
    <w:rsid w:val="76CD08D5"/>
    <w:rsid w:val="76DB4B92"/>
    <w:rsid w:val="77052AA4"/>
    <w:rsid w:val="77136511"/>
    <w:rsid w:val="77340A39"/>
    <w:rsid w:val="77351FD0"/>
    <w:rsid w:val="77472422"/>
    <w:rsid w:val="777F31F2"/>
    <w:rsid w:val="77D1700D"/>
    <w:rsid w:val="77EC04CC"/>
    <w:rsid w:val="77FF40CF"/>
    <w:rsid w:val="78244A52"/>
    <w:rsid w:val="78775729"/>
    <w:rsid w:val="789D0631"/>
    <w:rsid w:val="78A42DB0"/>
    <w:rsid w:val="78A656AB"/>
    <w:rsid w:val="78B2245C"/>
    <w:rsid w:val="78E172CC"/>
    <w:rsid w:val="78EA1D1F"/>
    <w:rsid w:val="7904172F"/>
    <w:rsid w:val="790F7E27"/>
    <w:rsid w:val="791A69E7"/>
    <w:rsid w:val="79252AC0"/>
    <w:rsid w:val="792A231A"/>
    <w:rsid w:val="79316829"/>
    <w:rsid w:val="79364519"/>
    <w:rsid w:val="797E66A9"/>
    <w:rsid w:val="79A97383"/>
    <w:rsid w:val="79D457D6"/>
    <w:rsid w:val="79E27E8B"/>
    <w:rsid w:val="79F850CE"/>
    <w:rsid w:val="79FD443C"/>
    <w:rsid w:val="7A1D1975"/>
    <w:rsid w:val="7A3E5150"/>
    <w:rsid w:val="7A4670D6"/>
    <w:rsid w:val="7A534B63"/>
    <w:rsid w:val="7A615382"/>
    <w:rsid w:val="7A67303B"/>
    <w:rsid w:val="7AAB1D04"/>
    <w:rsid w:val="7AB705A7"/>
    <w:rsid w:val="7ABA4368"/>
    <w:rsid w:val="7AD05746"/>
    <w:rsid w:val="7B257FFD"/>
    <w:rsid w:val="7B343476"/>
    <w:rsid w:val="7B5A2978"/>
    <w:rsid w:val="7B5A7E4C"/>
    <w:rsid w:val="7B667AF9"/>
    <w:rsid w:val="7B7468F8"/>
    <w:rsid w:val="7BBBF8D5"/>
    <w:rsid w:val="7BEE0103"/>
    <w:rsid w:val="7C0A0FE4"/>
    <w:rsid w:val="7C254906"/>
    <w:rsid w:val="7C590818"/>
    <w:rsid w:val="7C7C10F6"/>
    <w:rsid w:val="7C7C6667"/>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243B3B"/>
    <w:rsid w:val="7F6802C6"/>
    <w:rsid w:val="7F715AF2"/>
    <w:rsid w:val="7F886E69"/>
    <w:rsid w:val="7FDD77A3"/>
    <w:rsid w:val="BB7FA927"/>
    <w:rsid w:val="CDF7A755"/>
    <w:rsid w:val="CFFFFDCB"/>
    <w:rsid w:val="EFBD4452"/>
    <w:rsid w:val="F5FFD31F"/>
    <w:rsid w:val="FB1BA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5"/>
    <w:qFormat/>
    <w:uiPriority w:val="0"/>
    <w:pPr>
      <w:widowControl/>
      <w:snapToGrid w:val="0"/>
      <w:spacing w:line="480" w:lineRule="exact"/>
      <w:ind w:firstLine="567"/>
    </w:pPr>
    <w:rPr>
      <w:rFonts w:ascii="宋体"/>
      <w:snapToGrid w:val="0"/>
      <w:color w:val="000000"/>
      <w:kern w:val="28"/>
      <w:sz w:val="28"/>
      <w:szCs w:val="20"/>
    </w:rPr>
  </w:style>
  <w:style w:type="paragraph" w:customStyle="1" w:styleId="6">
    <w:name w:val="Default"/>
    <w:next w:val="1"/>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2"/>
    <w:qFormat/>
    <w:uiPriority w:val="0"/>
    <w:pPr>
      <w:ind w:firstLine="420"/>
    </w:pPr>
    <w:rPr>
      <w:rFonts w:hAnsi="Calibri" w:cs="Times New Roman"/>
      <w:snapToGrid/>
      <w:szCs w:val="20"/>
    </w:rPr>
  </w:style>
  <w:style w:type="paragraph" w:styleId="26">
    <w:name w:val="Body Text Indent"/>
    <w:basedOn w:val="1"/>
    <w:next w:val="1"/>
    <w:link w:val="266"/>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8"/>
    <w:qFormat/>
    <w:uiPriority w:val="0"/>
    <w:rPr>
      <w:b/>
      <w:bCs/>
    </w:rPr>
  </w:style>
  <w:style w:type="paragraph" w:styleId="62">
    <w:name w:val="Body Text First Indent 2"/>
    <w:basedOn w:val="26"/>
    <w:link w:val="12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paragraph" w:customStyle="1" w:styleId="81">
    <w:name w:val="首行缩进"/>
    <w:basedOn w:val="1"/>
    <w:qFormat/>
    <w:uiPriority w:val="0"/>
    <w:pPr>
      <w:spacing w:line="360" w:lineRule="auto"/>
      <w:ind w:firstLine="480" w:firstLineChars="200"/>
    </w:pPr>
    <w:rPr>
      <w:rFonts w:ascii="宋体"/>
      <w:sz w:val="24"/>
      <w:szCs w:val="20"/>
    </w:rPr>
  </w:style>
  <w:style w:type="paragraph" w:customStyle="1" w:styleId="82">
    <w:name w:val="样式 正文文本缩进 + 左  0 字符"/>
    <w:basedOn w:val="1"/>
    <w:next w:val="83"/>
    <w:qFormat/>
    <w:uiPriority w:val="0"/>
    <w:pPr>
      <w:ind w:firstLine="645"/>
    </w:pPr>
    <w:rPr>
      <w:rFonts w:ascii="楷体_GB2312" w:eastAsia="楷体_GB2312"/>
      <w:sz w:val="24"/>
      <w:szCs w:val="20"/>
    </w:rPr>
  </w:style>
  <w:style w:type="paragraph" w:customStyle="1" w:styleId="83">
    <w:name w:val="MM Topic 4"/>
    <w:basedOn w:val="7"/>
    <w:qFormat/>
    <w:uiPriority w:val="0"/>
    <w:pPr>
      <w:tabs>
        <w:tab w:val="left" w:pos="2100"/>
      </w:tabs>
      <w:adjustRightInd/>
      <w:ind w:left="2100" w:hanging="420"/>
    </w:pPr>
    <w:rPr>
      <w:lang w:val="en-US"/>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1"/>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8"/>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9"/>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3"/>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7"/>
    <w:qFormat/>
    <w:uiPriority w:val="0"/>
    <w:rPr>
      <w:rFonts w:ascii="宋体"/>
      <w:kern w:val="2"/>
      <w:sz w:val="24"/>
      <w:szCs w:val="21"/>
      <w:lang w:val="zh-CN"/>
    </w:rPr>
  </w:style>
  <w:style w:type="character" w:customStyle="1" w:styleId="184">
    <w:name w:val="标题 9 Char"/>
    <w:link w:val="12"/>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1"/>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7"/>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6"/>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0"/>
    <w:qFormat/>
    <w:uiPriority w:val="0"/>
    <w:rPr>
      <w:b/>
      <w:bCs/>
      <w:kern w:val="2"/>
      <w:sz w:val="24"/>
      <w:szCs w:val="24"/>
    </w:rPr>
  </w:style>
  <w:style w:type="character" w:customStyle="1" w:styleId="309">
    <w:name w:val="正文文本缩进 2 Char"/>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basedOn w:val="70"/>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5"/>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0"/>
    <w:rPr>
      <w:kern w:val="2"/>
      <w:sz w:val="21"/>
      <w:szCs w:val="24"/>
    </w:rPr>
  </w:style>
  <w:style w:type="character" w:customStyle="1" w:styleId="346">
    <w:name w:val="签名 Char"/>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2"/>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6"/>
    <w:next w:val="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6"/>
    <w:next w:val="6"/>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5"/>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50"/>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3"/>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9"/>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4"/>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3"/>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9"/>
    <w:qFormat/>
    <w:uiPriority w:val="0"/>
    <w:rPr>
      <w:kern w:val="2"/>
      <w:sz w:val="21"/>
      <w:szCs w:val="24"/>
      <w:lang w:val="zh-CN"/>
    </w:rPr>
  </w:style>
  <w:style w:type="character" w:customStyle="1" w:styleId="932">
    <w:name w:val="无间隔 Char"/>
    <w:link w:val="484"/>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9"/>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839"/>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三级标题"/>
    <w:basedOn w:val="964"/>
    <w:next w:val="1"/>
    <w:qFormat/>
    <w:uiPriority w:val="0"/>
    <w:pPr>
      <w:tabs>
        <w:tab w:val="left" w:pos="0"/>
      </w:tabs>
      <w:outlineLvl w:val="3"/>
    </w:pPr>
    <w:rPr>
      <w:rFonts w:ascii="宋体" w:hAnsi="宋体" w:cs="Times New Roman"/>
      <w:b/>
      <w:color w:val="81034D"/>
    </w:rPr>
  </w:style>
  <w:style w:type="paragraph" w:customStyle="1" w:styleId="964">
    <w:name w:val="此标书正文"/>
    <w:basedOn w:val="1"/>
    <w:qFormat/>
    <w:uiPriority w:val="0"/>
    <w:pPr>
      <w:spacing w:line="360" w:lineRule="auto"/>
    </w:pPr>
    <w:rPr>
      <w:rFonts w:ascii="Calibri" w:hAnsi="Calibri" w:cs="Calibri"/>
      <w:kern w:val="1"/>
      <w:sz w:val="24"/>
    </w:rPr>
  </w:style>
  <w:style w:type="character" w:customStyle="1" w:styleId="965">
    <w:name w:val="fontstyle01"/>
    <w:qFormat/>
    <w:uiPriority w:val="0"/>
    <w:rPr>
      <w:rFonts w:hint="eastAsia" w:ascii="宋体" w:hAnsi="宋体" w:eastAsia="宋体"/>
      <w:color w:val="000000"/>
      <w:sz w:val="22"/>
      <w:szCs w:val="22"/>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Body Text First Indent 21"/>
    <w:basedOn w:val="1"/>
    <w:qFormat/>
    <w:uiPriority w:val="0"/>
    <w:pPr>
      <w:spacing w:after="120"/>
      <w:ind w:left="420" w:leftChars="200" w:firstLine="420" w:firstLineChars="200"/>
    </w:pPr>
    <w:rPr>
      <w:rFonts w:ascii="宋体" w:hAnsi="Courier New"/>
      <w:spacing w:val="-4"/>
    </w:rPr>
  </w:style>
  <w:style w:type="paragraph" w:customStyle="1" w:styleId="968">
    <w:name w:val="Body text|1"/>
    <w:basedOn w:val="1"/>
    <w:qFormat/>
    <w:uiPriority w:val="0"/>
    <w:pPr>
      <w:spacing w:line="420" w:lineRule="auto"/>
      <w:ind w:firstLine="400"/>
    </w:pPr>
    <w:rPr>
      <w:rFonts w:ascii="宋体" w:hAnsi="宋体" w:cs="宋体"/>
      <w:kern w:val="0"/>
      <w:sz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74</Pages>
  <Words>35509</Words>
  <Characters>37065</Characters>
  <Lines>300</Lines>
  <Paragraphs>84</Paragraphs>
  <TotalTime>70</TotalTime>
  <ScaleCrop>false</ScaleCrop>
  <LinksUpToDate>false</LinksUpToDate>
  <CharactersWithSpaces>40693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阿葛</cp:lastModifiedBy>
  <cp:lastPrinted>2023-05-09T09:55:00Z</cp:lastPrinted>
  <dcterms:modified xsi:type="dcterms:W3CDTF">2023-07-20T08:25:22Z</dcterms:modified>
  <dc:title>杭州市市民卡扩大发卡工程</dc:title>
  <cp:revision>212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8D021C051A17493EB48289EEAC89DC1A_13</vt:lpwstr>
  </property>
</Properties>
</file>