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b/>
          <w:color w:val="auto"/>
          <w:szCs w:val="84"/>
          <w:highlight w:val="none"/>
        </w:rPr>
      </w:pPr>
      <w:bookmarkStart w:id="270" w:name="_GoBack"/>
      <w:bookmarkEnd w:id="270"/>
      <w:r>
        <w:rPr>
          <w:rFonts w:hint="eastAsia" w:ascii="宋体" w:hAnsi="宋体" w:cs="宋体"/>
          <w:b/>
          <w:color w:val="auto"/>
          <w:szCs w:val="84"/>
          <w:highlight w:val="none"/>
        </w:rPr>
        <w:t>（服务类公开招标项目）</w:t>
      </w:r>
    </w:p>
    <w:p>
      <w:pPr>
        <w:spacing w:line="360" w:lineRule="auto"/>
        <w:jc w:val="center"/>
        <w:rPr>
          <w:rFonts w:ascii="宋体" w:hAnsi="宋体" w:cs="宋体"/>
          <w:color w:val="auto"/>
          <w:w w:val="80"/>
          <w:sz w:val="52"/>
          <w:szCs w:val="52"/>
          <w:highlight w:val="none"/>
          <w:lang w:bidi="th-TH"/>
        </w:rPr>
      </w:pPr>
    </w:p>
    <w:p>
      <w:pPr>
        <w:pStyle w:val="12"/>
        <w:rPr>
          <w:rFonts w:ascii="宋体" w:hAnsi="宋体" w:cs="宋体"/>
          <w:color w:val="auto"/>
          <w:highlight w:val="none"/>
        </w:rPr>
      </w:pPr>
    </w:p>
    <w:p>
      <w:pPr>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浙江省统计局统计大脑项目</w:t>
      </w:r>
    </w:p>
    <w:p>
      <w:pPr>
        <w:jc w:val="center"/>
        <w:rPr>
          <w:rFonts w:ascii="宋体" w:hAnsi="宋体" w:cs="宋体"/>
          <w:b/>
          <w:color w:val="auto"/>
          <w:szCs w:val="84"/>
          <w:highlight w:val="none"/>
        </w:rPr>
      </w:pPr>
    </w:p>
    <w:p>
      <w:pPr>
        <w:jc w:val="center"/>
        <w:rPr>
          <w:rFonts w:ascii="宋体" w:hAnsi="宋体" w:cs="宋体"/>
          <w:b/>
          <w:color w:val="auto"/>
          <w:szCs w:val="84"/>
          <w:highlight w:val="none"/>
        </w:rPr>
      </w:pPr>
      <w:r>
        <w:rPr>
          <w:rFonts w:hint="eastAsia" w:ascii="宋体" w:hAnsi="宋体" w:cs="宋体"/>
          <w:b/>
          <w:color w:val="auto"/>
          <w:szCs w:val="84"/>
          <w:highlight w:val="none"/>
        </w:rPr>
        <w:t>（电子交易方式）</w:t>
      </w:r>
    </w:p>
    <w:p>
      <w:pPr>
        <w:jc w:val="center"/>
        <w:rPr>
          <w:rFonts w:ascii="宋体" w:hAnsi="宋体" w:cs="宋体"/>
          <w:b/>
          <w:color w:val="auto"/>
          <w:szCs w:val="84"/>
          <w:highlight w:val="none"/>
        </w:rPr>
      </w:pPr>
    </w:p>
    <w:p>
      <w:pPr>
        <w:jc w:val="center"/>
        <w:rPr>
          <w:rFonts w:ascii="宋体" w:hAnsi="宋体" w:cs="宋体"/>
          <w:b/>
          <w:color w:val="auto"/>
          <w:szCs w:val="84"/>
          <w:highlight w:val="none"/>
        </w:rPr>
      </w:pPr>
    </w:p>
    <w:p>
      <w:pPr>
        <w:pStyle w:val="12"/>
        <w:rPr>
          <w:color w:val="auto"/>
          <w:highlight w:val="none"/>
        </w:rPr>
      </w:pPr>
    </w:p>
    <w:p>
      <w:pPr>
        <w:jc w:val="center"/>
        <w:rPr>
          <w:rFonts w:ascii="宋体" w:hAnsi="宋体" w:cs="宋体"/>
          <w:b/>
          <w:color w:val="auto"/>
          <w:szCs w:val="84"/>
          <w:highlight w:val="none"/>
        </w:rPr>
      </w:pPr>
    </w:p>
    <w:p>
      <w:pPr>
        <w:spacing w:line="360" w:lineRule="auto"/>
        <w:jc w:val="center"/>
        <w:rPr>
          <w:rFonts w:ascii="宋体" w:hAnsi="宋体" w:cs="宋体"/>
          <w:b/>
          <w:color w:val="auto"/>
          <w:sz w:val="84"/>
          <w:szCs w:val="84"/>
          <w:highlight w:val="none"/>
        </w:rPr>
      </w:pPr>
      <w:r>
        <w:rPr>
          <w:rFonts w:hint="eastAsia" w:ascii="宋体" w:hAnsi="宋体" w:cs="宋体"/>
          <w:color w:val="auto"/>
          <w:spacing w:val="40"/>
          <w:w w:val="80"/>
          <w:sz w:val="96"/>
          <w:szCs w:val="96"/>
          <w:highlight w:val="none"/>
          <w:lang w:bidi="th-TH"/>
        </w:rPr>
        <w:t>采 购 文 件</w:t>
      </w:r>
    </w:p>
    <w:p>
      <w:pPr>
        <w:jc w:val="center"/>
        <w:rPr>
          <w:rFonts w:ascii="宋体" w:hAnsi="宋体" w:cs="宋体"/>
          <w:b/>
          <w:color w:val="auto"/>
          <w:szCs w:val="84"/>
          <w:highlight w:val="none"/>
        </w:rPr>
      </w:pPr>
    </w:p>
    <w:p>
      <w:pPr>
        <w:pStyle w:val="11"/>
        <w:rPr>
          <w:rFonts w:ascii="宋体" w:hAnsi="宋体" w:cs="宋体"/>
          <w:color w:val="auto"/>
          <w:highlight w:val="none"/>
        </w:rPr>
      </w:pPr>
    </w:p>
    <w:p>
      <w:pPr>
        <w:spacing w:line="360" w:lineRule="auto"/>
        <w:jc w:val="center"/>
        <w:rPr>
          <w:rFonts w:hint="eastAsia" w:ascii="宋体" w:hAnsi="宋体" w:eastAsia="宋体" w:cs="宋体"/>
          <w:b/>
          <w:bCs/>
          <w:color w:val="auto"/>
          <w:w w:val="80"/>
          <w:sz w:val="36"/>
          <w:szCs w:val="36"/>
          <w:highlight w:val="none"/>
          <w:lang w:eastAsia="zh-CN" w:bidi="th-TH"/>
        </w:rPr>
      </w:pPr>
      <w:r>
        <w:rPr>
          <w:rFonts w:hint="eastAsia" w:ascii="宋体" w:hAnsi="宋体" w:cs="宋体"/>
          <w:b/>
          <w:bCs/>
          <w:color w:val="auto"/>
          <w:w w:val="80"/>
          <w:sz w:val="36"/>
          <w:szCs w:val="36"/>
          <w:highlight w:val="none"/>
          <w:lang w:bidi="th-TH"/>
        </w:rPr>
        <w:t>项目编号：</w:t>
      </w:r>
      <w:r>
        <w:rPr>
          <w:rFonts w:hint="eastAsia" w:ascii="宋体" w:hAnsi="宋体" w:cs="宋体"/>
          <w:b/>
          <w:bCs/>
          <w:color w:val="auto"/>
          <w:w w:val="80"/>
          <w:sz w:val="36"/>
          <w:szCs w:val="36"/>
          <w:highlight w:val="none"/>
          <w:lang w:eastAsia="zh-CN" w:bidi="th-TH"/>
        </w:rPr>
        <w:t>ZJ-2371103-09</w:t>
      </w:r>
    </w:p>
    <w:p>
      <w:pPr>
        <w:pStyle w:val="8"/>
        <w:rPr>
          <w:rFonts w:hint="eastAsia"/>
          <w:color w:val="auto"/>
          <w:highlight w:val="none"/>
        </w:rPr>
      </w:pPr>
    </w:p>
    <w:p>
      <w:pPr>
        <w:pStyle w:val="17"/>
        <w:ind w:left="5250" w:leftChars="0"/>
        <w:rPr>
          <w:rFonts w:ascii="宋体" w:hAnsi="宋体" w:cs="宋体"/>
          <w:color w:val="auto"/>
          <w:szCs w:val="28"/>
          <w:highlight w:val="none"/>
        </w:rPr>
      </w:pPr>
      <w:r>
        <w:rPr>
          <w:rFonts w:hint="eastAsia" w:ascii="宋体" w:hAnsi="宋体" w:cs="宋体"/>
          <w:color w:val="auto"/>
          <w:highlight w:val="none"/>
        </w:rPr>
        <w:t xml:space="preserve">      </w:t>
      </w:r>
    </w:p>
    <w:p>
      <w:pPr>
        <w:rPr>
          <w:rFonts w:ascii="宋体" w:hAnsi="宋体" w:cs="宋体"/>
          <w:b/>
          <w:color w:val="auto"/>
          <w:highlight w:val="none"/>
        </w:rPr>
      </w:pPr>
    </w:p>
    <w:p>
      <w:pPr>
        <w:rPr>
          <w:rFonts w:ascii="宋体" w:hAnsi="宋体" w:cs="宋体"/>
          <w:b/>
          <w:color w:val="auto"/>
          <w:highlight w:val="none"/>
        </w:rPr>
      </w:pPr>
    </w:p>
    <w:p>
      <w:pPr>
        <w:rPr>
          <w:rFonts w:ascii="宋体" w:hAnsi="宋体" w:cs="宋体"/>
          <w:b/>
          <w:color w:val="auto"/>
          <w:highlight w:val="none"/>
        </w:rPr>
      </w:pPr>
    </w:p>
    <w:tbl>
      <w:tblPr>
        <w:tblStyle w:val="27"/>
        <w:tblW w:w="0" w:type="auto"/>
        <w:jc w:val="center"/>
        <w:tblLayout w:type="fixed"/>
        <w:tblCellMar>
          <w:top w:w="0" w:type="dxa"/>
          <w:left w:w="108" w:type="dxa"/>
          <w:bottom w:w="0" w:type="dxa"/>
          <w:right w:w="108" w:type="dxa"/>
        </w:tblCellMar>
      </w:tblPr>
      <w:tblGrid>
        <w:gridCol w:w="2255"/>
        <w:gridCol w:w="572"/>
        <w:gridCol w:w="5511"/>
      </w:tblGrid>
      <w:tr>
        <w:tblPrEx>
          <w:tblCellMar>
            <w:top w:w="0" w:type="dxa"/>
            <w:left w:w="108" w:type="dxa"/>
            <w:bottom w:w="0" w:type="dxa"/>
            <w:right w:w="108" w:type="dxa"/>
          </w:tblCellMar>
        </w:tblPrEx>
        <w:trPr>
          <w:trHeight w:val="1108" w:hRule="atLeast"/>
          <w:jc w:val="center"/>
        </w:trPr>
        <w:tc>
          <w:tcPr>
            <w:tcW w:w="2255" w:type="dxa"/>
            <w:noWrap w:val="0"/>
            <w:vAlign w:val="center"/>
          </w:tcPr>
          <w:p>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72" w:type="dxa"/>
            <w:noWrap w:val="0"/>
            <w:vAlign w:val="center"/>
          </w:tcPr>
          <w:p>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511" w:type="dxa"/>
            <w:noWrap w:val="0"/>
            <w:vAlign w:val="center"/>
          </w:tcPr>
          <w:p>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浙江省统计局</w:t>
            </w:r>
          </w:p>
        </w:tc>
      </w:tr>
      <w:tr>
        <w:tblPrEx>
          <w:tblCellMar>
            <w:top w:w="0" w:type="dxa"/>
            <w:left w:w="108" w:type="dxa"/>
            <w:bottom w:w="0" w:type="dxa"/>
            <w:right w:w="108" w:type="dxa"/>
          </w:tblCellMar>
        </w:tblPrEx>
        <w:trPr>
          <w:trHeight w:val="287" w:hRule="atLeast"/>
          <w:jc w:val="center"/>
        </w:trPr>
        <w:tc>
          <w:tcPr>
            <w:tcW w:w="2255" w:type="dxa"/>
            <w:noWrap w:val="0"/>
            <w:vAlign w:val="center"/>
          </w:tcPr>
          <w:p>
            <w:pPr>
              <w:snapToGrid w:val="0"/>
              <w:jc w:val="distribute"/>
              <w:rPr>
                <w:rFonts w:ascii="宋体" w:hAnsi="宋体" w:cs="宋体"/>
                <w:color w:val="auto"/>
                <w:szCs w:val="21"/>
                <w:highlight w:val="none"/>
              </w:rPr>
            </w:pPr>
          </w:p>
        </w:tc>
        <w:tc>
          <w:tcPr>
            <w:tcW w:w="572" w:type="dxa"/>
            <w:noWrap w:val="0"/>
            <w:vAlign w:val="center"/>
          </w:tcPr>
          <w:p>
            <w:pPr>
              <w:snapToGrid w:val="0"/>
              <w:jc w:val="distribute"/>
              <w:rPr>
                <w:rFonts w:ascii="宋体" w:hAnsi="宋体" w:cs="宋体"/>
                <w:color w:val="auto"/>
                <w:szCs w:val="21"/>
                <w:highlight w:val="none"/>
              </w:rPr>
            </w:pPr>
          </w:p>
        </w:tc>
        <w:tc>
          <w:tcPr>
            <w:tcW w:w="5511" w:type="dxa"/>
            <w:noWrap w:val="0"/>
            <w:vAlign w:val="center"/>
          </w:tcPr>
          <w:p>
            <w:pPr>
              <w:snapToGrid w:val="0"/>
              <w:jc w:val="distribute"/>
              <w:rPr>
                <w:rFonts w:ascii="宋体" w:hAnsi="宋体" w:cs="宋体"/>
                <w:color w:val="auto"/>
                <w:szCs w:val="21"/>
                <w:highlight w:val="none"/>
              </w:rPr>
            </w:pPr>
          </w:p>
        </w:tc>
      </w:tr>
      <w:tr>
        <w:tblPrEx>
          <w:tblCellMar>
            <w:top w:w="0" w:type="dxa"/>
            <w:left w:w="108" w:type="dxa"/>
            <w:bottom w:w="0" w:type="dxa"/>
            <w:right w:w="108" w:type="dxa"/>
          </w:tblCellMar>
        </w:tblPrEx>
        <w:trPr>
          <w:trHeight w:val="995" w:hRule="atLeast"/>
          <w:jc w:val="center"/>
        </w:trPr>
        <w:tc>
          <w:tcPr>
            <w:tcW w:w="2255" w:type="dxa"/>
            <w:noWrap w:val="0"/>
            <w:vAlign w:val="center"/>
          </w:tcPr>
          <w:p>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72" w:type="dxa"/>
            <w:noWrap w:val="0"/>
            <w:vAlign w:val="center"/>
          </w:tcPr>
          <w:p>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511" w:type="dxa"/>
            <w:noWrap w:val="0"/>
            <w:vAlign w:val="center"/>
          </w:tcPr>
          <w:p>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浙江国际招投标有限公司</w:t>
            </w:r>
          </w:p>
        </w:tc>
      </w:tr>
      <w:tr>
        <w:tblPrEx>
          <w:tblCellMar>
            <w:top w:w="0" w:type="dxa"/>
            <w:left w:w="108" w:type="dxa"/>
            <w:bottom w:w="0" w:type="dxa"/>
            <w:right w:w="108" w:type="dxa"/>
          </w:tblCellMar>
        </w:tblPrEx>
        <w:trPr>
          <w:trHeight w:val="657" w:hRule="atLeast"/>
          <w:jc w:val="center"/>
        </w:trPr>
        <w:tc>
          <w:tcPr>
            <w:tcW w:w="8338" w:type="dxa"/>
            <w:gridSpan w:val="3"/>
            <w:noWrap w:val="0"/>
            <w:vAlign w:val="bottom"/>
          </w:tcPr>
          <w:p>
            <w:pPr>
              <w:snapToGrid w:val="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2023年1</w:t>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t>月</w:t>
            </w:r>
          </w:p>
        </w:tc>
      </w:tr>
    </w:tbl>
    <w:p>
      <w:pPr>
        <w:widowControl/>
        <w:spacing w:beforeAutospacing="1" w:afterAutospacing="1" w:line="360" w:lineRule="auto"/>
        <w:jc w:val="left"/>
        <w:rPr>
          <w:rFonts w:ascii="宋体" w:hAnsi="宋体" w:cs="宋体"/>
          <w:b/>
          <w:color w:val="auto"/>
          <w:sz w:val="28"/>
          <w:szCs w:val="28"/>
          <w:highlight w:val="none"/>
        </w:rPr>
        <w:sectPr>
          <w:pgSz w:w="11906" w:h="16838"/>
          <w:pgMar w:top="1418" w:right="1588" w:bottom="1418" w:left="1588" w:header="851" w:footer="992" w:gutter="0"/>
          <w:pgNumType w:start="0"/>
          <w:cols w:space="720" w:num="1"/>
          <w:docGrid w:type="lines" w:linePitch="312" w:charSpace="0"/>
        </w:sectPr>
      </w:pPr>
    </w:p>
    <w:p>
      <w:pPr>
        <w:pStyle w:val="15"/>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pPr>
        <w:pStyle w:val="21"/>
        <w:keepNext w:val="0"/>
        <w:keepLines w:val="0"/>
        <w:pageBreakBefore w:val="0"/>
        <w:widowControl w:val="0"/>
        <w:tabs>
          <w:tab w:val="right" w:leader="dot" w:pos="8730"/>
          <w:tab w:val="clear" w:pos="8720"/>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caps w:val="0"/>
          <w:color w:val="auto"/>
          <w:sz w:val="21"/>
          <w:szCs w:val="21"/>
          <w:highlight w:val="none"/>
        </w:rPr>
        <w:fldChar w:fldCharType="begin"/>
      </w:r>
      <w:r>
        <w:rPr>
          <w:rFonts w:hint="eastAsia" w:ascii="宋体" w:hAnsi="宋体" w:eastAsia="宋体" w:cs="宋体"/>
          <w:b/>
          <w:caps w:val="0"/>
          <w:color w:val="auto"/>
          <w:sz w:val="21"/>
          <w:szCs w:val="21"/>
          <w:highlight w:val="none"/>
        </w:rPr>
        <w:instrText xml:space="preserve"> TOC \o "1-2" \u </w:instrText>
      </w:r>
      <w:r>
        <w:rPr>
          <w:rFonts w:hint="eastAsia" w:ascii="宋体" w:hAnsi="宋体" w:eastAsia="宋体" w:cs="宋体"/>
          <w:b/>
          <w:caps w:val="0"/>
          <w:color w:val="auto"/>
          <w:sz w:val="21"/>
          <w:szCs w:val="21"/>
          <w:highlight w:val="none"/>
        </w:rPr>
        <w:fldChar w:fldCharType="separate"/>
      </w:r>
      <w:r>
        <w:rPr>
          <w:rFonts w:hint="eastAsia" w:ascii="宋体" w:hAnsi="宋体" w:eastAsia="宋体" w:cs="宋体"/>
          <w:color w:val="auto"/>
          <w:sz w:val="21"/>
          <w:szCs w:val="21"/>
          <w:highlight w:val="none"/>
        </w:rPr>
        <w:t>第一部分  采购公告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8730"/>
          <w:tab w:val="clear" w:pos="8720"/>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 附 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8730"/>
          <w:tab w:val="clear" w:pos="8720"/>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_Toc29105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_Toc5837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六、确定中标供应商及授予合同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8730"/>
          <w:tab w:val="clear" w:pos="8720"/>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 项目背景</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 建设目标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 业务需求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 技术指标和要求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val="0"/>
          <w:color w:val="auto"/>
          <w:kern w:val="2"/>
          <w:sz w:val="21"/>
          <w:szCs w:val="21"/>
          <w:highlight w:val="none"/>
          <w:lang w:val="en-US" w:eastAsia="zh-CN" w:bidi="ar-SA"/>
        </w:rPr>
        <w:t>（一）系统架构</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val="0"/>
          <w:color w:val="auto"/>
          <w:kern w:val="2"/>
          <w:sz w:val="21"/>
          <w:szCs w:val="21"/>
          <w:highlight w:val="none"/>
          <w:lang w:val="en-US" w:eastAsia="zh-CN" w:bidi="ar-SA"/>
        </w:rPr>
        <w:t>（二）运行环境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_Toc22923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val="0"/>
          <w:color w:val="auto"/>
          <w:kern w:val="2"/>
          <w:sz w:val="21"/>
          <w:szCs w:val="21"/>
          <w:highlight w:val="none"/>
          <w:lang w:val="en-US" w:eastAsia="zh-CN" w:bidi="ar-SA"/>
        </w:rPr>
        <w:t>（三）网络和数据安全责任</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 项目实施方式和要求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_Toc11275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val="0"/>
          <w:color w:val="auto"/>
          <w:kern w:val="2"/>
          <w:sz w:val="21"/>
          <w:szCs w:val="21"/>
          <w:highlight w:val="none"/>
          <w:lang w:val="en-US" w:eastAsia="zh-CN" w:bidi="ar-SA"/>
        </w:rPr>
        <w:t>（一）项目实施方式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val="0"/>
          <w:color w:val="auto"/>
          <w:kern w:val="2"/>
          <w:sz w:val="21"/>
          <w:szCs w:val="21"/>
          <w:highlight w:val="none"/>
          <w:lang w:val="en-US" w:eastAsia="zh-CN" w:bidi="ar-SA"/>
        </w:rPr>
        <w:t>（二）项目管理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_Toc4553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118</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val="0"/>
          <w:color w:val="auto"/>
          <w:kern w:val="2"/>
          <w:sz w:val="21"/>
          <w:szCs w:val="21"/>
          <w:highlight w:val="none"/>
          <w:lang w:val="en-US" w:eastAsia="zh-CN" w:bidi="ar-SA"/>
        </w:rPr>
        <w:t>（三）规范要求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118</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 售后服务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118</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 交货时间及地点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118</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 交货时间及地点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118</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 软件开发归属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 违约赔偿和服务考核</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十一、 项目其它相关要求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119</w:t>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8730"/>
          <w:tab w:val="clear" w:pos="8720"/>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8730"/>
          <w:tab w:val="clear" w:pos="8720"/>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第五部分  评标办法（综合评分法）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_Toc28506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126</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126</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二、评标组织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_Toc22808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126</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三、评标纪律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126</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四、评标程序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_Toc4487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127</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评标细则及标准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130</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六、询标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144</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七、修改评标结果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144</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144</w:t>
      </w:r>
      <w:r>
        <w:rPr>
          <w:rFonts w:hint="eastAsia" w:ascii="宋体" w:hAnsi="宋体" w:eastAsia="宋体" w:cs="宋体"/>
          <w:color w:val="auto"/>
          <w:sz w:val="21"/>
          <w:szCs w:val="21"/>
          <w:highlight w:val="none"/>
        </w:rPr>
        <w:fldChar w:fldCharType="end"/>
      </w:r>
    </w:p>
    <w:p>
      <w:pPr>
        <w:pStyle w:val="21"/>
        <w:keepNext w:val="0"/>
        <w:keepLines w:val="0"/>
        <w:pageBreakBefore w:val="0"/>
        <w:widowControl w:val="0"/>
        <w:tabs>
          <w:tab w:val="right" w:leader="dot" w:pos="8730"/>
          <w:tab w:val="clear" w:pos="8720"/>
        </w:tabs>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第六部分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_Toc7209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145</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一、投标文件封面（格式供参考）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146</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二、资格响应文件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148</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三、商务技术响应文件部分格式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_Toc4467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154</w:t>
      </w:r>
      <w:r>
        <w:rPr>
          <w:rFonts w:hint="eastAsia" w:ascii="宋体" w:hAnsi="宋体" w:eastAsia="宋体" w:cs="宋体"/>
          <w:color w:val="auto"/>
          <w:sz w:val="21"/>
          <w:szCs w:val="21"/>
          <w:highlight w:val="none"/>
        </w:rPr>
        <w:fldChar w:fldCharType="end"/>
      </w:r>
    </w:p>
    <w:p>
      <w:pPr>
        <w:pStyle w:val="23"/>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四、报价响应文件部分格式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170</w:t>
      </w: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sectPr>
          <w:footerReference r:id="rId3" w:type="default"/>
          <w:pgSz w:w="11906" w:h="16838"/>
          <w:pgMar w:top="1418" w:right="1588" w:bottom="1418" w:left="1588" w:header="851" w:footer="992" w:gutter="0"/>
          <w:pgNumType w:start="1"/>
          <w:cols w:space="720" w:num="1"/>
          <w:docGrid w:type="lines" w:linePitch="312" w:charSpace="0"/>
        </w:sectPr>
      </w:pPr>
      <w:r>
        <w:rPr>
          <w:rFonts w:hint="eastAsia" w:ascii="宋体" w:hAnsi="宋体" w:eastAsia="宋体" w:cs="宋体"/>
          <w:color w:val="auto"/>
          <w:sz w:val="21"/>
          <w:szCs w:val="21"/>
          <w:highlight w:val="none"/>
        </w:rPr>
        <w:fldChar w:fldCharType="end"/>
      </w:r>
    </w:p>
    <w:p>
      <w:pPr>
        <w:adjustRightInd w:val="0"/>
        <w:snapToGrid w:val="0"/>
        <w:spacing w:before="166" w:beforeLines="50" w:after="166" w:afterLines="50" w:line="360" w:lineRule="auto"/>
        <w:jc w:val="center"/>
        <w:outlineLvl w:val="0"/>
        <w:rPr>
          <w:rFonts w:ascii="宋体" w:hAnsi="宋体" w:cs="宋体"/>
          <w:b/>
          <w:color w:val="auto"/>
          <w:sz w:val="30"/>
          <w:szCs w:val="30"/>
          <w:highlight w:val="none"/>
        </w:rPr>
      </w:pPr>
      <w:bookmarkStart w:id="0" w:name="_Toc7128"/>
      <w:bookmarkStart w:id="1" w:name="_Toc35"/>
      <w:bookmarkStart w:id="2" w:name="_Toc32533"/>
      <w:bookmarkStart w:id="3" w:name="_Toc17274"/>
      <w:bookmarkStart w:id="4" w:name="_Toc9264"/>
      <w:bookmarkStart w:id="5" w:name="_Toc21665"/>
      <w:r>
        <w:rPr>
          <w:rFonts w:hint="eastAsia" w:ascii="宋体" w:hAnsi="宋体" w:cs="宋体"/>
          <w:b/>
          <w:color w:val="auto"/>
          <w:sz w:val="30"/>
          <w:szCs w:val="30"/>
          <w:highlight w:val="none"/>
        </w:rPr>
        <w:t>第一部分  采购公告</w:t>
      </w:r>
      <w:bookmarkEnd w:id="0"/>
      <w:bookmarkEnd w:id="1"/>
      <w:bookmarkEnd w:id="2"/>
      <w:bookmarkEnd w:id="3"/>
      <w:bookmarkEnd w:id="4"/>
      <w:bookmarkEnd w:id="5"/>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8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b/>
                <w:bCs/>
                <w:color w:val="auto"/>
                <w:szCs w:val="21"/>
                <w:highlight w:val="none"/>
              </w:rPr>
            </w:pPr>
            <w:bookmarkStart w:id="6" w:name="_Toc185012671"/>
            <w:bookmarkStart w:id="7" w:name="_Toc251189093"/>
            <w:bookmarkStart w:id="8" w:name="_Toc251221438"/>
            <w:r>
              <w:rPr>
                <w:rFonts w:hint="eastAsia" w:ascii="宋体" w:hAnsi="宋体" w:cs="宋体"/>
                <w:b/>
                <w:bCs/>
                <w:color w:val="auto"/>
                <w:szCs w:val="21"/>
                <w:highlight w:val="none"/>
              </w:rPr>
              <w:t>项目概况</w:t>
            </w:r>
          </w:p>
          <w:p>
            <w:pPr>
              <w:widowControl/>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kern w:val="0"/>
                <w:szCs w:val="21"/>
                <w:highlight w:val="none"/>
                <w:u w:val="single"/>
                <w:lang w:eastAsia="zh-CN"/>
              </w:rPr>
              <w:t>浙江省统计局统计大脑项目</w:t>
            </w:r>
            <w:r>
              <w:rPr>
                <w:rFonts w:hint="eastAsia" w:ascii="宋体" w:hAnsi="宋体" w:cs="宋体"/>
                <w:b/>
                <w:bCs/>
                <w:color w:val="auto"/>
                <w:szCs w:val="21"/>
                <w:highlight w:val="none"/>
              </w:rPr>
              <w:t>的潜在投标人应在政府采购云平台</w:t>
            </w:r>
            <w:r>
              <w:rPr>
                <w:rFonts w:hint="eastAsia" w:ascii="宋体" w:hAnsi="宋体" w:cs="宋体"/>
                <w:b/>
                <w:bCs/>
                <w:color w:val="auto"/>
                <w:szCs w:val="21"/>
                <w:highlight w:val="none"/>
                <w:u w:val="single"/>
              </w:rPr>
              <w:t>（https://www.zcygov.cn/）</w:t>
            </w:r>
            <w:r>
              <w:rPr>
                <w:rFonts w:hint="eastAsia" w:ascii="宋体" w:hAnsi="宋体" w:cs="宋体"/>
                <w:b/>
                <w:bCs/>
                <w:color w:val="auto"/>
                <w:szCs w:val="21"/>
                <w:highlight w:val="none"/>
              </w:rPr>
              <w:t>获取（下载）招标文件，并于</w:t>
            </w:r>
            <w:r>
              <w:rPr>
                <w:rFonts w:hint="eastAsia" w:ascii="宋体" w:hAnsi="宋体" w:cs="宋体"/>
                <w:b/>
                <w:bCs/>
                <w:color w:val="auto"/>
                <w:szCs w:val="21"/>
                <w:highlight w:val="none"/>
                <w:u w:val="single"/>
                <w:lang w:eastAsia="zh-CN"/>
              </w:rPr>
              <w:t>2023年11月24日</w:t>
            </w:r>
            <w:r>
              <w:rPr>
                <w:rFonts w:hint="eastAsia" w:ascii="宋体" w:hAnsi="宋体" w:cs="宋体"/>
                <w:b/>
                <w:bCs/>
                <w:color w:val="auto"/>
                <w:szCs w:val="21"/>
                <w:highlight w:val="none"/>
                <w:u w:val="single"/>
              </w:rPr>
              <w:t>09:00</w:t>
            </w:r>
            <w:r>
              <w:rPr>
                <w:rFonts w:hint="eastAsia" w:ascii="宋体" w:hAnsi="宋体" w:cs="宋体"/>
                <w:b/>
                <w:bCs/>
                <w:color w:val="auto"/>
                <w:szCs w:val="21"/>
                <w:highlight w:val="none"/>
              </w:rPr>
              <w:t>（北京时间）前递交（上传）投标文件。</w:t>
            </w:r>
          </w:p>
        </w:tc>
      </w:tr>
    </w:tbl>
    <w:p>
      <w:pPr>
        <w:widowControl/>
        <w:spacing w:line="360" w:lineRule="auto"/>
        <w:rPr>
          <w:rFonts w:hint="eastAsia" w:ascii="宋体" w:hAnsi="宋体" w:cs="宋体"/>
          <w:b/>
          <w:bCs/>
          <w:color w:val="auto"/>
          <w:kern w:val="0"/>
          <w:szCs w:val="21"/>
          <w:highlight w:val="none"/>
        </w:rPr>
      </w:pPr>
    </w:p>
    <w:p>
      <w:pPr>
        <w:widowControl/>
        <w:spacing w:line="360" w:lineRule="auto"/>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ZJ-2371103-09</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浙江省统计局统计大脑项目</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kern w:val="0"/>
          <w:szCs w:val="21"/>
          <w:highlight w:val="none"/>
          <w:lang w:eastAsia="zh-CN"/>
        </w:rPr>
        <w:t>10100000</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最高限价（元）：</w:t>
      </w:r>
      <w:r>
        <w:rPr>
          <w:rFonts w:hint="eastAsia" w:ascii="宋体" w:hAnsi="宋体" w:cs="宋体"/>
          <w:color w:val="auto"/>
          <w:kern w:val="0"/>
          <w:szCs w:val="21"/>
          <w:highlight w:val="none"/>
          <w:lang w:eastAsia="zh-CN"/>
        </w:rPr>
        <w:t>10100000</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采购需求：</w:t>
      </w:r>
    </w:p>
    <w:p>
      <w:pPr>
        <w:widowControl/>
        <w:adjustRightInd w:val="0"/>
        <w:snapToGrid w:val="0"/>
        <w:spacing w:line="360" w:lineRule="auto"/>
        <w:ind w:firstLine="420" w:firstLineChars="200"/>
        <w:jc w:val="left"/>
        <w:rPr>
          <w:color w:val="auto"/>
          <w:highlight w:val="none"/>
        </w:rPr>
      </w:pPr>
      <w:r>
        <w:rPr>
          <w:rFonts w:hint="eastAsia" w:ascii="宋体" w:hAnsi="宋体" w:cs="宋体"/>
          <w:color w:val="auto"/>
          <w:kern w:val="0"/>
          <w:szCs w:val="21"/>
          <w:highlight w:val="none"/>
        </w:rPr>
        <w:t>数量：1</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简要规格描述或项目基本概况介绍、用途：本项目内容为</w:t>
      </w:r>
      <w:r>
        <w:rPr>
          <w:rFonts w:hint="eastAsia" w:ascii="宋体" w:hAnsi="宋体" w:cs="宋体"/>
          <w:color w:val="auto"/>
          <w:kern w:val="0"/>
          <w:szCs w:val="21"/>
          <w:highlight w:val="none"/>
          <w:lang w:eastAsia="zh-CN"/>
        </w:rPr>
        <w:t>浙江省统计局统计大脑项目</w:t>
      </w:r>
      <w:r>
        <w:rPr>
          <w:rFonts w:hint="eastAsia" w:ascii="宋体" w:hAnsi="宋体" w:cs="宋体"/>
          <w:color w:val="auto"/>
          <w:highlight w:val="none"/>
        </w:rPr>
        <w:t>，具体内容和要求详见采购文件的相关章节。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备注：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合同履行期限：详见采购文件。</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本项目（是）接受联合体投标。</w:t>
      </w:r>
    </w:p>
    <w:p>
      <w:pPr>
        <w:widowControl/>
        <w:spacing w:line="360" w:lineRule="auto"/>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2.落实政府采购政策需满足的资格要求：</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pPr>
        <w:widowControl/>
        <w:spacing w:line="360" w:lineRule="auto"/>
        <w:ind w:firstLine="420" w:firstLineChars="200"/>
        <w:jc w:val="left"/>
        <w:rPr>
          <w:color w:val="auto"/>
          <w:highlight w:val="none"/>
        </w:rPr>
      </w:pPr>
      <w:r>
        <w:rPr>
          <w:rFonts w:hint="eastAsia" w:ascii="宋体" w:hAnsi="宋体" w:cs="宋体"/>
          <w:color w:val="auto"/>
          <w:kern w:val="0"/>
          <w:szCs w:val="21"/>
          <w:highlight w:val="none"/>
        </w:rPr>
        <w:t>3.本项目的特定资格要求：无。</w:t>
      </w:r>
    </w:p>
    <w:p>
      <w:pPr>
        <w:widowControl/>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szCs w:val="21"/>
          <w:highlight w:val="none"/>
        </w:rPr>
        <w:t>/</w:t>
      </w:r>
      <w:r>
        <w:rPr>
          <w:rFonts w:hint="eastAsia" w:ascii="宋体" w:hAnsi="宋体" w:cs="宋体"/>
          <w:color w:val="auto"/>
          <w:kern w:val="0"/>
          <w:szCs w:val="21"/>
          <w:highlight w:val="none"/>
        </w:rPr>
        <w:t>至</w:t>
      </w:r>
      <w:r>
        <w:rPr>
          <w:rFonts w:hint="eastAsia" w:ascii="宋体" w:hAnsi="宋体" w:cs="宋体"/>
          <w:color w:val="auto"/>
          <w:szCs w:val="21"/>
          <w:highlight w:val="none"/>
          <w:lang w:eastAsia="zh-CN"/>
        </w:rPr>
        <w:t>2023年11月24日</w:t>
      </w:r>
      <w:r>
        <w:rPr>
          <w:rFonts w:hint="eastAsia" w:ascii="宋体" w:hAnsi="宋体" w:cs="宋体"/>
          <w:color w:val="auto"/>
          <w:kern w:val="0"/>
          <w:szCs w:val="21"/>
          <w:highlight w:val="none"/>
        </w:rPr>
        <w:t>，每天上午00:00至12:00，下午12:00至23:59（北京时间，线上获取法定节假日均可，线下获取文件法定节假日除外）；</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地点（网址）：政府采购云平台（https://www.zcygov.cn/）；</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方式：供应商登录政采云平台https://www.zcygov.cn/在线申请获取采购文件（进入“项目采购”应用，在获取采购文件菜单中选择项目，申请获取采购文件）；</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售价（元）：0。</w:t>
      </w:r>
    </w:p>
    <w:p>
      <w:pPr>
        <w:widowControl/>
        <w:spacing w:line="360" w:lineRule="auto"/>
        <w:rPr>
          <w:rFonts w:ascii="宋体" w:hAnsi="宋体" w:cs="宋体"/>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提交投标文件截止时间：</w:t>
      </w:r>
      <w:r>
        <w:rPr>
          <w:rFonts w:hint="eastAsia" w:ascii="宋体" w:hAnsi="宋体" w:cs="宋体"/>
          <w:color w:val="auto"/>
          <w:kern w:val="0"/>
          <w:szCs w:val="21"/>
          <w:highlight w:val="none"/>
          <w:lang w:eastAsia="zh-CN"/>
        </w:rPr>
        <w:t>2023年11月24日</w:t>
      </w:r>
      <w:r>
        <w:rPr>
          <w:rFonts w:hint="eastAsia" w:ascii="宋体" w:hAnsi="宋体" w:cs="宋体"/>
          <w:color w:val="auto"/>
          <w:kern w:val="0"/>
          <w:szCs w:val="21"/>
          <w:highlight w:val="none"/>
        </w:rPr>
        <w:t>09:00（北京时间）；</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投标地点（网址）：线上（请登录政采云平台上传投标文件）。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lang w:eastAsia="zh-CN"/>
        </w:rPr>
        <w:t>2023年11月24日</w:t>
      </w:r>
      <w:r>
        <w:rPr>
          <w:rFonts w:hint="eastAsia" w:ascii="宋体" w:hAnsi="宋体" w:cs="宋体"/>
          <w:color w:val="auto"/>
          <w:kern w:val="0"/>
          <w:szCs w:val="21"/>
          <w:highlight w:val="none"/>
        </w:rPr>
        <w:t>09:00；</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开标地点（网址）：线上（请登录政采云投标客户端开标大厅）。</w:t>
      </w:r>
    </w:p>
    <w:p>
      <w:pPr>
        <w:widowControl/>
        <w:spacing w:line="360" w:lineRule="auto"/>
        <w:rPr>
          <w:rFonts w:ascii="宋体" w:hAnsi="宋体" w:cs="宋体"/>
          <w:color w:val="auto"/>
          <w:kern w:val="0"/>
          <w:szCs w:val="21"/>
          <w:highlight w:val="none"/>
        </w:rPr>
      </w:pPr>
      <w:r>
        <w:rPr>
          <w:rFonts w:hint="eastAsia" w:ascii="宋体" w:hAnsi="宋体" w:cs="宋体"/>
          <w:b/>
          <w:bCs/>
          <w:color w:val="auto"/>
          <w:kern w:val="0"/>
          <w:szCs w:val="21"/>
          <w:highlight w:val="none"/>
        </w:rPr>
        <w:t>五、公告期限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widowControl/>
        <w:spacing w:line="360" w:lineRule="auto"/>
        <w:rPr>
          <w:rFonts w:ascii="宋体" w:hAnsi="宋体" w:cs="宋体"/>
          <w:color w:val="auto"/>
          <w:kern w:val="0"/>
          <w:szCs w:val="21"/>
          <w:highlight w:val="none"/>
        </w:rPr>
      </w:pPr>
      <w:r>
        <w:rPr>
          <w:rFonts w:hint="eastAsia" w:ascii="宋体" w:hAnsi="宋体" w:cs="宋体"/>
          <w:b/>
          <w:bCs/>
          <w:color w:val="auto"/>
          <w:kern w:val="0"/>
          <w:szCs w:val="21"/>
          <w:highlight w:val="none"/>
        </w:rPr>
        <w:t>六、其他补充事宜</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4.其他事项：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4.1按照《浙江省财政厅关于印发浙江省政府采购项电子交易管理暂行办法的通知》规定，本项目采用电子交易方式进行，相关指南或流程说明如下：</w:t>
      </w:r>
    </w:p>
    <w:p>
      <w:pPr>
        <w:pStyle w:val="12"/>
        <w:spacing w:after="0" w:line="360" w:lineRule="auto"/>
        <w:ind w:firstLineChars="200"/>
        <w:rPr>
          <w:color w:val="auto"/>
          <w:highlight w:val="none"/>
        </w:rPr>
      </w:pPr>
      <w:r>
        <w:rPr>
          <w:rFonts w:hint="eastAsia" w:ascii="宋体" w:hAnsi="宋体" w:cs="宋体"/>
          <w:color w:val="auto"/>
          <w:kern w:val="0"/>
          <w:szCs w:val="21"/>
          <w:highlight w:val="none"/>
        </w:rPr>
        <w:t>4.1.1供应商注册：供应商应按照《浙江省政府采购供应商注册及诚信管理暂行办法》（浙财采监字〔2009〕28号）的相关规定，在投标截止前及时办理更新或供应商注册事项。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4.1.2电子交易流程介绍：</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①电子招投标：本项目以数据电文形式，依托“政府采购云平台（www.zcygov.cn）”进行招投标活动，投标时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w:t>
      </w:r>
      <w:r>
        <w:rPr>
          <w:rFonts w:hint="eastAsia" w:ascii="宋体" w:hAnsi="宋体" w:cs="宋体"/>
          <w:b/>
          <w:bCs/>
          <w:color w:val="auto"/>
          <w:szCs w:val="21"/>
          <w:highlight w:val="none"/>
          <w:u w:val="single"/>
        </w:rPr>
        <w:t>⑥对未按上述方式获取采购文件的供应商对该文件提出的质疑，采购人或采购代理机构将依据《政府采购质疑和投诉办法》第十一条规定不予受理；</w:t>
      </w:r>
      <w:r>
        <w:rPr>
          <w:rFonts w:hint="eastAsia" w:ascii="宋体" w:hAnsi="宋体" w:cs="宋体"/>
          <w:color w:val="auto"/>
          <w:szCs w:val="21"/>
          <w:highlight w:val="none"/>
        </w:rPr>
        <w:t>⑦投标时不提供采购文件纸质版；⑧投标文件的传输递交：供应商在提交投标文件截止时间前将加密的投标文件上传至政府采购云平台，还可以在提交投标文件截止时间前直接提交或者以快递方式递交备份投标文件1份。备份投标文件的制作、存储、密封详见采购文件前附表第17点—“备份投标文件的制作、存储、密封”；⑨投标文件的解密：供应商按照平台提示和采购文件的规定在半小时内完成在线解密。通过“政府采购云平台”上传递交的投标文件无法按时解密，投标供应商递交了备份投标文件的，以备份投标文件为依据，</w:t>
      </w:r>
      <w:r>
        <w:rPr>
          <w:rFonts w:hint="eastAsia" w:ascii="宋体" w:hAnsi="宋体" w:cs="宋体"/>
          <w:b/>
          <w:bCs/>
          <w:color w:val="auto"/>
          <w:highlight w:val="none"/>
          <w:u w:val="single"/>
        </w:rPr>
        <w:t>否则按照《浙江省政府采购项目电子交易管理暂行办法》二十四条规定视为投标（响应）文件撤回</w:t>
      </w:r>
      <w:r>
        <w:rPr>
          <w:rFonts w:hint="eastAsia" w:ascii="宋体" w:hAnsi="宋体" w:cs="宋体"/>
          <w:color w:val="auto"/>
          <w:szCs w:val="21"/>
          <w:highlight w:val="none"/>
        </w:rPr>
        <w:t>。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4.1.3政采云电子交易相关指南：https://zfcg.czt.zj.gov.cn/luban/detail?parentId=600030&amp;articleId=ZoGATzO%2FwUdM7eXAIXLAyg%3D%3D&amp;utm=luban.luban-PC-37000.979-pc-websitegroup-zhejiang-secondPage-front.1.a92e017056e811ee9ca2f1f2b5efc26a</w:t>
      </w:r>
    </w:p>
    <w:p>
      <w:pPr>
        <w:widowControl/>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szCs w:val="21"/>
          <w:highlight w:val="none"/>
        </w:rPr>
        <w:t>4.2依据《政府采购质疑和投诉办法》第十条第二款规定，</w:t>
      </w:r>
      <w:r>
        <w:rPr>
          <w:rFonts w:hint="eastAsia" w:ascii="宋体" w:hAnsi="宋体" w:cs="宋体"/>
          <w:snapToGrid w:val="0"/>
          <w:color w:val="auto"/>
          <w:kern w:val="0"/>
          <w:szCs w:val="21"/>
          <w:highlight w:val="none"/>
        </w:rPr>
        <w:t>本项目要求供应商在法定质疑期内一次性提出针对同一采购程序环节的质疑。供应商在法定质疑期内多次提出针对同一采购程序环节的质疑的，采购人或采购代理机构只受理该供应商的第一次有效质疑。</w:t>
      </w:r>
    </w:p>
    <w:p>
      <w:pPr>
        <w:widowControl/>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szCs w:val="21"/>
          <w:highlight w:val="none"/>
        </w:rPr>
        <w:t>4.3需要落实的政府采购政策：包括节约资源、保护环境、支持创新、促进中小企业发展等，详见采购文件的前附表</w:t>
      </w:r>
      <w:r>
        <w:rPr>
          <w:rFonts w:hint="eastAsia" w:ascii="宋体" w:hAnsi="宋体" w:cs="宋体"/>
          <w:snapToGrid w:val="0"/>
          <w:color w:val="auto"/>
          <w:kern w:val="0"/>
          <w:szCs w:val="21"/>
          <w:highlight w:val="none"/>
        </w:rPr>
        <w:t>。</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4.4本项目资格审查方式为资格后审。</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4.5采购文件公告期限为本公告发布之日起5个工作日。</w:t>
      </w:r>
    </w:p>
    <w:p>
      <w:pPr>
        <w:widowControl/>
        <w:spacing w:line="360"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七、对本次采购提出询问、质疑、投诉，请按以下方式联系</w:t>
      </w:r>
    </w:p>
    <w:p>
      <w:pPr>
        <w:widowControl/>
        <w:adjustRightInd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1.采购人信息</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浙江省统计局</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杭州市西湖区教工路79号</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传真：/</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项目联系人（询问）：曾见</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项目联系方式（询问）：0571-88277637</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质疑联系人：袁丽</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质疑联系方式：0571-88277660</w:t>
      </w:r>
    </w:p>
    <w:p>
      <w:pPr>
        <w:widowControl/>
        <w:adjustRightInd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2.采购代理机构信息</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名称：浙江国际招投标有限公司</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地址：杭州市西湖区文三路90号东部软件园1号楼3楼</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传真：0571-88473430</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项目联系人（询问）：周群峰、葛珍妮</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项目联系方式（询问）：0571-81061821、0571-81061804</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质疑联系人：郑珊珊</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质疑联系方式：0571-81061842</w:t>
      </w:r>
    </w:p>
    <w:p>
      <w:pPr>
        <w:widowControl/>
        <w:adjustRightInd w:val="0"/>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w:t>
      </w:r>
      <w:bookmarkStart w:id="9" w:name="_Toc24012"/>
      <w:bookmarkStart w:id="10" w:name="_Toc21099"/>
      <w:bookmarkStart w:id="11" w:name="_Toc18423"/>
      <w:bookmarkStart w:id="12" w:name="_Toc27432"/>
      <w:bookmarkStart w:id="13" w:name="_Toc14241"/>
      <w:r>
        <w:rPr>
          <w:rFonts w:hint="eastAsia" w:ascii="宋体" w:hAnsi="宋体" w:cs="宋体"/>
          <w:b/>
          <w:bCs/>
          <w:color w:val="auto"/>
          <w:szCs w:val="21"/>
          <w:highlight w:val="none"/>
        </w:rPr>
        <w:t>同级政府采购监督管理部门</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    称：浙江省财政厅政府采购监管处、浙江省政府采购行政裁决服务中心（杭州）</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    址：杭州市上城区四季青街道新业路市民之家G03办公室</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传    真：/</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 系 人：朱女士、王女士</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监督投诉电话：0571-85252453</w:t>
      </w:r>
    </w:p>
    <w:p>
      <w:pPr>
        <w:widowControl/>
        <w:adjustRightInd w:val="0"/>
        <w:snapToGrid w:val="0"/>
        <w:spacing w:line="360" w:lineRule="auto"/>
        <w:ind w:firstLine="420" w:firstLineChars="200"/>
        <w:jc w:val="left"/>
        <w:rPr>
          <w:rFonts w:hint="eastAsia" w:ascii="宋体" w:hAnsi="宋体" w:cs="宋体"/>
          <w:color w:val="auto"/>
          <w:szCs w:val="21"/>
          <w:highlight w:val="none"/>
        </w:rPr>
      </w:pP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政策咨询：何一平、冯华，0571-87058424、87055741</w:t>
      </w:r>
    </w:p>
    <w:p>
      <w:pPr>
        <w:widowControl/>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预算金额未达100万元的采购项目，由采购人处理采购争议。</w:t>
      </w:r>
    </w:p>
    <w:p>
      <w:pPr>
        <w:pStyle w:val="12"/>
        <w:rPr>
          <w:rFonts w:ascii="宋体" w:hAnsi="宋体" w:cs="宋体"/>
          <w:color w:val="auto"/>
          <w:szCs w:val="21"/>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若对项目采购电子交易系统操作有疑问，可登录政采云（https://www.zcygov.cn/），点击右侧咨询小采，获取采小蜜智能服务管家帮助，或拨打政采云服务热线95763获取热线服务帮助。</w:t>
      </w:r>
      <w:bookmarkEnd w:id="9"/>
      <w:bookmarkEnd w:id="10"/>
      <w:bookmarkEnd w:id="11"/>
      <w:bookmarkEnd w:id="12"/>
      <w:bookmarkEnd w:id="13"/>
    </w:p>
    <w:p>
      <w:pPr>
        <w:spacing w:line="360" w:lineRule="auto"/>
        <w:ind w:firstLine="420" w:firstLineChars="200"/>
        <w:rPr>
          <w:rFonts w:ascii="宋体" w:hAnsi="宋体" w:cs="宋体"/>
          <w:color w:val="auto"/>
          <w:highlight w:val="none"/>
        </w:rPr>
      </w:pPr>
      <w:bookmarkStart w:id="14" w:name="_Toc15793"/>
      <w:bookmarkStart w:id="15" w:name="_Toc10608"/>
      <w:bookmarkStart w:id="16" w:name="_Toc8213"/>
      <w:bookmarkStart w:id="17" w:name="_Toc9543"/>
      <w:bookmarkStart w:id="18" w:name="_Toc9249"/>
      <w:r>
        <w:rPr>
          <w:rFonts w:hint="eastAsia" w:ascii="宋体" w:hAnsi="宋体" w:cs="宋体"/>
          <w:color w:val="auto"/>
          <w:highlight w:val="none"/>
        </w:rPr>
        <w:t>CA问题联系电话（人工）：汇信CA 400-888-4636；天谷CA 400-087-8198。</w:t>
      </w:r>
      <w:bookmarkEnd w:id="14"/>
      <w:bookmarkEnd w:id="15"/>
      <w:bookmarkEnd w:id="16"/>
      <w:bookmarkEnd w:id="17"/>
      <w:bookmarkEnd w:id="18"/>
    </w:p>
    <w:p>
      <w:pPr>
        <w:spacing w:line="360" w:lineRule="auto"/>
        <w:ind w:left="65" w:leftChars="31" w:firstLine="571" w:firstLineChars="272"/>
        <w:jc w:val="center"/>
        <w:outlineLvl w:val="0"/>
        <w:rPr>
          <w:rFonts w:ascii="宋体" w:hAnsi="宋体" w:cs="宋体"/>
          <w:b/>
          <w:color w:val="auto"/>
          <w:sz w:val="30"/>
          <w:szCs w:val="30"/>
          <w:highlight w:val="none"/>
        </w:rPr>
      </w:pPr>
      <w:r>
        <w:rPr>
          <w:rFonts w:hint="eastAsia" w:ascii="宋体" w:hAnsi="宋体" w:cs="宋体"/>
          <w:color w:val="auto"/>
          <w:kern w:val="0"/>
          <w:szCs w:val="21"/>
          <w:highlight w:val="none"/>
        </w:rPr>
        <w:br w:type="page"/>
      </w:r>
      <w:bookmarkEnd w:id="6"/>
      <w:bookmarkEnd w:id="7"/>
      <w:bookmarkEnd w:id="8"/>
      <w:bookmarkStart w:id="19" w:name="_Toc12561"/>
      <w:bookmarkStart w:id="20" w:name="_Toc25776"/>
      <w:bookmarkStart w:id="21" w:name="_Toc32263"/>
      <w:bookmarkStart w:id="22" w:name="_Toc23337"/>
      <w:bookmarkStart w:id="23" w:name="_Toc7650"/>
      <w:bookmarkStart w:id="24" w:name="_Toc1174"/>
      <w:bookmarkStart w:id="25" w:name="_Toc18977"/>
      <w:r>
        <w:rPr>
          <w:rFonts w:hint="eastAsia" w:ascii="宋体" w:hAnsi="宋体" w:cs="宋体"/>
          <w:b/>
          <w:color w:val="auto"/>
          <w:sz w:val="30"/>
          <w:szCs w:val="30"/>
          <w:highlight w:val="none"/>
        </w:rPr>
        <w:t>前 附 表</w:t>
      </w:r>
      <w:bookmarkEnd w:id="19"/>
      <w:bookmarkEnd w:id="20"/>
      <w:bookmarkEnd w:id="21"/>
      <w:bookmarkEnd w:id="22"/>
      <w:bookmarkEnd w:id="23"/>
      <w:bookmarkEnd w:id="24"/>
      <w:bookmarkEnd w:id="25"/>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29"/>
        <w:gridCol w:w="6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blHeader/>
          <w:jc w:val="center"/>
        </w:trPr>
        <w:tc>
          <w:tcPr>
            <w:tcW w:w="648" w:type="dxa"/>
            <w:tcBorders>
              <w:top w:val="double" w:color="auto" w:sz="4"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29" w:type="dxa"/>
            <w:tcBorders>
              <w:top w:val="double" w:color="auto" w:sz="4" w:space="0"/>
              <w:left w:val="single" w:color="auto" w:sz="6" w:space="0"/>
              <w:bottom w:val="single" w:color="auto" w:sz="6" w:space="0"/>
              <w:right w:val="single" w:color="auto" w:sz="6" w:space="0"/>
            </w:tcBorders>
            <w:noWrap w:val="0"/>
            <w:vAlign w:val="center"/>
          </w:tcPr>
          <w:p>
            <w:pPr>
              <w:adjustRightIn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   目</w:t>
            </w:r>
          </w:p>
        </w:tc>
        <w:tc>
          <w:tcPr>
            <w:tcW w:w="6809" w:type="dxa"/>
            <w:tcBorders>
              <w:top w:val="double" w:color="auto" w:sz="4" w:space="0"/>
              <w:left w:val="single" w:color="auto" w:sz="6" w:space="0"/>
              <w:bottom w:val="single" w:color="auto" w:sz="6" w:space="0"/>
              <w:right w:val="double" w:color="auto" w:sz="4" w:space="0"/>
            </w:tcBorders>
            <w:noWrap w:val="0"/>
            <w:vAlign w:val="center"/>
          </w:tcPr>
          <w:p>
            <w:pPr>
              <w:adjustRightIn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浙江省统计局统计大脑项目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ZJ-2371103-09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采购内容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widowControl/>
              <w:adjustRightInd w:val="0"/>
              <w:snapToGrid w:val="0"/>
              <w:jc w:val="left"/>
              <w:rPr>
                <w:rFonts w:hint="eastAsia" w:ascii="宋体" w:hAnsi="宋体" w:eastAsia="宋体" w:cs="宋体"/>
                <w:strike/>
                <w:snapToGrid w:val="0"/>
                <w:color w:val="auto"/>
                <w:kern w:val="0"/>
                <w:sz w:val="21"/>
                <w:szCs w:val="21"/>
                <w:highlight w:val="none"/>
              </w:rPr>
            </w:pPr>
            <w:r>
              <w:rPr>
                <w:rFonts w:hint="eastAsia" w:ascii="宋体" w:hAnsi="宋体" w:eastAsia="宋体" w:cs="宋体"/>
                <w:color w:val="auto"/>
                <w:sz w:val="21"/>
                <w:szCs w:val="21"/>
                <w:highlight w:val="none"/>
              </w:rPr>
              <w:t>本项目为</w:t>
            </w:r>
            <w:r>
              <w:rPr>
                <w:rFonts w:hint="eastAsia" w:ascii="宋体" w:hAnsi="宋体" w:eastAsia="宋体" w:cs="宋体"/>
                <w:color w:val="auto"/>
                <w:sz w:val="21"/>
                <w:szCs w:val="21"/>
                <w:highlight w:val="none"/>
                <w:lang w:eastAsia="zh-CN"/>
              </w:rPr>
              <w:t>浙江省统计局统计大脑项目</w:t>
            </w:r>
            <w:r>
              <w:rPr>
                <w:rFonts w:hint="eastAsia" w:ascii="宋体" w:hAnsi="宋体" w:eastAsia="宋体" w:cs="宋体"/>
                <w:color w:val="auto"/>
                <w:sz w:val="21"/>
                <w:szCs w:val="21"/>
                <w:highlight w:val="none"/>
              </w:rPr>
              <w:t>，具体内容和要求详见采购文件的相关章节。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服务地点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采购人指定的地点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服务期</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bCs/>
                <w:snapToGrid w:val="0"/>
                <w:color w:val="auto"/>
                <w:kern w:val="0"/>
                <w:sz w:val="21"/>
                <w:szCs w:val="21"/>
                <w:highlight w:val="none"/>
              </w:rPr>
            </w:pPr>
            <w:r>
              <w:rPr>
                <w:rFonts w:hint="eastAsia" w:ascii="宋体" w:hAnsi="宋体" w:eastAsia="宋体" w:cs="宋体"/>
                <w:color w:val="auto"/>
                <w:kern w:val="0"/>
                <w:sz w:val="21"/>
                <w:szCs w:val="21"/>
                <w:highlight w:val="none"/>
              </w:rPr>
              <w:t>签订合同之日起4个月内完成系统设计开发和部署。开发结束后进行实地测试和集中修改，时间约为1个月。试运行时间约为2个月。具体时间以实际时间为准。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bCs/>
                <w:snapToGrid w:val="0"/>
                <w:color w:val="auto"/>
                <w:kern w:val="0"/>
                <w:sz w:val="21"/>
                <w:szCs w:val="21"/>
                <w:highlight w:val="none"/>
              </w:rPr>
              <w:t>▲</w:t>
            </w:r>
            <w:r>
              <w:rPr>
                <w:rFonts w:hint="eastAsia" w:ascii="宋体" w:hAnsi="宋体" w:eastAsia="宋体" w:cs="宋体"/>
                <w:b/>
                <w:color w:val="auto"/>
                <w:sz w:val="21"/>
                <w:szCs w:val="21"/>
                <w:highlight w:val="none"/>
              </w:rPr>
              <w:t>最高限价</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本项目最高限价金额为</w:t>
            </w:r>
            <w:r>
              <w:rPr>
                <w:rFonts w:hint="eastAsia" w:ascii="宋体" w:hAnsi="宋体" w:eastAsia="宋体" w:cs="宋体"/>
                <w:b/>
                <w:color w:val="auto"/>
                <w:kern w:val="0"/>
                <w:sz w:val="21"/>
                <w:szCs w:val="21"/>
                <w:highlight w:val="none"/>
                <w:lang w:eastAsia="zh-CN"/>
              </w:rPr>
              <w:t>10100000</w:t>
            </w:r>
            <w:r>
              <w:rPr>
                <w:rFonts w:hint="eastAsia" w:ascii="宋体" w:hAnsi="宋体" w:eastAsia="宋体" w:cs="宋体"/>
                <w:b/>
                <w:color w:val="auto"/>
                <w:kern w:val="0"/>
                <w:sz w:val="21"/>
                <w:szCs w:val="21"/>
                <w:highlight w:val="none"/>
              </w:rPr>
              <w:t>元，投标报价超过最高限价金额的为无效投标。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资格后审是指在开标后由采购人或采购代理机构代表根据采购文件的规定对投标人进行的资格审查，资格后审不合格的投标人，其投标作无效标处理。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1.采购人不组织集中现场踏勘，投标人如需对项目情况等进行踏勘的，可与采购人项目联系人联系后前往采购人指定地点进行现场踏勘，但须符合采购人所在地出入相关规定。</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采购人向投标人提供的有关现场的数据和资料，是采购人现有的能被投标人利用的资料，采购人对投标人做出的任何推论、理解和结论均不负责任。</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采购人允许，可以为以踏勘目的投标人进入采购人的项目现场。在踏勘过程中，投标人代表必须承担进入现场后，由于他们的行为所造成的人身伤害（不管是否致命）、财产损失或损坏，以及其它任何原因造成的损失、损坏或费用，投标人不得因此使采购人承担有关的责任和蒙受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招标答疑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投标人如认为采购文件表述不清晰、存在歧视性或者倾向性或者其他违法内容的，必须在2023年11月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snapToGrid w:val="0"/>
                <w:color w:val="auto"/>
                <w:kern w:val="0"/>
                <w:sz w:val="21"/>
                <w:szCs w:val="21"/>
                <w:highlight w:val="none"/>
              </w:rPr>
              <w:t>16时之前、将要求答疑的问题传真</w:t>
            </w:r>
            <w:r>
              <w:rPr>
                <w:rFonts w:hint="eastAsia" w:ascii="宋体" w:hAnsi="宋体" w:eastAsia="宋体" w:cs="宋体"/>
                <w:bCs/>
                <w:snapToGrid w:val="0"/>
                <w:color w:val="auto"/>
                <w:kern w:val="0"/>
                <w:sz w:val="21"/>
                <w:szCs w:val="21"/>
                <w:highlight w:val="none"/>
              </w:rPr>
              <w:t>0571－88473430</w:t>
            </w:r>
            <w:r>
              <w:rPr>
                <w:rFonts w:hint="eastAsia" w:ascii="宋体" w:hAnsi="宋体" w:eastAsia="宋体" w:cs="宋体"/>
                <w:b/>
                <w:bCs/>
                <w:snapToGrid w:val="0"/>
                <w:color w:val="auto"/>
                <w:kern w:val="0"/>
                <w:sz w:val="21"/>
                <w:szCs w:val="21"/>
                <w:highlight w:val="none"/>
              </w:rPr>
              <w:t>，</w:t>
            </w:r>
            <w:r>
              <w:rPr>
                <w:rFonts w:hint="eastAsia" w:ascii="宋体" w:hAnsi="宋体" w:eastAsia="宋体" w:cs="宋体"/>
                <w:snapToGrid w:val="0"/>
                <w:color w:val="auto"/>
                <w:kern w:val="0"/>
                <w:sz w:val="21"/>
                <w:szCs w:val="21"/>
                <w:highlight w:val="none"/>
              </w:rPr>
              <w:t>并发电子邮件至zq017@163.com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电子邮件与书面文件有不一致的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一律以书面文件为准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。截止期后的疑问将不予受理、答复。</w:t>
            </w:r>
            <w:r>
              <w:rPr>
                <w:rFonts w:hint="eastAsia" w:ascii="宋体" w:hAnsi="宋体" w:eastAsia="宋体" w:cs="宋体"/>
                <w:color w:val="auto"/>
                <w:sz w:val="21"/>
                <w:szCs w:val="21"/>
                <w:highlight w:val="none"/>
              </w:rPr>
              <w:t>答疑回复内容是采购文件的组成部分，并将以书面形式送达所有已购买采购文件的投标人。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采购文件的澄清与修改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ind w:right="105" w:rightChars="5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在投标截止时间15天前，采购人有权澄清和修改采购文件，并以更正（澄清）公告形式通知所有已购买采购文件的投标人。修改和澄清（答疑）答复的内容作为采购文件的补充和组成部分，对所有投标人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投标文件形式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电子投标文件形式包括“电子加密投标文件”和“备份投标文件”，在投标文件编制完成后同时生成。</w:t>
            </w:r>
          </w:p>
          <w:p>
            <w:pPr>
              <w:snapToGrid w:val="0"/>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1.“电子加密投标文件”是指通过“政采云电子交易客户端”完成投标文件编制后生成并加密的数据电文形式的投标文件。</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2.“备份投标文件”是指与“电子加密投标文件”同时生成的数据电文形式的电子文件（备份标书，用于投标人标书解密异常时应急使用），其他方式编制的备份投标文件视为无效备份投标文件。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1.电子投标文件应包括资格响应文件、商务技术响应文件及报价响应文件三部分内容。</w:t>
            </w:r>
          </w:p>
          <w:p>
            <w:pPr>
              <w:pStyle w:val="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2.如中标，中标供应商需根据采购人要求提供纸质投标文件至少两份。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投标文件的上传和递交</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1.电子加密投标文件：投标文件制作完成并生成加密标书，在投标截止时间前，供应商需将加密的投标文件上传至政采云平台，在开标时间开始后30分钟内，解密投标文件。</w:t>
            </w:r>
          </w:p>
          <w:p>
            <w:pPr>
              <w:snapToGrid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a.供应商应未能投标截止时间前成功上传电子加密投标文件的投标无效。</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备份投标文件的制作、存储、密封</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1.投标人在电子交易平台传输递交投标文件后，还可以在投标文件上传截止时间前直接提交或者以快递方式递交备份投标文件1份，但采购人、采购代理机构不强制或变相强制投标人提交备份投标文件。</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3.直接提交备份投标文件的，投标人应于投标文件上传截止时间前将备份投标文件提交给采购代理机构，采购代理机构将拒绝接受逾期送达的备份投标文件。</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快递方式递交备份投标文件的，投标人应先将备份投标文件按要求密封和标记，再进行快递包装后邮寄。备份投标文件须在投标文件上传截止时间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5投标人仅提交备份投标文件，没有在电子交易平台传输递交投标文件的，投标无效。</w:t>
            </w:r>
          </w:p>
          <w:p>
            <w:pPr>
              <w:snapToGrid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6.通过“政府采购云平台”上传递交的投标文件无法按时解密，投标供应商递交了备份投标文件的，以备份投标文件为依据，否则按照《浙江省政府采购项目电子交易管理暂行办法》二十四条规定视为投标（响应）文件撤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5"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hint="eastAsia" w:ascii="宋体" w:hAnsi="宋体" w:eastAsia="宋体" w:cs="宋体"/>
                <w:color w:val="auto"/>
                <w:sz w:val="21"/>
                <w:szCs w:val="21"/>
                <w:highlight w:val="none"/>
              </w:rPr>
            </w:pP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备份投标文件送达地点和签收人员 </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1.备份投标文件送达的采购代理机构地点：</w:t>
            </w:r>
            <w:r>
              <w:rPr>
                <w:rFonts w:hint="eastAsia" w:ascii="宋体" w:hAnsi="宋体" w:eastAsia="宋体" w:cs="宋体"/>
                <w:color w:val="auto"/>
                <w:sz w:val="21"/>
                <w:szCs w:val="21"/>
                <w:highlight w:val="none"/>
                <w:u w:val="single"/>
              </w:rPr>
              <w:t>浙江国际招投标有限公司305室（杭州市西湖区文三路90号东部软件园1号楼3楼）；</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2.备份投标文件签收/接收人员及联系电话：</w:t>
            </w:r>
          </w:p>
          <w:p>
            <w:pPr>
              <w:snapToGrid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（1）签收/接收人员：</w:t>
            </w:r>
            <w:r>
              <w:rPr>
                <w:rFonts w:hint="eastAsia" w:ascii="宋体" w:hAnsi="宋体" w:eastAsia="宋体" w:cs="宋体"/>
                <w:color w:val="auto"/>
                <w:sz w:val="21"/>
                <w:szCs w:val="21"/>
                <w:highlight w:val="none"/>
                <w:u w:val="single"/>
              </w:rPr>
              <w:t>周群峰、葛珍妮</w:t>
            </w:r>
          </w:p>
          <w:p>
            <w:pPr>
              <w:snapToGrid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（2）联系电话：</w:t>
            </w:r>
            <w:r>
              <w:rPr>
                <w:rFonts w:hint="eastAsia" w:ascii="宋体" w:hAnsi="宋体" w:eastAsia="宋体" w:cs="宋体"/>
                <w:color w:val="auto"/>
                <w:sz w:val="21"/>
                <w:szCs w:val="21"/>
                <w:highlight w:val="none"/>
                <w:u w:val="single"/>
              </w:rPr>
              <w:t>0571-81061821、0571-81061804</w:t>
            </w:r>
          </w:p>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3.采购人、采购代理机构不强制或变相强制投标人提交备份投标文件。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系统演示</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本项目组织系统演示。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时安排每个投标人进行系统演示，系统演示要求详见采购文件第三部分采购需求和评标办法的演示要求。每个投标人时间不超过20分钟，演示次序以投标文件解密时间先后次序为准，如遇不演示或现场未及时响应的投标人则自动至下一次序投标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（2）方案讲解演示可选择以下两种方式之一，如两种均提供则只接受方式二的演示内容作为现场评审依据：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方式一：递交系统演示视频。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采用递交系统演示视频方式的，应将按采购文件评分要求录制的视频（格式须为MP4、AVI、MPEG、MPEG-4、RM、RMVB等主流视频格式）同本表第17“备份投标文件递交要求”在提交投标文件截止时间前通过快递形式寄达或现场送达采购代理机构处，（邮寄/送达地址：杭州市西湖区文三路90号东部软件园1号楼3楼305室，接收人：周群峰，电话：0571-81061821）。</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未按上述要求在提交投标文件截止时间后密封送达的，不予接收；未递交系统演示视频的视为自动放弃系统演示，采购文件第五部分中评标细则及标准中的系统演示部分不得分，但不会导致投标无效。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方式二：现场系统演示。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投标人采用现场系统演示方式的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应在提交投标文件截止时间前到采购文件规定线下开标室签到（杭州市西湖区文三路90号东部软件园1号楼3楼浙江国际招投标有限公司301开标室）后按评标委员会指定的时间段和会议室进行现场系统演示，演示现场提供网络环境及投影仪，其余由投标人自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演示人员须为投标人书面授权的演示代表。投标人进入系统演示现场的演示代表不超过2人，系统演示人员进场前须核验演示代表身份证明原件及投标人出具的加盖投标人公章的书面授权演示代表证明（注明姓名，身份证号），核验合格后方可开始现场系统演示，否则系统演示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系统演示后按要求解答评标委员会的提问（如有），提问时间不包含在演示时间内。</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未按要求及时到现场签到并经演示人员身份核验合格后进行系统演示的，本项现场系统演示不得分。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投标文件、流程文件签章</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numPr>
                <w:ilvl w:val="0"/>
                <w:numId w:val="2"/>
              </w:numPr>
              <w:snapToGrid w:val="0"/>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电子投标文件必须有电子签章；</w:t>
            </w:r>
          </w:p>
          <w:p>
            <w:pPr>
              <w:numPr>
                <w:ilvl w:val="0"/>
                <w:numId w:val="2"/>
              </w:numPr>
              <w:snapToGrid w:val="0"/>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开标后，相关信息记录确认、澄清说明、回复等内容，电子签章或者签章后上传相关文件，均认可；</w:t>
            </w:r>
          </w:p>
          <w:p>
            <w:pPr>
              <w:numPr>
                <w:ilvl w:val="0"/>
                <w:numId w:val="2"/>
              </w:numPr>
              <w:snapToGrid w:val="0"/>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2023年11月24日</w:t>
            </w:r>
            <w:r>
              <w:rPr>
                <w:rFonts w:hint="eastAsia" w:ascii="宋体" w:hAnsi="宋体" w:eastAsia="宋体" w:cs="宋体"/>
                <w:color w:val="auto"/>
                <w:kern w:val="0"/>
                <w:sz w:val="21"/>
                <w:szCs w:val="21"/>
                <w:highlight w:val="none"/>
              </w:rPr>
              <w:t>09:00（北京时间）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1.采购代理机构按照采购文件规定的时间通过电子交易平台组织开标，所有投标人均应当准时在线参加。投标人不足3家的，不得开标。</w:t>
            </w:r>
          </w:p>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2.开标时，采购代理机构点击【开始解密】，供应商应在 30 分钟内完成解密。供应商在规定的时间内都已完成解密，则系统自动结束解密；供应商超过解密时限，默认自动放弃；</w:t>
            </w:r>
          </w:p>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异常处理：如供应商在开标时因遗失CA或其他原因导致解密不成功时，如供应商已按规定递交了“备份投标文件”的，采购代理机构通过【异常处理】端口对备份投标文件上传、解密。</w:t>
            </w:r>
          </w:p>
          <w:p>
            <w:pPr>
              <w:adjustRightInd w:val="0"/>
              <w:snapToGrid w:val="0"/>
              <w:ind w:left="15" w:hanging="15" w:hangingChars="7"/>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收到政采云系统中包含投标人名单等信息的相关询标函后30分钟内，供应商把填写完整且经授权代表签署的《政府采购活动现场确认声明书》（格式见采购文件第七部分）扫描件在线提交或发送至指定邮箱（邮箱地址：zq017@163.com ，联系人：周群峰，电话：0571-81061821）；</w:t>
            </w:r>
          </w:p>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说明：不填写或未按规定发出邮件的，视同默认不存在确认声明书中的相关违规情形。</w:t>
            </w:r>
          </w:p>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4.采购组织机构点击【开启标书信息】，开启标书成功后进入开标流程。</w:t>
            </w:r>
          </w:p>
          <w:p>
            <w:pPr>
              <w:pStyle w:val="14"/>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1.开标后，由采购人或采购代理机构代表根据采购文件的规定对投标人的基本资格条件、落实政府采购政策需满足的资格要求、特定资格条件及政府采购政策条件要求进行审查。</w:t>
            </w:r>
          </w:p>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未按照采购文件要求提供与基本资格条件、落实政府采购政策需满足的资格要求、特定资格条件等相应的有效资格证明材料的，视为投标人不具备采购文件中规定的资格要求，其投标无效；投标人存在政府采购规定的投标限制情形的，其投标无效。</w:t>
            </w:r>
          </w:p>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3.对未通过资格审查的投标人，采购人或采购代理机构告知其未通过的原因。</w:t>
            </w:r>
          </w:p>
          <w:p>
            <w:pPr>
              <w:adjustRightInd w:val="0"/>
              <w:snapToGrid w:val="0"/>
              <w:ind w:left="15" w:hanging="14" w:hangingChars="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4.合格投标人不足3家的，不再评标。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评标程序</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评审：依据采购文件的规定，对商务技术响应文件的有效性、完整性和对采购文件的响应程度进行审查，以确定是否对采购文件的实质性要求作出响应。具体审查内容见采购文件第五部分评标办法中第5条“无效投标的认定”。</w:t>
            </w:r>
          </w:p>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商务技术评分：由评标委员会对各投标人的技术商务内容充分审核后，独立评分。</w:t>
            </w:r>
          </w:p>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商务技术评分汇总</w:t>
            </w:r>
          </w:p>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商务技术结果公布；采购代理机构公布符合性审查、商务技术评审无效供应商名称及理由；公布经商务技术评审后有效投标供应商的名单及其商务技术部分得分情况。</w:t>
            </w:r>
          </w:p>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开启报价响应文件：采购代理机构成功开启报价响应文件后，方可查看各供应商报价情况。</w:t>
            </w:r>
          </w:p>
          <w:p>
            <w:pPr>
              <w:pStyle w:val="15"/>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电子交易平台公布开标一览表有关内容，采购代理机构开启报价确认，供应商应在报价确认开启后30分钟内予以确认，不予确认的应说明理由，否则视为无异议。</w:t>
            </w:r>
          </w:p>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报价评审：由评标委员会对报价响应文件的有效性和报价的合理性、准确性等进行审查核实。</w:t>
            </w:r>
          </w:p>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得分汇总。</w:t>
            </w:r>
          </w:p>
          <w:p>
            <w:pPr>
              <w:pStyle w:val="15"/>
              <w:numPr>
                <w:ilvl w:val="0"/>
                <w:numId w:val="3"/>
              </w:num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结果公布：供应商可通过在线平台查看评审结果。</w:t>
            </w:r>
          </w:p>
          <w:p>
            <w:pPr>
              <w:pStyle w:val="15"/>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注：除邮件交互外，如政采云平台提供信息发布、澄清说明、数据交换等操作方式的，或者政采云系统平台有新的操作流程的，按其规定。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询标澄清</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5"/>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标过程中，如评审小组对投标文件有疑问，由评审组长将问题汇总后发起询标澄清函（或由采购代理机构代替评审组长发起询标澄清函），供应商应在规定截止时间前回复相关内容并加盖供应商电子签章后上传提交（或通过平台上传经授权代表签字或加盖公章的扫描件）。逾期答复的，投标人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投标文件在</w:t>
            </w:r>
            <w:r>
              <w:rPr>
                <w:rFonts w:hint="eastAsia" w:ascii="宋体" w:hAnsi="宋体" w:eastAsia="宋体" w:cs="宋体"/>
                <w:color w:val="auto"/>
                <w:sz w:val="21"/>
                <w:szCs w:val="21"/>
                <w:highlight w:val="none"/>
              </w:rPr>
              <w:t>提交投标文件的截止之日起算</w:t>
            </w:r>
            <w:r>
              <w:rPr>
                <w:rFonts w:hint="eastAsia" w:ascii="宋体" w:hAnsi="宋体" w:eastAsia="宋体" w:cs="宋体"/>
                <w:snapToGrid w:val="0"/>
                <w:color w:val="auto"/>
                <w:kern w:val="0"/>
                <w:sz w:val="21"/>
                <w:szCs w:val="21"/>
                <w:highlight w:val="none"/>
              </w:rPr>
              <w:t>90个日历天内有效</w:t>
            </w:r>
            <w:r>
              <w:rPr>
                <w:rFonts w:hint="eastAsia" w:ascii="宋体" w:hAnsi="宋体" w:eastAsia="宋体" w:cs="宋体"/>
                <w:color w:val="auto"/>
                <w:sz w:val="21"/>
                <w:szCs w:val="21"/>
                <w:highlight w:val="none"/>
              </w:rPr>
              <w:t>，不足有效期的，其投标视为无效标。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公告发布媒体</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5"/>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pPr>
              <w:adjustRightIn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29</w:t>
            </w:r>
          </w:p>
        </w:tc>
        <w:tc>
          <w:tcPr>
            <w:tcW w:w="172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根据《中华人民共和国政府采购法》第五十二条、《中华人民共和国政府采购法实施条例》第五十三条、《政府采购质疑和投诉办法》的规定：</w:t>
            </w:r>
          </w:p>
          <w:p>
            <w:pPr>
              <w:snapToGrid w:val="0"/>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投标人认为采购（招标）文件、采购过程、中标或者成交结果使自己的权益受到损害的，可以在知道或者应知其权益受到损害之日起7个工作日内，以书面形式向采购人、采购代理机构提出质疑。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hint="eastAsia" w:ascii="宋体" w:hAnsi="宋体" w:eastAsia="宋体" w:cs="宋体"/>
                <w:snapToGrid w:val="0"/>
                <w:color w:val="auto"/>
                <w:kern w:val="0"/>
                <w:sz w:val="21"/>
                <w:szCs w:val="21"/>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color w:val="auto"/>
                <w:sz w:val="21"/>
                <w:szCs w:val="21"/>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依据《政府采购质疑和投诉办法》第十条第二款规定，</w:t>
            </w:r>
            <w:r>
              <w:rPr>
                <w:rFonts w:hint="eastAsia" w:ascii="宋体" w:hAnsi="宋体" w:eastAsia="宋体" w:cs="宋体"/>
                <w:snapToGrid w:val="0"/>
                <w:color w:val="auto"/>
                <w:kern w:val="0"/>
                <w:sz w:val="21"/>
                <w:szCs w:val="21"/>
                <w:highlight w:val="none"/>
              </w:rPr>
              <w:t>本项目要求投标人在法定质疑期内一次性提出针对同一采购程序环节的质疑。投标人在法定质疑期内多性提出针对同一采购程序环节的质疑的，采购人或采购代理机构只受理该投标人的第一次有效质疑。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4"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特别说明</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15"/>
              <w:adjustRightInd w:val="0"/>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人应无条件地、认真仔细地、不厌其烦地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15"/>
              <w:adjustRightInd w:val="0"/>
              <w:snapToGrid w:val="0"/>
              <w:rPr>
                <w:rFonts w:hint="eastAsia" w:ascii="宋体" w:hAnsi="宋体" w:eastAsia="宋体" w:cs="宋体"/>
                <w:b/>
                <w:color w:val="auto"/>
                <w:sz w:val="21"/>
                <w:szCs w:val="21"/>
                <w:highlight w:val="none"/>
              </w:rPr>
            </w:pPr>
            <w:r>
              <w:rPr>
                <w:rFonts w:hint="eastAsia" w:ascii="宋体" w:hAnsi="宋体" w:eastAsia="宋体" w:cs="宋体"/>
                <w:snapToGrid w:val="0"/>
                <w:color w:val="auto"/>
                <w:kern w:val="0"/>
                <w:sz w:val="21"/>
                <w:szCs w:val="21"/>
                <w:highlight w:val="none"/>
              </w:rPr>
              <w:t>2.本项目中标结果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采购代理服务费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1.收取方式：本项目的采购代理服务费由中标供应商在本项目合同签订前一次性向采购代理机构支付。</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bidi="ar"/>
              </w:rPr>
              <w:t>代理服务费用收取标准：本项目</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bidi="ar"/>
              </w:rPr>
              <w:t>代理服务费用按照《招标代理服务收费管理暂行办法》（计价格【2002】1980号）的规定，以中标金额为计费基数，按费率差额定律累进计取，单个项目或标项按以上约定的收费标准计算代理服务费不足人民币5000元时，按人民币5000元计取。</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3.支付形式及账号：</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① 支付形式：汇票/支票/电汇/现金</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② 支付账户 ：</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收款单位（户名）：浙江国际招投标有限公司</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开 户：中国工商银行杭州市武林支行</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账 号：1202021209906782015</w:t>
            </w:r>
          </w:p>
          <w:p>
            <w:pPr>
              <w:pStyle w:val="26"/>
              <w:spacing w:line="240" w:lineRule="auto"/>
              <w:ind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4.支付流程：中标供应商按照</w:t>
            </w:r>
            <w:r>
              <w:rPr>
                <w:rFonts w:hint="eastAsia" w:ascii="宋体" w:hAnsi="宋体" w:eastAsia="宋体" w:cs="宋体"/>
                <w:color w:val="auto"/>
                <w:sz w:val="21"/>
                <w:szCs w:val="21"/>
                <w:highlight w:val="none"/>
                <w:lang w:eastAsia="zh-CN" w:bidi="ar"/>
              </w:rPr>
              <w:t>中标结果</w:t>
            </w:r>
            <w:r>
              <w:rPr>
                <w:rFonts w:hint="eastAsia" w:ascii="宋体" w:hAnsi="宋体" w:eastAsia="宋体" w:cs="宋体"/>
                <w:color w:val="auto"/>
                <w:sz w:val="21"/>
                <w:szCs w:val="21"/>
                <w:highlight w:val="none"/>
                <w:lang w:bidi="ar"/>
              </w:rPr>
              <w:t>公告确定金额支付至采购代理机构账户后将汇款底单、开票信息和发票邮寄地址发送至zq017@163.com，采购代理机构在收到邮件后开具发票并及时寄送给中标供应商。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33</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采购项目需要落实的政府采购政策</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2.支持绿色发展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采购人拟采购的产品属于政府强制采购的节能产品品目清单范围的，供应商未按招标文件要求提供国家确定的认证机构出具的、处于有效期之内的节能产品认证证书的，投标无效。</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修缮、装修类项目采购建材的，采购人应将绿色建筑和绿色建材性能、指标等作为实质性条件纳入招标文件和合同。</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3.支持中小企业发展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3.2在政府采购活动中，供应商提供的货物、工程或者服务符合下列情形的，享受中小企业扶持政策：</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3.2.1在货物采购项目中，货物由中小企业制造，即货物由中小企业生产且使用该中小企业商号或者注册商标；</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3.2.2在工程采购项目中，工程由中小企业承建，即工程施工单位为中小企业；</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3.2.3在服务采购项目中，服务由中小企业承接，即提供服务的人员为中小企业依照《中华人民共和国劳动合同法》订立劳动合同的从业人员。</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在货物采购项目中，供应商提供的货物既有中小企业制造货物，也有大型企业制造货物的，不享受中小企业扶持政策。</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已专门面向中小微企业采购的项目，不再执行价格评审优惠的扶持政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3.4符合《关于促进残疾人就业政府采购政策的通知》（财库〔2017〕141号）规定的条件并提供《残疾人福利性单位声明函》（附件1）的残疾人福利性单位视同小型、微型企业；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3.7中小企业享受扶持政策获得政府采购合同的，小微企业不得将合同分包给大中型企业，中型企业不得将合同分包给大型企业。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4.支持创新发展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采购人优先采购被认定为首台套产品和“制造精品”的自主创新产品。</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rPr>
                <w:rFonts w:hint="eastAsia" w:ascii="宋体" w:hAnsi="宋体" w:eastAsia="宋体" w:cs="宋体"/>
                <w:color w:val="auto"/>
                <w:sz w:val="21"/>
                <w:szCs w:val="21"/>
                <w:highlight w:val="none"/>
              </w:rPr>
            </w:pPr>
            <w:bookmarkStart w:id="26" w:name="_Toc30762"/>
            <w:bookmarkStart w:id="27" w:name="_Toc28403"/>
            <w:bookmarkStart w:id="28" w:name="_Toc4991"/>
            <w:bookmarkStart w:id="29" w:name="_Toc14177"/>
            <w:bookmarkStart w:id="30" w:name="_Toc13269"/>
            <w:r>
              <w:rPr>
                <w:rFonts w:hint="eastAsia" w:ascii="宋体" w:hAnsi="宋体" w:eastAsia="宋体" w:cs="宋体"/>
                <w:color w:val="auto"/>
                <w:sz w:val="21"/>
                <w:szCs w:val="21"/>
                <w:highlight w:val="none"/>
              </w:rPr>
              <w:t>5.其他政府采购需执行的政策。</w:t>
            </w:r>
            <w:bookmarkEnd w:id="26"/>
            <w:bookmarkEnd w:id="27"/>
            <w:bookmarkEnd w:id="28"/>
            <w:bookmarkEnd w:id="29"/>
            <w:bookmarkEnd w:id="3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4" w:space="0"/>
              <w:right w:val="single" w:color="auto" w:sz="6" w:space="0"/>
            </w:tcBorders>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34</w:t>
            </w:r>
          </w:p>
        </w:tc>
        <w:tc>
          <w:tcPr>
            <w:tcW w:w="1729"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信息安全要求</w:t>
            </w:r>
          </w:p>
        </w:tc>
        <w:tc>
          <w:tcPr>
            <w:tcW w:w="6809" w:type="dxa"/>
            <w:tcBorders>
              <w:top w:val="single" w:color="auto" w:sz="6" w:space="0"/>
              <w:left w:val="single" w:color="auto" w:sz="6" w:space="0"/>
              <w:bottom w:val="single" w:color="auto" w:sz="4" w:space="0"/>
              <w:right w:val="double" w:color="auto" w:sz="4" w:space="0"/>
            </w:tcBorders>
            <w:noWrap w:val="0"/>
            <w:vAlign w:val="center"/>
          </w:tcPr>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本项目无信息安全要求。</w:t>
            </w:r>
          </w:p>
          <w:p>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35</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是否允许采购进口产品</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本项目不允许采购进口产品。</w:t>
            </w:r>
          </w:p>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本项目允许采购进口产品。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36</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项目属性与核心产品</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货物类，单一产品或</w:t>
            </w:r>
            <w:r>
              <w:rPr>
                <w:rFonts w:hint="eastAsia" w:ascii="宋体" w:hAnsi="宋体" w:eastAsia="宋体" w:cs="宋体"/>
                <w:color w:val="auto"/>
                <w:kern w:val="0"/>
                <w:sz w:val="21"/>
                <w:szCs w:val="21"/>
                <w:highlight w:val="none"/>
              </w:rPr>
              <w:t>核心产品为：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sz w:val="21"/>
                <w:szCs w:val="21"/>
                <w:highlight w:val="none"/>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37</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sz w:val="21"/>
                <w:szCs w:val="21"/>
                <w:highlight w:val="none"/>
              </w:rPr>
              <w:t>采购标的对应的中小企业划分标准所属行业</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 w:val="21"/>
                <w:szCs w:val="21"/>
                <w:highlight w:val="none"/>
                <w:u w:val="single"/>
              </w:rPr>
            </w:pPr>
            <w:bookmarkStart w:id="31" w:name="_Toc10868"/>
            <w:bookmarkStart w:id="32" w:name="_Toc2572"/>
            <w:bookmarkStart w:id="33" w:name="_Toc9884"/>
            <w:bookmarkStart w:id="34" w:name="_Toc25726"/>
            <w:bookmarkStart w:id="35" w:name="_Toc3371"/>
            <w:bookmarkStart w:id="36" w:name="_Toc12704"/>
            <w:r>
              <w:rPr>
                <w:rFonts w:hint="eastAsia" w:ascii="宋体" w:hAnsi="宋体" w:eastAsia="宋体" w:cs="宋体"/>
                <w:color w:val="auto"/>
                <w:sz w:val="21"/>
                <w:szCs w:val="21"/>
                <w:highlight w:val="none"/>
              </w:rPr>
              <w:t>本项目的采购标的：</w:t>
            </w:r>
            <w:r>
              <w:rPr>
                <w:rFonts w:hint="eastAsia" w:ascii="宋体" w:hAnsi="宋体" w:eastAsia="宋体" w:cs="宋体"/>
                <w:b/>
                <w:bCs/>
                <w:color w:val="auto"/>
                <w:sz w:val="21"/>
                <w:szCs w:val="21"/>
                <w:highlight w:val="none"/>
                <w:u w:val="single"/>
                <w:lang w:eastAsia="zh-CN"/>
              </w:rPr>
              <w:t>统计大脑</w:t>
            </w:r>
            <w:r>
              <w:rPr>
                <w:rFonts w:hint="eastAsia" w:ascii="宋体" w:hAnsi="宋体" w:eastAsia="宋体" w:cs="宋体"/>
                <w:b/>
                <w:bCs/>
                <w:color w:val="auto"/>
                <w:sz w:val="21"/>
                <w:szCs w:val="21"/>
                <w:highlight w:val="none"/>
                <w:u w:val="single"/>
              </w:rPr>
              <w:t>；</w:t>
            </w:r>
            <w:bookmarkEnd w:id="31"/>
            <w:bookmarkEnd w:id="32"/>
            <w:bookmarkEnd w:id="33"/>
            <w:bookmarkEnd w:id="34"/>
            <w:bookmarkEnd w:id="35"/>
            <w:bookmarkEnd w:id="36"/>
          </w:p>
          <w:p>
            <w:pPr>
              <w:rPr>
                <w:rFonts w:hint="eastAsia" w:ascii="宋体" w:hAnsi="宋体" w:eastAsia="宋体" w:cs="宋体"/>
                <w:color w:val="auto"/>
                <w:sz w:val="21"/>
                <w:szCs w:val="21"/>
                <w:highlight w:val="none"/>
              </w:rPr>
            </w:pPr>
            <w:bookmarkStart w:id="37" w:name="_Toc9673"/>
            <w:bookmarkStart w:id="38" w:name="_Toc8765"/>
            <w:bookmarkStart w:id="39" w:name="_Toc25942"/>
            <w:bookmarkStart w:id="40" w:name="_Toc27718"/>
            <w:bookmarkStart w:id="41" w:name="_Toc9299"/>
            <w:bookmarkStart w:id="42" w:name="_Toc437"/>
            <w:r>
              <w:rPr>
                <w:rFonts w:hint="eastAsia" w:ascii="宋体" w:hAnsi="宋体" w:eastAsia="宋体" w:cs="宋体"/>
                <w:color w:val="auto"/>
                <w:sz w:val="21"/>
                <w:szCs w:val="21"/>
                <w:highlight w:val="none"/>
              </w:rPr>
              <w:t>本项目属于中小企业划分标准所属行业中的</w:t>
            </w:r>
            <w:r>
              <w:rPr>
                <w:rFonts w:hint="eastAsia" w:ascii="宋体" w:hAnsi="宋体" w:eastAsia="宋体" w:cs="宋体"/>
                <w:b/>
                <w:bCs/>
                <w:color w:val="auto"/>
                <w:sz w:val="21"/>
                <w:szCs w:val="21"/>
                <w:highlight w:val="none"/>
                <w:u w:val="single"/>
              </w:rPr>
              <w:t xml:space="preserve"> 软件和信息技术服务业 </w:t>
            </w:r>
            <w:r>
              <w:rPr>
                <w:rFonts w:hint="eastAsia" w:ascii="宋体" w:hAnsi="宋体" w:eastAsia="宋体" w:cs="宋体"/>
                <w:color w:val="auto"/>
                <w:sz w:val="21"/>
                <w:szCs w:val="21"/>
                <w:highlight w:val="none"/>
              </w:rPr>
              <w:t>行业</w:t>
            </w:r>
            <w:bookmarkEnd w:id="37"/>
            <w:bookmarkEnd w:id="38"/>
            <w:bookmarkEnd w:id="39"/>
            <w:bookmarkEnd w:id="40"/>
            <w:bookmarkEnd w:id="41"/>
            <w:bookmarkEnd w:id="42"/>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r>
              <w:rPr>
                <w:rFonts w:hint="eastAsia" w:ascii="宋体" w:hAnsi="宋体" w:eastAsia="宋体" w:cs="宋体"/>
                <w:bCs/>
                <w:color w:val="auto"/>
                <w:sz w:val="21"/>
                <w:szCs w:val="21"/>
                <w:highlight w:val="none"/>
              </w:rPr>
              <w:t>划分标准：</w:t>
            </w:r>
            <w:r>
              <w:rPr>
                <w:rFonts w:hint="eastAsia" w:ascii="宋体" w:hAnsi="宋体" w:eastAsia="宋体" w:cs="宋体"/>
                <w:b/>
                <w:bCs/>
                <w:color w:val="auto"/>
                <w:spacing w:val="6"/>
                <w:sz w:val="21"/>
                <w:szCs w:val="21"/>
                <w:highlight w:val="none"/>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38</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是否专门面向</w:t>
            </w:r>
          </w:p>
          <w:p>
            <w:pPr>
              <w:adjustRightInd w:val="0"/>
              <w:snapToGrid w:val="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中小微企业采购</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val="0"/>
                <w:bCs w:val="0"/>
                <w:color w:val="auto"/>
                <w:sz w:val="21"/>
                <w:szCs w:val="21"/>
                <w:highlight w:val="none"/>
              </w:rPr>
              <w:t>本项目专门面向中小企业采购</w:t>
            </w:r>
          </w:p>
          <w:p>
            <w:pP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sz w:val="21"/>
                <w:szCs w:val="21"/>
                <w:highlight w:val="none"/>
              </w:rPr>
              <w:t>本项目非专门面向中小企业采购</w:t>
            </w:r>
          </w:p>
          <w:p>
            <w:pPr>
              <w:pStyle w:val="11"/>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供应商应提供符合《政府采购促进中小企业发展管理办法》规定的中小企业声明函，</w:t>
            </w:r>
            <w:r>
              <w:rPr>
                <w:rFonts w:hint="eastAsia" w:ascii="宋体" w:hAnsi="宋体" w:eastAsia="宋体" w:cs="宋体"/>
                <w:color w:val="auto"/>
                <w:spacing w:val="-1"/>
                <w:sz w:val="21"/>
                <w:szCs w:val="21"/>
                <w:highlight w:val="none"/>
              </w:rPr>
              <w:t>否则不得享受相关中小企业扶持政策</w:t>
            </w:r>
            <w:r>
              <w:rPr>
                <w:rFonts w:hint="eastAsia" w:ascii="宋体" w:hAnsi="宋体" w:eastAsia="宋体" w:cs="宋体"/>
                <w:color w:val="auto"/>
                <w:sz w:val="21"/>
                <w:szCs w:val="21"/>
                <w:highlight w:val="none"/>
              </w:rPr>
              <w:t>。本项目不</w:t>
            </w:r>
            <w:r>
              <w:rPr>
                <w:rFonts w:hint="eastAsia" w:ascii="宋体" w:hAnsi="宋体" w:eastAsia="宋体" w:cs="宋体"/>
                <w:color w:val="auto"/>
                <w:spacing w:val="-1"/>
                <w:sz w:val="21"/>
                <w:szCs w:val="21"/>
                <w:highlight w:val="none"/>
              </w:rPr>
              <w:t>要求供应商提供《中小企业声明函》之外的中小企业身份证明文件。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39</w:t>
            </w:r>
          </w:p>
        </w:tc>
        <w:tc>
          <w:tcPr>
            <w:tcW w:w="1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采购人是否允许分包</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 xml:space="preserve">√ </w:t>
            </w:r>
            <w:r>
              <w:rPr>
                <w:rFonts w:hint="eastAsia" w:ascii="宋体" w:hAnsi="宋体" w:eastAsia="宋体" w:cs="宋体"/>
                <w:b/>
                <w:bCs/>
                <w:color w:val="auto"/>
                <w:sz w:val="21"/>
                <w:szCs w:val="21"/>
                <w:highlight w:val="none"/>
              </w:rPr>
              <w:t>同意将非主体、非关键性的工作分包，供应商拟将本项目进行分包又符合价格优惠政策的，应在投标文件中提供分包意向协议，否则不予享受价格优惠政策。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 xml:space="preserve"> </w:t>
            </w:r>
            <w:r>
              <w:rPr>
                <w:rFonts w:hint="eastAsia" w:ascii="宋体" w:hAnsi="宋体" w:eastAsia="宋体" w:cs="宋体"/>
                <w:color w:val="auto"/>
                <w:sz w:val="21"/>
                <w:szCs w:val="21"/>
                <w:highlight w:val="none"/>
              </w:rPr>
              <w:t>不同意分包。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48" w:type="dxa"/>
            <w:vMerge w:val="restart"/>
            <w:tcBorders>
              <w:top w:val="single" w:color="auto" w:sz="6" w:space="0"/>
              <w:left w:val="doub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40</w:t>
            </w:r>
          </w:p>
        </w:tc>
        <w:tc>
          <w:tcPr>
            <w:tcW w:w="1729" w:type="dxa"/>
            <w:vMerge w:val="restar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投标人信用信息事项</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信用信息查询渠道及截止时间：采购代理机构将通过“信用中国”网站（www.creditchina.gov.cn</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、中国政府采购网（www.ccgp.gov.cn）等渠道查询投标人投标截止时间当天的信用记录。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hint="eastAsia" w:ascii="宋体" w:hAnsi="宋体" w:eastAsia="宋体" w:cs="宋体"/>
                <w:snapToGrid w:val="0"/>
                <w:color w:val="auto"/>
                <w:kern w:val="0"/>
                <w:sz w:val="21"/>
                <w:szCs w:val="21"/>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snapToGrid w:val="0"/>
                <w:color w:val="auto"/>
                <w:kern w:val="0"/>
                <w:sz w:val="21"/>
                <w:szCs w:val="21"/>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hint="eastAsia" w:ascii="宋体" w:hAnsi="宋体" w:eastAsia="宋体" w:cs="宋体"/>
                <w:snapToGrid w:val="0"/>
                <w:color w:val="auto"/>
                <w:kern w:val="0"/>
                <w:sz w:val="21"/>
                <w:szCs w:val="21"/>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snapToGrid w:val="0"/>
                <w:color w:val="auto"/>
                <w:kern w:val="0"/>
                <w:sz w:val="21"/>
                <w:szCs w:val="21"/>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信用信息的使用规则：经查询列入失信被执行人名单、重大税收违法案件当事人名单、政府采购严重违法失信行为记录名单的投标人的投标文件将被拒绝。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tcBorders>
              <w:top w:val="single" w:color="auto" w:sz="6" w:space="0"/>
              <w:left w:val="double" w:color="auto" w:sz="4" w:space="0"/>
              <w:bottom w:val="single" w:color="auto" w:sz="6" w:space="0"/>
              <w:right w:val="single" w:color="auto" w:sz="6" w:space="0"/>
            </w:tcBorders>
            <w:noWrap w:val="0"/>
            <w:vAlign w:val="center"/>
          </w:tcPr>
          <w:p>
            <w:pPr>
              <w:widowControl/>
              <w:jc w:val="left"/>
              <w:rPr>
                <w:rFonts w:hint="eastAsia" w:ascii="宋体" w:hAnsi="宋体" w:eastAsia="宋体" w:cs="宋体"/>
                <w:snapToGrid w:val="0"/>
                <w:color w:val="auto"/>
                <w:kern w:val="0"/>
                <w:sz w:val="21"/>
                <w:szCs w:val="21"/>
                <w:highlight w:val="none"/>
              </w:rPr>
            </w:pPr>
          </w:p>
        </w:tc>
        <w:tc>
          <w:tcPr>
            <w:tcW w:w="172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snapToGrid w:val="0"/>
                <w:color w:val="auto"/>
                <w:kern w:val="0"/>
                <w:sz w:val="21"/>
                <w:szCs w:val="21"/>
                <w:highlight w:val="none"/>
              </w:rPr>
            </w:pP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noWrap w:val="0"/>
            <w:vAlign w:val="center"/>
          </w:tcPr>
          <w:p>
            <w:pPr>
              <w:widowControl/>
              <w:jc w:val="center"/>
              <w:rPr>
                <w:rFonts w:hint="eastAsia" w:ascii="宋体" w:hAnsi="宋体" w:eastAsia="宋体" w:cs="宋体"/>
                <w:snapToGrid w:val="0"/>
                <w:color w:val="auto"/>
                <w:kern w:val="0"/>
                <w:sz w:val="21"/>
                <w:szCs w:val="21"/>
                <w:highlight w:val="none"/>
              </w:rPr>
            </w:pPr>
            <w:bookmarkStart w:id="43" w:name="_Toc240450076"/>
            <w:bookmarkStart w:id="44" w:name="_Toc251566649"/>
            <w:r>
              <w:rPr>
                <w:rFonts w:hint="eastAsia" w:ascii="宋体" w:hAnsi="宋体" w:eastAsia="宋体" w:cs="宋体"/>
                <w:snapToGrid w:val="0"/>
                <w:color w:val="auto"/>
                <w:kern w:val="0"/>
                <w:sz w:val="21"/>
                <w:szCs w:val="21"/>
                <w:highlight w:val="none"/>
              </w:rPr>
              <w:t>41</w:t>
            </w:r>
          </w:p>
        </w:tc>
        <w:tc>
          <w:tcPr>
            <w:tcW w:w="172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2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联合体投标说明</w:t>
            </w:r>
          </w:p>
        </w:tc>
        <w:tc>
          <w:tcPr>
            <w:tcW w:w="6809"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2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1.业绩证明材料</w:t>
            </w:r>
          </w:p>
          <w:p>
            <w:pPr>
              <w:adjustRightInd w:val="0"/>
              <w:snapToGrid w:val="0"/>
              <w:spacing w:line="32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联合体投标的，按联合体协议约定的分工内容出具相应的业绩证明材料。承担相同工作的各方或工作内容存在部分相同的，业绩数量以提供材料较少的一方为准。</w:t>
            </w:r>
          </w:p>
          <w:p>
            <w:pPr>
              <w:adjustRightInd w:val="0"/>
              <w:snapToGrid w:val="0"/>
              <w:spacing w:line="32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2.其他资信证明材料</w:t>
            </w:r>
          </w:p>
          <w:p>
            <w:pPr>
              <w:adjustRightInd w:val="0"/>
              <w:snapToGrid w:val="0"/>
              <w:spacing w:line="32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联合体投标的，联合体各方均需按招标文件第五部分评标标准要求提供资信证明文件，否则视为不符合相关要求。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double" w:color="auto" w:sz="4" w:space="0"/>
              <w:right w:val="single" w:color="auto" w:sz="6"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729"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snapToGrid w:val="0"/>
                <w:color w:val="auto"/>
                <w:kern w:val="0"/>
                <w:sz w:val="21"/>
                <w:szCs w:val="21"/>
                <w:highlight w:val="none"/>
              </w:rPr>
              <w:t>其他</w:t>
            </w:r>
          </w:p>
        </w:tc>
        <w:tc>
          <w:tcPr>
            <w:tcW w:w="6809" w:type="dxa"/>
            <w:tcBorders>
              <w:top w:val="single" w:color="auto" w:sz="6" w:space="0"/>
              <w:left w:val="single" w:color="auto" w:sz="6" w:space="0"/>
              <w:bottom w:val="double" w:color="auto" w:sz="4" w:space="0"/>
              <w:right w:val="double" w:color="auto" w:sz="4" w:space="0"/>
            </w:tcBorders>
            <w:noWrap w:val="0"/>
            <w:vAlign w:val="center"/>
          </w:tcPr>
          <w:p>
            <w:pPr>
              <w:adjustRightInd w:val="0"/>
              <w:snapToGrid w:val="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1.采购文件中凡标注“▲”的条款均为实质性要求，不响应的投标文件将作无效标处理。</w:t>
            </w:r>
          </w:p>
          <w:p>
            <w:pPr>
              <w:adjustRightInd w:val="0"/>
              <w:snapToGrid w:val="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2.供应商未上传电子加密投标文件，其投标无效。</w:t>
            </w:r>
          </w:p>
          <w:p>
            <w:pPr>
              <w:adjustRightInd w:val="0"/>
              <w:snapToGrid w:val="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3.供应商上传了电子加密投标文件，未提供备份投标文件，解密出现问题后，由此导致对该供应商投标无法评审的，其后果由该供应商自行承担。</w:t>
            </w:r>
          </w:p>
          <w:p>
            <w:pPr>
              <w:adjustRightInd w:val="0"/>
              <w:snapToGrid w:val="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4.各供应商自行在浙江政府采购网下载或查阅采购文件和相关更正公告等，不另行通知，如有遗漏采购人、采购代理机构概不负责。</w:t>
            </w:r>
          </w:p>
          <w:p>
            <w:pPr>
              <w:adjustRightInd w:val="0"/>
              <w:snapToGrid w:val="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5.两家或两家以上供应商提供的投标文件出自同一终端设备的，或在相同Internet主机分配地址（相同IP地址）报名或网上投标的，后果由供应商自行承担。</w:t>
            </w:r>
          </w:p>
        </w:tc>
      </w:tr>
    </w:tbl>
    <w:p>
      <w:pPr>
        <w:ind w:firstLine="420" w:firstLineChars="200"/>
        <w:rPr>
          <w:rFonts w:ascii="宋体" w:hAnsi="宋体" w:cs="宋体"/>
          <w:color w:val="auto"/>
          <w:szCs w:val="21"/>
          <w:highlight w:val="none"/>
        </w:rPr>
      </w:pPr>
      <w:r>
        <w:rPr>
          <w:rFonts w:hint="eastAsia" w:ascii="宋体" w:hAnsi="宋体" w:cs="宋体"/>
          <w:color w:val="auto"/>
          <w:szCs w:val="21"/>
          <w:highlight w:val="none"/>
        </w:rPr>
        <w:t>注：以上内容如有变化将另行公告通知。如通知其中某一内容发生变化，其余未提及的将不作变动，采购文件其他内容与本表内容要求不一致的，以本表内容为准。</w:t>
      </w:r>
    </w:p>
    <w:p>
      <w:pPr>
        <w:adjustRightInd w:val="0"/>
        <w:snapToGrid w:val="0"/>
        <w:spacing w:before="166" w:beforeLines="50" w:after="166" w:afterLines="50"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br w:type="page"/>
      </w:r>
      <w:bookmarkStart w:id="45" w:name="_Toc25288"/>
      <w:bookmarkStart w:id="46" w:name="_Toc27825"/>
      <w:bookmarkStart w:id="47" w:name="_Toc2654"/>
      <w:bookmarkStart w:id="48" w:name="_Toc7321"/>
      <w:bookmarkStart w:id="49" w:name="_Toc2187"/>
      <w:bookmarkStart w:id="50" w:name="_Toc28379"/>
      <w:r>
        <w:rPr>
          <w:rFonts w:hint="eastAsia" w:ascii="宋体" w:hAnsi="宋体" w:cs="宋体"/>
          <w:b/>
          <w:color w:val="auto"/>
          <w:sz w:val="30"/>
          <w:szCs w:val="30"/>
          <w:highlight w:val="none"/>
        </w:rPr>
        <w:t>第二部分  投标须知</w:t>
      </w:r>
      <w:bookmarkEnd w:id="43"/>
      <w:bookmarkEnd w:id="44"/>
      <w:bookmarkEnd w:id="45"/>
      <w:bookmarkEnd w:id="46"/>
      <w:bookmarkEnd w:id="47"/>
      <w:bookmarkEnd w:id="48"/>
      <w:bookmarkEnd w:id="49"/>
      <w:bookmarkEnd w:id="50"/>
    </w:p>
    <w:p>
      <w:pPr>
        <w:pStyle w:val="3"/>
        <w:snapToGrid w:val="0"/>
        <w:spacing w:before="0" w:after="0" w:line="360" w:lineRule="auto"/>
        <w:ind w:firstLine="422"/>
        <w:rPr>
          <w:rFonts w:ascii="宋体" w:hAnsi="宋体" w:eastAsia="宋体"/>
          <w:color w:val="auto"/>
          <w:sz w:val="21"/>
          <w:szCs w:val="21"/>
          <w:highlight w:val="none"/>
        </w:rPr>
      </w:pPr>
      <w:bookmarkStart w:id="51" w:name="_Toc20774"/>
      <w:bookmarkStart w:id="52" w:name="_Toc4430"/>
      <w:bookmarkStart w:id="53" w:name="_Toc12000"/>
      <w:bookmarkStart w:id="54" w:name="_Toc8738"/>
      <w:bookmarkStart w:id="55" w:name="_Toc22479"/>
      <w:bookmarkStart w:id="56" w:name="_Toc251566650"/>
      <w:bookmarkStart w:id="57" w:name="_Toc240450077"/>
      <w:bookmarkStart w:id="58" w:name="_Toc19191"/>
      <w:r>
        <w:rPr>
          <w:rFonts w:hint="eastAsia" w:ascii="宋体" w:hAnsi="宋体" w:eastAsia="宋体"/>
          <w:color w:val="auto"/>
          <w:sz w:val="21"/>
          <w:szCs w:val="21"/>
          <w:highlight w:val="none"/>
        </w:rPr>
        <w:t>一、总则</w:t>
      </w:r>
      <w:bookmarkEnd w:id="51"/>
      <w:bookmarkEnd w:id="52"/>
      <w:bookmarkEnd w:id="53"/>
      <w:bookmarkEnd w:id="54"/>
      <w:bookmarkEnd w:id="55"/>
      <w:bookmarkEnd w:id="56"/>
      <w:bookmarkEnd w:id="57"/>
      <w:bookmarkEnd w:id="58"/>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本次招标工作是按照《中华人民共和国政府采购法》、《中华人民共和国政府采购法实施条例》、《政府采购货物和服务招标投标管理办法》等相关法律法规组织和实施，并接受政府采购监督管理部门的监督。</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1．适用范围</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本采购文件仅适用于本次招标项目。</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 本项目采购方式为公开招标。</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 投标须知为采购文件的通用条款，如通用条款与前附表、用户需求、合同条款等特定条款不一致的，请按特定条款执行。</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2．定义</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2.1“采购人”系指</w:t>
      </w:r>
      <w:r>
        <w:rPr>
          <w:rFonts w:hint="eastAsia" w:ascii="宋体" w:hAnsi="宋体" w:cs="宋体"/>
          <w:snapToGrid w:val="0"/>
          <w:color w:val="auto"/>
          <w:kern w:val="0"/>
          <w:szCs w:val="21"/>
          <w:highlight w:val="none"/>
          <w:lang w:eastAsia="zh-CN"/>
        </w:rPr>
        <w:t>浙江省统计局</w:t>
      </w:r>
      <w:r>
        <w:rPr>
          <w:rFonts w:hint="eastAsia" w:ascii="宋体" w:hAnsi="宋体" w:cs="宋体"/>
          <w:color w:val="auto"/>
          <w:szCs w:val="21"/>
          <w:highlight w:val="none"/>
        </w:rPr>
        <w:t>（合同中的甲方）</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2.2“采购代理机构”系指浙江国际招投标有限公司</w:t>
      </w:r>
      <w:r>
        <w:rPr>
          <w:rFonts w:hint="eastAsia" w:ascii="宋体" w:hAnsi="宋体" w:cs="宋体"/>
          <w:color w:val="auto"/>
          <w:szCs w:val="21"/>
          <w:highlight w:val="none"/>
        </w:rPr>
        <w:t>（合同中的鉴证方）</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2.3“监督管理部门”系指浙江省财政厅政府采购监管处。</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2.4“投标人”系指响应本次招标，参加本次投标的独立法人。</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2.5“服务”系指采购文件或合同规定投标人须承担的服务以及其他类似的义务。</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2.6“实质性条款”系指采购文件条款前标注“▲”标识的条款。</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2.7“电子签章”系指本文件所提及电子签章系指各供应商通过CA锁对标书中对应内容进行签章，表明签名人认可其中的内容。</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2.8“公章”系指单位法定名称章。</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2.9官方指定网站公示的内容视为书面告知。</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2.10“√” 系指适用本项目的要求，“☐” 系指不适用本项目的要求。</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3．合格的投标人</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3.1合格的投标人，详见采购公告第二条规定的申请人的资格要求并经采购人或采购代理机构审查通过的。</w:t>
      </w:r>
    </w:p>
    <w:p>
      <w:pPr>
        <w:adjustRightInd w:val="0"/>
        <w:snapToGrid w:val="0"/>
        <w:spacing w:line="360" w:lineRule="auto"/>
        <w:ind w:firstLine="422" w:firstLineChars="200"/>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3.2对投标人的限制</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3.2.2为本项目提供过整体设计、规范编制或者项目管理、监理、检测等服务的供应商，不得再参加该采购项目的其他采购活动（其他采购活动不包括为该项目提供整体设计、规范编制或者项目管理、监理、检测等服务）；</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3.2.3以联合体形式参加政府采购活动的，联合体各方不得再单独参加或者与其他投标人另外组成联合体参加同一合同项下的政府采购活动</w:t>
      </w:r>
      <w:r>
        <w:rPr>
          <w:rFonts w:hint="eastAsia" w:ascii="宋体" w:hAnsi="宋体" w:cs="宋体"/>
          <w:color w:val="auto"/>
          <w:szCs w:val="21"/>
          <w:highlight w:val="none"/>
        </w:rPr>
        <w:t>，否则投标均无效</w:t>
      </w:r>
      <w:r>
        <w:rPr>
          <w:rFonts w:hint="eastAsia" w:ascii="宋体" w:hAnsi="宋体" w:cs="宋体"/>
          <w:snapToGrid w:val="0"/>
          <w:color w:val="auto"/>
          <w:kern w:val="0"/>
          <w:highlight w:val="none"/>
        </w:rPr>
        <w:t>；</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3.2.4为证明投标人拥有的业绩、荣誉、知识产权、项目案例等而在投标文件中提供的证明材料必须为投标人自身所有。不同法人、其他组织的资料与投标人无关。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3.2.5在政府采购活动中，采购人员及相关人员与供应商有下列利害关系之一的，应当回避：</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（一）参加采购活动前3年内与供应商存在劳动关系；</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（二）参加采购活动前3年内担任供应商的董事、监事；</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（三）参加采购活动前3年内是供应商的控股股东或者实际控制人；</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（四）与供应商的法定代表人或者负责人有夫妻、直系血亲、三代以内旁系血亲或者近姻亲关系；</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（五）与供应商有其他可能影响政府采购活动公平、公正进行的关系。</w:t>
      </w:r>
    </w:p>
    <w:p>
      <w:pPr>
        <w:adjustRightInd w:val="0"/>
        <w:snapToGrid w:val="0"/>
        <w:spacing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4．相关说明</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 投标费用</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投标人应承担其参加投标所涉及的一切费用，不管投标结果如何，采购人对这些费用不负任何责任。</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4.3投标人在投标活动中提供任何虚假材料，其投标无效，并报监管部门查处；中标后发现的，按《政府采购货物和服务招标投标管理办法》（财政部令第87号）相关规定承担相应的法律责任。</w:t>
      </w:r>
    </w:p>
    <w:p>
      <w:pPr>
        <w:pStyle w:val="3"/>
        <w:snapToGrid w:val="0"/>
        <w:spacing w:before="0" w:after="0" w:line="360" w:lineRule="auto"/>
        <w:ind w:firstLine="422"/>
        <w:rPr>
          <w:rFonts w:ascii="宋体" w:hAnsi="宋体" w:eastAsia="宋体"/>
          <w:color w:val="auto"/>
          <w:sz w:val="21"/>
          <w:szCs w:val="21"/>
          <w:highlight w:val="none"/>
        </w:rPr>
      </w:pPr>
      <w:bookmarkStart w:id="59" w:name="_Toc240450078"/>
      <w:bookmarkStart w:id="60" w:name="_Toc251566651"/>
      <w:bookmarkStart w:id="61" w:name="_Toc15451"/>
      <w:bookmarkStart w:id="62" w:name="_Toc27862"/>
      <w:bookmarkStart w:id="63" w:name="_Toc19787"/>
      <w:bookmarkStart w:id="64" w:name="_Toc31220"/>
      <w:bookmarkStart w:id="65" w:name="_Toc2045"/>
      <w:bookmarkStart w:id="66" w:name="_Toc29105"/>
      <w:r>
        <w:rPr>
          <w:rFonts w:hint="eastAsia" w:ascii="宋体" w:hAnsi="宋体" w:eastAsia="宋体"/>
          <w:color w:val="auto"/>
          <w:sz w:val="21"/>
          <w:szCs w:val="21"/>
          <w:highlight w:val="none"/>
        </w:rPr>
        <w:t>二、</w:t>
      </w:r>
      <w:bookmarkEnd w:id="59"/>
      <w:bookmarkEnd w:id="60"/>
      <w:r>
        <w:rPr>
          <w:rFonts w:hint="eastAsia" w:ascii="宋体" w:hAnsi="宋体" w:eastAsia="宋体"/>
          <w:color w:val="auto"/>
          <w:sz w:val="21"/>
          <w:szCs w:val="21"/>
          <w:highlight w:val="none"/>
        </w:rPr>
        <w:t>采购文件</w:t>
      </w:r>
      <w:bookmarkEnd w:id="61"/>
      <w:bookmarkEnd w:id="62"/>
      <w:bookmarkEnd w:id="63"/>
      <w:bookmarkEnd w:id="64"/>
      <w:bookmarkEnd w:id="65"/>
      <w:bookmarkEnd w:id="66"/>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5．采购文件构成</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5.1 本采购文件包括目录所示内容及所有按本须知第6、7条发出的补充资料。</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5.3 采购文件是招标过程进行的有效依据，也是中标后签订合同的依据，对双方均具有约束力，凡不遵守采购文件规定或对采购文件的实质性内容不响应的，将可能被拒绝或以无效标处理。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5.4 本采购文件由采购人或采购代理机构依据相关法律、法规、规章、省市规定及采购文件进行解释。</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6．采购文件的澄清</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6.1 投标人在获取采购文件后，若有问题需要澄清或认为有必要与采购人进行技术交流，应于前附表规定的时间前，将问题传真至0571-88473430，同时将问题发电子邮件至zq017@163.com（电子邮件与书面文件有不一致的，以书面文件为准）。截止期后的疑问将不予受理、答复。</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6.2 投标人要求解释或澄清的问题应以书面形式送达，并加盖公章、写明日期。</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6.3 所有要求解释或澄清的问题都予以解答，答疑内容与补充内容以更正（澄清）公告形式告知所有购买采购文件的投标人。</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7．采购文件的修改</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7.2 采购文件的修改将以更正（澄清）公告通知所有购买采购文件的投标人，并对其具有约束力。</w:t>
      </w:r>
      <w:r>
        <w:rPr>
          <w:rFonts w:hint="eastAsia" w:ascii="宋体" w:hAnsi="宋体" w:cs="宋体"/>
          <w:color w:val="auto"/>
          <w:highlight w:val="none"/>
        </w:rPr>
        <w:t>投标人应及时关注浙江政府采购网上该项目的公告信息</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7.3 在更正（澄清）公告发布后，如果投标人认为编制投标文件的时间不充分的，必须在公告发布之日的24小时内通知采购人和采购代理机构。否则，视同投标人有充足时间编制投标文件。</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7.6 采购文件的澄清、答复、修改或补充都应该通过本代理机构以法定形式发布，除此以外的发布不属于采购文件的组成部分。</w:t>
      </w:r>
    </w:p>
    <w:p>
      <w:pPr>
        <w:pStyle w:val="3"/>
        <w:snapToGrid w:val="0"/>
        <w:spacing w:before="0" w:after="0" w:line="360" w:lineRule="auto"/>
        <w:ind w:firstLine="422"/>
        <w:rPr>
          <w:rFonts w:ascii="宋体" w:hAnsi="宋体" w:eastAsia="宋体"/>
          <w:color w:val="auto"/>
          <w:sz w:val="21"/>
          <w:szCs w:val="21"/>
          <w:highlight w:val="none"/>
        </w:rPr>
      </w:pPr>
      <w:bookmarkStart w:id="67" w:name="_Toc31368"/>
      <w:bookmarkStart w:id="68" w:name="_Toc6975"/>
      <w:bookmarkStart w:id="69" w:name="_Toc240450079"/>
      <w:bookmarkStart w:id="70" w:name="_Toc5837"/>
      <w:bookmarkStart w:id="71" w:name="_Toc18386"/>
      <w:bookmarkStart w:id="72" w:name="_Toc18829"/>
      <w:bookmarkStart w:id="73" w:name="_Toc6668"/>
      <w:bookmarkStart w:id="74" w:name="_Toc251566652"/>
      <w:r>
        <w:rPr>
          <w:rFonts w:hint="eastAsia" w:ascii="宋体" w:hAnsi="宋体" w:eastAsia="宋体"/>
          <w:color w:val="auto"/>
          <w:sz w:val="21"/>
          <w:szCs w:val="21"/>
          <w:highlight w:val="none"/>
        </w:rPr>
        <w:t>三、投标文件的编制</w:t>
      </w:r>
      <w:bookmarkEnd w:id="67"/>
      <w:bookmarkEnd w:id="68"/>
      <w:bookmarkEnd w:id="69"/>
      <w:bookmarkEnd w:id="70"/>
      <w:bookmarkEnd w:id="71"/>
      <w:bookmarkEnd w:id="72"/>
      <w:bookmarkEnd w:id="73"/>
      <w:bookmarkEnd w:id="74"/>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8．投标文件的语言、计量单位、形式及效力</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8.1语言及计量单位</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8.1.2 除采购文件另有规定外，投标文件所使用的计量单位，均须采用中华人民共和国法定计量单位，否则视同未响应。</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8.2投标文件的形式和效力</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8.2.1投标文件为电子投标文件，电子投标文件按“政采云供应商项目采购－电子招投标操作指南”及本采购文件要求制作、加密传输。</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8.2.2投标文件未在投标截止时间前完成传输的，视为未按时递交投标文件；投标文件未按时解密，视为投标文件撤回。</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9．投标文件构成</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投标人向采购人递交的投标文件均由</w:t>
      </w:r>
      <w:r>
        <w:rPr>
          <w:rFonts w:hint="eastAsia" w:ascii="宋体" w:hAnsi="宋体" w:cs="宋体"/>
          <w:b/>
          <w:bCs/>
          <w:snapToGrid w:val="0"/>
          <w:color w:val="auto"/>
          <w:kern w:val="0"/>
          <w:szCs w:val="21"/>
          <w:highlight w:val="none"/>
        </w:rPr>
        <w:t>资格响应文件、商务技术响应文件、报价响应文件</w:t>
      </w:r>
      <w:r>
        <w:rPr>
          <w:rFonts w:hint="eastAsia" w:ascii="宋体" w:hAnsi="宋体" w:cs="宋体"/>
          <w:snapToGrid w:val="0"/>
          <w:color w:val="auto"/>
          <w:kern w:val="0"/>
          <w:szCs w:val="21"/>
          <w:highlight w:val="none"/>
        </w:rPr>
        <w:t>组成，具体内容如下：</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9.1资格响应文件</w:t>
      </w:r>
    </w:p>
    <w:p>
      <w:pPr>
        <w:tabs>
          <w:tab w:val="left" w:pos="720"/>
        </w:tabs>
        <w:adjustRightInd w:val="0"/>
        <w:snapToGrid w:val="0"/>
        <w:spacing w:line="360" w:lineRule="auto"/>
        <w:ind w:left="420"/>
        <w:jc w:val="left"/>
        <w:rPr>
          <w:rFonts w:ascii="宋体" w:hAnsi="宋体" w:cs="宋体"/>
          <w:b/>
          <w:snapToGrid w:val="0"/>
          <w:color w:val="auto"/>
          <w:kern w:val="0"/>
          <w:szCs w:val="21"/>
          <w:highlight w:val="none"/>
        </w:rPr>
      </w:pPr>
      <w:r>
        <w:rPr>
          <w:rFonts w:hint="eastAsia" w:ascii="宋体" w:hAnsi="宋体" w:cs="宋体"/>
          <w:b/>
          <w:snapToGrid w:val="0"/>
          <w:color w:val="auto"/>
          <w:kern w:val="0"/>
          <w:highlight w:val="none"/>
        </w:rPr>
        <w:t>（1）</w:t>
      </w:r>
      <w:r>
        <w:rPr>
          <w:rFonts w:hint="eastAsia" w:ascii="宋体" w:hAnsi="宋体" w:cs="宋体"/>
          <w:b/>
          <w:snapToGrid w:val="0"/>
          <w:color w:val="auto"/>
          <w:kern w:val="0"/>
          <w:szCs w:val="21"/>
          <w:highlight w:val="none"/>
        </w:rPr>
        <w:t>基本资格条件：符合《中华人民共和国政府采购法》第二十二条的规定；</w:t>
      </w:r>
    </w:p>
    <w:p>
      <w:pPr>
        <w:tabs>
          <w:tab w:val="left" w:pos="720"/>
        </w:tabs>
        <w:adjustRightInd w:val="0"/>
        <w:snapToGrid w:val="0"/>
        <w:spacing w:line="360" w:lineRule="auto"/>
        <w:ind w:firstLine="422" w:firstLineChars="20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各投标人须在投标文件中出具对应证明材料（商业信誉可提前自查，投标文件中可不提供）。</w:t>
      </w:r>
    </w:p>
    <w:p>
      <w:pPr>
        <w:pStyle w:val="24"/>
        <w:numPr>
          <w:ilvl w:val="0"/>
          <w:numId w:val="4"/>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color w:val="auto"/>
          <w:sz w:val="21"/>
          <w:szCs w:val="21"/>
          <w:highlight w:val="none"/>
        </w:rPr>
      </w:pPr>
      <w:r>
        <w:rPr>
          <w:rFonts w:hint="eastAsia" w:ascii="宋体" w:hAnsi="宋体" w:cs="宋体"/>
          <w:b/>
          <w:bCs/>
          <w:color w:val="auto"/>
          <w:sz w:val="21"/>
          <w:szCs w:val="21"/>
          <w:highlight w:val="none"/>
        </w:rPr>
        <w:t>具有独立承担民事责任的能力（如为联合体投标人的，联合体各方均须提供）</w:t>
      </w:r>
    </w:p>
    <w:p>
      <w:pPr>
        <w:pStyle w:val="24"/>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投标人须在投标文件中出具符合以下情况的证明材料复印件（五选一）：</w:t>
      </w:r>
    </w:p>
    <w:p>
      <w:pPr>
        <w:pStyle w:val="24"/>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如投标人是企业（包括合伙企业），提供在工商部门注册的有效“企业法人营业执照”或“营业执照”；</w:t>
      </w:r>
    </w:p>
    <w:p>
      <w:pPr>
        <w:pStyle w:val="24"/>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如投标人是事业单位，提供有效的“事业单位法人证书”；</w:t>
      </w:r>
    </w:p>
    <w:p>
      <w:pPr>
        <w:pStyle w:val="24"/>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如投标人是非企业专业服务机构的，提供执业许可证等证明文件；</w:t>
      </w:r>
    </w:p>
    <w:p>
      <w:pPr>
        <w:pStyle w:val="24"/>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如投标人是个体工商户，提供有效的“个体工商户营业执照”；</w:t>
      </w:r>
    </w:p>
    <w:p>
      <w:pPr>
        <w:pStyle w:val="24"/>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如投标人是自然人，提供有效的自然人身份证明（居民身份证正反面或公安机关出具的临时居民身份证正反面或港澳台胞证或护照）。</w:t>
      </w:r>
    </w:p>
    <w:p>
      <w:pPr>
        <w:pStyle w:val="24"/>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分公司经总公司授权后，可以以分公司的名义参加政府采购活动，可以提供总公司或分公司的营业执照、财务报表、纳税证明等材料，可以使用总公司的相关业绩和资质，但其民事责任由总公司承担。同一总公司下的两家分公司不能同时参与一个采购项目投标。中标后，应当和总公司签订政府采购合同。</w:t>
      </w:r>
    </w:p>
    <w:p>
      <w:pPr>
        <w:pStyle w:val="24"/>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对于某些具有垄断性质的特殊行业或企业，例如银行、保险、电信、邮政、铁路等行业，其总公司为了方便分公司在全国开展业务，采用公司文件或公司制度的形式授权其分公司独立开展业务，其民事责任由总公司承担。在此情况下，不要求分公司出具总公司的授权，出具总公司的有关文件或制度等能够证明总公司授权其独立开展业务的证明即可。投标文件中法定代表人身份证明书及授权书可以为分支机构负责人身份证明书及授权书。</w:t>
      </w:r>
    </w:p>
    <w:p>
      <w:pPr>
        <w:pStyle w:val="24"/>
        <w:numPr>
          <w:ilvl w:val="0"/>
          <w:numId w:val="4"/>
        </w:numPr>
        <w:tabs>
          <w:tab w:val="left" w:pos="630"/>
          <w:tab w:val="left" w:pos="840"/>
          <w:tab w:val="left" w:pos="1050"/>
        </w:tabs>
        <w:adjustRightInd w:val="0"/>
        <w:snapToGrid w:val="0"/>
        <w:spacing w:before="0" w:beforeAutospacing="0" w:after="0" w:afterAutospacing="0" w:line="360" w:lineRule="auto"/>
        <w:ind w:left="5" w:firstLine="415"/>
        <w:rPr>
          <w:rFonts w:ascii="宋体" w:hAnsi="宋体" w:cs="宋体"/>
          <w:b/>
          <w:bCs/>
          <w:color w:val="auto"/>
          <w:sz w:val="21"/>
          <w:szCs w:val="21"/>
          <w:highlight w:val="none"/>
        </w:rPr>
      </w:pPr>
      <w:r>
        <w:rPr>
          <w:rFonts w:hint="eastAsia" w:ascii="宋体" w:hAnsi="宋体" w:cs="宋体"/>
          <w:b/>
          <w:bCs/>
          <w:color w:val="auto"/>
          <w:sz w:val="21"/>
          <w:szCs w:val="21"/>
          <w:highlight w:val="none"/>
        </w:rPr>
        <w:t>符合参与政府采购活动资格条件（如为联合体投标人的，联合体各方均须提供）</w:t>
      </w:r>
    </w:p>
    <w:p>
      <w:pPr>
        <w:pStyle w:val="24"/>
        <w:tabs>
          <w:tab w:val="left" w:pos="630"/>
          <w:tab w:val="left" w:pos="840"/>
          <w:tab w:val="left" w:pos="1050"/>
        </w:tabs>
        <w:adjustRightInd w:val="0"/>
        <w:snapToGrid w:val="0"/>
        <w:spacing w:before="0" w:beforeAutospacing="0" w:after="0" w:afterAutospacing="0"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rPr>
        <w:t>投标人须出具符合参与政府采购活动资格条件的承诺函（参考格式见本文件第六部分）；</w:t>
      </w:r>
    </w:p>
    <w:p>
      <w:pPr>
        <w:pStyle w:val="24"/>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特别说明：已完成信用修复的“缴纳税收和社会保障等方面的失信记录”不包含在《承诺函》第3点所述情形内（属于重大违法记录情形的除外）。</w:t>
      </w:r>
    </w:p>
    <w:p>
      <w:pPr>
        <w:adjustRightInd w:val="0"/>
        <w:snapToGrid w:val="0"/>
        <w:spacing w:line="360" w:lineRule="auto"/>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bCs/>
          <w:color w:val="auto"/>
          <w:kern w:val="0"/>
          <w:szCs w:val="21"/>
          <w:highlight w:val="none"/>
        </w:rPr>
        <w:t>（2）落实政府采购政策需满足的资格要求（如为联合体投标人的，联合体各方均须提供）：</w:t>
      </w:r>
      <w:r>
        <w:rPr>
          <w:rFonts w:hint="eastAsia" w:ascii="宋体" w:hAnsi="宋体" w:eastAsia="宋体" w:cs="宋体"/>
          <w:b/>
          <w:bCs/>
          <w:color w:val="auto"/>
          <w:kern w:val="0"/>
          <w:szCs w:val="21"/>
          <w:highlight w:val="none"/>
          <w:lang w:val="en-US" w:eastAsia="zh-CN"/>
        </w:rPr>
        <w:t>无</w:t>
      </w:r>
      <w:r>
        <w:rPr>
          <w:rFonts w:hint="eastAsia" w:ascii="宋体" w:hAnsi="宋体" w:eastAsia="宋体" w:cs="宋体"/>
          <w:b/>
          <w:bCs/>
          <w:color w:val="auto"/>
          <w:kern w:val="0"/>
          <w:szCs w:val="21"/>
          <w:highlight w:val="none"/>
        </w:rPr>
        <w:t>。</w:t>
      </w:r>
    </w:p>
    <w:p>
      <w:pPr>
        <w:widowControl/>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（3）特定资格条件证明材料</w:t>
      </w:r>
      <w:r>
        <w:rPr>
          <w:rFonts w:hint="eastAsia" w:ascii="宋体" w:hAnsi="宋体" w:cs="宋体"/>
          <w:b/>
          <w:bCs/>
          <w:color w:val="auto"/>
          <w:kern w:val="0"/>
          <w:szCs w:val="21"/>
          <w:highlight w:val="none"/>
        </w:rPr>
        <w:t>（如为联合体投标人的，联合体各方均须提供）</w:t>
      </w:r>
      <w:r>
        <w:rPr>
          <w:rFonts w:hint="eastAsia" w:ascii="宋体" w:hAnsi="宋体" w:cs="宋体"/>
          <w:b/>
          <w:bCs/>
          <w:color w:val="auto"/>
          <w:szCs w:val="21"/>
          <w:highlight w:val="none"/>
        </w:rPr>
        <w:t>：</w:t>
      </w:r>
      <w:r>
        <w:rPr>
          <w:rFonts w:hint="eastAsia" w:ascii="宋体" w:hAnsi="宋体" w:cs="宋体"/>
          <w:b w:val="0"/>
          <w:bCs w:val="0"/>
          <w:color w:val="auto"/>
          <w:szCs w:val="21"/>
          <w:highlight w:val="none"/>
        </w:rPr>
        <w:t>无。</w:t>
      </w:r>
    </w:p>
    <w:p>
      <w:pPr>
        <w:autoSpaceDE w:val="0"/>
        <w:autoSpaceDN w:val="0"/>
        <w:adjustRightInd w:val="0"/>
        <w:snapToGrid w:val="0"/>
        <w:spacing w:line="360" w:lineRule="auto"/>
        <w:ind w:firstLine="422" w:firstLineChars="200"/>
        <w:textAlignment w:val="bottom"/>
        <w:rPr>
          <w:rFonts w:ascii="宋体" w:hAnsi="宋体" w:cs="宋体"/>
          <w:bCs/>
          <w:color w:val="auto"/>
          <w:szCs w:val="21"/>
          <w:highlight w:val="none"/>
        </w:rPr>
      </w:pPr>
      <w:r>
        <w:rPr>
          <w:rFonts w:hint="eastAsia" w:ascii="宋体" w:hAnsi="宋体" w:cs="宋体"/>
          <w:b/>
          <w:color w:val="auto"/>
          <w:szCs w:val="21"/>
          <w:highlight w:val="none"/>
        </w:rPr>
        <w:t>（4）联合体协议（如为联合体投标的必须提供）</w:t>
      </w:r>
      <w:r>
        <w:rPr>
          <w:rFonts w:hint="eastAsia" w:ascii="宋体" w:hAnsi="宋体" w:cs="宋体"/>
          <w:color w:val="auto"/>
          <w:szCs w:val="21"/>
          <w:highlight w:val="none"/>
        </w:rPr>
        <w:t>（参考格式见本文件第六部分）</w:t>
      </w:r>
      <w:r>
        <w:rPr>
          <w:rFonts w:hint="eastAsia" w:ascii="宋体" w:hAnsi="宋体" w:cs="宋体"/>
          <w:bCs/>
          <w:color w:val="auto"/>
          <w:szCs w:val="21"/>
          <w:highlight w:val="none"/>
        </w:rPr>
        <w:t>；</w:t>
      </w:r>
    </w:p>
    <w:p>
      <w:pPr>
        <w:autoSpaceDE w:val="0"/>
        <w:autoSpaceDN w:val="0"/>
        <w:adjustRightInd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联合体投标的，联合体各方均应满足资格条件的要求并提供相应证明材料，否则无效。</w:t>
      </w:r>
    </w:p>
    <w:p>
      <w:pPr>
        <w:tabs>
          <w:tab w:val="left" w:pos="720"/>
        </w:tabs>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（5）投标人认为需要提供的其它资格响应相关文件及资料（如有）。</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上述资格证明文件是采购人、采购代理机构对投标人资格进行合格性审查的评审依据，投标人应上传上述资料。未按要求出具上述证明材料或出具的证明材料不完整的，资格性审查均不予通过。</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9.2 商务技术响应文件</w:t>
      </w:r>
    </w:p>
    <w:p>
      <w:pPr>
        <w:tabs>
          <w:tab w:val="left" w:pos="720"/>
        </w:tabs>
        <w:adjustRightInd w:val="0"/>
        <w:snapToGrid w:val="0"/>
        <w:spacing w:line="360" w:lineRule="auto"/>
        <w:ind w:left="42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9.2.1</w:t>
      </w:r>
      <w:r>
        <w:rPr>
          <w:rFonts w:hint="eastAsia" w:ascii="宋体" w:hAnsi="宋体" w:cs="宋体"/>
          <w:b/>
          <w:bCs/>
          <w:color w:val="auto"/>
          <w:szCs w:val="21"/>
          <w:highlight w:val="none"/>
        </w:rPr>
        <w:t>商务技术响应文件封面；</w:t>
      </w:r>
    </w:p>
    <w:p>
      <w:pPr>
        <w:tabs>
          <w:tab w:val="left" w:pos="720"/>
        </w:tabs>
        <w:adjustRightInd w:val="0"/>
        <w:snapToGrid w:val="0"/>
        <w:spacing w:line="360" w:lineRule="auto"/>
        <w:ind w:left="42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9.2.2</w:t>
      </w:r>
      <w:r>
        <w:rPr>
          <w:rFonts w:hint="eastAsia" w:ascii="宋体" w:hAnsi="宋体" w:cs="宋体"/>
          <w:b/>
          <w:bCs/>
          <w:color w:val="auto"/>
          <w:szCs w:val="21"/>
          <w:highlight w:val="none"/>
        </w:rPr>
        <w:t>商务技术响应文件目录；</w:t>
      </w:r>
    </w:p>
    <w:p>
      <w:pPr>
        <w:pStyle w:val="11"/>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9.2.3评分索引表；</w:t>
      </w:r>
    </w:p>
    <w:p>
      <w:pPr>
        <w:pStyle w:val="11"/>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9.2.4商务部分</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投标函；</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投标一览表；</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针对本项目的服务清单（不含价格）；</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投标人基本情况表；</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授权委托书，同时须附授权委托人的有效身份证复印件；</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政府采购供应商廉洁自律承诺书；</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snapToGrid w:val="0"/>
          <w:color w:val="auto"/>
          <w:kern w:val="0"/>
          <w:szCs w:val="21"/>
          <w:highlight w:val="none"/>
        </w:rPr>
        <w:t>廉政承诺书；</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投标人拥有的其它资质、荣誉证书（如有，出具复印件加盖公章）；</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color w:val="auto"/>
          <w:szCs w:val="21"/>
          <w:highlight w:val="none"/>
        </w:rPr>
        <w:t>投标人业绩一览表（由投标人根据自身情况提供，如评标细则及标准中有业绩评分对应要求，请按照评标细则及标准中业绩评分对应要求提供相应业绩情况和对应证明材料）</w:t>
      </w:r>
      <w:r>
        <w:rPr>
          <w:rFonts w:hint="eastAsia" w:ascii="宋体" w:hAnsi="宋体" w:cs="宋体"/>
          <w:bCs/>
          <w:color w:val="auto"/>
          <w:szCs w:val="21"/>
          <w:highlight w:val="none"/>
        </w:rPr>
        <w:t>；</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商务条款偏离表；</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highlight w:val="none"/>
        </w:rPr>
      </w:pPr>
      <w:r>
        <w:rPr>
          <w:rFonts w:hint="eastAsia" w:ascii="宋体" w:hAnsi="宋体" w:cs="宋体"/>
          <w:bCs/>
          <w:color w:val="auto"/>
          <w:szCs w:val="21"/>
          <w:highlight w:val="none"/>
        </w:rPr>
        <w:t>投标人认为需要提供的其它商务文件及资料（如有）。</w:t>
      </w:r>
    </w:p>
    <w:p>
      <w:pPr>
        <w:pStyle w:val="11"/>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9.2.5技术部分</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投标人对本项目现状及需求分析；</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投标人针对本项目投标的系统总体架构及各模块情况；</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投标人针对本项目的详细的系统方案（包括产品详细功能及技术参数说明）；</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 xml:space="preserve">投标人针对本项目的技术服务及支持方案（包括试运行期间）； </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投标人针对本项目的项目组织管理方案；</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投标人针对本项目的项目技术力量配备情况表；</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投标人针对本项目的实施进度表和进度保证措施及方案；</w:t>
      </w:r>
    </w:p>
    <w:p>
      <w:pPr>
        <w:numPr>
          <w:ilvl w:val="0"/>
          <w:numId w:val="7"/>
        </w:numPr>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投标人针对本项目的保证产品质量的技术力量及技术措施；</w:t>
      </w:r>
    </w:p>
    <w:p>
      <w:pPr>
        <w:numPr>
          <w:ilvl w:val="0"/>
          <w:numId w:val="7"/>
        </w:numPr>
        <w:adjustRightInd w:val="0"/>
        <w:snapToGrid w:val="0"/>
        <w:spacing w:line="360" w:lineRule="auto"/>
        <w:ind w:left="5" w:firstLine="415"/>
        <w:rPr>
          <w:rFonts w:ascii="宋体" w:hAnsi="宋体" w:cs="宋体"/>
          <w:color w:val="auto"/>
          <w:szCs w:val="21"/>
          <w:highlight w:val="none"/>
          <w:lang w:val="zh-CN"/>
        </w:rPr>
      </w:pPr>
      <w:r>
        <w:rPr>
          <w:rFonts w:hint="eastAsia" w:ascii="宋体" w:hAnsi="宋体" w:cs="宋体"/>
          <w:color w:val="auto"/>
          <w:szCs w:val="21"/>
          <w:highlight w:val="none"/>
        </w:rPr>
        <w:t>投标人针对本项目的售后服务方案及售后服务情况表；</w:t>
      </w:r>
    </w:p>
    <w:p>
      <w:pPr>
        <w:numPr>
          <w:ilvl w:val="0"/>
          <w:numId w:val="7"/>
        </w:numPr>
        <w:tabs>
          <w:tab w:val="left" w:pos="840"/>
        </w:tabs>
        <w:adjustRightInd w:val="0"/>
        <w:snapToGrid w:val="0"/>
        <w:spacing w:line="360" w:lineRule="auto"/>
        <w:ind w:left="5" w:firstLine="415"/>
        <w:rPr>
          <w:rFonts w:ascii="宋体" w:hAnsi="宋体" w:cs="宋体"/>
          <w:color w:val="auto"/>
          <w:szCs w:val="21"/>
          <w:highlight w:val="none"/>
          <w:lang w:val="zh-CN"/>
        </w:rPr>
      </w:pPr>
      <w:r>
        <w:rPr>
          <w:rFonts w:hint="eastAsia" w:ascii="宋体" w:hAnsi="宋体" w:cs="宋体"/>
          <w:color w:val="auto"/>
          <w:szCs w:val="21"/>
          <w:highlight w:val="none"/>
        </w:rPr>
        <w:t>投标人针对本项目的培训方案；</w:t>
      </w:r>
    </w:p>
    <w:p>
      <w:pPr>
        <w:numPr>
          <w:ilvl w:val="0"/>
          <w:numId w:val="7"/>
        </w:numPr>
        <w:tabs>
          <w:tab w:val="left" w:pos="840"/>
        </w:tabs>
        <w:adjustRightInd w:val="0"/>
        <w:snapToGrid w:val="0"/>
        <w:spacing w:line="360" w:lineRule="auto"/>
        <w:ind w:left="5" w:firstLine="415"/>
        <w:rPr>
          <w:rFonts w:ascii="宋体" w:hAnsi="宋体" w:cs="宋体"/>
          <w:color w:val="auto"/>
          <w:szCs w:val="21"/>
          <w:highlight w:val="none"/>
        </w:rPr>
      </w:pPr>
      <w:r>
        <w:rPr>
          <w:rFonts w:hint="eastAsia" w:ascii="宋体" w:hAnsi="宋体" w:cs="宋体"/>
          <w:color w:val="auto"/>
          <w:szCs w:val="21"/>
          <w:highlight w:val="none"/>
        </w:rPr>
        <w:t>投标人对本项目的合理化建议和改进措施；</w:t>
      </w:r>
    </w:p>
    <w:p>
      <w:pPr>
        <w:numPr>
          <w:ilvl w:val="0"/>
          <w:numId w:val="7"/>
        </w:numPr>
        <w:tabs>
          <w:tab w:val="left" w:pos="840"/>
        </w:tabs>
        <w:adjustRightInd w:val="0"/>
        <w:snapToGrid w:val="0"/>
        <w:spacing w:line="360" w:lineRule="auto"/>
        <w:ind w:left="5" w:firstLine="415"/>
        <w:rPr>
          <w:rFonts w:ascii="宋体" w:hAnsi="宋体" w:cs="宋体"/>
          <w:color w:val="auto"/>
          <w:szCs w:val="21"/>
          <w:highlight w:val="none"/>
          <w:lang w:val="zh-CN"/>
        </w:rPr>
      </w:pPr>
      <w:r>
        <w:rPr>
          <w:rFonts w:hint="eastAsia" w:ascii="宋体" w:hAnsi="宋体" w:cs="宋体"/>
          <w:color w:val="auto"/>
          <w:szCs w:val="21"/>
          <w:highlight w:val="none"/>
          <w:lang w:val="zh-CN"/>
        </w:rPr>
        <w:t>关于对技术文件中有关条款的拒绝声明（如果有）；</w:t>
      </w:r>
    </w:p>
    <w:p>
      <w:pPr>
        <w:numPr>
          <w:ilvl w:val="0"/>
          <w:numId w:val="7"/>
        </w:numPr>
        <w:tabs>
          <w:tab w:val="left" w:pos="840"/>
        </w:tabs>
        <w:adjustRightInd w:val="0"/>
        <w:snapToGrid w:val="0"/>
        <w:spacing w:line="360" w:lineRule="auto"/>
        <w:ind w:left="5" w:firstLine="415"/>
        <w:rPr>
          <w:rFonts w:ascii="宋体" w:hAnsi="宋体" w:cs="宋体"/>
          <w:color w:val="auto"/>
          <w:szCs w:val="21"/>
          <w:highlight w:val="none"/>
          <w:lang w:val="zh-CN"/>
        </w:rPr>
      </w:pPr>
      <w:r>
        <w:rPr>
          <w:rFonts w:hint="eastAsia" w:ascii="宋体" w:hAnsi="宋体" w:cs="宋体"/>
          <w:color w:val="auto"/>
          <w:szCs w:val="21"/>
          <w:highlight w:val="none"/>
        </w:rPr>
        <w:t>投标人对本项目的</w:t>
      </w:r>
      <w:r>
        <w:rPr>
          <w:rFonts w:hint="eastAsia" w:ascii="宋体" w:hAnsi="宋体" w:cs="宋体"/>
          <w:color w:val="auto"/>
          <w:szCs w:val="21"/>
          <w:highlight w:val="none"/>
          <w:lang w:val="zh-CN"/>
        </w:rPr>
        <w:t>验收方案（中标后须提请采购人确认）；</w:t>
      </w:r>
    </w:p>
    <w:p>
      <w:pPr>
        <w:numPr>
          <w:ilvl w:val="0"/>
          <w:numId w:val="7"/>
        </w:numPr>
        <w:tabs>
          <w:tab w:val="left" w:pos="840"/>
        </w:tabs>
        <w:adjustRightInd w:val="0"/>
        <w:snapToGrid w:val="0"/>
        <w:spacing w:line="360" w:lineRule="auto"/>
        <w:ind w:left="5" w:firstLine="415"/>
        <w:rPr>
          <w:rFonts w:ascii="宋体" w:hAnsi="宋体" w:cs="宋体"/>
          <w:color w:val="auto"/>
          <w:szCs w:val="21"/>
          <w:highlight w:val="none"/>
          <w:lang w:val="zh-CN"/>
        </w:rPr>
      </w:pPr>
      <w:r>
        <w:rPr>
          <w:rFonts w:hint="eastAsia" w:ascii="宋体" w:hAnsi="宋体" w:cs="宋体"/>
          <w:color w:val="auto"/>
          <w:szCs w:val="21"/>
          <w:highlight w:val="none"/>
        </w:rPr>
        <w:t>投标人对本项目的</w:t>
      </w:r>
      <w:r>
        <w:rPr>
          <w:rFonts w:hint="eastAsia" w:ascii="宋体" w:hAnsi="宋体" w:cs="宋体"/>
          <w:color w:val="auto"/>
          <w:szCs w:val="21"/>
          <w:highlight w:val="none"/>
          <w:lang w:val="zh-CN"/>
        </w:rPr>
        <w:t>技术响应表；</w:t>
      </w:r>
    </w:p>
    <w:p>
      <w:pPr>
        <w:numPr>
          <w:ilvl w:val="0"/>
          <w:numId w:val="7"/>
        </w:numPr>
        <w:tabs>
          <w:tab w:val="left" w:pos="840"/>
        </w:tabs>
        <w:adjustRightInd w:val="0"/>
        <w:snapToGrid w:val="0"/>
        <w:spacing w:line="360" w:lineRule="auto"/>
        <w:ind w:left="5" w:firstLine="415"/>
        <w:rPr>
          <w:rFonts w:ascii="宋体" w:hAnsi="宋体" w:cs="宋体"/>
          <w:color w:val="auto"/>
          <w:szCs w:val="21"/>
          <w:highlight w:val="none"/>
          <w:lang w:val="zh-CN"/>
        </w:rPr>
      </w:pPr>
      <w:r>
        <w:rPr>
          <w:rFonts w:hint="eastAsia" w:ascii="宋体" w:hAnsi="宋体" w:cs="宋体"/>
          <w:color w:val="auto"/>
          <w:szCs w:val="21"/>
          <w:highlight w:val="none"/>
        </w:rPr>
        <w:t>投标人对本项目的评标细则要求的其他材料</w:t>
      </w:r>
      <w:r>
        <w:rPr>
          <w:rFonts w:hint="eastAsia" w:ascii="宋体" w:hAnsi="宋体" w:cs="宋体"/>
          <w:color w:val="auto"/>
          <w:szCs w:val="21"/>
          <w:highlight w:val="none"/>
          <w:lang w:val="zh-CN"/>
        </w:rPr>
        <w:t>；</w:t>
      </w:r>
    </w:p>
    <w:p>
      <w:pPr>
        <w:numPr>
          <w:ilvl w:val="0"/>
          <w:numId w:val="7"/>
        </w:numPr>
        <w:tabs>
          <w:tab w:val="left" w:pos="840"/>
        </w:tabs>
        <w:adjustRightInd w:val="0"/>
        <w:snapToGrid w:val="0"/>
        <w:spacing w:line="360" w:lineRule="auto"/>
        <w:ind w:left="5" w:firstLine="415"/>
        <w:rPr>
          <w:rFonts w:ascii="宋体" w:hAnsi="宋体" w:cs="宋体"/>
          <w:color w:val="auto"/>
          <w:szCs w:val="21"/>
          <w:highlight w:val="none"/>
          <w:lang w:val="zh-CN"/>
        </w:rPr>
      </w:pPr>
      <w:r>
        <w:rPr>
          <w:rFonts w:hint="eastAsia" w:ascii="宋体" w:hAnsi="宋体" w:cs="宋体"/>
          <w:color w:val="auto"/>
          <w:szCs w:val="21"/>
          <w:highlight w:val="none"/>
          <w:lang w:val="zh-CN"/>
        </w:rPr>
        <w:t>投标人认为需要的其他技术相关文件或说明。</w:t>
      </w:r>
    </w:p>
    <w:p>
      <w:pPr>
        <w:adjustRightInd w:val="0"/>
        <w:snapToGrid w:val="0"/>
        <w:spacing w:line="360" w:lineRule="auto"/>
        <w:ind w:firstLine="422" w:firstLineChars="200"/>
        <w:jc w:val="left"/>
        <w:rPr>
          <w:rFonts w:ascii="宋体" w:hAnsi="宋体" w:cs="宋体"/>
          <w:snapToGrid w:val="0"/>
          <w:color w:val="auto"/>
          <w:kern w:val="0"/>
          <w:szCs w:val="21"/>
          <w:highlight w:val="none"/>
        </w:rPr>
      </w:pPr>
      <w:r>
        <w:rPr>
          <w:rFonts w:hint="eastAsia" w:ascii="宋体" w:hAnsi="宋体" w:cs="宋体"/>
          <w:b/>
          <w:snapToGrid w:val="0"/>
          <w:color w:val="auto"/>
          <w:kern w:val="0"/>
          <w:szCs w:val="21"/>
          <w:highlight w:val="none"/>
        </w:rPr>
        <w:t>9.3报价响应文件</w:t>
      </w:r>
    </w:p>
    <w:p>
      <w:pPr>
        <w:numPr>
          <w:ilvl w:val="0"/>
          <w:numId w:val="8"/>
        </w:numPr>
        <w:adjustRightInd w:val="0"/>
        <w:snapToGrid w:val="0"/>
        <w:spacing w:line="360" w:lineRule="auto"/>
        <w:ind w:left="991" w:hanging="571"/>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报价响应文件封面；</w:t>
      </w:r>
    </w:p>
    <w:p>
      <w:pPr>
        <w:numPr>
          <w:ilvl w:val="0"/>
          <w:numId w:val="8"/>
        </w:numPr>
        <w:adjustRightInd w:val="0"/>
        <w:snapToGrid w:val="0"/>
        <w:spacing w:line="360" w:lineRule="auto"/>
        <w:ind w:left="991" w:hanging="571"/>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报价响应文件目录；</w:t>
      </w:r>
    </w:p>
    <w:p>
      <w:pPr>
        <w:numPr>
          <w:ilvl w:val="0"/>
          <w:numId w:val="8"/>
        </w:numPr>
        <w:adjustRightInd w:val="0"/>
        <w:snapToGrid w:val="0"/>
        <w:spacing w:line="360" w:lineRule="auto"/>
        <w:ind w:left="991" w:hanging="571"/>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开标一览表；</w:t>
      </w:r>
    </w:p>
    <w:p>
      <w:pPr>
        <w:numPr>
          <w:ilvl w:val="0"/>
          <w:numId w:val="8"/>
        </w:numPr>
        <w:adjustRightInd w:val="0"/>
        <w:snapToGrid w:val="0"/>
        <w:spacing w:line="360" w:lineRule="auto"/>
        <w:ind w:left="991" w:hanging="571"/>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投标报价明细表；</w:t>
      </w:r>
    </w:p>
    <w:p>
      <w:pPr>
        <w:numPr>
          <w:ilvl w:val="0"/>
          <w:numId w:val="8"/>
        </w:numPr>
        <w:adjustRightInd w:val="0"/>
        <w:snapToGrid w:val="0"/>
        <w:spacing w:line="360" w:lineRule="auto"/>
        <w:ind w:left="991" w:hanging="571"/>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 xml:space="preserve">中小企业声明函（服务）（如有）； </w:t>
      </w:r>
    </w:p>
    <w:p>
      <w:pPr>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供应商在填写声明函前，须先自查本企业是否满足小微企业认定标准（可通过国务院客户端和工业和信息化部网站上的自测小程序进行自查）。</w:t>
      </w:r>
    </w:p>
    <w:p>
      <w:pPr>
        <w:adjustRightInd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中小企业对其声明内容的真实性负责，声明函内容不实的，属于提供虚假材料谋取中标、成交，依照《中华人民共和国政府采购法》等国家有关规定追究相应责任。</w:t>
      </w:r>
    </w:p>
    <w:p>
      <w:pPr>
        <w:numPr>
          <w:ilvl w:val="0"/>
          <w:numId w:val="8"/>
        </w:numPr>
        <w:adjustRightInd w:val="0"/>
        <w:snapToGrid w:val="0"/>
        <w:spacing w:line="360" w:lineRule="auto"/>
        <w:ind w:left="991" w:hanging="571"/>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监狱企业的证明文件（如有）</w:t>
      </w:r>
      <w:r>
        <w:rPr>
          <w:rFonts w:hint="eastAsia" w:ascii="宋体" w:hAnsi="宋体" w:cs="宋体"/>
          <w:bCs/>
          <w:snapToGrid w:val="0"/>
          <w:color w:val="auto"/>
          <w:kern w:val="0"/>
          <w:szCs w:val="21"/>
          <w:highlight w:val="none"/>
          <w:lang w:eastAsia="zh-CN"/>
        </w:rPr>
        <w:t>；</w:t>
      </w:r>
    </w:p>
    <w:p>
      <w:pPr>
        <w:tabs>
          <w:tab w:val="left" w:pos="900"/>
        </w:tabs>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如为监狱企业的，由省级以上监狱管理局、戒毒管理局（含新疆生产建设兵团）出具监狱企业的证明文件。</w:t>
      </w:r>
    </w:p>
    <w:p>
      <w:pPr>
        <w:numPr>
          <w:ilvl w:val="0"/>
          <w:numId w:val="8"/>
        </w:numPr>
        <w:adjustRightInd w:val="0"/>
        <w:snapToGrid w:val="0"/>
        <w:spacing w:line="360" w:lineRule="auto"/>
        <w:ind w:left="991" w:hanging="571"/>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残疾人福利性单位声明函》（如有）；</w:t>
      </w:r>
    </w:p>
    <w:p>
      <w:pPr>
        <w:tabs>
          <w:tab w:val="left" w:pos="900"/>
        </w:tabs>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如符合《财政部、民政部、中国残疾人联合会关于促进残疾人就业政府采购政策的通知》（财库〔2017〕141号）政策规定的，须提供《残疾人福利性单位声明函》（如有）。</w:t>
      </w:r>
    </w:p>
    <w:p>
      <w:pPr>
        <w:numPr>
          <w:ilvl w:val="0"/>
          <w:numId w:val="8"/>
        </w:numPr>
        <w:tabs>
          <w:tab w:val="left" w:pos="840"/>
          <w:tab w:val="left" w:pos="1050"/>
        </w:tabs>
        <w:adjustRightInd w:val="0"/>
        <w:snapToGrid w:val="0"/>
        <w:spacing w:line="360" w:lineRule="auto"/>
        <w:ind w:left="11" w:firstLine="407"/>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分包意向协议（需明确分包的金额比重、中小企业声明函中需体现分包商的信息）（如有）</w:t>
      </w:r>
      <w:r>
        <w:rPr>
          <w:rFonts w:hint="eastAsia" w:ascii="宋体" w:hAnsi="宋体" w:cs="宋体"/>
          <w:color w:val="auto"/>
          <w:szCs w:val="21"/>
          <w:highlight w:val="none"/>
        </w:rPr>
        <w:t>（参考格式见本文件第六部分）</w:t>
      </w:r>
      <w:r>
        <w:rPr>
          <w:rFonts w:hint="eastAsia" w:ascii="宋体" w:hAnsi="宋体" w:cs="宋体"/>
          <w:bCs/>
          <w:snapToGrid w:val="0"/>
          <w:color w:val="auto"/>
          <w:kern w:val="0"/>
          <w:szCs w:val="21"/>
          <w:highlight w:val="none"/>
        </w:rPr>
        <w:t>；</w:t>
      </w:r>
    </w:p>
    <w:p>
      <w:pPr>
        <w:numPr>
          <w:ilvl w:val="0"/>
          <w:numId w:val="8"/>
        </w:numPr>
        <w:tabs>
          <w:tab w:val="left" w:pos="840"/>
          <w:tab w:val="left" w:pos="1050"/>
        </w:tabs>
        <w:adjustRightInd w:val="0"/>
        <w:snapToGrid w:val="0"/>
        <w:spacing w:line="360" w:lineRule="auto"/>
        <w:ind w:left="11" w:firstLine="407"/>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投标人认为需要的其他报价相关文件或说明。</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10．投标函</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10.1 投标人应完整地填写采购文件中提供的投标函和投标相关附件。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10.2 投标文件应当对采购文件中有关投标有效期、采购需求等实质性内容作出响应。投标人在满足采购文件实质性要求的基础上，可以提出比采购文件要求更有利于采购人的承诺。</w:t>
      </w:r>
    </w:p>
    <w:p>
      <w:pPr>
        <w:pStyle w:val="14"/>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11．投标报价</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本项目采用总价包干，投标人应充分了解影响投标报价的所有要素。由于方案不完善而造成合同价格不准确的风险由投标人自行承担。因方案不完善而调整的内容，不因采购人要求做价款调整。</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除非合同中另有规定，投标人的报价应包括完成本项目的全部费用，还含有关本项目所需相关技术支持服务费用、税金及采购代理服务费等所有费用。</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投标人应对采购文件内所要招标的全部内容进行报价，只投其中部分内容者，其投标将被拒绝。</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 投标内容只允许一个报价，采购人不接受任何有选择性的投标报价。</w:t>
      </w:r>
    </w:p>
    <w:p>
      <w:pPr>
        <w:pStyle w:val="14"/>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12．投标货币</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投标人用人民币报价。</w:t>
      </w:r>
    </w:p>
    <w:p>
      <w:pPr>
        <w:pStyle w:val="14"/>
        <w:numPr>
          <w:ilvl w:val="0"/>
          <w:numId w:val="0"/>
        </w:numPr>
        <w:snapToGrid w:val="0"/>
        <w:ind w:left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rPr>
        <w:t xml:space="preserve">13. </w:t>
      </w:r>
      <w:r>
        <w:rPr>
          <w:rFonts w:hint="eastAsia" w:ascii="宋体" w:hAnsi="宋体" w:eastAsia="宋体" w:cs="宋体"/>
          <w:b/>
          <w:bCs/>
          <w:snapToGrid w:val="0"/>
          <w:color w:val="auto"/>
          <w:kern w:val="0"/>
          <w:sz w:val="21"/>
          <w:szCs w:val="21"/>
          <w:highlight w:val="none"/>
        </w:rPr>
        <w:t>投标保证金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本项目不收取投标保证金。但违反政府采购相关规定给采购人造成损失的，投标人应当承担赔偿责任。</w:t>
      </w:r>
    </w:p>
    <w:p>
      <w:pPr>
        <w:pStyle w:val="14"/>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14．投标有效期</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投标文件在</w:t>
      </w:r>
      <w:r>
        <w:rPr>
          <w:rFonts w:hint="eastAsia"/>
          <w:color w:val="auto"/>
          <w:highlight w:val="none"/>
        </w:rPr>
        <w:t>提交投标文件的截止之日起算</w:t>
      </w:r>
      <w:r>
        <w:rPr>
          <w:rFonts w:hint="eastAsia" w:ascii="宋体" w:hAnsi="宋体" w:cs="宋体"/>
          <w:snapToGrid w:val="0"/>
          <w:color w:val="auto"/>
          <w:kern w:val="0"/>
          <w:szCs w:val="21"/>
          <w:highlight w:val="none"/>
        </w:rPr>
        <w:t>90个日历天内有效</w:t>
      </w:r>
      <w:r>
        <w:rPr>
          <w:rFonts w:hint="eastAsia" w:ascii="宋体" w:hAnsi="宋体" w:cs="宋体"/>
          <w:color w:val="auto"/>
          <w:szCs w:val="21"/>
          <w:highlight w:val="none"/>
        </w:rPr>
        <w:t>，不足有效期的，其投标视为无效标</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中标供应商的投标文件自开标之日起至合同履行完毕止均应保持有效。</w:t>
      </w:r>
    </w:p>
    <w:p>
      <w:pPr>
        <w:pStyle w:val="14"/>
        <w:snapToGrid w:val="0"/>
        <w:ind w:firstLine="422" w:firstLineChars="200"/>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15．投标文件的式样</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15.2 投标文件是电子投标文件，电子投标文件形式包括“电子加密投标文件”和“备份投标文件”，在投标文件编制完成后同时生成。</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（3）电子投标文件应包括资格响应文件、商务技术响应文件、报价响应文件三部分内容。</w:t>
      </w:r>
    </w:p>
    <w:p>
      <w:pPr>
        <w:adjustRightInd w:val="0"/>
        <w:snapToGrid w:val="0"/>
        <w:spacing w:line="360" w:lineRule="auto"/>
        <w:ind w:firstLine="422" w:firstLineChars="200"/>
        <w:jc w:val="left"/>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15.3 投标文件中投标函、授权委托书的格式、签字、盖章及内容均应符合采购文件格式要求，否则投标文件无效。</w:t>
      </w:r>
    </w:p>
    <w:p>
      <w:pPr>
        <w:adjustRightInd w:val="0"/>
        <w:snapToGrid w:val="0"/>
        <w:spacing w:line="360" w:lineRule="auto"/>
        <w:ind w:firstLine="422" w:firstLineChars="200"/>
        <w:jc w:val="left"/>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说明：凡采购文件要求投标人盖公章的部分，采用电子签章或加盖投标人公章后扫描上传的，均视为符合要求。</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15.4投标人应根据“政采云供应商项目采购－电子招投标操作指南”及本采购文件规定编制电子投标文件并进行关联定位，以便评标委员会在评标时，点击评分项，可直接定位到该评分项内容。</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如对采购文件的某项要求，投标人的投标文件未能提供相应的内容与其对应，则评标委员会在评审时会提示投标人未对此项招标要求提供相应内容。由此产生的评分影响由投标人自行承担。</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投标文件内容不完整、编排混乱导致投标文件被误读、漏读，或者在按采购文件规定的部分查找不到相关内容的，是投标人的责任。</w:t>
      </w:r>
    </w:p>
    <w:p>
      <w:pPr>
        <w:pStyle w:val="3"/>
        <w:snapToGrid w:val="0"/>
        <w:spacing w:before="0" w:after="0" w:line="360" w:lineRule="auto"/>
        <w:ind w:firstLine="422"/>
        <w:rPr>
          <w:rFonts w:ascii="宋体" w:hAnsi="宋体" w:eastAsia="宋体"/>
          <w:color w:val="auto"/>
          <w:sz w:val="21"/>
          <w:szCs w:val="21"/>
          <w:highlight w:val="none"/>
        </w:rPr>
      </w:pPr>
      <w:bookmarkStart w:id="75" w:name="_Toc11108"/>
      <w:bookmarkStart w:id="76" w:name="_Toc10757"/>
      <w:bookmarkStart w:id="77" w:name="_Toc251566653"/>
      <w:bookmarkStart w:id="78" w:name="_Toc4343"/>
      <w:bookmarkStart w:id="79" w:name="_Toc27241"/>
      <w:bookmarkStart w:id="80" w:name="_Toc1575"/>
      <w:bookmarkStart w:id="81" w:name="_Toc240450080"/>
      <w:bookmarkStart w:id="82" w:name="_Toc460"/>
      <w:bookmarkStart w:id="83" w:name="_Toc19334"/>
      <w:r>
        <w:rPr>
          <w:rFonts w:hint="eastAsia" w:ascii="宋体" w:hAnsi="宋体" w:eastAsia="宋体"/>
          <w:color w:val="auto"/>
          <w:sz w:val="21"/>
          <w:szCs w:val="21"/>
          <w:highlight w:val="none"/>
        </w:rPr>
        <w:t>四、投标文件的递交</w:t>
      </w:r>
      <w:bookmarkEnd w:id="75"/>
      <w:bookmarkEnd w:id="76"/>
      <w:bookmarkEnd w:id="77"/>
      <w:bookmarkEnd w:id="78"/>
      <w:bookmarkEnd w:id="79"/>
      <w:bookmarkEnd w:id="80"/>
      <w:bookmarkEnd w:id="81"/>
      <w:bookmarkEnd w:id="82"/>
      <w:bookmarkEnd w:id="83"/>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16．投标文件的递交</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16.1 电子加密投标文件：投标文件制作完成并生成加密标书，在投标截止时间前，投标人需将加密的投标文件上传至政采云平台，到达开标时间后，解密投标文件。</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16.1.1投标人未能在投标截止时间前成功上传电子加密投标文件的投标无效。</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16.1.2投标人成功上传电子加密投标文件后，可自行打印投标文件接收回执。</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16.2备份投标文件：</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16.2.1投标人在电子交易平台传输递交投标文件后，还可以在投标文件上传截止时间前直接提交或者以快递方式递交备份投标文件1份，但采购人、采购代理机构不强制或变相强制投标人提交备份投标文件。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16.2.3直接提交备份投标文件的，投标人应于投标文件上传截止时间前将备份投标文件提交给采购代理机构，采购代理机构将拒绝接受逾期送达的备份投标文件。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16.2.4以快递方式递交备份投标文件的，投标人应先将备份投标文件按要求密封和标记，再进行快递包装后邮寄。备份投标文件须在投标文件上传截止时间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16.2.5投标人仅提交备份投标文件，没有在电子交易平台传输递交投标文件的，投标无效。通过“政府采购云平台”上传递交的投标文件无法按时解密，投标供应商递交了备份投标文件的，以备份投标文件为依据，否则按照《浙江省政府采购项目电子交易管理暂行办法》二十四条规定视为投标（响应）文件撤回</w:t>
      </w:r>
      <w:r>
        <w:rPr>
          <w:rFonts w:hint="eastAsia" w:ascii="宋体" w:hAnsi="宋体" w:cs="宋体"/>
          <w:color w:val="auto"/>
          <w:highlight w:val="none"/>
        </w:rPr>
        <w:t>。</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17．投标截止期</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17.1 投标人应按前附表规定的日期、时间和方式上传、递交投标文件。</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18．迟交的投标文件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在本须知第17条规定的截止期后提交（上传）的任何投标文件，采购人将不予接收。</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19．投标文件的修改与撤回</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在投标截止期之后，投标人不得对其投标作任何修改。</w:t>
      </w:r>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从投标截止期至投标人在投标函格式中确定的投标有效期期满这段时间内，投标人不得撤回其投标。</w:t>
      </w:r>
    </w:p>
    <w:p>
      <w:pPr>
        <w:pStyle w:val="3"/>
        <w:snapToGrid w:val="0"/>
        <w:spacing w:before="0" w:after="0" w:line="360" w:lineRule="auto"/>
        <w:ind w:firstLine="422"/>
        <w:rPr>
          <w:rFonts w:ascii="宋体" w:hAnsi="宋体" w:eastAsia="宋体"/>
          <w:color w:val="auto"/>
          <w:sz w:val="21"/>
          <w:szCs w:val="21"/>
          <w:highlight w:val="none"/>
        </w:rPr>
      </w:pPr>
      <w:bookmarkStart w:id="84" w:name="_Toc12487"/>
      <w:bookmarkStart w:id="85" w:name="_Toc11102"/>
      <w:bookmarkStart w:id="86" w:name="_Toc29187"/>
      <w:bookmarkStart w:id="87" w:name="_Toc8191"/>
      <w:bookmarkStart w:id="88" w:name="_Toc13980"/>
      <w:bookmarkStart w:id="89" w:name="_Toc251566654"/>
      <w:bookmarkStart w:id="90" w:name="_Toc13578"/>
      <w:bookmarkStart w:id="91" w:name="_Toc14566"/>
      <w:bookmarkStart w:id="92" w:name="_Toc240450081"/>
      <w:r>
        <w:rPr>
          <w:rFonts w:hint="eastAsia" w:ascii="宋体" w:hAnsi="宋体" w:eastAsia="宋体"/>
          <w:color w:val="auto"/>
          <w:sz w:val="21"/>
          <w:szCs w:val="21"/>
          <w:highlight w:val="none"/>
        </w:rPr>
        <w:t>五、开标与评标</w:t>
      </w:r>
      <w:bookmarkEnd w:id="84"/>
      <w:bookmarkEnd w:id="85"/>
      <w:bookmarkEnd w:id="86"/>
      <w:bookmarkEnd w:id="87"/>
      <w:bookmarkEnd w:id="88"/>
      <w:bookmarkEnd w:id="89"/>
      <w:bookmarkEnd w:id="90"/>
      <w:bookmarkEnd w:id="91"/>
      <w:bookmarkEnd w:id="92"/>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20．开标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20.1 采购人将于采购公告规定的时间和地点公开开标。若采购人按本须知第7条规定，通过修改采购文件更改了开标时间和地点的，以后者为准。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20.2开评标期间，投标人代表应在线操作，并关注政采云有关信息公布、澄清等情况。投标人代表不参加开标程序的，事后不得对采购相关人员、开标过程和开标结果提出异议。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20.3 开标程序</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详见前附表序号第22项。</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21．评标</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详见采购文件第五部分“评标办法”。</w:t>
      </w:r>
    </w:p>
    <w:p>
      <w:pPr>
        <w:tabs>
          <w:tab w:val="left" w:pos="900"/>
          <w:tab w:val="left" w:pos="1080"/>
        </w:tabs>
        <w:adjustRightInd w:val="0"/>
        <w:snapToGrid w:val="0"/>
        <w:spacing w:line="360" w:lineRule="auto"/>
        <w:ind w:firstLine="422" w:firstLineChars="200"/>
        <w:jc w:val="left"/>
        <w:rPr>
          <w:rFonts w:ascii="宋体" w:hAnsi="宋体" w:cs="宋体"/>
          <w:snapToGrid w:val="0"/>
          <w:color w:val="auto"/>
          <w:kern w:val="0"/>
          <w:szCs w:val="21"/>
          <w:highlight w:val="none"/>
        </w:rPr>
      </w:pPr>
      <w:r>
        <w:rPr>
          <w:rFonts w:hint="eastAsia" w:ascii="宋体" w:hAnsi="宋体" w:cs="宋体"/>
          <w:b/>
          <w:color w:val="auto"/>
          <w:szCs w:val="21"/>
          <w:highlight w:val="none"/>
        </w:rPr>
        <w:t>22．串通投标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有下列情形之一的，视为供应商串通投标，其投标无效：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（1）不同供应商的投标文件由同一单位或者个人编制；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（2）不同供应商委托同一单位或者个人办理投标事宜；</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（3）不同供应商的投标文件载明的项目管理成员或者联系人员为同一人；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（4）不同供应商的投标文件异常一致或者投标报价呈规律性差异；</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（5）不同供应商的投标文件相互混装。</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23．废标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（1）符合专业条件的供应商或者对采购文件作实质响应的供应商不足三家的；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（2）出现影响采购公正的违法、违规行为的；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（3）所有投标人的报价均超过了采购预算，采购人不能支付的；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（4）因重大变故，采购任务取消的。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23.2 废标后，采购人应当将废标理由通知所有投标人并重新组织招标；或者经主管部门批准，采取其他方式组织采购。</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24．电子交易活动中止</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24.1采购过程中出现以下情形，导致电子交易平台无法正常运行，或者无法保证电子交易的公平、公正和安全时，采购组织机构可中止电子交易活动：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（1）电子交易平台发生故障而无法登录访问的； </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（2）电子交易平台应用或数据库出现错误，不能进行正常操作的；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（3）电子交易平台发现严重安全漏洞，有潜在泄密危险的；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（4）病毒发作导致不能进行正常操作的； </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（5）其他无法保证电子交易的公平、公正和安全的情况。</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24.2出现前款规定情形，不影响采购公平、公正性的，采购组织机构可以待上述情形消除后继续组织电子交易活动，也可以决定某些环节以纸质形式进行；影响或可能影响采购公平、公正性的，应当重新采购。</w:t>
      </w:r>
    </w:p>
    <w:p>
      <w:pPr>
        <w:pStyle w:val="3"/>
        <w:snapToGrid w:val="0"/>
        <w:spacing w:before="0" w:after="0" w:line="360" w:lineRule="auto"/>
        <w:ind w:firstLine="422"/>
        <w:rPr>
          <w:rFonts w:ascii="宋体" w:hAnsi="宋体" w:eastAsia="宋体"/>
          <w:color w:val="auto"/>
          <w:sz w:val="21"/>
          <w:szCs w:val="21"/>
          <w:highlight w:val="none"/>
        </w:rPr>
      </w:pPr>
      <w:bookmarkStart w:id="93" w:name="_Toc13028"/>
      <w:bookmarkStart w:id="94" w:name="_Toc240450082"/>
      <w:bookmarkStart w:id="95" w:name="_Toc26186"/>
      <w:bookmarkStart w:id="96" w:name="_Toc5920"/>
      <w:bookmarkStart w:id="97" w:name="_Toc251566655"/>
      <w:bookmarkStart w:id="98" w:name="_Toc30618"/>
      <w:r>
        <w:rPr>
          <w:rFonts w:hint="eastAsia" w:ascii="宋体" w:hAnsi="宋体" w:eastAsia="宋体"/>
          <w:color w:val="auto"/>
          <w:sz w:val="21"/>
          <w:szCs w:val="21"/>
          <w:highlight w:val="none"/>
        </w:rPr>
        <w:t>六、确定中标供应商及授予合同</w:t>
      </w:r>
      <w:bookmarkEnd w:id="93"/>
      <w:bookmarkEnd w:id="94"/>
      <w:bookmarkEnd w:id="95"/>
      <w:bookmarkEnd w:id="96"/>
      <w:bookmarkEnd w:id="97"/>
      <w:bookmarkEnd w:id="98"/>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25．中标供应商的确定</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25.1 采购代理机构应当自评审结束之日起2个工作日内将评审报告送交采购人。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应当自收到评标报告之日起5个工作日内，在评标报告确定的中标候选人名单中按顺序确定1名中标供应商。中标候选人并列的，由采购人或者采购人委托评标委员会按照采购文件规定的方式确定中标供应商；采购文件未规定的，采取随机抽取的方式确定。</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采购人在收到评标报告5个工作日内未按评标报告推荐的中标候选人顺序确定中标供应商，又不能说明合法理由的，视同按评标报告推荐的顺序确定排名第一的中标候选人为中标供应商。</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采购人或者采购代理机构应当自中标供应商确定之日起2个工作日内，在省级以上财政部门指定的媒体上公告中标结果，</w:t>
      </w:r>
      <w:r>
        <w:rPr>
          <w:rFonts w:hint="eastAsia" w:ascii="宋体" w:hAnsi="宋体" w:cs="宋体"/>
          <w:b/>
          <w:bCs/>
          <w:snapToGrid w:val="0"/>
          <w:color w:val="auto"/>
          <w:kern w:val="0"/>
          <w:szCs w:val="21"/>
          <w:highlight w:val="none"/>
          <w:u w:val="single"/>
        </w:rPr>
        <w:t>同时在政采云系统中发出中标通知书，中标供应商应自行下载获取。</w:t>
      </w:r>
      <w:r>
        <w:rPr>
          <w:rFonts w:hint="eastAsia" w:ascii="宋体" w:hAnsi="宋体" w:cs="宋体"/>
          <w:snapToGrid w:val="0"/>
          <w:color w:val="auto"/>
          <w:kern w:val="0"/>
          <w:szCs w:val="21"/>
          <w:highlight w:val="none"/>
        </w:rPr>
        <w:t>中标供应商享受中小企业扶持政策的，采购人、采购代理机构应当随中标结果公开中标供应商的《中小企业声明函》等。</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公告期限为1个工作日。</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25.3中标通知书发出后，采购人不得违法改变中标结果，中标供应商无正当理由不得放弃中标。 </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26．合同授予</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26.1 本项目的合同将授予按本须知第25.1款所确定的中标供应商。</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26.2 中标或者中标供应商拒绝与采购人签订合同的，采购人可以按照评审报告推荐的中标或者成交候选人名单排序，确定下一候选人为中标或者中标供应商，也可以重新开展政府采购活动。</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27．签订合同</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27.1 中标供应商应按中标通知书规定的时间与采购人签订合同。如中标供应商为联合体的，由联合体成员各方法定代表人或其授权代表与采购人代表签订合同。中标供应商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27.2 中标供应商如不遵守采购文件或投标文件各项条款的邀约与要约，或在接到中标通知书后借故拖延，拒签合同的，采购人将依据国家和采购文件有关规定要求中标供应商予以赔偿，同时采购人可根据26.2的原则另行选择中标供应商。</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27.3 采购文件、中标供应商的投标文件及投标修改文件、评标过程中有关澄清文件及经投标人法定代表人或授权代表签字确认或加盖公章的询标回复和承诺及中标通知书均作为合同组成部分。</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28．履约保证金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见投标人须知前附表。</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29.采购代理服务费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本项目的采购代理费由中标供应商支付，</w:t>
      </w:r>
      <w:r>
        <w:rPr>
          <w:rFonts w:hint="eastAsia" w:ascii="宋体" w:hAnsi="宋体" w:cs="宋体"/>
          <w:color w:val="auto"/>
          <w:szCs w:val="21"/>
          <w:highlight w:val="none"/>
        </w:rPr>
        <w:t>收费标准详见前附表。</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30.质疑与投诉</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质疑函范本、投诉书范本详见本文件第七部分。</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30.1供应商询问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供应商对政府采购活动事项有疑问的，可以向采购代理机构提出询问，采购人或者采购代理机构应当在3个工作日内对供应商依法提出的询问作出答复，但答复的内容不得涉及商业秘密。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30.2供应商质疑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本项目要求投标人在法定质疑期内一次性提出针对同一采购程序环节的质疑。</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30.2.2提出质疑的投标人（以下简称质疑人）应当是参与所质疑项目采购活动的投标人。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30.2.3投标人提出质疑应当提交质疑函和必要的证明材料。质疑函应当包括下列内容：</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（一）投标人的姓名或者名称、地址、邮编、联系人及联系电话；</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（二）质疑项目的名称、编号；</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（三）具体、明确的质疑事项和与质疑事项相关的请求；</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（四）事实依据；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（五）必要的法律依据；</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（六）提出质疑的日期。</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30.3.4采购人、采购代理机构在收到法定质疑期内发出的质疑函后7个工作日内作出答复，并以书面形式通知质疑人和其他有关投标人。质疑答复的内容不得涉及商业秘密。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0" w:firstLineChars="200"/>
        <w:jc w:val="left"/>
        <w:rPr>
          <w:rFonts w:ascii="宋体" w:hAnsi="宋体" w:cs="宋体"/>
          <w:i/>
          <w:iCs/>
          <w:snapToGrid w:val="0"/>
          <w:color w:val="auto"/>
          <w:kern w:val="0"/>
          <w:szCs w:val="21"/>
          <w:highlight w:val="none"/>
        </w:rPr>
      </w:pPr>
      <w:r>
        <w:rPr>
          <w:rFonts w:hint="eastAsia" w:ascii="宋体" w:hAnsi="宋体" w:cs="宋体"/>
          <w:snapToGrid w:val="0"/>
          <w:color w:val="auto"/>
          <w:kern w:val="0"/>
          <w:szCs w:val="21"/>
          <w:highlight w:val="none"/>
        </w:rPr>
        <w:t>30.3.5质疑答复内容应全面完整，质疑答复人应将质疑答复内容及时在浙江政府采购网公开，涉及国家秘密、个人隐私、商业秘密以及法律、法规规定应予保密的信息内容除外。</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30.3供应商投诉</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质疑供应商对采购代理机构的答复不满意或者采购代理机构未在规定的时间内作出答复的，可以在答复期满后十五个工作日内向同级政府采购监督管理部门提出投诉。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31．采购结束</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31.1中标供应商与采购人签订合同生效后即为采购结束。</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31.2本项目的投标文件不予退回。</w:t>
      </w:r>
    </w:p>
    <w:p>
      <w:pPr>
        <w:adjustRightInd w:val="0"/>
        <w:snapToGrid w:val="0"/>
        <w:spacing w:line="360" w:lineRule="auto"/>
        <w:jc w:val="center"/>
        <w:outlineLvl w:val="0"/>
        <w:rPr>
          <w:rFonts w:ascii="宋体" w:hAnsi="宋体" w:cs="宋体"/>
          <w:color w:val="auto"/>
          <w:sz w:val="36"/>
          <w:highlight w:val="none"/>
        </w:rPr>
      </w:pPr>
      <w:r>
        <w:rPr>
          <w:rFonts w:hint="eastAsia" w:ascii="宋体" w:hAnsi="宋体" w:cs="宋体"/>
          <w:b/>
          <w:bCs/>
          <w:color w:val="auto"/>
          <w:sz w:val="28"/>
          <w:szCs w:val="21"/>
          <w:highlight w:val="none"/>
        </w:rPr>
        <w:br w:type="page"/>
      </w:r>
      <w:bookmarkStart w:id="99" w:name="_Toc83616202"/>
      <w:bookmarkStart w:id="100" w:name="_Toc15185"/>
      <w:bookmarkStart w:id="101" w:name="_Toc31190"/>
      <w:bookmarkStart w:id="102" w:name="_Toc7411"/>
      <w:bookmarkStart w:id="103" w:name="_Toc242012796"/>
      <w:bookmarkStart w:id="104" w:name="_Toc22644"/>
      <w:bookmarkStart w:id="105" w:name="_Toc22348"/>
      <w:bookmarkStart w:id="106" w:name="_Toc164"/>
      <w:r>
        <w:rPr>
          <w:rFonts w:hint="eastAsia" w:ascii="宋体" w:hAnsi="宋体" w:cs="宋体"/>
          <w:b/>
          <w:color w:val="auto"/>
          <w:sz w:val="30"/>
          <w:szCs w:val="30"/>
          <w:highlight w:val="none"/>
        </w:rPr>
        <w:t>第三部分</w:t>
      </w:r>
      <w:bookmarkEnd w:id="99"/>
      <w:r>
        <w:rPr>
          <w:rFonts w:hint="eastAsia" w:ascii="宋体" w:hAnsi="宋体" w:cs="宋体"/>
          <w:b/>
          <w:color w:val="auto"/>
          <w:sz w:val="30"/>
          <w:szCs w:val="30"/>
          <w:highlight w:val="none"/>
        </w:rPr>
        <w:t xml:space="preserve"> </w:t>
      </w:r>
      <w:bookmarkEnd w:id="100"/>
      <w:bookmarkEnd w:id="101"/>
      <w:bookmarkEnd w:id="102"/>
      <w:bookmarkEnd w:id="103"/>
      <w:bookmarkEnd w:id="104"/>
      <w:bookmarkEnd w:id="105"/>
      <w:r>
        <w:rPr>
          <w:rFonts w:hint="eastAsia" w:ascii="宋体" w:hAnsi="宋体" w:cs="宋体"/>
          <w:b/>
          <w:color w:val="auto"/>
          <w:sz w:val="30"/>
          <w:szCs w:val="30"/>
          <w:highlight w:val="none"/>
        </w:rPr>
        <w:t>采购需求</w:t>
      </w:r>
      <w:bookmarkEnd w:id="106"/>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07" w:name="_Toc19226"/>
      <w:r>
        <w:rPr>
          <w:rFonts w:hint="eastAsia" w:ascii="宋体" w:hAnsi="宋体" w:eastAsia="宋体" w:cs="宋体"/>
          <w:color w:val="auto"/>
          <w:sz w:val="21"/>
          <w:szCs w:val="21"/>
          <w:highlight w:val="none"/>
          <w:lang w:val="en-US" w:eastAsia="zh-CN"/>
        </w:rPr>
        <w:t>项目背景</w:t>
      </w:r>
      <w:bookmarkEnd w:id="107"/>
    </w:p>
    <w:p>
      <w:pPr>
        <w:pageBreakBefore w:val="0"/>
        <w:widowControl/>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习近平总书记在2022年4月19日中央全面深化改革委员会第二十五次会议上指出，要以数字化改革助力政府职能转变，统筹推进各行业各领域政务应用系统集约建设、互联互通、协同联动，发挥数字化在政府履行经济调节、市场监管、社会管理、公共服务、生态环境保护等方面职能的重要支撑作用，构建协同高效的政府数字化履职能力体系</w:t>
      </w:r>
      <w:r>
        <w:rPr>
          <w:rFonts w:hint="eastAsia" w:ascii="宋体" w:hAnsi="宋体" w:eastAsia="宋体" w:cs="宋体"/>
          <w:color w:val="auto"/>
          <w:sz w:val="21"/>
          <w:szCs w:val="21"/>
          <w:highlight w:val="none"/>
          <w:lang w:eastAsia="zh-CN"/>
        </w:rPr>
        <w:t>。</w:t>
      </w:r>
    </w:p>
    <w:p>
      <w:pPr>
        <w:pageBreakBefore w:val="0"/>
        <w:widowControl/>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2.2022年2月28日全省数字化改革推进大会上提出，要强化“大脑”建设，打造高质量发展建设共同富裕示范区的动力源与能力集。探索“大脑”建设路径，在全面实现支撑核心业务运行监测评估的基础上，提升“大脑”的预测、预警和战略管理支撑能力，推动全量归集，强化多维集成，推动赋能跃升，加快探索各领域“大脑”建设的新路径，更加突出智能化智慧化，以算力换人力，以智能增效能，着力提升拓展各领域“大脑”核心能力。</w:t>
      </w:r>
    </w:p>
    <w:p>
      <w:pPr>
        <w:pageBreakBefore w:val="0"/>
        <w:widowControl/>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共中央国务院关于支持浙江高质量发展建设共同富裕示范区的意见》发布，提出“激发技能人才、科研人员、小微创业者、高素质农民等重点群体活力”。因此，需要对共同富裕示范区建设开展全方位、全路径、全过程的统计监测，要摸清重点群体底数和群体特征，为差别化收入分配激励政策提供数据支撑。</w:t>
      </w:r>
    </w:p>
    <w:p>
      <w:pPr>
        <w:pageBreakBefore w:val="0"/>
        <w:widowControl/>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省委省政府提出“深化‘最多跑一次’改革，推进政府数字化转型”战略决策，社会经济的快速发展带动政府统计数据量呈指数级上升，建设和优化综合基础数据库、投资领域全流程管理、数据浙江、数据质量管控、碳排放智能统计核算、统计单位全生命周期管理、高能级战略平台、服务业数字化展示等统计业务应用系统，在线挖掘海量数据蕴藏的巨大价值，提高统计生产效率、监测分析和预警预判能力，提升统计服务，成为统计现代化的改革革重点，为省委省政府决策提供基础性数字支撑。</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08" w:name="_Toc25463"/>
      <w:bookmarkStart w:id="109" w:name="_Toc17767"/>
      <w:r>
        <w:rPr>
          <w:rFonts w:hint="eastAsia" w:ascii="宋体" w:hAnsi="宋体" w:eastAsia="宋体" w:cs="宋体"/>
          <w:color w:val="auto"/>
          <w:sz w:val="21"/>
          <w:szCs w:val="21"/>
          <w:highlight w:val="none"/>
          <w:lang w:val="en-US" w:eastAsia="zh-CN"/>
        </w:rPr>
        <w:t>建设目标</w:t>
      </w:r>
      <w:bookmarkEnd w:id="108"/>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1.统计大脑</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依托浙江省一体化智能化公共数据平台，构建“一池一库一箱一舱一中心”的“统计大脑”体系架构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聚焦统计生产、统计服务、统计监督三大核心业务，建设全量归集多方数据的统计</w:t>
      </w:r>
      <w:r>
        <w:rPr>
          <w:rFonts w:hint="eastAsia" w:ascii="宋体" w:hAnsi="宋体" w:eastAsia="宋体" w:cs="宋体"/>
          <w:color w:val="auto"/>
          <w:sz w:val="21"/>
          <w:szCs w:val="21"/>
          <w:highlight w:val="none"/>
          <w:lang w:val="en-US" w:eastAsia="zh-CN"/>
        </w:rPr>
        <w:t>数库</w:t>
      </w:r>
      <w:r>
        <w:rPr>
          <w:rFonts w:hint="eastAsia" w:ascii="宋体" w:hAnsi="宋体" w:eastAsia="宋体" w:cs="宋体"/>
          <w:color w:val="auto"/>
          <w:sz w:val="21"/>
          <w:szCs w:val="21"/>
          <w:highlight w:val="none"/>
        </w:rPr>
        <w:t>，构建以数据计算分析、知识集成应用、逻辑推理研判为核心的智能化能力中心，提升数据汇聚共享度、业务协同融合度、应用集成智能度，支撑统计数字化改革，提升全省统计业务的学习力、全面感知力、预测预警力、战略目标管理力和改革力。</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2.共同富裕统计监测（二期）</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一体化智能化公共数据平台，建立以“人”和“企业”为基本单元，构建基本信息明确、工作信息清晰、收支信息客观的“全面覆盖+精准画像”主题分析库，基于主题分析模型，为特定的应用场景支撑提供基础，迭代完善综合评估、1+3重点群体、N个重点专题监测的应用现有场景，完成 6类“扩中”“提低”重点群体的精准画像。</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3.一体化统计监督（二期）</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一期功能基础上，对数据质量码、网上预警、智慧执法、掌上核查、量化督察、驾驶舱等模块进一步提升建设，强化掌上核查场景应用，实现对党委政府、职能部门、统计机构、调查对象、经济社会重大决策部署全面系统、精准量化、智能高效的统计监督，更加有效发挥统计监督职能的作用，推动防范和惩治统计造假弄虚作假向纵深发展。</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sz w:val="21"/>
          <w:szCs w:val="21"/>
          <w:highlight w:val="none"/>
        </w:rPr>
        <w:t>投资领域全流程管理</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基于统计领域统计管理与监测系统，迭代升级重大项目推进、项目统计入库在线审核、项目精准画像、统计智能分析等功能，定制开发驾驶舱，数据共享服务</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无感统计等功能。</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数据浙江（二期）</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实现数据浙江系统包括对数据浙江发布库PC端门户以及数据浙江工作库数据发布等内容的升级改造工作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按IRS规范要求对数据浙江系统的相关模块升级和重构、实现数据浙江系统与IRS浙江省一体化数字资源系统的对接和部署。</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6.综合数据库建设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建设统计综合数据库，建立个人工作台，开发综合数据上报催报功能，优化统计年鉴、数据要情、月报、26县等资料本排版制作，开发统计资料文献库，完善分专业、跨部门数据共享。</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数据质量管控系统（二期）</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强化</w:t>
      </w:r>
      <w:r>
        <w:rPr>
          <w:rFonts w:hint="eastAsia" w:ascii="宋体" w:hAnsi="宋体" w:eastAsia="宋体" w:cs="宋体"/>
          <w:color w:val="auto"/>
          <w:sz w:val="21"/>
          <w:szCs w:val="21"/>
          <w:highlight w:val="none"/>
        </w:rPr>
        <w:t>季度GDP核算相关指标评估和管控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聚焦统计生产过程中数据质量审核，与一套表系统对接实现</w:t>
      </w:r>
      <w:r>
        <w:rPr>
          <w:rFonts w:hint="eastAsia" w:ascii="宋体" w:hAnsi="宋体" w:eastAsia="宋体" w:cs="宋体"/>
          <w:color w:val="auto"/>
          <w:sz w:val="21"/>
          <w:szCs w:val="21"/>
          <w:highlight w:val="none"/>
        </w:rPr>
        <w:t>企业预警结果</w:t>
      </w:r>
      <w:r>
        <w:rPr>
          <w:rFonts w:hint="eastAsia" w:ascii="宋体" w:hAnsi="宋体" w:eastAsia="宋体" w:cs="宋体"/>
          <w:color w:val="auto"/>
          <w:sz w:val="21"/>
          <w:szCs w:val="21"/>
          <w:highlight w:val="none"/>
          <w:lang w:val="en-US" w:eastAsia="zh-CN"/>
        </w:rPr>
        <w:t>一键推送，</w:t>
      </w:r>
      <w:r>
        <w:rPr>
          <w:rFonts w:hint="eastAsia" w:ascii="宋体" w:hAnsi="宋体" w:eastAsia="宋体" w:cs="宋体"/>
          <w:color w:val="auto"/>
          <w:sz w:val="21"/>
          <w:szCs w:val="21"/>
          <w:highlight w:val="none"/>
        </w:rPr>
        <w:t>减轻基层负担，提高工作效率和数据质量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迭代升级驾驶舱，优化界面设计，突出</w:t>
      </w:r>
      <w:r>
        <w:rPr>
          <w:rFonts w:hint="eastAsia" w:ascii="宋体" w:hAnsi="宋体" w:eastAsia="宋体" w:cs="宋体"/>
          <w:color w:val="auto"/>
          <w:sz w:val="21"/>
          <w:szCs w:val="21"/>
          <w:highlight w:val="none"/>
        </w:rPr>
        <w:t>重点关注指标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进一步完善农业专业数据审核，夯实农业统计数据质量基础。</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碳排放智能统计核算</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数字化手段推进碳排放统计核算工作，通过系统取数、自动核算、及时共享，统一规范开展全省分领域、分行业、分地区的碳排放统计核算工作并持续监测，为下一步碳排放考核和碳达峰进程提供及时准确数据支撑，撬动促进社会高效能治理。</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9.统计单位全生命周期管理</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全面及时掌握统计单位（包括企业、事业、机关、社会团体、民办非企业等）出生、成长和消亡，为各专业的抽样调查提供更为准确的字典库</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高能级战略平台</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全省新区和高能级战略平台综合发展状况、各新区和高能级战略平台的基本情况以及行业企业发展状况等方面的进行全方位展示，提高日常反馈数据的速度，也为各级政府对新区和高能级战略平台精准施策提供有力支撑。</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服务业数字化展示</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根据业务发展需要，集成服务业精准画像和关键指标于服务业首屏。二是实现服务业主要指标预测功能。通过统计建模对规模以上服务业营业收入等指标未来一年各月的增长情况进行预测分析，实现县级预测和分行业门类预测。</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10" w:name="_Toc10783"/>
      <w:r>
        <w:rPr>
          <w:rFonts w:hint="eastAsia" w:ascii="宋体" w:hAnsi="宋体" w:eastAsia="宋体" w:cs="宋体"/>
          <w:color w:val="auto"/>
          <w:sz w:val="21"/>
          <w:szCs w:val="21"/>
          <w:highlight w:val="none"/>
          <w:lang w:val="en-US" w:eastAsia="zh-CN"/>
        </w:rPr>
        <w:t>业务需求</w:t>
      </w:r>
      <w:bookmarkEnd w:id="110"/>
    </w:p>
    <w:p>
      <w:pPr>
        <w:keepNext/>
        <w:keepLines/>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jc w:val="both"/>
        <w:textAlignment w:val="auto"/>
        <w:outlineLvl w:val="1"/>
        <w:rPr>
          <w:rFonts w:hint="eastAsia" w:ascii="宋体" w:hAnsi="宋体" w:eastAsia="宋体" w:cs="宋体"/>
          <w:b w:val="0"/>
          <w:bCs/>
          <w:color w:val="auto"/>
          <w:kern w:val="2"/>
          <w:sz w:val="21"/>
          <w:szCs w:val="21"/>
          <w:highlight w:val="none"/>
          <w:lang w:val="en-US" w:eastAsia="zh-CN" w:bidi="ar-SA"/>
        </w:rPr>
      </w:pPr>
      <w:bookmarkStart w:id="111" w:name="_Toc23668"/>
      <w:bookmarkStart w:id="112" w:name="_Toc20097"/>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b w:val="0"/>
          <w:bCs/>
          <w:color w:val="auto"/>
          <w:kern w:val="2"/>
          <w:sz w:val="21"/>
          <w:szCs w:val="21"/>
          <w:highlight w:val="none"/>
          <w:lang w:eastAsia="zh-CN" w:bidi="ar-SA"/>
        </w:rPr>
        <w:t>.</w:t>
      </w:r>
      <w:r>
        <w:rPr>
          <w:rFonts w:hint="eastAsia" w:ascii="宋体" w:hAnsi="宋体" w:eastAsia="宋体" w:cs="宋体"/>
          <w:b w:val="0"/>
          <w:bCs/>
          <w:color w:val="auto"/>
          <w:kern w:val="2"/>
          <w:sz w:val="21"/>
          <w:szCs w:val="21"/>
          <w:highlight w:val="none"/>
          <w:lang w:val="en-US" w:eastAsia="zh-CN" w:bidi="ar-SA"/>
        </w:rPr>
        <w:t>统计大脑</w:t>
      </w:r>
      <w:bookmarkEnd w:id="111"/>
      <w:bookmarkEnd w:id="112"/>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val="en-US" w:eastAsia="zh-CN"/>
        </w:rPr>
        <w:t>统计算力池（一池）</w:t>
      </w:r>
    </w:p>
    <w:p>
      <w:pPr>
        <w:pageBreakBefore w:val="0"/>
        <w:widowControl/>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通过对大脑各应用、各服务、各组件的可访问状态定时监控，并将监控的结果数据进行归集整理，然后汇总分类，满足对资源使用的监督监测，为调整资源分配达到最优化配置提供有力依据。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1.1.1硬件资源监控</w:t>
      </w:r>
    </w:p>
    <w:p>
      <w:pPr>
        <w:pageBreakBefore w:val="0"/>
        <w:widowControl/>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获取政务云基础硬件的使用数据后，进行汇总分析并以可视化方式展示，以实现基础硬件在使用过程中的瞬时可见，并设定预警规则，针对资源不足和使用率不达标的情况及时告警。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1.1.2安全监控统计</w:t>
      </w:r>
    </w:p>
    <w:p>
      <w:pPr>
        <w:pageBreakBefore w:val="0"/>
        <w:widowControl/>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统计算力池统一对系统漏洞数、系统攻击数、攻击拦截数进行汇总展示，实现系统运行过程中危险的可视化展示，为调整安全策略提供基础数据支撑。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1.1.3应用使用情况</w:t>
      </w:r>
    </w:p>
    <w:p>
      <w:pPr>
        <w:pageBreakBefore w:val="0"/>
        <w:widowControl/>
        <w:kinsoku/>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收集各重要业务应用系统访问量情况，提供信息系统故障台账管理功能，依据台账记录计算各应用系统平均可用时间，以可视化方式展示相关指标。</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1.2统计数库（一库）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推进全量归集，构建多维型“统计大脑”数据底座，建设统计数库（一库）。按照数据归集、数据清洗、融合加工到数据服务和分析应用数据全生命周期管理流程，盘点整合统计业务数据资源，形成各类主题数据库，建设统计数据仓库，形成统计系统标准规范化数据资源体系，在此基础上，利用大脑工具箱的BI报表工具、一键报表组件能力以及AI机器学习平台能力进行数据分析与挖掘，支撑统计领域深化数据应用。同时为满足各部门单位和各级统计局对跨部门、跨场景的数据共享和服务需求，通过加强数据资产管理和数据共享开放建设，推动数据资源在局内外的融合深度应用，实现数据安全流通、标准化管理运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1.2.1数据架构</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1.2.1.1数仓建设规划-总体架构设计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总体架构设计是解决统计大脑数据仓定位问题、划分边界，根据最新要求，把各个分离的组件有机的整合在一起，能够做到业务聚焦、技术聚焦、实现开发敏捷，使系统变得柔软，可以因需而变，实现统计业务敏捷。</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统计数库是在数据架构设计和标准建设的基础上，通过对统计局内部数据、统计重大应用数据等多种数据源数据进行采集，经过数据汇聚、存储、清洗、标准化处理形成分层分域的数据仓库，通过接口开发、FTP文件传输等方式支撑上层应用。</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1.2.1.2数仓建设规划-业务流程设计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数仓建设的业务流程设计是根据数据治理理论方法，结合统计大脑实际数据现状和资源部署现状，而设计的数仓开发工作业务流程，主要对数据源到数据应用过程各个环节进行梳理，保障数仓建设工作能顺利开展。</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数据源经数据采集汇聚、数据存储、数据清洗标准化、数据融合分析、数据开放共享给到数据应用进行使用，部门业务系统使用的数据最终会有部分数据作为数据源进行数据治理流程，形成一个数据治理良性循环。</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1.2.1.3数仓建设规划-功能架构设计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功能架构设计是对统计数据仓架构按功能进行分层、分组件，并描述这些层及组件之间的关系。</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1.2.1.4数仓建设规划-数据架构设计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数据架构设计是针对统计大脑所有业务数据，基于业务数据的分类和数据业务领域，能够规划设计数据模型的分层及数据的流转，实现数据的高价值沉淀。</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实现统计数仓的建模目标，满足统计大脑的业务需求和支撑能力，需要按照数据建模的原则和规范，对模型进行分层设计，结合浙江省统计局数据资源现状，统计数仓模型架构分为贴源层（ODS）、基础模型层(DWD)、融合模型层（DW）、集市层（DM）。针对外围系统提供的接口数据，通过统一采集至贴源层，必须在基础层做存储，再按建模规范逐层处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贴源数据层（ODS）：存储统计数据、部门数据、社会大数据和行为数据等原始数据，遵照数据模型命实体命名规范，字段按照原始字段。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基础模型层（DWD）：结合数据仓库数据处理方法论，在数据语义层面及部分业务语义层面进行粗加工产生的模型。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融合模型层（DW）：整合子层以范式模型设计理论为基础。为了提升模型的简单、易用性，汇聚子层以维度模型设计理论为基础。设计过程中遵循本规范的主题域和主题子域划分标准，遵照数据模型命实体命名规范，参考字段命名规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业务应用层（DM）：以满足业务应用的需要为主，其数据主要由融合层数据生成，部分数据可直接由基础层数据直生成，只针对应用设计，提供数据支撑使用。</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leftChars="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1.2.1.5数仓建设规划-技术架构设计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技术架构设计是针对统计数仓数据处理原则，能够运用大数据技术，进行技术架构顶层设计，实现结构化数据的处理分析、各类主题库开发以及统计业务数据安全管理等能力，通过先进的技术手段实现全面业务数据化。</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1.2.1.6数据规范-命名标准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需要对统计数据仓的命名进行标准制定，包括数据表的命名定义以及数据字段的定义。对数据表的标准命名，可展示出数据表属于哪个主题领域以及归属的主题域，如综合统计、工业统计、能源环境、人口就业等；对数据字段的标准命名，更好展示数据的业务属性。通过标准化的数据命名后，让系统数据仓更加清晰、利于操作和便于维护，助力统计大脑后续数据的使用。</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1.2.1.7数据规范-采集标准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对接业务数据源端系统，需要制定数据的采集标准，包括数据接口的适配、采集的监测及处理等标准化能力。</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采集接口适配：针对一套表系统、共同富裕应用等局内部业务系统以及各地市统计局特色数据库，能够支持数据库、文件、消息等接口方式的适配管理；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采集监测及处理：能够对采集任务在执行过程中的健康检查，异常处理；确保整个数据交换过程的稳定可靠；主要功能包括单元生成、单元编译、交换执行、健康监测、异常处理等。</w:t>
      </w:r>
    </w:p>
    <w:p>
      <w:pPr>
        <w:pStyle w:val="6"/>
        <w:keepNext/>
        <w:keepLines/>
        <w:pageBreakBefore w:val="0"/>
        <w:numPr>
          <w:ilvl w:val="0"/>
          <w:numId w:val="0"/>
          <w:ins w:id="0" w:author="阮圣健:处理函件" w:date="2023-10-31T08:27:00Z"/>
        </w:numPr>
        <w:kinsoku/>
        <w:overflowPunct/>
        <w:topLinePunct w:val="0"/>
        <w:autoSpaceDE/>
        <w:autoSpaceDN/>
        <w:bidi w:val="0"/>
        <w:adjustRightInd w:val="0"/>
        <w:snapToGrid w:val="0"/>
        <w:spacing w:before="0" w:beforeLines="0" w:after="0" w:afterLines="0" w:line="360" w:lineRule="auto"/>
        <w:ind w:left="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1.2.1.7.1数据规范-清洗标准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统计数据业务领域多、内容复杂，针对数据的清洗需要制定标准化的规则，能够实现支持数据的缺失值、异常值、重复值和无用值等的清洗，针对不同清洗内容，采取对应的技术方式进行处理，提高数据质量。</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方法一致性：数据清洗工作应统一决策，同一数据库范围内工作方法、技术指标均当统一，从而达成数据产品的一致性。</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数据可信性：从数据的精确性、完整性、一致性、有效性、唯一性五个方面提高数据可信性。精确性是描述数据是否与其对应的客观实体的特征相一致；完整性是描述数据是否存在缺失记录或缺失字段；一致性是描述同一实体的同一属性的值在不同的系统是否一致；有效性是描述数据是否满足用户定义的条件或在一定的域值范围内；唯一性是描述数据是否存在重复记录。</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数据可用性：从数据的时效性、稳定性提升数据可用性。时效性是描述数据是当前数据还是历史数据；稳定性是描述数据是否稳定，是否在业务有效期内流转的数据。</w:t>
      </w:r>
    </w:p>
    <w:p>
      <w:pPr>
        <w:pStyle w:val="6"/>
        <w:keepNext/>
        <w:keepLines/>
        <w:pageBreakBefore w:val="0"/>
        <w:numPr>
          <w:ilvl w:val="0"/>
          <w:numId w:val="0"/>
          <w:ins w:id="1" w:author="阮圣健:处理函件" w:date="2023-10-31T08:27:00Z"/>
        </w:numPr>
        <w:kinsoku/>
        <w:overflowPunct/>
        <w:topLinePunct w:val="0"/>
        <w:autoSpaceDE/>
        <w:autoSpaceDN/>
        <w:bidi w:val="0"/>
        <w:adjustRightInd w:val="0"/>
        <w:snapToGrid w:val="0"/>
        <w:spacing w:before="0" w:beforeLines="0" w:after="0" w:afterLines="0"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1.2.1.7.2数据规范-汇聚标准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以源系统为主要参照数据源，定义数据并建立数据关系，分主题域进行实体关系模型的设计，并制定主题宽表汇聚标准及汇聚内容，提升数据的完整性、一致性和模型的稳定性，实现大数据主题域数据的整合。主题域分为：统计设计管理、综合统计、国民经济、工业统计、能源环境、固定资产投资、贸易外经、人口就业、社会科技、农业农村等领域。</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同时，在形成各类主题模型宽表的基础上，根据业务需要，加工业务相关性较强的指标形成固定格式的报表，主要包括高能级大屏、共同富裕、碳中和、知识图谱业务应用专题。</w:t>
      </w:r>
    </w:p>
    <w:p>
      <w:pPr>
        <w:pStyle w:val="6"/>
        <w:keepNext/>
        <w:keepLines/>
        <w:pageBreakBefore w:val="0"/>
        <w:numPr>
          <w:ilvl w:val="0"/>
          <w:numId w:val="0"/>
          <w:ins w:id="2" w:author="阮圣健:处理函件" w:date="2023-10-31T08:27:00Z"/>
        </w:numPr>
        <w:kinsoku/>
        <w:overflowPunct/>
        <w:topLinePunct w:val="0"/>
        <w:autoSpaceDE/>
        <w:autoSpaceDN/>
        <w:bidi w:val="0"/>
        <w:adjustRightInd w:val="0"/>
        <w:snapToGrid w:val="0"/>
        <w:spacing w:before="0" w:beforeLines="0" w:after="0" w:afterLines="0"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1.2.1.7.3数据规范-接口标准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接口标准是指为满足各级政府统计业务需求，需对流通数据的共享开放方式和数据提供形式进行标准规范定义。接口提供的形式支持且不仅限于文件、数据库、消息等接口方式，能够全方位适配于对接业务系统。且接口应有明确的接口描述、接口地址、支持格式、请求方式、请求参数、请求样例、返回参数、返回样例等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1.2.2数据采集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基于统计局现有数据库建设基础上，按照“一数一源、一源一主、一数多用”的原则，进行数据归集工作。主要对接统计局各部门业务系统，进行统计业务全量数据库表的归集。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采集的主要方式有数据库采集、文件采集以及接口采集。通过对MySQL、Oracle、SQLServer、PostgreSQL、HDFS、Hive、HBase、MaxCompute、FTP、文件等数据源进行读取或写入数据，配置数据源的连接信息（例如填写Oracle数据库的JDBC URL、用户名、密码等信息），再配置对应的任务，进行采集工作。</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1.2.2.1浙江统计联网直报平台数据采集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浙江统计数字化应用平台，通过库表同步的方式，采集各类制度（第四次全国经济普查方案、贸易调查制度、企业一套表统计调查制度、商品交易市场统计年报、限上产业单位（个体户定报等制度）所包含的数据表，并存入统计数据仓库ODS层对应的存储介质（PG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根据对直报数据梳理调研，本项目需采集其约790张表6千万条数据，并进行周期性任务抽取。采集的数据表有：财务状况及附加表、工业企业生产经营及</w:t>
      </w:r>
      <w:r>
        <w:rPr>
          <w:rFonts w:hint="eastAsia" w:ascii="宋体" w:hAnsi="宋体" w:eastAsia="宋体" w:cs="宋体"/>
          <w:color w:val="auto"/>
          <w:sz w:val="21"/>
          <w:szCs w:val="21"/>
          <w:highlight w:val="none"/>
          <w:lang w:val="en-US" w:eastAsia="zh-CN"/>
        </w:rPr>
        <w:t>景气</w:t>
      </w:r>
      <w:r>
        <w:rPr>
          <w:rFonts w:hint="eastAsia" w:ascii="宋体" w:hAnsi="宋体" w:eastAsia="宋体" w:cs="宋体"/>
          <w:color w:val="auto"/>
          <w:sz w:val="21"/>
          <w:szCs w:val="21"/>
          <w:highlight w:val="none"/>
        </w:rPr>
        <w:t>状况调查表、住宿和</w:t>
      </w:r>
      <w:r>
        <w:rPr>
          <w:rFonts w:hint="eastAsia" w:ascii="宋体" w:hAnsi="宋体" w:eastAsia="宋体" w:cs="宋体"/>
          <w:color w:val="auto"/>
          <w:sz w:val="21"/>
          <w:szCs w:val="21"/>
          <w:highlight w:val="none"/>
          <w:lang w:eastAsia="zh-CN"/>
        </w:rPr>
        <w:t>餐饮业</w:t>
      </w:r>
      <w:r>
        <w:rPr>
          <w:rFonts w:hint="eastAsia" w:ascii="宋体" w:hAnsi="宋体" w:eastAsia="宋体" w:cs="宋体"/>
          <w:color w:val="auto"/>
          <w:sz w:val="21"/>
          <w:szCs w:val="21"/>
          <w:highlight w:val="none"/>
        </w:rPr>
        <w:t>产业活动情况调查表、调查单位基本情况表、主要工业产品生产能力表、服务业经营情况表、建筑业经营情况表、能源生产销售与库存表、信息化和电子商务应用情况表、生产经营景气状况表、电子商务交易平台情况表等。</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1.2.2.2共同富裕应用数据采集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对接省统计局共同富裕应用数据，采集企业、群体画像的相关数据信息，并存入统计数据仓库ODS层对应的存储介质（PG库）。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对共富应用的数据调研梳理，本项目需采集其约30张表5千万条数据，并进行周期性任务抽取。采集的数据信息有：例如低收入群体的低保类别、户口性质、致贫原因、救助标准、月人均收入、申请救助原因、残疾情况、人均收入情况等数据。</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1.2.2.3碳中和应用数据采集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对接碳排放智能统计核算应用数据，采集碳中和能耗企业相关数据信息，并存入统计数据仓库ODS层对应的存储介质（PG库）。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对碳中和应用的数据调研梳理，本项目需采集其约2张表2千万条数据，并进行周期性任务抽取。采集的数据信息有：行业强度、工业强度、等价能耗、能耗强度、用电量、碳强度行业排序、能耗行业排序、能耗强度排序、绿电发电量、碳排放增速、工业总产值增速等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1.2.3数据清洗</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清洗主要根据各类清洗规则对源数据层数据进行清洗、转化和载入等标准化加工处理，形成数据质量和一致性高的数据模型，根据统计业务数据表维度特征，主要对时间、地区、机构、编码、状态和行业等类别制定清洗规则。</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1.2.3.1时间类别清洗规则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业务报表涉及同一时间维度下指标数据来自不同数据源的情况较多，例如各业务领域年报数据、季度报表、月度报表数据，通过清洗规则，将多个数据源、多个不同维度数据的时间存入同一个库表中，选出最优值并换算成同一时间标准。例如：A报表的某一时间的营收数据与其他系统或报表中的数据不一致，即可将A报表的这一数据进行校验修正。</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1.2.3.2地区类别清洗规则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业务报表涉及同一指标来自不同数据源的情况较多，存在一个指标有多个地址、地区的情况，通过清洗规则，将多个数据源、多个不同维度数据的地区存入同一个库表中，选出最优值并换算成同一地区标准。例如：企业地址信息在不同来源系统中显示不一致，以更新时间最近的为准进行修正。</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1.2.3.3机构类别清洗规则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业务报表涉及同一指标来自不同数据源的情况较多，存在人员所属单位类型信息多样的情况（各类企事业单位等），通过清洗规则，将多个数据源、多个不同维度数据的所属机构信息存入同一个库表中，选出最优值并换算成同一机构标准。例如：低收入人员家庭成员中，存在失业、已就业单位等信息，以更新时间最近的进行修正。</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1.2.3.4编码类别清洗规则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业务报表涉及同一指标来自不同数据源的情况较多，同样的维度信息在不同表中的编码不一致，通过清洗规则，将多个数据源、多个不同维度数据按照统一编码标准进行归集，对于编码不一致的选取最优值进行换算。例如：编制编码体系、将编码从数字1开始进行赋值赋能，对所有对应的数据项进行编码赋值，对于编码不一致的以更新时间最近的进行修正。</w:t>
      </w:r>
    </w:p>
    <w:p>
      <w:pPr>
        <w:keepNext w:val="0"/>
        <w:keepLines w:val="0"/>
        <w:pageBreakBefore w:val="0"/>
        <w:numPr>
          <w:ilvl w:val="0"/>
          <w:numId w:val="0"/>
        </w:numPr>
        <w:kinsoku/>
        <w:overflowPunct/>
        <w:topLinePunct w:val="0"/>
        <w:autoSpaceDE/>
        <w:autoSpaceDN/>
        <w:bidi w:val="0"/>
        <w:spacing w:beforeAutospacing="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1.2.3.5状态类别清洗规则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业务报表涉及同一指标来自不同数据源的情况较多，存在同一数据的状态信息不一致，通过清洗规则，将多个数据源、多个不同维度数据的状态存入同一个库表中，选出最优值并换算成同一状态标准。例如：个人是否缴纳社保存在未缴纳、已缴纳等不同状态数据，以更新时间最近的进行修正。</w:t>
      </w:r>
    </w:p>
    <w:p>
      <w:pPr>
        <w:keepNext w:val="0"/>
        <w:keepLines w:val="0"/>
        <w:pageBreakBefore w:val="0"/>
        <w:numPr>
          <w:ilvl w:val="0"/>
          <w:numId w:val="0"/>
        </w:numPr>
        <w:kinsoku/>
        <w:overflowPunct/>
        <w:topLinePunct w:val="0"/>
        <w:autoSpaceDE/>
        <w:autoSpaceDN/>
        <w:bidi w:val="0"/>
        <w:spacing w:beforeAutospacing="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1.2.3.6行业类别清洗规则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业务报表涉及同一指标来自不同数据源的情况较多，由于细分行业较多且在不断更新，通过清洗规则，将多个数据源、多个不同维度数据的时间存入同一个库表中，选出最优值并换算成同一行业标准。例如：A企业在多处显示的行业信息不一致，实际由于企业转型由制造业转变为信息科技类型的企业，因此以最新的行业信息为准进行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1.2.4数据主题库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特定标识汇聚数据资源池的全部数据，形成描绘目标对象最完整的数据集。主要包括高能级大屏、共同富裕、碳中和、知识图谱的基础数据，通过基础数据采集、数据清洗、数据建模，形成面向应用划分的主题库，为统计领域上层应用提供基础数据资源信息清单。同时，以满足业务应用的需要为主，按照对业务的理解和对对象信息的抽象，从顶至下定义数据域，以全局抽象的视角对数据内容进行归类。</w:t>
      </w:r>
    </w:p>
    <w:p>
      <w:pPr>
        <w:pageBreakBefore w:val="0"/>
        <w:widowControl/>
        <w:kinsoku/>
        <w:overflowPunct/>
        <w:topLinePunct w:val="0"/>
        <w:autoSpaceDE/>
        <w:autoSpaceDN/>
        <w:bidi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主题库主要包括DWD/DW模型层以及面向应用的DM集市层的数据建设（详见架构图），为统计应用提供模型数据与指标数据支撑。DWD/DW模型层有高能级大屏主题库、共同富裕主题库、碳中和主题库、知识图谱主题库等主题库建设。</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1.2.4.1高能级大屏主题库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能级大屏是将高能级平台的各平台行业企业发展情况、经营情况以及趋势等方面的信息集成，并根据规模实力、监测预警、主导产业分布进行汇聚归纳，为高能级大屏应用及其他部门相关业务场景的指标数据利用提供支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根据业务应用需求，本数据库建设需设计、开发和维护约20张数据表，开发80多个指标数据，按照数据规范的汇聚标准，对模型层相关数据进行整合开发、关联和计算。</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数据资源有：高能级平台经济收入总和、项目本年度完成额、去年同期完成额、高能级企业本季度营收、上年同期营业收入、规模实力类型、工业增加值、营业收入、社会消费品零售额、固定资产投资等数据。</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1.2.4.2共同富裕主题库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依托共同富裕统计监测应用，归集低收入人群、科研人员、大学生、个体工商户等群体和画像数据信息形成共同富裕主题库，为全省统计机构及其他部门相关业务场景的指标数据利用提供支撑。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根据业务应用需求，本数据库建设需设计、开发和维护约15张数据表，按照数据规范的汇聚标准，对模型层数据进行整合开发、关联和计算。</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1.2.4.3碳中和主题库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依托碳排放智能统计核算应用，归集将各地区各行业能源消耗企业的基本情况、能源消耗情况以及趋势形成碳中和主题库，为全省统计机构及其他部门相关业务场景的指标数据利用提供支撑。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根据业务应用需求，本数据库建设需设计、开发和维护约2张数据表，按照数据规范的汇聚标准，对模型数据进行整合开发、关联和计算。</w:t>
      </w:r>
    </w:p>
    <w:p>
      <w:pPr>
        <w:pStyle w:val="5"/>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1.2.4.4知识图谱主题库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知识图谱是按照法律法规、经济形势专题将相关模型表数据进行汇聚集成，为知识图谱分析所需要的相关数据利用提供支撑。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根据业务应用需求，本数据库建设需设计、开发和维护约20张数据表，开发30多个指标数据，按照数据规范的汇聚标准，对模型层数据进行整合开发、关联和计算。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1.2.5规则库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质量规则是以统计业务系统为依托的数据监控标准、质量评价标准，将质量管理规范转换成监控规则、评价指标、评价标准，确保数据的完整性、及时性、有效性、关联性、规范性和一致性。目标解决数据在各环节实施应用中进度失控、质量参差不齐、数据不足与错乱等问题，强化数据质量事中控制、事后评价，降低因数据问题给服务带来的不便，提升决策分析依据的准确性和实用性。</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1.2.5.1数据质量审核规则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数据质量审核规则是针对重点统计数据表中核心指标的数据合理性、数据标准规范性、指标计算规则等构建审核校验规则，用于稽核相关重点指标的数据质量，以提升数据可用性、有用性。</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1.2.5.2企业数据质量码生成规则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数据质量码是统计监督工作中针对企业管理的重要手段，因此，企业数据质量赋码规则关乎到业务正常使用。因此数据质量工作，需要对企业数据质量码的赋码生成规则进行校验稽核，以保证不同场景下分级别赋码的准确性。</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1.2.5.3共富专题数据清洗规则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共富专题数据清洗规则是面向 “全面覆盖+精准画像”基础数据库，开展数据质量稽核规则开发，是提升共同富裕专题监测的数据有用性、可用性的重要手段。重点包括字段标准、空置检验、映射关系、命名标准等一系列数据清洗要求。</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●主键</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来源：id（主键）[七人普个人短表]{统计局}。</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有效标准：非空，且数字。</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●12位行政区划编码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来源：ad_code(12位行政区划编码)[七人普个人短表]{统计局}、qx(县（市、区）)[流动人口基本信息表]{公安}。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映射关系：来源顺序。</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有效标准：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非空，且数字，且不超过12位；</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qx(县（市、区）)：最新记录，以djrq（登记日期）[流动人口基本信息表]{公安}为判断新旧依据。</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处理规则：qx(县（市、区）)根据[公安***代码表]转换为国标行政区划代码，并将后缀补0到12位。</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●普查小区代码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来源：census_subdistrict_code(普查小区代码)[七人普个人短表]{统计局}。</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有效标准：非空，且数字。</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●户编码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来源：household_code(户编码)[七人普个人短表]{统计局}。</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有效标准：非空，且数字。</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●户id</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来源：household_id(户id)[七人普个人短表]{统计局}。</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有效标准：非空，且“_”与数字组合。</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●人编码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来源：resident_no(人编码)[七人普个人短表]{统计局}。</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有效标准：非空，且数字。</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●城乡代码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来源：county_code(城乡代码)[七人普个人短表]{统计局}。</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有效标准：非空，且数字。</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1.2.5.4通用规则</w:t>
      </w:r>
    </w:p>
    <w:p>
      <w:pPr>
        <w:pageBreakBefore w:val="0"/>
        <w:widowControl/>
        <w:kinsoku/>
        <w:overflowPunct/>
        <w:topLinePunct w:val="0"/>
        <w:autoSpaceDE/>
        <w:autoSpaceDN/>
        <w:bidi w:val="0"/>
        <w:spacing w:line="360" w:lineRule="auto"/>
        <w:ind w:firstLine="420" w:firstLineChars="200"/>
        <w:textAlignment w:val="baseline"/>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kern w:val="0"/>
          <w:sz w:val="21"/>
          <w:szCs w:val="21"/>
          <w:highlight w:val="none"/>
        </w:rPr>
        <w:t>针对归集内外部数据，根据数据标准、业务逻辑、数据特征等维度制定通用类清洗规则，包括数据的完整性、有效性、合理性、一致性等，用于衡量数据质量。具体工作涵盖规则开发、问题告警。</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在数据治理过程中设置告警阈值，制定告警规则，并提供标准传输协议，处理告警消息。能够根据告警消息发送频率和内容自定义告警消息和发送周期。</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告警方式规则：主要包括告警规则名称、告警升级间隔时间、告警内容格式（内容生成模板）、最低告警等级和是否自动生成数据质量监控问题等。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1.2.6数据共享 </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共享是为内外系统各级部门和各类应用场景提供数据共享开放服务，数据共享的主要过程为：根据数据需求的具体内容进行接口开发、共享数据集和数据文件准备等共享服务工作；对于外部单位数据需求，将API接口或FTP文件同步至IRS平台，供各级政府部门进行申请回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主要涉及的数据共享内容有统计大脑数据支撑服务、对内数据支撑服务和对外数据支撑服务。其中，统计大脑数据支撑服务包括统计大脑驾驶舱、高能级大屏等统计大脑应用接口开发；对内数据支撑服务的建设内容包括高能级大屏接口开发、数据浙江开放数据接口开发以及统计系统内部（省级统计部门以及地市级统计局）的数据支撑服务；对外数据支撑服务的建设内容是IRS数据定期上架工作。</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1.2.6.1统计大脑数据支撑服务</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1.2.6.1.1统计大脑驾驶舱数据接口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驾驶舱可视化界面的数据准确及时，针对统计大脑驾驶舱的统计生产、统计服务、统计监督、统计数库等专题页面进行数据对接服务，通过开发对应的API接口定义数据访问接口及相关参数、标准，用于各类对数据的调用，实现数据共享。</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数据共享资源举例：统计驾驶舱的内跑平台申请量、一体化平台共享量、数据融合共享量、模型访问情况、模型训练情况、算法总计、低代码应用集成平台组件概况等指标数据。</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1.2.6.1.2统计大脑智能中心数据接口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根据统计大脑智能中心各业务模块数据共享需求，对智能中心主题库的数据表和指标清单进行梳理，通过文件同步的形式将共享数据表提供给应用，并根据共享需求的变化不断更新共享数据内容。</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数据共享资源举例：社会和科技统计处的报表制度、本期同期、去年同期、本期增长、累计增长等文件数据和指标数据。</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1.2.6.1.3统计大脑知识图谱数据接口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统计大脑知识图谱各节点数据展示、查询、分析数据，对知识图谱主题库的数据表和指标清单进行梳理，通过文件同步的形式将共享数据表提供给知识图谱应用，并根据共享需求的变化不断更新共享数据内容。</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共享资源举例：节点行业企业名录的企业名称、地址、营业收入、收入增速、利润增速、利润总额数据，节点行业趋势的企业数据、营业收入、收入增速、利润增速、利润总额数据以及节点对应文章地址、名称数据等。</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1.2.6.1.4统计大脑BI分析中心数据接口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统计大脑BI分析中心各业务领域分析报表数据分析需求，对BI分析中心主题库的数据表和指标清单进行梳理，通过文件同步的形式将共享数据表提供给BI分析报表应用，并根据共享需求的变化不断更新共享数据内容。</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1.2.6.2对内数据支撑服务</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1.2.6.2.1高能级大屏数据接口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高能级平台战略大屏分级分区数据展示、分析统计需求，对高能级大屏主题库的数据表和指标清单进行梳理，通过文件同步的形式将共享数据表提供给高能级大屏应用，并根据共享需求的变化不断更新共享数据内容。</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数据共享资源举例：高能级平台大类分布、大类编码、大类名称、大类占比数据、各地区排行数据，高能级平台企业名录信息、项目完成情况、企业预警和排行数据等。</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1.2.6.2.2数据浙江开放数据接口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根据数据浙江目录中统计局需开放的数据内容和等级要求，对数仓资源体系数据进行共享数据表建设并完成分级分类管理，定期通过文件同步的形式将开放数据提供给数据浙江应用，以便其他外部单位进行利用。</w:t>
      </w:r>
    </w:p>
    <w:p>
      <w:pPr>
        <w:pStyle w:val="7"/>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1.2.6.2.3统计业务部门数据共享</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针对省、市、县统计业务部门提出的统计内部数据共享需求，根据数据应用类别，一是进行数据授权、数据集准备，二是进行API接口开发供相关业务应用进行接口数据调用。</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1.2.6.3对外数据支撑服务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定期将统计数库的共享数据资源按照分级分类标准和数据上架规范要求上架</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rPr>
        <w:t>一体化智能化公共数据平台，为其他外部单位的数据需求提供服务，例如规上和限下企业每月清单信息、统计指标数据信息、统计领域网上预警企业评价信息等。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1.2.7数据一键搜索</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使各级部门更便利地找到目标报表和指标，在数据仓库建设和数据资产目录管理基础上，对报表和指标数据进行进一步处理和对接，通过建设一键搜索功能，帮助各用户直接在统计大脑应用中查找数据，能够更直接的对各主题库资源以及知识库资源各类指标进行分类检索，对于能直接利用的报表进行下载。</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1.2.7.1数据搜索</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查询检索：支持直接输入指标或报表名称进行搜索查询；支持根据数据类型、数据属性、期别类型、归属专业和地区级别等条件选择进行搜索查询。</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数据详情：报表类数据以电子表格进行呈现，包括维度和指标数据的名称和数值，并支持报表下载；指标类数据呈现的是本指标的具体数值。</w:t>
      </w:r>
    </w:p>
    <w:p>
      <w:pPr>
        <w:pStyle w:val="6"/>
        <w:keepNext w:val="0"/>
        <w:keepLines w:val="0"/>
        <w:pageBreakBefore w:val="0"/>
        <w:numPr>
          <w:ilvl w:val="0"/>
          <w:numId w:val="0"/>
        </w:numPr>
        <w:kinsoku/>
        <w:overflowPunct/>
        <w:topLinePunct w:val="0"/>
        <w:autoSpaceDE/>
        <w:autoSpaceDN/>
        <w:bidi w:val="0"/>
        <w:spacing w:before="0" w:beforeLines="0" w:beforeAutospacing="0" w:after="0" w:afterLines="0" w:afterAutospacing="0" w:line="360" w:lineRule="auto"/>
        <w:ind w:left="0" w:firstLine="420" w:firstLineChars="200"/>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1.2.7.2知识搜索</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查询检索：支持直接输入知识名称进行搜索查询；支持根据数据类型、数据属性、期别类型、归属专业和地区级别等条件选择进行搜索查询。</w:t>
      </w:r>
    </w:p>
    <w:p>
      <w:pPr>
        <w:pageBreakBefore w:val="0"/>
        <w:kinsoku/>
        <w:overflowPunct/>
        <w:topLinePunct w:val="0"/>
        <w:autoSpaceDE/>
        <w:autoSpaceDN/>
        <w:bidi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数据详情：知识类数据呈现的是具体资料信息，包括制度文件、政策咨询、研究报告、法律法规等各类知识库数据。</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1.3统计工具箱（一箱）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1.3.1 AI机器学习平台</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AI机器学习平台的建设，基于“统计大脑”统计数库，聚焦统计核心业务，构建模型的算法底座并求解各类统计问题，为全省统计局系统核心业务和重大应用运行提供算法保障。AI机器学习平台主要由能力组件和算法模型库构成，其中算法库包括基础算法和业务（通用）算法，模型库基于SWOTA分析方法建设SW模型、O模型、T模型和A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能力组件模型训练管理等能力，聚焦领域应用、扩中提低改革、城乡共富、碳中和、企业风险监测等重点场景，对基础算法进行调用，根据各类场景完成模型的开发及训练，并通过能力组件的模型应用和模型发布实现算法和模型在各级部门的共享使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1.3.1.1 能力组件</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能力组件是AI机器学习平台的算法支撑底座，能够提供机器学习一站式建模能力，包括数据管理、模型管理、模型训练、模型应用和模型发布等能力。</w:t>
      </w:r>
    </w:p>
    <w:p>
      <w:pPr>
        <w:pageBreakBefore w:val="0"/>
        <w:widowControl w:val="0"/>
        <w:numPr>
          <w:ilvl w:val="0"/>
          <w:numId w:val="0"/>
        </w:numPr>
        <w:kinsoku/>
        <w:overflowPunct/>
        <w:topLinePunct w:val="0"/>
        <w:autoSpaceDE/>
        <w:autoSpaceDN/>
        <w:bidi w:val="0"/>
        <w:spacing w:line="360" w:lineRule="auto"/>
        <w:ind w:left="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1.3.1.1.1数据管理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组件为算法模型训练提供基础数据源接入和管理能力。支持的数据源来源有数据库类型、FTP文件类型、本地文件类型。其中数据库类型支持多类数据库，包括大数据平台hive、DB2、vertica、gbase、mysql、postgreSQL等。</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大数据平台hive</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支持开源hadoop等通用标准接口的大数据平台hive库。</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文件导入</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支持对本地或者远程的文件数据导入。</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关系型数据库</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支持Oracle、DB2、Mysql数据接入。</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MPP数据库</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支持Hbase、Gbase、vertica、postgresql数据接入。</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图片数据</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支持对图片数据的接入以及查看功能。</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文本数据</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支持对文本数据的接入以及查看功能。</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数据描述管理</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管理数据描述模板，可上传、下载、更新数据描述信息。</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数据源审核</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审核数据源相关信息是否满足接入要求。</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数据源分类</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增加数据源分类标识，训练、推理或者校验数据，不同类型的数据对应不同的自动化流程。</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●编</w:t>
      </w:r>
      <w:r>
        <w:rPr>
          <w:rFonts w:hint="eastAsia" w:ascii="宋体" w:hAnsi="宋体" w:eastAsia="宋体" w:cs="宋体"/>
          <w:color w:val="auto"/>
          <w:kern w:val="2"/>
          <w:sz w:val="21"/>
          <w:szCs w:val="21"/>
          <w:highlight w:val="none"/>
          <w:lang w:val="en-US" w:eastAsia="zh-CN" w:bidi="ar-SA"/>
        </w:rPr>
        <w:t>写SQL提取数据</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支持自行</w:t>
      </w:r>
      <w:r>
        <w:rPr>
          <w:rFonts w:hint="eastAsia" w:ascii="宋体" w:hAnsi="宋体" w:eastAsia="宋体" w:cs="宋体"/>
          <w:b w:val="0"/>
          <w:color w:val="auto"/>
          <w:sz w:val="21"/>
          <w:szCs w:val="21"/>
          <w:highlight w:val="none"/>
          <w:lang w:val="en-US" w:eastAsia="zh-CN"/>
        </w:rPr>
        <w:t>编</w:t>
      </w:r>
      <w:r>
        <w:rPr>
          <w:rFonts w:hint="eastAsia" w:ascii="宋体" w:hAnsi="宋体" w:eastAsia="宋体" w:cs="宋体"/>
          <w:color w:val="auto"/>
          <w:sz w:val="21"/>
          <w:szCs w:val="21"/>
          <w:highlight w:val="none"/>
        </w:rPr>
        <w:t>写SQL接入数据源，增加对周期函数的支持。</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数据预览</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针对接入的数据源，可在界面预览数据</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数据清除</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支持清除已接入数据源的数据，保留数据源配置，更新或从下一个周期继续抽取数据。</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数据抽取任务停止</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支持手工停止正在抽取的任务。</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支持周期性数据源</w:t>
      </w:r>
      <w:r>
        <w:rPr>
          <w:rFonts w:hint="eastAsia" w:ascii="宋体" w:hAnsi="宋体" w:eastAsia="宋体" w:cs="宋体"/>
          <w:color w:val="auto"/>
          <w:kern w:val="2"/>
          <w:sz w:val="21"/>
          <w:szCs w:val="21"/>
          <w:highlight w:val="none"/>
          <w:lang w:val="en-US" w:eastAsia="zh-CN" w:bidi="ar-SA"/>
        </w:rPr>
        <w:tab/>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支持周期性从数据源提取数据并且标识不同周期的提取情况，支持分钟级调度。</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1.3.1.1.2模型管理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本组件提供模型信息管理和模型版本管理等能力。统一管理多种方式创建的模型，包括模型文件以及相关的脚本程序，提供统一的部署、信息查看以及分享功能。</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查看模型信息</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对接入模型管理功能的模型，提供详细的模型信息，包括模型信息、版本信息、状态信息、来源等等。</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模型版本管理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可管理已发布模型的版本生命周期以及详细信息，能够查看模型的历史版本、生命周期状态、支持在模型发布时自动增加新的历史版本。</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1.3.1.1.3模型训练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本组件是算法和模型训练的核心组件，通过各类建模工具和手段实现模型创建过程，包括向导式建模、编码式建模和训练任务管理能力。</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训练任务管理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本组件提供可视化的训练任务管理功能，包括任务的创建、编辑、取消训练（停止）、复制等功能。</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向导式建模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向导式建模提供预置的向导式建模场景和自动建模能力，降低开发模型的门槛。预置的场景提供自动化特征工程、参数优化以及算法选择，建模过程中无需关注使用的算法以及参数，由机器根据自动完成算法和参数选择，提高建模效率降低门槛。</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智能处理数据：支持根据不同算法对数据的要求，自动转换数据模型。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智能选择特征指标：筛选合适的特征指标用于建模。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智能选择算法：支持根据训练数据的特征，使用最合适的算法。</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智能优化参数：支持根据设置的效果阀值，自动找到最合适的算法参数，使模型达到最优效果。</w:t>
      </w:r>
    </w:p>
    <w:p>
      <w:pPr>
        <w:pageBreakBefore w:val="0"/>
        <w:widowControl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编码式建模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支持在浏览器直接编码的方式建模，预置Python、R开发语言，支持扩展算法库，可写完后直接执行代码查看执行结果，所见即所得。</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1.3.1.1.4模型应用</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模型完成训练后，基于微服务化的镜像构建、部署开放能力提供统一AI能力构建组件能力，提供在线/离线推理能力的构建，实现从构建镜像、启动镜像、注册服务全流程管理。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本组件提供通过可视化配置的方式，实现推理服务应用部署，并支持通过在线、离线和流式构建推理服务。主要的功能有：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应用状态管理：监控模型应用的运行状态。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列表/卡片视图：支持列表/卡片视图展示所有已创建的模型应用信息。</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应用修改：支持修改模型应用任务配置。</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应用删除：支持删除模型应用任务。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应用停止：支持停止正在执行的模型应用任务。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应用查询：根据应用的名称、状态、使用的接口等方式快速查询应用。</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1.3.1.1.5模型发布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算法和模型经开发训练、应用部署后，可通过对其进行上线、下线管理实现算法模型的共享应用。通过控制用户权限，可实现模型发布后的可见范围，权限范围内的其他用户可对模型进行调用应用。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6"/>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1.3.1.2基础算法</w:t>
      </w:r>
    </w:p>
    <w:p>
      <w:pPr>
        <w:pageBreakBefore w:val="0"/>
        <w:numPr>
          <w:ilvl w:val="0"/>
          <w:numId w:val="0"/>
        </w:numPr>
        <w:kinsoku/>
        <w:overflowPunct/>
        <w:topLinePunct w:val="0"/>
        <w:autoSpaceDE/>
        <w:autoSpaceDN/>
        <w:bidi w:val="0"/>
        <w:spacing w:line="360" w:lineRule="auto"/>
        <w:ind w:firstLine="420" w:firstLineChars="200"/>
        <w:jc w:val="left"/>
        <w:outlineLvl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基础算法是支撑业务算法和业务模型的常用算法，包括</w:t>
      </w:r>
      <w:r>
        <w:rPr>
          <w:rFonts w:hint="eastAsia" w:ascii="宋体" w:hAnsi="宋体" w:eastAsia="宋体" w:cs="宋体"/>
          <w:color w:val="auto"/>
          <w:sz w:val="21"/>
          <w:szCs w:val="21"/>
          <w:highlight w:val="none"/>
          <w:lang w:eastAsia="zh-CN"/>
        </w:rPr>
        <w:t>逻辑回归、神经网络及决策</w:t>
      </w:r>
      <w:r>
        <w:rPr>
          <w:rFonts w:hint="eastAsia" w:ascii="宋体" w:hAnsi="宋体" w:eastAsia="宋体" w:cs="宋体"/>
          <w:color w:val="auto"/>
          <w:sz w:val="21"/>
          <w:szCs w:val="21"/>
          <w:highlight w:val="none"/>
          <w:lang w:eastAsia="zh-Hans"/>
        </w:rPr>
        <w:t>树等共计65种</w:t>
      </w:r>
      <w:r>
        <w:rPr>
          <w:rFonts w:hint="eastAsia" w:ascii="宋体" w:hAnsi="宋体" w:eastAsia="宋体" w:cs="宋体"/>
          <w:color w:val="auto"/>
          <w:sz w:val="21"/>
          <w:szCs w:val="21"/>
          <w:highlight w:val="none"/>
        </w:rPr>
        <w:t>算法，为业务模型创建提供基础支撑能力。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6"/>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1.3.1.3 SW模型</w:t>
      </w:r>
    </w:p>
    <w:p>
      <w:pPr>
        <w:pageBreakBefore w:val="0"/>
        <w:numPr>
          <w:ilvl w:val="0"/>
          <w:numId w:val="0"/>
        </w:numPr>
        <w:kinsoku/>
        <w:overflowPunct/>
        <w:topLinePunct w:val="0"/>
        <w:autoSpaceDE/>
        <w:autoSpaceDN/>
        <w:bidi w:val="0"/>
        <w:spacing w:line="360" w:lineRule="auto"/>
        <w:ind w:firstLine="420" w:firstLineChars="200"/>
        <w:jc w:val="left"/>
        <w:outlineLvl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W模型是监测评价模型的集合，是以指标监测或维度评价描绘业务或行业对象的运行状态，S表示的是优势分析（指标监测值为正：例如收入增加等）、W表示的是劣势分析（指标监测值为负：例如收入减少等）。依托AI平台的能力组件，利用基础算法和业务（通用）算法进行的模型研究，通过集成和统一管理，向其他单位和部门使用提供支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根据业务科室的调研结果梳理，需集成和建设的模型有三大产业监测模型、三大收入监测模型、工业处优劣势企业识别模型。</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1.3.1.3.1三大产业监测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集成三大产业监测模型，进行上线、发布、下线、版本更新等模型管理。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模型以浙江省第一、第二、第三产业三大产业作为研究对象，以产业发展质量、优势产业选择、产业竞争力、产业发展水平等作为产业监测指标对三大产业进行产业评估，在进行指标筛选的基础上，运用层次分析法等方法得到产业评估指标体系中各指标的权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构建产业监测模型，为政府部门产业政策研究提供参考。</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1.3.1.3.2三大收入监测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集成三大收入监测模型，进行上线、发布、下线、版本更新等模型管理。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模型以浙江省GDP的三大收入（第一产业、第二产业、第三产业）收入作为研究对象，对三大产业营业收入的绝对值、行业结构进行分析，监测各产业收入月度数据变动对GDP贡献的影响程度。本模型研究一是需构建各产业的收入计算规则，形成产业收入指标体系，通过采集最近的收入指标数据，测算产业营业收入；二是需通过月度同比分析、产业增速分析、以及对GDP的贡献分析，及时获取产业收入增长或下滑的最新信息。</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1.3.1.3.3工业优劣势企业识别模型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建设工业优劣势企业识别模型，主要内容有需求数据清洗与特征工程、建模开发、模型训练、结果校验、模型优化及维护等。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模型是利用联网直报系统中的工业企业数据实时监测单个企业月度数据变动对其所在行业营业收入影响程度。通过构建算法模型研究营业收入指标相邻两个报告期变动额最大的若干企业对其所属行业的影响程度，把研究结论中对该行业指标产生负向影响的企业界定为劣势企业。一是利用联网直报平台中查询菜单的列计算功能实时查询到本期和上期营业收入数据变动（包括正值和负值）最大的若干企业及其差值数据，利用平台间的数据接口将上述企业数据传送至模型构建平台。二是利用联网直报平台中的汇总模块实时得到企业各行业大类数据，利用平台间的数据接口将上述各行业大类数据传送至模型构建平台。三是利用模型构建平台对单个企业与其所对应行业实现自动匹配，然后利用模型公式计算单个企业变动对其所处行业产生的影响，即单个企业拉动行业增长点数。</w:t>
      </w:r>
    </w:p>
    <w:p>
      <w:pPr>
        <w:pageBreakBefore w:val="0"/>
        <w:widowControl w:val="0"/>
        <w:numPr>
          <w:ilvl w:val="0"/>
          <w:numId w:val="0"/>
        </w:numPr>
        <w:kinsoku/>
        <w:overflowPunct/>
        <w:topLinePunct w:val="0"/>
        <w:autoSpaceDE/>
        <w:autoSpaceDN/>
        <w:bidi w:val="0"/>
        <w:spacing w:line="360" w:lineRule="auto"/>
        <w:ind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1.3.1.4 O模型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模型是预测分析、发展趋势分析类模型的集合，根据某项维度指标历史数据统计特征对未来趋势等进行预测分析，依托AI平台的能力组件，利用基础算法和业务（通用）算法进行的模型研究，通过集成和统一管理，向其他单位和部门使用提供支撑。</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1.3.1.4.1 GDP_生产函数模型预测模型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建设GDP_生产函数模型预测模型，主要内容有需求数据清洗与特征工程、建模开发、模型训练、结果校验、模型优化及维护等。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投入产出视角，采用C-D生产函数模型对浙江省GDP总量进行建模，根据宏观经济投入产出理论，将国民经济生产活动产出要素的表现形式为GDP，而投入要素分为物资投入、资本投入、人力投入、技术投入，通过确定投入各要素的指标变量，依据C-D生产函数模型进行GDP预测。</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1.3.1.4.2 GDP_影响因素模型预测模型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建设GDP_影响因素模型预测模型，主要内容有需求数据清洗与特征工程、建模开发、模型训练、结果校验、模型优化及维护等。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影响因素视角，采用GDP影响因素模型对浙江省GDP总量进行建模。通过相关性分析对工业出口交货值、进出口总额、规上工业增加值、规上工业总产值、服务业营业收入、建安工程投资、商品房销售面积、批发与零售业销售额等影响因素进行研究，确定影响因素模型的因变量，选择2017-2022年作为样本数据进行模型训练，对所有变量均作对数处理，采用影响因素模型对GDP进行预测。</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1.3.1.4.3中长期碳排放预测模型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建设中长期碳排放预测模型，主要内容有需求数据清洗与特征工程、建模开发、模型训练、结果校验、模型优化及维护等。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浙江省碳排放预测，构建基于迭代寻优的碳排放预测算法，本模型基于LEAP模型自下而上进行碳排放预测，同时又利用国家和我省的经济、能源、环境等宏观指标（如GDP、能耗双控、碳排放强度等）进行自上而下迭代校核。</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迭代寻优的碳排放预测模型包含能源需求预测和能源加工转换两大核心模块。能源需求预测模块通过经济社会发展、人口和单耗，并结合分品种能源结构预测，从而得到一二三产和居民生活分品种能源需求，主要包括终端煤炭、石油、天然气以及电力热力的需求。能源加工转换模块结合全省的电力装机、外来电、热电机组及发电小时数等的预测，满足终端电力、热力的需求。预测过程中，将GDP增速、产业结构、能源消费结构、电力供应结构、重大产业和能源项目投产时序等设置为关键影响因素（或变量）。</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1.3.1.4.4规上服务业营收趋势分析与预测模型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建设规上服务业营收趋势分析与预测模型，主要内容有需求数据清洗与特征工程、建模开发、模型训练、结果校验、模型优化及维护等。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模型通过对浙江省规模以上服务业及重点行业营业收入的绝对值、行业结构及同比增速特征进行分析，并在此基础上并建立模型对其营业收入趋势进行预测，为全省宏观经济决策提供参考。本模型研究融合多项式趋势模型、指数增长趋势模型、景气指数等因素的规上服务业营业收入的预测模型，利用规上服务业的营业收入、信息技术服务业等四个主要服务行业的营业收入进行模型参数辨识、检验，对规上服务业营收趋势进行分析和预测。</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1.3.1.4.5农作物产值预测模型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建设农作物产值预测模型，主要内容有需求数据清洗与特征工程、建模开发、模型训练、结果校验、模型优化及维护等。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焦种植业及粮油产业发展，基于2002-2020年《浙江省统计年鉴》、《中国农业年鉴》、《浙江省农业农村统计资料》和《中国农业机械工业年鉴》等相关统计数据，评估浙江省种植业及粮油产业发展现状，组合使用自适应套索回归模型和支持向量机算法，从资源环境约束、生产效率、政策扶持、农业自然灾害、市场环境等多角度梳理了可能影响农业产值变动的因素，并通过引入惩罚项的方式，将对产值影响不显著的变量系数压缩为零。在此基础上，将筛选出的变量纳入支持向量机中进行训练和检测，实现对种植业及粮油产业的有效预测和预警。</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1.3.1.4.6浙江省R&amp;D经费投入增长趋势预测模型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建设浙江省R&amp;D经费投入增长趋势预测模型，主要内容有需求数据清洗与特征工程、建模开发、模型训练、结果校验、模型优化及维护等。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ATA[在对浙江省R&D经费投入现状进行定性分析的基础上，利用灰色预测模型、两参数指数平滑预测和ARIMA模型建立浙江省R&D经费投入的单变量时序预测模型。通过选取浙江R&D经费投入、R&D经费投入强度、浙江省GDP及人均GDP等与R&D相关的指标作为分析对象，运用组合预测模型，并结合机器学习建模方法及国际对标法对未来R&D投入趋势建模预测，对浙江省R&D经费支出与投入现状进行分析，为政府部门提供决策参考。]]></w:t>
      </w:r>
    </w:p>
    <w:p>
      <w:pPr>
        <w:pageBreakBefore w:val="0"/>
        <w:widowControl w:val="0"/>
        <w:numPr>
          <w:ilvl w:val="0"/>
          <w:numId w:val="0"/>
        </w:numPr>
        <w:kinsoku/>
        <w:overflowPunct/>
        <w:topLinePunct w:val="0"/>
        <w:autoSpaceDE/>
        <w:autoSpaceDN/>
        <w:bidi w:val="0"/>
        <w:spacing w:line="360" w:lineRule="auto"/>
        <w:ind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1.3.1.5 T模型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模型是预警类模型的集合，通过规则设计将相关因子作为监测对象、设置阈值或标准线进行预警分析，依托AI平台的能力组件，利用基础算法和业务（通用）算法进行的模型研究，通过集成和统一管理，向其他单位和部门使用提供支撑。</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1.3.1.5.1贸经处专项预警模型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建设贸经处专项预警模型，主要内容有需求数据清洗与特征工程、建模开发、模型训练、结果校验、模型优化及维护等。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对贸经处业务相关的分行业企业利用限上单位月度销售额（营业额、零售额）占该行业总规模的变动进行预警，如月度占比变动降幅大于0.1%，则对将企业预警信息自动反馈给贸经处。</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1.3.1.5.2社科处专项预警模型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建设社科处专项预警模型，主要内容有需求数据清洗与特征工程、建模开发、模型训练、结果校验、模型优化及维护等。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在经济运行过程中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对研究开发费用增长的发展变化情况进行预测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以便在失衡发生前提前发出警报，事先采取措施加以调节，从而避免研究开发费用异常变化所带来的不良后果。从而需要对预测模型建立预警区间进行实时监测分析。</w:t>
      </w:r>
    </w:p>
    <w:p>
      <w:pPr>
        <w:pageBreakBefore w:val="0"/>
        <w:kinsoku/>
        <w:wordWrap w:val="0"/>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预测模型的预测结果，基于研究开发费用增长速度指标具有一定程度的趋势性和稳定，根据历史各个报告期数据的统计变动规律，可以对上述预测模型的预测值设定一个预警区间，若预测值和上期实际值的差值处于该预警区间外，则该模型自动发生预警警告，反之，则认为指标变动平稳。经多种因素的分析考虑，本文采用的预警区间拟采用【研究开发费用绝对值大于100万元且超过上期绝对值*50%，研究开发费用绝对值大于1000万元且超过上期绝对值*30%】进行确定。</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1.3.1.5.3服务业处专项预警模型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建设服务业处专项预警模型，主要内容有需求数据清洗与特征工程、建模开发、模型训练、结果校验、模型优化及维护等。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对服务业处业务相关的分行业企业分行业利用限上单位月度销售额（营业额、零售额）占该行业总规模的变动进行预警，如月度占比变动降幅大于0.1%，则对将企业预警信息自动反馈给服务业处。</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1.3.1.5.4五色图模型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集成五色图模型，进行上线、发布、下线、版本更新等模型管理。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色图模型是利用数据算法模型对事件的影响指标进行权重和分值计算，通过绿、蓝、黄、橙、红五种颜色来确定事件的影响程度，五色依次分数升序，红色代表程度最重、评估得分最低，橙色为较差，黄色为中等，蓝色为较好，绿色代表程度最好、评估得分最高。</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1.3.1.5.5红黄绿灯模型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集成红黄绿灯模型，进行上线、发布、下线、版本更新等模型管理。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红黄绿灯模型是利用规则算法模型对指标的监测值以可视化的形式呈现，通过对监测分数进行区间划分，将过度超标的监测值以红色进行预警，将轻度超标的以黄色进行预警，将监测指标正常的赋以绿色。</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1.3.1.5.6直报预警</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集成直报预警模型，进行上线、发布、下线、版本更新等模型管理。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以直报平台企业上传的数据修改、异常、调整、增速、匹配等情况作为计算风险指数进行预警规则设计，根据企业差错额、差错率情况赋予数据质量码。</w:t>
      </w:r>
    </w:p>
    <w:p>
      <w:pPr>
        <w:pageBreakBefore w:val="0"/>
        <w:widowControl w:val="0"/>
        <w:numPr>
          <w:ilvl w:val="0"/>
          <w:numId w:val="0"/>
        </w:numPr>
        <w:kinsoku/>
        <w:overflowPunct/>
        <w:topLinePunct w:val="0"/>
        <w:autoSpaceDE/>
        <w:autoSpaceDN/>
        <w:bidi w:val="0"/>
        <w:spacing w:line="360" w:lineRule="auto"/>
        <w:ind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1.3.1.6 A模型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模型是影响研究、目标管理类的模型集合，用以核心政策任务目标为分析对象，依托AI平台的能力组件，利用基础算法和业务（通用）算法进行的模型研究，通过集成和统一管理，向其他单位和部门使用提供支撑。</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1.3.1.6.1碳排放战略目标管理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集成碳排放战略目标管理，进行上线、发布、下线、版本更新等模型管理。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o模型的中长期碳排放增长预测模型实现对未来碳排放增长预测的基础上，分析预测值与碳达峰、碳中和战略目标是否吻合，若出现偏离，则需要及时进行预警，合理做好能耗和碳排放管控措施，能够实现“二氧化碳排放力争于2030年前达到峰值，努力争取2060年前实现碳中和”目标，实现对碳排放中长期的战略目标管理。</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1.3.1.6.2GDP战略目标管理模型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集成GDP战略目标管理，进行上线、发布、下线、版本更新等模型管理。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w:t>
      </w:r>
      <w:r>
        <w:rPr>
          <w:rFonts w:hint="eastAsia" w:ascii="宋体" w:hAnsi="宋体" w:eastAsia="宋体" w:cs="宋体"/>
          <w:color w:val="auto"/>
          <w:sz w:val="21"/>
          <w:szCs w:val="21"/>
          <w:highlight w:val="none"/>
          <w:lang w:val="en-US" w:eastAsia="zh-CN"/>
        </w:rPr>
        <w:t>O</w:t>
      </w:r>
      <w:r>
        <w:rPr>
          <w:rFonts w:hint="eastAsia" w:ascii="宋体" w:hAnsi="宋体" w:eastAsia="宋体" w:cs="宋体"/>
          <w:color w:val="auto"/>
          <w:sz w:val="21"/>
          <w:szCs w:val="21"/>
          <w:highlight w:val="none"/>
        </w:rPr>
        <w:t>模型的各类GDP预测模型实现对各地区GDP总量预测的基础上，分析预测值与各地区GDP增长计划是否吻合，若出现偏离，根据同比分析研究影响GDP增长的主要因素，通过相关产业激励措施的制定，减少GDP实际值与目标值的偏差，达到战略目标管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1.3.2知识图谱</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当前大数据时代，知识图谱从互联网大数据中获得知识，同时又将知识提供给互联网，这是一个迭代的相互增强的过程，可从信息服务到智能知识服务的跃迁。统计局作为大量数据的承载方，更需要利用数据来抽取知识，并把知识串联形成图谱，从而得到数据知识之间的深层关联关系，并且为决策方提供有力的知识数据支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知识图谱可视化平台的建设，包含“经济形势知识图谱”与“法律法规知识图谱”的专题知识图谱的建设、其中平台内包含可视化功能：经济形式感知知识图谱、法律法规知识图谱。</w:t>
      </w:r>
    </w:p>
    <w:p>
      <w:pPr>
        <w:pageBreakBefore w:val="0"/>
        <w:widowControl w:val="0"/>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1.3.2.1知识图谱3D可视化技术实现</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WebGL和three.js等技术，开发了3D知识图谱可视化引擎，实现了样式构建，包含3D样式与平面样式，把炫酷的知识图谱呈现给用户，并可以自定义设置节点展开收起内容，可手动进行知识图谱的放大缩小，旋转，点击、聚焦等交互操作。</w:t>
      </w:r>
    </w:p>
    <w:p>
      <w:pPr>
        <w:pageBreakBefore w:val="0"/>
        <w:widowControl w:val="0"/>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1.3.2.2专题知识图谱的建设</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1.3.2.2.1经济形式感知知识图谱</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GDP感知，三大产业，三大收入，三大需求，价格指数，预期性指数，要素保障，八大万亿产业，战略性信息产业等指标，来展示各指标间的关联关系，并通过视觉效果展示各节点指标对经济形势增长率的影响；其中全局搜索功能、指标数据图表展示、相关文章功能，为用户对经济形式的分析提供帮助。</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1.3.2.2.2</w:t>
      </w:r>
      <w:r>
        <w:rPr>
          <w:rFonts w:hint="eastAsia" w:ascii="宋体" w:hAnsi="宋体" w:eastAsia="宋体" w:cs="宋体"/>
          <w:color w:val="auto"/>
          <w:kern w:val="2"/>
          <w:sz w:val="21"/>
          <w:szCs w:val="21"/>
          <w:highlight w:val="none"/>
          <w:lang w:val="en-US" w:eastAsia="zh-Hans" w:bidi="ar-SA"/>
        </w:rPr>
        <w:t>法律法规</w:t>
      </w:r>
      <w:r>
        <w:rPr>
          <w:rFonts w:hint="eastAsia" w:ascii="宋体" w:hAnsi="宋体" w:eastAsia="宋体" w:cs="宋体"/>
          <w:color w:val="auto"/>
          <w:kern w:val="2"/>
          <w:sz w:val="21"/>
          <w:szCs w:val="21"/>
          <w:highlight w:val="none"/>
          <w:lang w:val="en-US" w:eastAsia="zh-CN" w:bidi="ar-SA"/>
        </w:rPr>
        <w:t>知识图谱</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法律法规知识图谱通过展示</w:t>
      </w:r>
      <w:r>
        <w:rPr>
          <w:rFonts w:hint="eastAsia" w:ascii="宋体" w:hAnsi="宋体" w:eastAsia="宋体" w:cs="宋体"/>
          <w:color w:val="auto"/>
          <w:sz w:val="21"/>
          <w:szCs w:val="21"/>
          <w:highlight w:val="none"/>
        </w:rPr>
        <w:t>各项法律法规的规则内容，</w:t>
      </w:r>
      <w:r>
        <w:rPr>
          <w:rFonts w:hint="eastAsia" w:ascii="宋体" w:hAnsi="宋体" w:eastAsia="宋体" w:cs="宋体"/>
          <w:color w:val="auto"/>
          <w:sz w:val="21"/>
          <w:szCs w:val="21"/>
          <w:highlight w:val="none"/>
          <w:lang w:eastAsia="zh-Hans"/>
        </w:rPr>
        <w:t>用户可以对法律法规进行全局搜索，对法律法规文章进行查看详情，并且在预览详情中进行文章内容的关键字搜索，提供对法律法规文章的下载功能。</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outlineLvl w:val="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1.3.3低代码应用集成平台</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通过低代码、可视化的方式让用户能</w:t>
      </w:r>
      <w:r>
        <w:rPr>
          <w:rFonts w:hint="eastAsia" w:ascii="宋体" w:hAnsi="宋体" w:eastAsia="宋体" w:cs="宋体"/>
          <w:color w:val="auto"/>
          <w:sz w:val="21"/>
          <w:szCs w:val="21"/>
          <w:highlight w:val="none"/>
          <w:lang w:eastAsia="zh-CN"/>
        </w:rPr>
        <w:t>自主</w:t>
      </w:r>
      <w:r>
        <w:rPr>
          <w:rFonts w:hint="eastAsia" w:ascii="宋体" w:hAnsi="宋体" w:eastAsia="宋体" w:cs="宋体"/>
          <w:color w:val="auto"/>
          <w:sz w:val="21"/>
          <w:szCs w:val="21"/>
          <w:highlight w:val="none"/>
        </w:rPr>
        <w:t>扩展功能点，满足日常业务的需求变更，满足局方通过低代码应用集成平台能对常见报表和看板的需求快速制作和发布的需求。解决之前所有的需求变革和业务功能都需要开发公司来承接，开发周期较长，时间较不确定的问题。通过对低代码应用集成平台的使用能大大降低开发周期，增强对需求上线的主动可控性。</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1.3.3.1报表整合工具</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报表整合工具的主体功能分为三块：数据浏览、设置、可视化设计。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数据浏览是对已经设计好的报表进行预览，可在该模块中对完成设计的报表进行发布，撤回、修改和查看报表</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设置模块提供BI报表的基础数据管理功能包括：</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1.3.3.1.1数据源管理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在数据源管理模块中用户可以直接连接数据库，并配置数据库的详细信息，具体配置信息包括：连接名称、数据库类型、IP地址、端口号、数据库名、用户名、密码、对应表空间和数据库连接池的相关配置信息。</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1.3.3.1.2数据集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集模块中用户可以对平台中已有的数据集统一进行管理，查看数据，修改数据集的定义等操作，同时也可以创建全局的共享数据集，全局的共享数据集分为三种，分别为：SQL数据集、文件数据集和接口数据集（又分为GET、Post两种方式）；具体信息如下图所示：</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1.3.3.1.3 Sql数据集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用户可在该数据集设计器中编写相应的sql脚本对分析库进行直接分析</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1.3.3.1.4文件数据集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用户可直接选择已经准备好的文件（excel、csv）上传至系统中，系统解析后产生数据集可在后续报表设计中与Sql数据集一同使用，作为业务数据有力的补充。</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1.3.3.1.5接口数据集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对于复杂的业务逻辑用户可直接在业务系统中开放接口并通过rest API的方式将接口开放给BI报表系统进行调用。</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1.3.3.1.6可视化设计模块</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可视化设计模块提供BI报表的主要设计功能包括：已设计报表列表和新增报表</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1.3.3.1.7新增报表填写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新增报表需要填写：报表名称，分类（自定义）、报表类型（报表）以及备注说明；</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1.3.3.1.8新增报表列表</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新增的报表会出现在可视化设计列表中，在列表中，用户可对报表进行：设计、修改、预览、克隆和删除等操作。</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1.3.3.1.9设计器界面</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点击设计即可进入到报表的设计器界面中。设计器界面主要分为三部分：操作工具栏、数据集与组件列表、主设计区域。</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1.3.3.1.10主设计区域</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主设计区域采用类似Excel的单元格操作的设计模式，用户可以在单元格中任意组合单元格和数据项，设置单元格的扩展方式、数据格式等属性。</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1.3.3.1.11设计器其他功能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设计器还提供单元格中插入图片、斜线和富文本的功能；</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1.3.3.1.12报表支撑功能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表除了对表格有很好的支持以外，对图表也有很好的支持；目前支持的图表包括：饼图、柱状图、条状图、折线图、面积图、仪表盘、漏斗图、箱型图、雷达图、散点图、气泡图和矩形树等图表。针对每种类型的图表均提供了普通和高级设置模式。</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1.3.3.1.13预览功能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完成报表的设计工作后在设计界面可直接预览设计结果，在预览页面可设置报表的打印信息和缩放比例，如报表需要分页展示，则报表会自动出现分页工具栏。</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1.3.3.2统计驾驶舱集成工具</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统计大脑驾驶舱是一个真正实用的驾驶舱，用户使用过程中需求在不断调整和迭代，采用传统的开放方式和单独配置界面的设计模式都不能满足用户的需求变更。统计驾驶舱集成工具能快速配置界面与数据之间的关系，能快速调整界面布局，能打通界面组件和后台数据之间的动态变动关系。</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统计驾驶舱集成工具主要包括元件、画布、数据集等几部分内容；</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元件又分为：图片、图表、控件、文字和形状等几种。</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元件-图片：  用户可自己上传图片和创建目录置；</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元件-图表：  包括柱状图、条状图、半圆环、面积图、折线图、饼图、仪表盘、漏斗图、雷达图、散点气泡图、表格、地图；</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元件-控件：  包括柱按钮、下拉框、文本框、数字框、多行文本、滑块、进度条、日期、时间、多选框、单选框、多选组、单选组、图片、文件、DIV层；</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元件-文字：  包括标题、内容；</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元件-几何图形：  包括线段、圆形、椭圆、矩形、三角形；</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画布：是驾驶舱设计的主要工作区域，是承载元件的容器。画布提供场景构建、元件设计、元件设计节点树等功能，通过设置画布的屏幕比例、宽高、颜色、自适应和背景图等几部分内容来。</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场景：是承载元件的直接载体；在设计的过程中，场景通过激活、隐藏、全部锁定、全部解锁，删除等几个配置项来设计场景并加强场景与节点间的联系。</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元件设计：画布提供对元件的层级设置、对齐方式（左、右、上、下）、复制、删除、隐藏、锁定、合并（取消）等功能来加强元件与画布的联系。每一个元件在画布中除了横纵坐标、长宽尺寸、层级深度等基本属性以外还有各自特有的属性需求去配置。同时每个元件都包含：初始化前、初始化后、点击、得到焦点、失去焦点、赋值变化、键盘输入和数据加载的事件。</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图表元件的高级设置功能能全场景的配置图表的数据和显示属性。提供了标题、图例、提示框、坐标轴指示器、工具条、区块、横轴、纵轴、数据缩放、视觉映射和序列的配置；其中序列又支持折线图、柱状图、饼图、散点图、雷达图、箱型图、漏斗图、仪表盘和地图等内容；</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数据集：与报表集合工具一样提供sql、接口、文件、脚本数据集的配置，驾驶舱涉及的数据集较多，同一个驾驶舱中的数据集之间的名称应该保持唯一性。</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数据集与图表的绑定既可以在属性设置中配置，也可以在事件函数中绑定</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驾驶舱设计器的使用能从很大程度上提升业务变更需求响应的时间，对于一些比较简单的需求调整和变动，用户也可以自主完成。</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1.4统计驾驶舱（一舱）</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提供知识图谱的展示，提供统计生产、统计服务、统计监测三大业务核心内容展示并提供其二级屏入口，集成我的智能中心、统计数库、统计算力池等的快速访问入口，展示各统计数字化改革重大应用驾驶舱缩略图并可单点登录跳转至其驾驶舱。</w:t>
      </w:r>
    </w:p>
    <w:p>
      <w:pPr>
        <w:keepNext/>
        <w:keepLines/>
        <w:pageBreakBefore w:val="0"/>
        <w:widowControl w:val="0"/>
        <w:numPr>
          <w:ilvl w:val="0"/>
          <w:numId w:val="0"/>
        </w:numPr>
        <w:kinsoku/>
        <w:overflowPunct/>
        <w:topLinePunct w:val="0"/>
        <w:autoSpaceDE/>
        <w:autoSpaceDN/>
        <w:bidi w:val="0"/>
        <w:spacing w:line="360" w:lineRule="auto"/>
        <w:ind w:leftChars="0" w:firstLine="420" w:firstLineChars="200"/>
        <w:outlineLvl w:val="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1.4.1智能统计大脑</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1.4.1.1</w:t>
      </w:r>
      <w:r>
        <w:rPr>
          <w:rFonts w:hint="eastAsia" w:ascii="宋体" w:hAnsi="宋体" w:eastAsia="宋体" w:cs="宋体"/>
          <w:color w:val="auto"/>
          <w:kern w:val="2"/>
          <w:sz w:val="21"/>
          <w:szCs w:val="21"/>
          <w:highlight w:val="none"/>
          <w:lang w:val="en-US" w:eastAsia="zh-Hans" w:bidi="ar-SA"/>
        </w:rPr>
        <w:t>统计大脑</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Hans" w:bidi="ar-SA"/>
        </w:rPr>
        <w:t>首页</w:t>
      </w:r>
      <w:r>
        <w:rPr>
          <w:rFonts w:hint="eastAsia" w:ascii="宋体" w:hAnsi="宋体" w:eastAsia="宋体" w:cs="宋体"/>
          <w:color w:val="auto"/>
          <w:kern w:val="2"/>
          <w:sz w:val="21"/>
          <w:szCs w:val="21"/>
          <w:highlight w:val="none"/>
          <w:lang w:val="en-US" w:eastAsia="zh-CN" w:bidi="ar-SA"/>
        </w:rPr>
        <w:t>）</w:t>
      </w:r>
    </w:p>
    <w:p>
      <w:pPr>
        <w:pageBreakBefore w:val="0"/>
        <w:widowControl w:val="0"/>
        <w:kinsoku/>
        <w:overflowPunct/>
        <w:topLinePunct w:val="0"/>
        <w:autoSpaceDE/>
        <w:autoSpaceDN/>
        <w:bidi w:val="0"/>
        <w:spacing w:line="360" w:lineRule="auto"/>
        <w:ind w:left="0" w:firstLine="420" w:firstLineChars="200"/>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该页面由左、中、右的为主要的界面布局，分别集成和对接了统计监督、统计服务、知识图谱、重大应用，统计算力池等；详细内容如下：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左侧：由统计服务、统计生产、统计监督的建设，给大脑用户提供了</w:t>
      </w:r>
      <w:r>
        <w:rPr>
          <w:rFonts w:hint="eastAsia" w:ascii="宋体" w:hAnsi="宋体" w:eastAsia="宋体" w:cs="宋体"/>
          <w:color w:val="auto"/>
          <w:sz w:val="21"/>
          <w:szCs w:val="21"/>
          <w:highlight w:val="none"/>
        </w:rPr>
        <w:t>三色地图、时序折线图、时序柱形图、分地区柱形图、数据表格等多种可视化的方式分析经济运行形势，三色地图预警、数据表格、时序柱形图等方式对生产过程数据进行预警监测</w:t>
      </w:r>
      <w:r>
        <w:rPr>
          <w:rFonts w:hint="eastAsia" w:ascii="宋体" w:hAnsi="宋体" w:eastAsia="宋体" w:cs="宋体"/>
          <w:color w:val="auto"/>
          <w:sz w:val="21"/>
          <w:szCs w:val="21"/>
          <w:highlight w:val="none"/>
          <w:lang w:eastAsia="zh-Hans"/>
        </w:rPr>
        <w:t>等应用功能。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中上：由知识图谱的页面嵌入和进入知识图谱页面查看</w:t>
      </w:r>
      <w:r>
        <w:rPr>
          <w:rFonts w:hint="eastAsia" w:ascii="宋体" w:hAnsi="宋体" w:eastAsia="宋体" w:cs="宋体"/>
          <w:color w:val="auto"/>
          <w:sz w:val="21"/>
          <w:szCs w:val="21"/>
          <w:highlight w:val="none"/>
        </w:rPr>
        <w:t>按照法律法规、经济形势、业务流程、高质量经济发展等专题将相关模型表数据进行汇聚集成</w:t>
      </w:r>
      <w:r>
        <w:rPr>
          <w:rFonts w:hint="eastAsia" w:ascii="宋体" w:hAnsi="宋体" w:eastAsia="宋体" w:cs="宋体"/>
          <w:color w:val="auto"/>
          <w:sz w:val="21"/>
          <w:szCs w:val="21"/>
          <w:highlight w:val="none"/>
          <w:lang w:eastAsia="zh-Hans"/>
        </w:rPr>
        <w:t>的页面并建设访问进入按钮和知识图谱放大的功能；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中下：由我的智能中心、统计数库、统计算力池建设而成，全面感知（单位状态智能监测、行业智能编码、碳排放一键核算）、预测预警（企业数据质量风险智能监控、重点群体精准识别、企业碳排放监测预警）、运行支撑（小灵统）等应用供大脑点击跳转；右边上部分由我要提问、用户帮助、市县特色应用（杭州、宁波、温州）、基础应用平台四个页面/平台入口跳转搭建而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右侧：由十个重大应用（共同富裕评价监测、统计单位全生命周期管理、投资领域统计全流程管理、基层统计网络智</w:t>
      </w:r>
      <w:r>
        <w:rPr>
          <w:rFonts w:hint="eastAsia" w:ascii="宋体" w:hAnsi="宋体" w:eastAsia="宋体" w:cs="宋体"/>
          <w:color w:val="auto"/>
          <w:sz w:val="21"/>
          <w:szCs w:val="21"/>
          <w:highlight w:val="none"/>
          <w:lang w:eastAsia="zh-CN"/>
        </w:rPr>
        <w:t>治</w:t>
      </w:r>
      <w:r>
        <w:rPr>
          <w:rFonts w:hint="eastAsia" w:ascii="宋体" w:hAnsi="宋体" w:eastAsia="宋体" w:cs="宋体"/>
          <w:color w:val="auto"/>
          <w:sz w:val="21"/>
          <w:szCs w:val="21"/>
          <w:highlight w:val="none"/>
          <w:lang w:eastAsia="zh-Hans"/>
        </w:rPr>
        <w:t>、数据质量管控、浙江民调在线、碳排放智能统计核算、一体化统计监督）组成，并打通各个平台入口跳转；同时对驾驶舱建设用户体系，保证全省用户落实到省市县/区三级的业务分级分权分域功能。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相关对接涉及打通用户帮助、我的智能中心、统计数库、统计算力池等页面跳转链接，同时对接用户体系，和联调；便于用户能够快捷进入相关业务系统/应用页面，使大脑形成集成的概念。</w:t>
      </w:r>
    </w:p>
    <w:p>
      <w:pPr>
        <w:pageBreakBefore w:val="0"/>
        <w:widowControl w:val="0"/>
        <w:numPr>
          <w:ilvl w:val="0"/>
          <w:numId w:val="0"/>
        </w:numPr>
        <w:kinsoku/>
        <w:overflowPunct/>
        <w:topLinePunct w:val="0"/>
        <w:autoSpaceDE/>
        <w:autoSpaceDN/>
        <w:bidi w:val="0"/>
        <w:spacing w:line="360" w:lineRule="auto"/>
        <w:ind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1.4.1.2智能统计生产页面开发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生产大屏通过三色地图预警、数据表格、时序柱形图等方式对生产过程数据进行预警监测，提高基层统计数据质量，提高统计工作效率。统计生产大屏包含制度概况、地图三色预警、直报进度监测、社情民意、名录库、企业预警监测、GDP预警预测几部分内容。</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统计生产大屏数据来自统计大脑数据治理平台。权限方面，纵向按处理地进行权限控制，横向按用户进行权限控制。不同模块采取不同的权限控制方式。</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6"/>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1.4.1.2.1地图三色预警</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三色预警是在联网直报平台开网期间，对重点指标实时汇总企业上报数据，并按增速排名情况以地图形式进行三色预警展示，实时监测和可视化分析经济运行的形势。重点指标按专业分为工业、投资、贸易、服务业四个分类，支持切换分类、选择分类下的指标查询不同指标的数据。</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三色预警需进行权限控制。纵向上，按登录用户处理地控制权限，省级用户登录查看为浙江省地图，市县用户登录查看对应市级地图以及对应地区权限范围内的数据；横向上，按用户分配工业、投资、贸易、服务业四个分类的查询权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地图支持地区下钻，并与名录库、企业预警监测模块进行地区联动。</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1.4.1.2.2制度概况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制度概况统计白名单在库的制度数、报表数、指标数，支持跳转到白名单查询功能查看详细情况。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1.4.1.2.3名录库</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名录库模块通过时序形式展示分专业的已纳规企业数，当月新增、退库企业数，分地区形式展示分专业的达规未纳规企业数，注销未退规企业数。并通过登录用户控制权限，查询范围内的数据情况。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达规未纳规企业数、注销未退规企业数模块下钻查询当前账号所在权限范围内的企业。</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1.4.1.2.4直报进度监测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报进度监测展示重点指标的上报进度、本月、1-本月、本月比去年同期增长、本期增长预测值、1-本月比去年同期增长、累计增长预测值、当月增长变化、累计增长变化，数据从联网直报平台实时汇总，并按规则对增速数据设置预警。增速列称支持下钻到对应的TOP100企业。重点指标有：工业总产值、工业销售产值、出口交货值、国内销售产值、建筑业总产值、固定资产投资、批发零售业销售额、住宿餐饮业营业额、社会消费品零售总额、服务业营业收入。</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限控制上，纵向按登录用户处理地控制权限，登录用户可查看本级及下级权限范围内的数据；横向上，按用户分配工业（工业总产值、工业销售产值、出口交货值、国内销售产值）、投资（建筑业总产值、固定资产投资）、贸易(批发零售业销售额、住宿餐饮业营业额、社会消费品零售总额)、服务业(服务业营业收入)四个分类指标的查询权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增长列支持下钻，本月增速下钻弹框信息为当前登录账号所在权限范围内的本月总量排序前100家的企业；1-本月增速下钻弹框信息为当前登录账号所在权限范围内的1-本月总量排序前100家的企业。</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1.4.1.2.5社情民意</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社情名义模块展示总项目数、总答卷数、总用户数、在线项目数、近7天完成数、在线人数。该模块支持跳转到浙江民调在线系统。</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1.4.1.2.6企业预警监测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支持查询工业、贸经、服务业相关企业的预警记录数及预警数据处理情况，帮助专业监测分地区异常数据情况，主要涵盖分地区的企业数、存疑数、待核实数、已核实数。</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1.4.1.2.7 GDP预警预测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GDP预警预测提供交互式调整参数，输出模拟预测值。基于专业提供的预测模型，罗列GDP相关指标数据及指标初始数据，调整相关指标数据实时预测GDP增速。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1.4.1.3智能统计服务页面开发</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统计服务通过三色地图、时序折线图、时序柱形图、分地区柱形图、数据表格等多种可视化的方式分析经济运行形势，提高监测分析能力；提供了丰富的统计资源访问入口，方便查找资源。</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计服务包含统计百宝箱、主要指标、产业发展、勇立潮头、26县、争先创优、预期性指标7部分内容，数据取自统计大脑数据治理平台。权限方面，统计服务相关的综合数据省市县三级用户权限相同，可查询所有地区数据。</w:t>
      </w:r>
    </w:p>
    <w:p>
      <w:pPr>
        <w:pageBreakBefore w:val="0"/>
        <w:widowControl w:val="0"/>
        <w:numPr>
          <w:ilvl w:val="0"/>
          <w:numId w:val="0"/>
        </w:numPr>
        <w:kinsoku/>
        <w:overflowPunct/>
        <w:topLinePunct w:val="0"/>
        <w:autoSpaceDE/>
        <w:autoSpaceDN/>
        <w:bidi w:val="0"/>
        <w:spacing w:line="360" w:lineRule="auto"/>
        <w:ind w:firstLine="420" w:firstLineChars="200"/>
        <w:outlineLvl w:val="7"/>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1.4.1.3.1统计百宝箱</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统计百宝箱包蕴藏丰富的统计资源访问入口，可从统计百宝箱中链接到统计制度、统计数据、统计资料、在线培训、统计法规五部分内容。</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统计制度</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提供统计制度查询相关网站入口，为专业查询统计制度信息提供便利。</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统计数据</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统计数据下分月度、季度、年度、统计普查、统计年鉴五项分类，支持查询分频度统计数据、统计普查数据、统计年鉴。</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统计资料</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统计资料下包含统计公报、统计快讯两项分类，为专业用户提供统计公报、快讯的快速查询入口。</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在线培训</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统计百宝箱中集成了在线培训板块，为用户提供查询入口。</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统计法规</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统计百宝箱中集成了统计法规板块，为用户提供查询入口。</w:t>
      </w:r>
    </w:p>
    <w:p>
      <w:pPr>
        <w:pageBreakBefore w:val="0"/>
        <w:widowControl w:val="0"/>
        <w:numPr>
          <w:ilvl w:val="0"/>
          <w:numId w:val="0"/>
        </w:numPr>
        <w:kinsoku/>
        <w:overflowPunct/>
        <w:topLinePunct w:val="0"/>
        <w:autoSpaceDE/>
        <w:autoSpaceDN/>
        <w:bidi w:val="0"/>
        <w:spacing w:line="360" w:lineRule="auto"/>
        <w:ind w:firstLine="420" w:firstLineChars="200"/>
        <w:outlineLvl w:val="7"/>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1.4.1.3.2主要指标监测分析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主要指标监测分析通过可视化的方式分析经济运行形势，</w:t>
      </w:r>
      <w:r>
        <w:rPr>
          <w:rFonts w:hint="eastAsia" w:ascii="宋体" w:hAnsi="宋体" w:eastAsia="宋体" w:cs="宋体"/>
          <w:color w:val="auto"/>
          <w:kern w:val="0"/>
          <w:sz w:val="21"/>
          <w:szCs w:val="21"/>
          <w:highlight w:val="none"/>
        </w:rPr>
        <w:t>以三色地图形式对各市基础数据（</w:t>
      </w:r>
      <w:r>
        <w:rPr>
          <w:rFonts w:hint="eastAsia" w:ascii="宋体" w:hAnsi="宋体" w:eastAsia="宋体" w:cs="宋体"/>
          <w:color w:val="auto"/>
          <w:sz w:val="21"/>
          <w:szCs w:val="21"/>
          <w:highlight w:val="none"/>
        </w:rPr>
        <w:t>GDP增速、规上工业增加值增速、固定资产投资增速、社会消费品零售总额增速、居民人均可支配收入增速、一般公共预算收入增速、进出口增速、CPI、全社会GDP能耗降低率、规上服务业营收增速</w:t>
      </w:r>
      <w:r>
        <w:rPr>
          <w:rFonts w:hint="eastAsia" w:ascii="宋体" w:hAnsi="宋体" w:eastAsia="宋体" w:cs="宋体"/>
          <w:color w:val="auto"/>
          <w:kern w:val="0"/>
          <w:sz w:val="21"/>
          <w:szCs w:val="21"/>
          <w:highlight w:val="none"/>
        </w:rPr>
        <w:t>）设置预警提示，以时序趋势分析、数据表格方式对省市县数据进行分析。</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GDP</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GDP增速情况，以图表等方式展示三大需求、三大收入、价格指数三大GDP相关指标模块。地图图例上显示GDP总量、增速、排名数据，对分地区数据按排名情况设置预警；并设置地图导航，与三大需求、三大收入、价格指数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三大需求为固定资产投资、社会消费品零售总额、出口总额的趋势分析；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三大收入为一般公共预算收入、规上工业企业利润总额、全体居民人均可支配收入的趋势分析；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价格指数为CPI和PPI的趋势分析。</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规上工业增加值</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规上工业增加值增速情况，以图表等方式展示营业收入、营业利润、十大行业模块。地图图例上显示规上工业增加值总量、增速数据，对分地区数据按排名情况设置预警；并设置地图导航，与营业收入、营业利润、十大行业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营业收入为营业收入增速的趋势分析；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营业利润为营业利润增速的趋势分析；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十大行业展示电力、机械、汽车制造、轻工纺织、建材、冶金有色、医药、电子、石油化工、其他这十大行业工业增加值总量和增速比对。</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固定资产投资</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固定资产投资增速情况，以时序趋势图方式展示民间投资、高新投资、制造业投资三大模块。地图上对分地区数据按排名情况设置预警；并设置地图导航，与民间投资、高新投资、制造业投资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民间投资为民间投资增速的趋势分析；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高新投资为高新投资增速的趋势分析；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制造业投资为制造业投资增速的趋势分析。</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社会消费品零售总额</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社会消费品零售总额增速情况，以图表方式展示限上社会消费品零售额、网络零售、限上社零分类值三大模块。地图图例上显示社会消费品零售总额总量、增速数据，对分地区数据按排名情况设置预警；并设置地图导航，与限上社会消费品零售额、网络零售、限上社零分类值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限上社会消费品零售额为限上社会消费品零售额增速的趋势分析；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网络零售为网络零售增速的趋势分析；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限上社零分类值为各分类的限上社零累计、增速比对。</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居民人均可支配收入</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居民人均可支配收入增速情况，以时序趋势图方式展示城市、农村、低收入三大模块。地图图例上显示居民人均可支配收入总量、增速数据，对分地区数据按排名情况设置预警；并设置地图导航，与城市、农村、低收入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城市为城市人均可支配收入增速的趋势分析；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农村为农村人均可支配收入增速的趋势分析；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低收入为低收入人均可支配收入增速的趋势分析。</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一般公共预算收入</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一般公共预算收入增速情况，以时序趋势图方式展示一般预算支出、税收收入、非税收入三大模块。地图图例上显示一般公共预算收入总量、增速数据，对分地区数据按排名情况设置预警；并设置地图导航，与一般预算支出、税收收入、非税收入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一般预算支出为一般预算支出增速的趋势分析；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税收收入为税收收入增速的趋势分析；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非税收入为非税收入增速的趋势分析。</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进出口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进出口增速情况，以图表等方式展示进出口、分国别出口、分项目出口三大模块。地图图例上显示进出口总量、增速数据，对分地区数据按排名情况设置预警；并设置地图导航，与进出口、分国别出口、分项目出口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进出口为进口总额、出口总额的趋势分析；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分国别出口为各国的货物和服务进出口总额、与浙江进出口额进行比对分析；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分项目出口为服务贸易各项目的出口额查询。</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价格CPI</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CPI情况，以图表等方式展示PPI、工业生产者购进价格指数、CPI分类三大模块。地图图例上显示CPI数据，对分地区数据按排名情况设置预警；并设置地图导航，与PPI、工业生产者购进价格指数、CPI分类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PPI为PPI的趋势分析；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工业生产者购进价格指数为工业生产者购进价格指数的趋势分析；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CPI分类为居民消费价格总指数的分类查询。</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全社会GDP能耗降低率</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全社会GDP能耗降低率情况，以图表等方式展示规上工业单位GDP能耗降低率、规上工业高耗能单位能耗降低率、用电量三大模块。地图上对分地区数据按排名情况设置预警；并设置地图导航，与规上工业单位GDP能耗降低率、规上工业高耗能单位能耗降低率、用电量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规上工业单位GDP能耗降低率为规上工业单位GDP能耗降低率的趋势分析；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规上工业高耗能单位能耗降低率为规上工业高耗能单位能耗降低率的趋势分析；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用电量为全社会用电量、工业用电量的趋势分析。</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规上服务业营收</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地图展示全省分市规上服务业营收增速情况，以图表等方式展示营业收入、利润总额、分行业营业收入三大模块。地图图例上显示规上服务业营收总量、增速数据，对分地区数据按排名情况设置预警；并设置地图导航，与营业收入、利润总额、分行业营业收入进行地区联动，切换分析全省及十一个地市数据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营业收入为营业收入的趋势分析；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利润总额为利润总额的趋势分析；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分行业营业收入为营业收入的分行业表格。</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更多专项监测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更多专项监测实时监测和可视化分析经济运行的“形”和“势”，仅限省级使用。更多专项监测分十二个模块，分别链接到省级在统计监测分析系统定制的大屏：</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GDP；</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三次产业；</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三大需求；</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三大收入；</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价格指数；</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动能转换；</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市场活力；</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供给侧改革；</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生态环境；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社会民生；</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匹配性指标；</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预期性指标模块。</w:t>
      </w:r>
    </w:p>
    <w:p>
      <w:pPr>
        <w:pageBreakBefore w:val="0"/>
        <w:widowControl w:val="0"/>
        <w:numPr>
          <w:ilvl w:val="0"/>
          <w:numId w:val="0"/>
        </w:numPr>
        <w:kinsoku/>
        <w:overflowPunct/>
        <w:topLinePunct w:val="0"/>
        <w:autoSpaceDE/>
        <w:autoSpaceDN/>
        <w:bidi w:val="0"/>
        <w:spacing w:line="360" w:lineRule="auto"/>
        <w:ind w:firstLine="420" w:firstLineChars="200"/>
        <w:outlineLvl w:val="7"/>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1.4.1.3.3产业发展</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产业发展分为高新技术产业、战略性新兴产业、数字经济核心制造业三部分，分别以时序柱形图形式展示三大产业增加值及增速数据，反映浙江产业发展情况。支持下钻查询权限范围内的企业信息。</w:t>
      </w:r>
    </w:p>
    <w:p>
      <w:pPr>
        <w:pageBreakBefore w:val="0"/>
        <w:widowControl w:val="0"/>
        <w:numPr>
          <w:ilvl w:val="0"/>
          <w:numId w:val="0"/>
        </w:numPr>
        <w:kinsoku/>
        <w:overflowPunct/>
        <w:topLinePunct w:val="0"/>
        <w:autoSpaceDE/>
        <w:autoSpaceDN/>
        <w:bidi w:val="0"/>
        <w:spacing w:line="360" w:lineRule="auto"/>
        <w:ind w:firstLine="420" w:firstLineChars="200"/>
        <w:outlineLvl w:val="7"/>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1.4.1.3.4勇立潮头</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勇立潮头支持国际比较、国内比较。其中国际比较反映浙江现代化进程与国际发达国家的差距变动情况。默认展示人均GDP浙江省与卢森堡、美国、新加坡、德国、日本的比较情况，支持切换查看不同指标分国别比较情况，支持勾选不同国别查询数据比较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国内比较反映浙江现代化进程在国内各省（市、区）中所处位置。默认展示GDP浙江省与广东、江苏、山东、浙江、上海的比较情况。支持切换查看不同指标横向对比情况，支持勾选不同省市查询数据比较情况。。</w:t>
      </w:r>
    </w:p>
    <w:p>
      <w:pPr>
        <w:pageBreakBefore w:val="0"/>
        <w:widowControl w:val="0"/>
        <w:numPr>
          <w:ilvl w:val="0"/>
          <w:numId w:val="0"/>
        </w:numPr>
        <w:kinsoku/>
        <w:overflowPunct/>
        <w:topLinePunct w:val="0"/>
        <w:autoSpaceDE/>
        <w:autoSpaceDN/>
        <w:bidi w:val="0"/>
        <w:spacing w:line="360" w:lineRule="auto"/>
        <w:ind w:firstLine="420" w:firstLineChars="200"/>
        <w:outlineLvl w:val="7"/>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1.4.1.3.5 26县</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26县合计板块分为26县合计、26县、全部区县3个板块。其中26县合计按照时序形式展示26县的GDP合计数、GDP合计数占全省比重的折柱图，反映26县GDP占全省比重变化情况。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26县板块通过表格形式展示浙江省26县的GDP、占比全省、增速，反映省内山区26县的差异情况。支持按GDP总量、占比全省、增速进行排序。</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全部区县通过表格展示浙江省全部区县的GDP、占比全省、增速，反映省内各县（市、区）的差异情况。支持按GDP总量、占比全省、增速进行排序。</w:t>
      </w:r>
    </w:p>
    <w:p>
      <w:pPr>
        <w:pageBreakBefore w:val="0"/>
        <w:widowControl w:val="0"/>
        <w:numPr>
          <w:ilvl w:val="0"/>
          <w:numId w:val="0"/>
        </w:numPr>
        <w:kinsoku/>
        <w:overflowPunct/>
        <w:topLinePunct w:val="0"/>
        <w:autoSpaceDE/>
        <w:autoSpaceDN/>
        <w:bidi w:val="0"/>
        <w:spacing w:line="360" w:lineRule="auto"/>
        <w:ind w:firstLine="420" w:firstLineChars="200"/>
        <w:outlineLvl w:val="7"/>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1.4.1.3.6争先创优</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争先创优分市、县两个板块，从年度情况上对GDP、GDP增长、人均GDP、人均GDP增长进行水平对比，反映省内各市、县（市、区）的差异情况，并支持按指标数据进行排序。</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1.4.1.3.7</w:t>
      </w:r>
      <w:r>
        <w:rPr>
          <w:rFonts w:hint="eastAsia" w:ascii="宋体" w:hAnsi="宋体" w:eastAsia="宋体" w:cs="宋体"/>
          <w:color w:val="auto"/>
          <w:sz w:val="21"/>
          <w:szCs w:val="21"/>
          <w:highlight w:val="none"/>
          <w:lang w:eastAsia="zh-Hans"/>
        </w:rPr>
        <w:t>预期性指标</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预期性指标展示民营企业家景气指数、企业信息指数、PMI三项指标的单期数据，支持查询单个指标的趋势分析。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1.4.1.4智能统计监督页面集成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统计监督跳转链接，接入监管单位（项目）数、核查单位数、执法检查数、承办案件数的数据接口，做定时任务，数据入库去重，开发数据集，建设组件，数据接口开发定时任务；用户信息通过链接传参给相关平台/系统实现用户权限；图形</w:t>
      </w:r>
      <w:r>
        <w:rPr>
          <w:rFonts w:hint="eastAsia" w:ascii="宋体" w:hAnsi="宋体" w:eastAsia="宋体" w:cs="宋体"/>
          <w:color w:val="auto"/>
          <w:sz w:val="21"/>
          <w:szCs w:val="21"/>
          <w:highlight w:val="none"/>
          <w:lang w:eastAsia="zh-CN"/>
        </w:rPr>
        <w:t>可视化</w:t>
      </w:r>
      <w:r>
        <w:rPr>
          <w:rFonts w:hint="eastAsia" w:ascii="宋体" w:hAnsi="宋体" w:eastAsia="宋体" w:cs="宋体"/>
          <w:color w:val="auto"/>
          <w:sz w:val="21"/>
          <w:szCs w:val="21"/>
          <w:highlight w:val="none"/>
          <w:lang w:eastAsia="zh-Hans"/>
        </w:rPr>
        <w:t>方式呈现统计监督包含的数据；接口和定时任务的开发是为了保证了用户查阅数据实时性和准确性，同时组件的开发能够更好的方便后期的数据统计和维护。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1.4.1.5知识库页面开发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是基于统计大脑中统计制度、统计业务、统计法律法规、知识图谱、规则五个方面进行建设，知识库使信息和知识有序化，对原有的信息知识进行收集与整理，同时知识库有利于知识共享与交流，使用户获得新信息与新知识的速度大大加快。其中用户可以快速查询获取知识并跳转相应页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1.4.1.6用户帮助页面开发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用户帮助是统计大脑中各个应用的培训内容总汇，里面包含统计大脑各应用培训内容、操作使用说明材料与使用常见问题，用户可以对培训内容进行搜索、查询与下载，为统计大脑的使用做有力支撑；并嫁接到统计大脑首页为入口，进行分级分权分域，便于用户能够快捷进入相关业务系统，使大脑形成集成概念。</w:t>
      </w:r>
    </w:p>
    <w:p>
      <w:pPr>
        <w:keepNext/>
        <w:keepLines/>
        <w:pageBreakBefore w:val="0"/>
        <w:widowControl w:val="0"/>
        <w:numPr>
          <w:ilvl w:val="0"/>
          <w:numId w:val="0"/>
        </w:numPr>
        <w:kinsoku/>
        <w:overflowPunct/>
        <w:topLinePunct w:val="0"/>
        <w:autoSpaceDE/>
        <w:autoSpaceDN/>
        <w:bidi w:val="0"/>
        <w:spacing w:line="360" w:lineRule="auto"/>
        <w:ind w:leftChars="0" w:firstLine="420" w:firstLineChars="200"/>
        <w:outlineLvl w:val="4"/>
        <w:rPr>
          <w:rFonts w:hint="eastAsia" w:ascii="宋体" w:hAnsi="宋体" w:eastAsia="宋体" w:cs="宋体"/>
          <w:b w:val="0"/>
          <w:bCs w:val="0"/>
          <w:color w:val="auto"/>
          <w:kern w:val="2"/>
          <w:sz w:val="21"/>
          <w:szCs w:val="21"/>
          <w:highlight w:val="none"/>
          <w:lang w:val="en-US" w:eastAsia="zh-Hans" w:bidi="ar-SA"/>
        </w:rPr>
      </w:pPr>
      <w:r>
        <w:rPr>
          <w:rFonts w:hint="eastAsia" w:ascii="宋体" w:hAnsi="宋体" w:eastAsia="宋体" w:cs="宋体"/>
          <w:b w:val="0"/>
          <w:bCs w:val="0"/>
          <w:color w:val="auto"/>
          <w:kern w:val="2"/>
          <w:sz w:val="21"/>
          <w:szCs w:val="21"/>
          <w:highlight w:val="none"/>
          <w:lang w:val="en-US" w:eastAsia="zh-Hans" w:bidi="ar-SA"/>
        </w:rPr>
        <w:t xml:space="preserve">1.4.2智能统计数库 </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该页面由顶部，中间，底部三个部分区域组成的页面布局，各分块具体内容如下：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顶部：由返回按钮、数据治理平台和一键搜索进行引入，一键搜索：搜索框内输入搜索内容，并传给相应的平台；对接接口，定义传参格式。</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中间部分：由部门数量、业务系统数量、数据表数量、统计基础数据、部门综合数据、部门基础数据、社会大数据、行为数据、全面覆盖+精准画像基础数据库组成形成快速导航的设计理念。</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底部（左边）：数据查询、接口数据服务梳理两大部分组成形成数据收集展示的区域。</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Hans" w:bidi="ar-SA"/>
        </w:rPr>
      </w:pPr>
      <w:r>
        <w:rPr>
          <w:rFonts w:hint="eastAsia" w:ascii="宋体" w:hAnsi="宋体" w:eastAsia="宋体" w:cs="宋体"/>
          <w:color w:val="auto"/>
          <w:kern w:val="0"/>
          <w:sz w:val="21"/>
          <w:szCs w:val="21"/>
          <w:highlight w:val="none"/>
          <w:lang w:val="en-US" w:eastAsia="zh-Hans" w:bidi="ar-SA"/>
        </w:rPr>
        <w:t>底部（中间）展示综合地图和数字地图利用可视化视图和数据交互等方式更好的呈现出指标数据的各地市情况和历史数据等综合地图：接入的指标数据使用地图的方式进行区域划分，并可进行数据下转到区县；并且联动下边的折线图根据年纬度展示它的历史数据；数据根据地区进行分权限控制。</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底部（右边）由知识库、 数据双方安全计算两部分的工具记录和数据可视化呈现。</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的平台/应用页面链接有：数据治理平台、共富统计监测、数据浙江、数字化应用平台、综合低代码平台等多个平台和应用页面；并接入了数据治理、共同富裕、等多个应用平台的数据统计情况和指标等多种数据元素。</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对接用户体系保证用户的权限可控制各个应用跳转的平台；并以接口的方式接入各个应用及平台；由接入的数据和打通的平台/应用；跳转利用业务包含数据的关系和应用之间的包含关系用权重占比和可视化视图的方式去设计到研发。</w:t>
      </w:r>
    </w:p>
    <w:p>
      <w:pPr>
        <w:keepNext/>
        <w:keepLines/>
        <w:pageBreakBefore w:val="0"/>
        <w:widowControl w:val="0"/>
        <w:numPr>
          <w:ilvl w:val="0"/>
          <w:numId w:val="0"/>
        </w:numPr>
        <w:kinsoku/>
        <w:overflowPunct/>
        <w:topLinePunct w:val="0"/>
        <w:autoSpaceDE/>
        <w:autoSpaceDN/>
        <w:bidi w:val="0"/>
        <w:spacing w:line="360" w:lineRule="auto"/>
        <w:ind w:leftChars="0" w:firstLine="420" w:firstLineChars="200"/>
        <w:outlineLvl w:val="4"/>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Hans" w:bidi="ar-SA"/>
        </w:rPr>
        <w:t>1.4.3统计算力池</w:t>
      </w:r>
      <w:r>
        <w:rPr>
          <w:rFonts w:hint="eastAsia" w:ascii="宋体" w:hAnsi="宋体" w:eastAsia="宋体" w:cs="宋体"/>
          <w:b w:val="0"/>
          <w:bCs w:val="0"/>
          <w:color w:val="auto"/>
          <w:kern w:val="2"/>
          <w:sz w:val="21"/>
          <w:szCs w:val="21"/>
          <w:highlight w:val="none"/>
          <w:lang w:val="en-US" w:eastAsia="zh-CN" w:bidi="ar-SA"/>
        </w:rPr>
        <w:t>页面开发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入口设立在统计大脑驾驶舱页面，并做返回按钮形成闭环，集成CPU实时使用率、资源监控、内存实时使用率、云服务、云安全、云存储、系统攻击情况、应用统计等模块组成统计算力池页面，并打通对应的页面，根据集成的模块通过业务包含关系和权重占比情况利用可视化视图的方式</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lang w:eastAsia="zh-Hans"/>
        </w:rPr>
        <w:t>建设。</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Hans" w:bidi="ar-SA"/>
        </w:rPr>
      </w:pPr>
      <w:r>
        <w:rPr>
          <w:rFonts w:hint="eastAsia" w:ascii="宋体" w:hAnsi="宋体" w:eastAsia="宋体" w:cs="宋体"/>
          <w:color w:val="auto"/>
          <w:kern w:val="0"/>
          <w:sz w:val="21"/>
          <w:szCs w:val="21"/>
          <w:highlight w:val="none"/>
          <w:lang w:val="en-US" w:eastAsia="zh-Hans" w:bidi="ar-SA"/>
        </w:rPr>
        <w:t>统计应用的访问量、访问人数、注册量、等数据以表格方式呈现，支持导出和时间纬度的筛选等功能建设。</w:t>
      </w:r>
    </w:p>
    <w:p>
      <w:pPr>
        <w:keepNext/>
        <w:keepLines/>
        <w:pageBreakBefore w:val="0"/>
        <w:widowControl w:val="0"/>
        <w:numPr>
          <w:ilvl w:val="0"/>
          <w:numId w:val="0"/>
        </w:numPr>
        <w:kinsoku/>
        <w:overflowPunct/>
        <w:topLinePunct w:val="0"/>
        <w:autoSpaceDE/>
        <w:autoSpaceDN/>
        <w:bidi w:val="0"/>
        <w:spacing w:line="360" w:lineRule="auto"/>
        <w:ind w:leftChars="0" w:firstLine="420" w:firstLineChars="200"/>
        <w:outlineLvl w:val="4"/>
        <w:rPr>
          <w:rFonts w:hint="eastAsia" w:ascii="宋体" w:hAnsi="宋体" w:eastAsia="宋体" w:cs="宋体"/>
          <w:b w:val="0"/>
          <w:bCs w:val="0"/>
          <w:color w:val="auto"/>
          <w:kern w:val="2"/>
          <w:sz w:val="21"/>
          <w:szCs w:val="21"/>
          <w:highlight w:val="none"/>
          <w:lang w:val="en-US" w:eastAsia="zh-Hans" w:bidi="ar-SA"/>
        </w:rPr>
      </w:pPr>
      <w:r>
        <w:rPr>
          <w:rFonts w:hint="eastAsia" w:ascii="宋体" w:hAnsi="宋体" w:eastAsia="宋体" w:cs="宋体"/>
          <w:b w:val="0"/>
          <w:bCs w:val="0"/>
          <w:color w:val="auto"/>
          <w:kern w:val="2"/>
          <w:sz w:val="21"/>
          <w:szCs w:val="21"/>
          <w:highlight w:val="none"/>
          <w:lang w:val="en-US" w:eastAsia="zh-Hans" w:bidi="ar-SA"/>
        </w:rPr>
        <w:t>1.4.4其他应用对接</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1.4.4.1我要提问</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接入我要提问页面访问入口，接入用户体系，和联调；便于用户能够快捷进入相关业务系统，使大脑形成集成概念。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1.4.4.2市县特色应用</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接入市县特色应用的（杭州、宁波、温州）接口，同时对接用户体系，和联调；便于用户能够快捷进入相关业务系统，使大脑形成集成概念。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1.4.4.3基础应用平台</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接入基础应用平台的接口，接入用户体系，便于用户能够快捷进入相关业务系统，使大脑形成集成概念。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1.4.4.4共同富裕评价监测</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打通共同富裕评价监测系统接口，同时打通用户体系并进行联调；便于用户能够快捷进入相关业务系统，使大脑形成集成概念。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Hans" w:bidi="ar-SA"/>
        </w:rPr>
        <w:t>统计单位全生命周期管理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接入投资遥感检测接口，同时对接用户体系，和联调；便于用户能够快捷进入相关业务系统，使大脑形成集成概念。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Hans" w:bidi="ar-SA"/>
        </w:rPr>
        <w:t>投资领域统计全流程管理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打通浙企投资领域统计全流程管理接口，同时打通用户体系并进行联调；便于用户能够快捷进入相关业务系统，使大脑形成集成概念。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Hans" w:bidi="ar-SA"/>
        </w:rPr>
        <w:t>基层统计网络智冶</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打通浙企基层统计网络智冶接口，同时打通用户体系并进行联调；便于用户能够快捷进入相关业务系统，使大脑形成集成概念。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w:t>
      </w: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Hans" w:bidi="ar-SA"/>
        </w:rPr>
        <w:t>数据质量管控</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打通浙企数据质量管控接口，同时打通用户体系并进行联调；便于用户能够快捷进入相关业务系统，使大脑形成集成概念。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Hans" w:bidi="ar-SA"/>
        </w:rPr>
        <w:t>浙江民调在线</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打通浙企浙江民调在线接口，同时打通用户体系并进行联调；便于用户能够快捷进入相关业务系统，使大脑形成集成概念。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1.4.4.1</w:t>
      </w:r>
      <w:r>
        <w:rPr>
          <w:rFonts w:hint="eastAsia" w:ascii="宋体" w:hAnsi="宋体" w:eastAsia="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Hans" w:bidi="ar-SA"/>
        </w:rPr>
        <w:t>现代化先行</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打通浙企现代化先行接口，同时打通用户体系并进行联调；便于用户能够快捷进入相关业务系统，使大脑形成集成概念。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1.4.4.1</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Hans" w:bidi="ar-SA"/>
        </w:rPr>
        <w:t>碳排放智能统计核算</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打通浙企碳排放智能统计核算接口，同时打通用户体系并进行联调；便于用户能够快捷进入相关业务系统，使大脑形成集成概念。</w:t>
      </w:r>
    </w:p>
    <w:p>
      <w:pPr>
        <w:pageBreakBefore w:val="0"/>
        <w:widowControl w:val="0"/>
        <w:numPr>
          <w:ilvl w:val="0"/>
          <w:numId w:val="0"/>
        </w:numPr>
        <w:kinsoku/>
        <w:overflowPunct/>
        <w:topLinePunct w:val="0"/>
        <w:autoSpaceDE/>
        <w:autoSpaceDN/>
        <w:bidi w:val="0"/>
        <w:spacing w:line="360" w:lineRule="auto"/>
        <w:ind w:leftChars="0" w:firstLine="420" w:firstLineChars="200"/>
        <w:outlineLvl w:val="5"/>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1.4.4.1</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Hans" w:bidi="ar-SA"/>
        </w:rPr>
        <w:t>一体化统计监督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打通浙企一体化统计监督接口，同时打通用户体系并进行联调；便于用户能够快捷进入相关业务系统，使大脑形成集成概念。</w:t>
      </w:r>
    </w:p>
    <w:p>
      <w:pPr>
        <w:keepNext w:val="0"/>
        <w:keepLines w:val="0"/>
        <w:pageBreakBefore w:val="0"/>
        <w:widowControl/>
        <w:kinsoku/>
        <w:wordWrap/>
        <w:overflowPunct/>
        <w:topLinePunct w:val="0"/>
        <w:autoSpaceDE/>
        <w:autoSpaceDN/>
        <w:bidi w:val="0"/>
        <w:adjustRightInd/>
        <w:snapToGrid/>
        <w:spacing w:line="360" w:lineRule="auto"/>
        <w:ind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1.5我的智能中心（一中心）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的智能中心立足打造“专业化、智能化、个性化”，聚焦权限中心、应用集成、各大智能模块三大核心业务，打造个人信息、日历、导航栏、功能入口、预测预警、我的收藏、操作记录等七大模块，集成“业务+数据+分析”三大要素，构建以业务流程融合、知识集成应用为核心的智能化能力中心，集“数据汇聚共享、应用协同融合、智能集成演进”于一体，推动统计数据自动沉淀，支撑统计数字化改革，提升全省统计业务的智慧办公和集成管理能力水平。</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浙江省政务云的云服务、云存储、云安全等软硬件资源，整合各个业务系统的用户体系，实现各业务系统数据与处理流程的无缝集成，达到让使用者在一个门户页面就能快速、智能的处理各个系统的业务数据，提高使用者的工作效率，成为统计大脑的数据与业务统一集成，统一处理的入口。</w:t>
      </w:r>
    </w:p>
    <w:p>
      <w:pPr>
        <w:keepNext w:val="0"/>
        <w:keepLines w:val="0"/>
        <w:pageBreakBefore w:val="0"/>
        <w:widowControl/>
        <w:numPr>
          <w:ilvl w:val="0"/>
          <w:numId w:val="0"/>
        </w:numPr>
        <w:kinsoku/>
        <w:overflowPunct/>
        <w:topLinePunct w:val="0"/>
        <w:autoSpaceDE/>
        <w:autoSpaceDN/>
        <w:bidi w:val="0"/>
        <w:spacing w:line="360" w:lineRule="auto"/>
        <w:ind w:left="0" w:leftChars="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1.5.1权限中心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造权限中心，同步浙政钉的组织机构以及用户信息，并对平台集成应用、应用权限、用户以及用户权限管理，以权限中心为基站，用户-应用-角色-权限为纽带，与各个应用业务系统相呼应，构建集成型“我的智能中心”应用平台。</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1.5.1.1功能权限</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功能权限是对应用相对应的权限进行管理，包含增加、删除、编辑以及树形展示功能，便于管理者清晰的了解业务系统对应的功能，同时可以将权限分配给用户，使得用户在对应的责任范围内操作应用。</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1.5.1.2行政区划</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行政区划数据来源于统计局提供的行政处理地清单，与统计数字化应用平台的数据进行比较更正得到最终相对精准的数据，权限中心的行政区划管理维护行政区划数据。同步和维护全省各级处理地信息，包括处理地的新增、删除、修改，并能以树状结构展示，提供给授权模块用以控制数据访问的地区范围，即当前处理地用户仅可访问本级和下级处理地的数据</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1.5.1.3组织机构</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用户的组织架构管理，数据来源于浙政钉的条线数据以及共富用户体系。</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组织机构通过行政区划code绑定所属区域，也就知道了组织机构下的用户所属区域，便于管理用户的区域数据权限，限制用户查看某类数据权限，授权查看数据范围。防止用户超出权限范围数据泄密，造成损失，保证数据的私密性和安全性。</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1.5.1.4用户管理</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权限中心用户管理页面左边是树形结构的组织机构，右边是组织机构下的用户，实现用户基本信息管理以及用户的工作群组进清晰展示。</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用户管理包含新增、基本信息编辑、密码设置、角色分配等功能，实现了对平台用户的基本信息维护，同时可以调整用户所属的组织机构，增加或者减少用户的区域数据权限。</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用户分配角色则是给用户分配角色，让用户拥有角色对用的功能权限，实现用户在各个应用系统权限范围内使用系统。</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用户管理有一定的范围限制，管理员只能管理自己所属机构以及所属机构的下级机构用户。</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权限中心用户作为集成应用平台的权限数据存储中心，给各个应用提供了查询用户信息的接口，各个应用系统可以在权限中心查询用户的基本信息、查询组织机构和对应的行政区划控制用户的权限数据范围，也可以查询在应用的功能权限，对用户的操作行为进行控制。</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1.5.1.5角色管理</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角色为具备一定操作权限的用户组。通过角色控制系统用户的操作权限。</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角色管理有一定的限制，即管理者只能管理自己所属组织机构的角色，以及将角色使用范围拓展到管理者管理的组织机构。</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1.5.1.6角色授权</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角色授权是将权限授予角色，包含的应用功能权限、区域权限、数据字典权限分配。</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实现用户-应用-权限（功能权限、区域数据权限）的管理，让管理者基于系统的安全规则与策略，控制不同用户合理访问对应资源，便于使用者在有效的限制范围内访问被授权的资源，便于工作群组内不同人员、不同组织进行合理分工，使不同角色专注于自己的工作范围，降低操作风险发生概率。</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1.5.1.7数据字典</w:t>
      </w:r>
    </w:p>
    <w:p>
      <w:pPr>
        <w:pageBreakBefore w:val="0"/>
        <w:widowControl/>
        <w:kinsoku/>
        <w:overflowPunct/>
        <w:topLinePunct w:val="0"/>
        <w:autoSpaceDE/>
        <w:autoSpaceDN/>
        <w:bidi w:val="0"/>
        <w:spacing w:line="360" w:lineRule="auto"/>
        <w:ind w:left="0" w:firstLine="420" w:firstLineChars="200"/>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通过数据字典是对系统中一些不经常变更的字典数据进行维护，例如性别。</w:t>
      </w:r>
    </w:p>
    <w:p>
      <w:pPr>
        <w:keepNext w:val="0"/>
        <w:keepLines w:val="0"/>
        <w:pageBreakBefore w:val="0"/>
        <w:widowControl/>
        <w:numPr>
          <w:ilvl w:val="0"/>
          <w:numId w:val="0"/>
        </w:numPr>
        <w:kinsoku/>
        <w:overflowPunct/>
        <w:topLinePunct w:val="0"/>
        <w:autoSpaceDE/>
        <w:autoSpaceDN/>
        <w:bidi w:val="0"/>
        <w:spacing w:line="360" w:lineRule="auto"/>
        <w:ind w:left="0" w:leftChars="0" w:firstLine="420" w:firstLineChars="200"/>
        <w:textAlignment w:val="baseline"/>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1.5.2应</w:t>
      </w:r>
      <w:r>
        <w:rPr>
          <w:rFonts w:hint="eastAsia" w:ascii="宋体" w:hAnsi="宋体" w:eastAsia="宋体" w:cs="宋体"/>
          <w:b w:val="0"/>
          <w:bCs w:val="0"/>
          <w:color w:val="auto"/>
          <w:kern w:val="0"/>
          <w:sz w:val="21"/>
          <w:szCs w:val="21"/>
          <w:highlight w:val="none"/>
          <w:lang w:val="en-US" w:eastAsia="zh-CN" w:bidi="ar-SA"/>
        </w:rPr>
        <w:t>用集成</w:t>
      </w:r>
    </w:p>
    <w:p>
      <w:pPr>
        <w:pageBreakBefore w:val="0"/>
        <w:widowControl/>
        <w:kinsoku/>
        <w:overflowPunct/>
        <w:topLinePunct w:val="0"/>
        <w:autoSpaceDE/>
        <w:autoSpaceDN/>
        <w:bidi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打通用户体系，</w:t>
      </w:r>
      <w:r>
        <w:rPr>
          <w:rFonts w:hint="eastAsia" w:ascii="宋体" w:hAnsi="宋体" w:eastAsia="宋体" w:cs="宋体"/>
          <w:color w:val="auto"/>
          <w:sz w:val="21"/>
          <w:szCs w:val="21"/>
          <w:highlight w:val="none"/>
        </w:rPr>
        <w:t>构建集成型“我的智能中心”应用平台。</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1.5.2.1统一既有业务系统用户体系</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合浙政钉的条线用户和既有业务系统的用户，建立、健全数据治理平台、AI一站式服务平台等的数据合并、清洗、整理工作，作为整个统计大脑的用户数据基础，形成统一用户数据库，保障应用高效稳定安全对接。</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1.5.2.2统计用户权限体系接口对接与联调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接口有用户信息以及功能权限查询、所属单位查询、登录之后跳转链接查询。与现有各业务应用系统和统计数字化改革重大应用间的用户权限数据对接和接口联调等实施服务。实现用户信息在各个业务系统中的一致性，实现用户在各个业务系统中的功能权限、数据权限。</w:t>
      </w:r>
    </w:p>
    <w:p>
      <w:pPr>
        <w:keepNext w:val="0"/>
        <w:keepLines w:val="0"/>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1.5.3智能模块</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对接业务系统，构建一体型“我的智能中心”业务模块。对用户个人信息做集成化管理展示和维护，对日历事件做清晰展示。增加快速的导航定位功能，打通智能中心到统计局各大平台的快速功能入口。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聚形成模型预测归集平台。建立上下协同的模型生产机制，发动全省统计局系统将AI一站式服务平台作为开展预测预警模块的管理和展示平台。管理覆盖全专业的统计分析监测评估模型，及时准确反映经济社会发展的形和势；管理覆盖各专业、各层级主要经济指标的灵敏型预警模型，及时发现经济社会发展和统计数据质量问题；管理覆盖多维度的战略目标管理模型，及时预知未来经济社会发展趋势和战略目标实现情况。</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1.5.3.1个人信息模块</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1.5.3.1.1个人信息展示</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将我的智能中心作为统计局业务窗口，打通浙政钉用户体系，显示姓名、职务、专业等信息，实现与浙政钉用户信息同步，打造个人智能办公平台。</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1.5.3.1.2个人活跃度统计</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将我的智能中心作为统计局业务窗口，统计并展示用户个人月活跃、访问量、上次登录时间等，助力统计业务运行清晰化和可视化。</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1.5.3.1.3个人页面管理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对待办事项、功能入口、进度监测、指标分析、预测预警、统计产品、我的收藏、操作记录等模块设置增加、删除、移动顺序等功能，实现个性化自定义工作台功能。</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1.5.3.1.4信息维护集成</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通过后台服务对接基础应用平台，实现一套表、名录库的便捷密码同步功能，实现一套表、名录库在我的智能中心快速登录功能。</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1.5.3.2日历模块</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1.5.3.2.1日历展示</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构建工作日历展示、法定节假日展示提醒功能平台，助力统计业务运行清晰化和智能化，实现待办事项可视化、节点化提醒工作。</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1.5.3.2.2日历编辑</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构建日历平台事件和会议编辑，月事件展示、周会议提醒、日清单查看等功能，助力统计业务运行清晰化和智能化，实现待办事项可视化、节点化提醒工作。</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1.5.3.3导航栏模块</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1.5.3.3.1导航定位功能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通过个人信息模块的应用管理操作，实时实现对导航栏模块的位置变动。点击相应模块，实现导航栏置顶以及定位到相应模块，实现模块展示中心化，助力统计业务智能化。</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1.5.3.3.2回到顶部功能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通过右侧浮框，实时提醒用户待办事项处理，点击即可回到顶部，与导航定位功能相结合，实现我的智能中心全页面定位功能，助力统计业务智能化。</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1.5.3.4功能入口模块</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1.5.3.4.1综合办公功能入口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将我的智能中心作为统计局业务窗口，对局内网首页、综合运维管理平台、OA系统、内部最多跑一次平台等，统一接口对接文档，实现在我的智能中心免登跳转功能，提高统计办公效率。</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为各平台设计专属LOGO并应用于各大平台系统，助力统计业务体系清晰化。</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1.5.3.4.2常用功能入口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我的智能中心作为统计局业务窗口，数据浙江（内/外）、一套表、名录库、投资统计管理与监测平台、统计分析监测平台、一体化统计监督平台等，统一接口对接文档，实现在我的智能中心免登跳转功能，提高统计办公效率。</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为各平台设计专属LOGO并应用于各大平台系统，助力统计业务体系清晰化。</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1.5.3.5预测预警模块</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1.5.3.5.1自定义模型功能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通过后台服务对接数据治理平台，实现个人自定义模型功能，构建对数据表格转换成各类图表的功能，助力统计业务运行清晰化和智能化，实现待模型数据可视化，为更加有效发挥统计监督职能提供依据。</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1.5.3.5.2新建数据源功能</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通过后台服务对接AI平台数据源库，实现快速进入AI平台，执行数据源预览，个人数据源列表展示、数据源单次或周期性执行等功能，建立上下协同的模型生产机制。</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1.5.3.5.3模型应用功能</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通过后台服务对接AI平台模型训练库，实现快速进入AI平台，执行模型应用功能，支持数据源导出，数据结果展示，建立上下协同的模型生产机制。</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1.5.3.5.4模型收藏、导出和分享等功能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实现预测预警模型结果在我的智能中心内部收藏、导出、分享功能，助力提升统计服务支撑效率。</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1.5.3.6我的收藏模块</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1.5.3.6.1常用模板功能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构建功能入口、预测预警等内容自定义收藏模块，并支持用户复用和再编辑收藏的模块内容，助力提升统计服务支撑效率。</w:t>
      </w:r>
    </w:p>
    <w:p>
      <w:pPr>
        <w:pageBreakBefore w:val="0"/>
        <w:widowControl w:val="0"/>
        <w:numPr>
          <w:ilvl w:val="0"/>
          <w:numId w:val="0"/>
        </w:numPr>
        <w:kinsoku/>
        <w:overflowPunct/>
        <w:topLinePunct w:val="0"/>
        <w:autoSpaceDE/>
        <w:autoSpaceDN/>
        <w:bidi w:val="0"/>
        <w:spacing w:line="360" w:lineRule="auto"/>
        <w:ind w:leftChars="0" w:firstLine="420" w:firstLineChars="200"/>
        <w:outlineLvl w:val="6"/>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1.5.3.6.2我的云盘功能</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构建我的智能中心线上云盘，支持对xls/xlsx/doc/docx/pdf/ppt/pptx/png/jpg/jpge等格式50M以内的文件的上传收藏功能，助力提升统计服务支撑效率。</w:t>
      </w:r>
    </w:p>
    <w:p>
      <w:pPr>
        <w:pageBreakBefore w:val="0"/>
        <w:widowControl w:val="0"/>
        <w:numPr>
          <w:ilvl w:val="0"/>
          <w:numId w:val="0"/>
        </w:numPr>
        <w:kinsoku/>
        <w:overflowPunct/>
        <w:topLinePunct w:val="0"/>
        <w:autoSpaceDE/>
        <w:autoSpaceDN/>
        <w:bidi w:val="0"/>
        <w:spacing w:line="360" w:lineRule="auto"/>
        <w:ind w:left="0" w:leftChars="0" w:firstLine="420" w:firstLineChars="200"/>
        <w:outlineLvl w:val="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1.5.3.7操作记录模块</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调用统计算力池的日志中心记录，实现用户对操作的实时记录、查看、溯源、复用等功能，助力提升统计服务支撑效率。</w:t>
      </w:r>
    </w:p>
    <w:p>
      <w:pPr>
        <w:pStyle w:val="3"/>
        <w:keepNext/>
        <w:keepLines/>
        <w:pageBreakBefore w:val="0"/>
        <w:widowControl w:val="0"/>
        <w:numPr>
          <w:ilvl w:val="2"/>
          <w:numId w:val="0"/>
        </w:numPr>
        <w:kinsoku/>
        <w:wordWrap/>
        <w:overflowPunct/>
        <w:topLinePunct w:val="0"/>
        <w:autoSpaceDE/>
        <w:autoSpaceDN/>
        <w:bidi w:val="0"/>
        <w:adjustRightInd w:val="0"/>
        <w:snapToGrid w:val="0"/>
        <w:spacing w:beforeLines="0" w:afterLines="0" w:line="360" w:lineRule="auto"/>
        <w:ind w:left="0" w:leftChars="0" w:right="0" w:rightChars="0" w:firstLine="420" w:firstLineChars="200"/>
        <w:jc w:val="both"/>
        <w:textAlignment w:val="auto"/>
        <w:outlineLvl w:val="1"/>
        <w:rPr>
          <w:rFonts w:hint="eastAsia" w:ascii="宋体" w:hAnsi="宋体" w:eastAsia="宋体" w:cs="宋体"/>
          <w:b w:val="0"/>
          <w:bCs w:val="0"/>
          <w:color w:val="auto"/>
          <w:kern w:val="2"/>
          <w:sz w:val="21"/>
          <w:szCs w:val="21"/>
          <w:highlight w:val="none"/>
          <w:lang w:val="en-US" w:eastAsia="zh-CN" w:bidi="ar-SA"/>
        </w:rPr>
      </w:pPr>
      <w:bookmarkStart w:id="113" w:name="_Toc30591"/>
      <w:bookmarkStart w:id="114" w:name="_Toc21869"/>
      <w:r>
        <w:rPr>
          <w:rFonts w:hint="eastAsia" w:ascii="宋体" w:hAnsi="宋体" w:eastAsia="宋体" w:cs="宋体"/>
          <w:b w:val="0"/>
          <w:bCs w:val="0"/>
          <w:color w:val="auto"/>
          <w:kern w:val="2"/>
          <w:sz w:val="21"/>
          <w:szCs w:val="21"/>
          <w:highlight w:val="none"/>
          <w:lang w:val="en-US" w:eastAsia="zh-CN" w:bidi="ar-SA"/>
        </w:rPr>
        <w:t>2.共同富裕统计监测（二期）</w:t>
      </w:r>
      <w:bookmarkEnd w:id="113"/>
      <w:bookmarkEnd w:id="114"/>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2.1</w:t>
      </w:r>
      <w:r>
        <w:rPr>
          <w:rFonts w:hint="eastAsia" w:ascii="宋体" w:hAnsi="宋体" w:eastAsia="宋体" w:cs="宋体"/>
          <w:color w:val="auto"/>
          <w:sz w:val="21"/>
          <w:szCs w:val="21"/>
          <w:highlight w:val="none"/>
        </w:rPr>
        <w:t>总体技术框架</w:t>
      </w:r>
    </w:p>
    <w:p>
      <w:pPr>
        <w:pageBreakBefore w:val="0"/>
        <w:kinsoku/>
        <w:overflowPunct/>
        <w:topLinePunct w:val="0"/>
        <w:autoSpaceDE/>
        <w:autoSpaceDN/>
        <w:bidi w:val="0"/>
        <w:spacing w:line="360" w:lineRule="auto"/>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共同富裕统计监测（二期）技术框架主要包括数据来源、数据聚合、数据模型、能力输出、能力展示五大方面。具体包括：</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数据接入：通过汇集统计大脑已汇集的部门数据、接入一体化公共平台共享交换的其他部门数据、引入的通信运营商等社会数据，实现多维数据接入</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数据聚合：建立以“人”和“企业”为基本单元，精准画像为主题模型，搭建基本信息明确、工作信息清晰、收支信息客观的“全面覆盖+精准画像”主题分析库；</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数据模型：融合大数据手机信令等社会数据，建设和优化不限于融合模型、大数据模型、专题模型；</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能力输出：构建由标准API接口和数据运营为基础的常态化流程调度和维护的数据能力框架，满足便于可视化需求变更快速迭代，并便于提供至第三方界面对接，并实现数据资产的可持续发展；</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展示：优化驾驶舱首页、七个先行示范监测、优质公共服务、26县统计监测、1+3重点群体（就业人员及工资、产业工人、个人工商户、低收入农户）；建设6类“扩中”“提低”重点群体的精准画像模块、建设5个专业的企业精准画像模块。</w:t>
      </w:r>
    </w:p>
    <w:p>
      <w:pPr>
        <w:pageBreakBefore w:val="0"/>
        <w:widowControl/>
        <w:kinsoku/>
        <w:overflowPunct/>
        <w:topLinePunct w:val="0"/>
        <w:autoSpaceDE/>
        <w:autoSpaceDN/>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2.2</w:t>
      </w:r>
      <w:r>
        <w:rPr>
          <w:rFonts w:hint="eastAsia" w:ascii="宋体" w:hAnsi="宋体" w:eastAsia="宋体" w:cs="宋体"/>
          <w:color w:val="auto"/>
          <w:sz w:val="21"/>
          <w:szCs w:val="21"/>
          <w:highlight w:val="none"/>
        </w:rPr>
        <w:t>融合多源数据（数据接入）</w:t>
      </w:r>
    </w:p>
    <w:p>
      <w:pPr>
        <w:pageBreakBefore w:val="0"/>
        <w:widowControl/>
        <w:numPr>
          <w:ilvl w:val="0"/>
          <w:numId w:val="0"/>
        </w:numPr>
        <w:kinsoku/>
        <w:overflowPunct/>
        <w:topLinePunct w:val="0"/>
        <w:autoSpaceDE/>
        <w:autoSpaceDN/>
        <w:bidi w:val="0"/>
        <w:spacing w:line="360" w:lineRule="auto"/>
        <w:ind w:left="0"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2.2.1</w:t>
      </w:r>
      <w:r>
        <w:rPr>
          <w:rFonts w:hint="eastAsia" w:ascii="宋体" w:hAnsi="宋体" w:eastAsia="宋体" w:cs="宋体"/>
          <w:color w:val="auto"/>
          <w:sz w:val="21"/>
          <w:szCs w:val="21"/>
          <w:highlight w:val="none"/>
        </w:rPr>
        <w:t>制定数据标准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对共同富裕基础库的数据需求进行调研，并将业务需求转化为技术需求输入。根据现有共同富裕基础库的数据情况和调研结果规划共同富裕基础主题库架构。制定共同富裕主题分析库建设规范指导主题库建设，制定数据标准，对加工的数据模型进行标准化，增强数据定义和使用的一致性，提升数据易用性。数据标准化主要包含标准代码、数据格式标准、字段命名标准、群体划分标准等。</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2.2.2</w:t>
      </w:r>
      <w:r>
        <w:rPr>
          <w:rFonts w:hint="eastAsia" w:ascii="宋体" w:hAnsi="宋体" w:eastAsia="宋体" w:cs="宋体"/>
          <w:color w:val="auto"/>
          <w:sz w:val="21"/>
          <w:szCs w:val="21"/>
          <w:highlight w:val="none"/>
        </w:rPr>
        <w:t>数据加载</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提供对多种来源的异构数据实施加载落库，设置加载频率。数据来源主要包括省平台申请的其他部门数据、本部门业务库数据和EXCEL文件数据。</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2.2.3</w:t>
      </w:r>
      <w:r>
        <w:rPr>
          <w:rFonts w:hint="eastAsia" w:ascii="宋体" w:hAnsi="宋体" w:eastAsia="宋体" w:cs="宋体"/>
          <w:color w:val="auto"/>
          <w:sz w:val="21"/>
          <w:szCs w:val="21"/>
          <w:highlight w:val="none"/>
        </w:rPr>
        <w:t>数据接入</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数据来源主要包括两方面内容，一方面数据源包括大数据局29个厅局数据、省统各类应用数据以及移动的信令和通信行为数据；另一方面数据源主要是来自统计大脑。</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大数据局29个厅局数据、省统各类应用数据以及移动的信令和通信行为数据可以直接输入到共富主题库中，为数据聚合和模型构建提供基础；这类数据也可以直接输入到统计大脑中，作为统计大脑的数据输入。</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接入统计大脑数据，统计大脑数据可以直接输入到共富主题库中，为数据聚合和模型构建提供基础。</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w:t>
      </w:r>
      <w:r>
        <w:rPr>
          <w:rFonts w:hint="eastAsia" w:ascii="宋体" w:hAnsi="宋体" w:eastAsia="宋体" w:cs="宋体"/>
          <w:color w:val="auto"/>
          <w:sz w:val="21"/>
          <w:szCs w:val="21"/>
          <w:highlight w:val="none"/>
        </w:rPr>
        <w:t>人和企业数据聚合（数据聚合）</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基于数据源，聚合形成以“人”和“企业”为基本单元的两大主题分析模型，数据主题聚合为融合模型、专题模型的构建提供基础。</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2.3.1</w:t>
      </w:r>
      <w:r>
        <w:rPr>
          <w:rFonts w:hint="eastAsia" w:ascii="宋体" w:hAnsi="宋体" w:eastAsia="宋体" w:cs="宋体"/>
          <w:color w:val="auto"/>
          <w:sz w:val="21"/>
          <w:szCs w:val="21"/>
          <w:highlight w:val="none"/>
        </w:rPr>
        <w:t>数据探查</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通过各种手段对不同来源同步到基础库中的数据进行多维度探查，分析数据质量总体情况。通过分析加载的数据质量情况，评估数据来源表的数据可用性。</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2.3.2</w:t>
      </w:r>
      <w:r>
        <w:rPr>
          <w:rFonts w:hint="eastAsia" w:ascii="宋体" w:hAnsi="宋体" w:eastAsia="宋体" w:cs="宋体"/>
          <w:color w:val="auto"/>
          <w:sz w:val="21"/>
          <w:szCs w:val="21"/>
          <w:highlight w:val="none"/>
        </w:rPr>
        <w:t>数据分析</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数据分析主要针对数据探查结果进行基础分析，包括主键唯一性校验分析、非法日期字段分析、非法身份证号等高频数据项分析，并输出分析结果，为制定数据治理规则做准备。</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2.3.3</w:t>
      </w:r>
      <w:r>
        <w:rPr>
          <w:rFonts w:hint="eastAsia" w:ascii="宋体" w:hAnsi="宋体" w:eastAsia="宋体" w:cs="宋体"/>
          <w:color w:val="auto"/>
          <w:sz w:val="21"/>
          <w:szCs w:val="21"/>
          <w:highlight w:val="none"/>
        </w:rPr>
        <w:t>数据清洗</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数据探查结果与数据需求，制定数据清洗规则，剔除非正确性问题数据、对重复数据进行去重、对无法判断的数据问题反馈数源系统，待数源单位重新归集后重新清洗数据。预计清洗超323张数据表，清洗量达6.31亿。</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2.3.4</w:t>
      </w:r>
      <w:r>
        <w:rPr>
          <w:rFonts w:hint="eastAsia" w:ascii="宋体" w:hAnsi="宋体" w:eastAsia="宋体" w:cs="宋体"/>
          <w:color w:val="auto"/>
          <w:sz w:val="21"/>
          <w:szCs w:val="21"/>
          <w:highlight w:val="none"/>
        </w:rPr>
        <w:t>历史数据清洗策略配置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为防止历史数据堆积对生产环境的稳定性产生影响，根据数据需求，制定历史数据保留策略，开发历史数据清理工具定期清理历史数据，确保数据在项目空间中不存在冗余和无效加工。</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2.3.5</w:t>
      </w:r>
      <w:r>
        <w:rPr>
          <w:rFonts w:hint="eastAsia" w:ascii="宋体" w:hAnsi="宋体" w:eastAsia="宋体" w:cs="宋体"/>
          <w:color w:val="auto"/>
          <w:sz w:val="21"/>
          <w:szCs w:val="21"/>
          <w:highlight w:val="none"/>
        </w:rPr>
        <w:t>主题分域</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分类建设个人和企业主题分域，个人主题分域是基于个人基本信息的维度将个人的基础属性整合汇总到个人基本信息数据域模型中，涵盖个人基本信息、社会登记、证照、资质荣誉、社会活动、职业等数据。企业主题分域是基于企业基本信息的维度将企业的基础属性整合汇总到企业基本信息数据域模型，涵盖企业基本信息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人”为基础的主题分析模型是优化，通过数据探查、数据分析、数据清洗分析优化更新，个人的基本信息、工作信息、收支信息，按照省、市、县（市、区）、乡（镇、街道）维度对全省常住人口、流动人口、死亡人口等数据，以及对性别年龄、特别是劳动人口和老龄人口占比、常住人口的受教育程度情况、个人资产、不同职业类别之间多维对比分析。持续更新基础数据库结构指标和数据来源，实时动态展示数据项、数源单位、指标个数、数据资源量、数据清洗量，及时反映基础数据库数据基本情况；新建以“企业”为基础的主题分析模型是新建，主要是从企业的角度全面掌控企业的基础特征、行业、规模等核心内容。“人”和“企业”主题分析模型具体内容包括：</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“人”为基础的主题分析模型，包括基本特征主题、家庭特征主题、工作特征主题、收支特征主题四大类；</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“企业”为基础的主题分析模型，包括企业特征主题、规模特征主题、行业特征主题、企业收支特征主题四大类。</w:t>
      </w:r>
    </w:p>
    <w:p>
      <w:pPr>
        <w:pStyle w:val="49"/>
        <w:pageBreakBefore w:val="0"/>
        <w:numPr>
          <w:ilvl w:val="0"/>
          <w:numId w:val="0"/>
        </w:numPr>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2.4</w:t>
      </w:r>
      <w:r>
        <w:rPr>
          <w:rFonts w:hint="eastAsia" w:ascii="宋体" w:hAnsi="宋体" w:eastAsia="宋体" w:cs="宋体"/>
          <w:color w:val="auto"/>
          <w:sz w:val="21"/>
          <w:szCs w:val="21"/>
          <w:highlight w:val="none"/>
        </w:rPr>
        <w:t>构建融合模型、大数据模型及专题模型（数据模型）</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融合模型是基于主题分析模型，围绕工作、收支、行业、基础特征等方面开展模型的融合；大数据模型主要是常驻人口动态监测分析模型、移动大数据就业人口模型、个体工商户活跃分析模型、新形态就业群体识别模型；专题模型围绕高校毕业生、进城务工人员、技术工人、科研人员、城镇困难人员等开展专项的模型构建，为特定的应用场景支撑提供基础。</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2.4.1</w:t>
      </w:r>
      <w:r>
        <w:rPr>
          <w:rFonts w:hint="eastAsia" w:ascii="宋体" w:hAnsi="宋体" w:eastAsia="宋体" w:cs="宋体"/>
          <w:color w:val="auto"/>
          <w:sz w:val="21"/>
          <w:szCs w:val="21"/>
          <w:highlight w:val="none"/>
        </w:rPr>
        <w:t>数据仓库模型设计</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采用维度建模方式，按照业务领域细分业务过程，梳理业务维度，业务过程属性及指标信息。形成业务逻辑模型，再结合数据资源标准及平台特性，进行数据模型物理设计，形成业务数据资源表。</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2.4.2</w:t>
      </w:r>
      <w:r>
        <w:rPr>
          <w:rFonts w:hint="eastAsia" w:ascii="宋体" w:hAnsi="宋体" w:eastAsia="宋体" w:cs="宋体"/>
          <w:color w:val="auto"/>
          <w:sz w:val="21"/>
          <w:szCs w:val="21"/>
          <w:highlight w:val="none"/>
        </w:rPr>
        <w:t>数据宽表标签体系建设</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共同富裕标签体系，明确标签定义与口径，分析标签来源数据，最终完成标签值计算开发。标签建设主要包含个人基本信息标签的小区、户别、个人、60周岁老人以上的人、特殊人群、个人财产情况、健康状况、收入水平、年龄性别结构、教育水平等信息，工作信息标签的就业、单位、职业、技能、职称和证书、投资、参保、企业类型、企业数量、地区数据、产业类型等信息。</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2.4.2.1</w:t>
      </w:r>
      <w:r>
        <w:rPr>
          <w:rFonts w:hint="eastAsia" w:ascii="宋体" w:hAnsi="宋体" w:eastAsia="宋体" w:cs="宋体"/>
          <w:b w:val="0"/>
          <w:bCs w:val="0"/>
          <w:color w:val="auto"/>
          <w:sz w:val="21"/>
          <w:szCs w:val="21"/>
          <w:highlight w:val="none"/>
        </w:rPr>
        <w:t>“人”为基础的主题分析模型</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建立“人”的基本特征主题分析模型，构建出以人基本的年龄性别、受教育程度、城镇化人口数据、出生人口、结婚率、人均寿命和生育率、健康状况等多维度的综合应用主题库。</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●家庭特征主题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人”的家庭特征主题分析模型，构建出以家庭的人员结构数据、居住地分布、劳动人口和老年人口、户籍人口、常住人口、家庭类别数据、家庭人均住房面积、家庭汽车保有量、家庭存款等多维度的综合应用主题库。</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人”的工作特征主题分析模型，构建出以工作的通勤方式占比、通勤时间数据、就业方式、社保缴纳数据、就业状况、行业分布、各类岗位人员变化趋势、职业技能持证人员、年平均工资数据等多维度的综合应用主题库。</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●收支特征主题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建立“人”的收支特征主题分析模型，构建出以个人收入数据、家庭收入数据、个人支出数据、家庭支出数据、人均可支配收入数据、工资性收入数据等多维度的综合应用主题库。</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2.4.2.2 </w:t>
      </w:r>
      <w:r>
        <w:rPr>
          <w:rFonts w:hint="eastAsia" w:ascii="宋体" w:hAnsi="宋体" w:eastAsia="宋体" w:cs="宋体"/>
          <w:b w:val="0"/>
          <w:bCs w:val="0"/>
          <w:color w:val="auto"/>
          <w:sz w:val="21"/>
          <w:szCs w:val="21"/>
          <w:highlight w:val="none"/>
        </w:rPr>
        <w:t>“企业”为基础的主题分析模型</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企业”的企业特征主题分析模型，构建出以企业基本名称、企业社会信用码信息、企业所在区县、企业数量、规上企业数量、民营企业数量、登记注册类型、特色企业分布、企业人员数量等多维度的综合应用主题库。</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建立“企业”的规模特征主题分析模型，构建出以企业规模大小、企业职工数量、企业营业状况、企业生产情况、规上工业情况、企业类型情况等多维度的综合应用主题库。</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建立“企业”的行业特征主题分析模型，构建出以企业行业类别、资质行业数量、资质行业类型、行业标准信息等多维度的综合应用主题库。</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●企业收支特征主题</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企业”的收支特征主题分析模型，构建出以企业财务状况、企业总产值数据、企业增加值、营业收入、销售产值、利润数据、税金总额、新产品产值、企业效益状况、企业收入增速水平、企业纳税情况等多维度的综合应用主题库。</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rPr>
        <w:t>2.4.3</w:t>
      </w:r>
      <w:r>
        <w:rPr>
          <w:rFonts w:hint="eastAsia" w:ascii="宋体" w:hAnsi="宋体" w:eastAsia="宋体" w:cs="宋体"/>
          <w:color w:val="auto"/>
          <w:sz w:val="21"/>
          <w:szCs w:val="21"/>
          <w:highlight w:val="none"/>
        </w:rPr>
        <w:t>数据脱敏</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根据脱敏规则，梳理需脱敏信息项，生成脱敏数据后供使用方使用。脱敏字段一般包含姓名、身份证、地址、联系方式等信息，通过数据脱敏确保数据不对外泄露。</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2.4.4</w:t>
      </w:r>
      <w:r>
        <w:rPr>
          <w:rFonts w:hint="eastAsia" w:ascii="宋体" w:hAnsi="宋体" w:eastAsia="宋体" w:cs="宋体"/>
          <w:color w:val="auto"/>
          <w:sz w:val="21"/>
          <w:szCs w:val="21"/>
          <w:highlight w:val="none"/>
        </w:rPr>
        <w:t>质量监控</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提供开发数据质量校验工具，对加工结果表配置数据质量校验规则，对结果数据进行一致性、完整性等校验。对来源表数据量进行数据量波动检测等规则配置，监控来源表情况。</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2.4.5</w:t>
      </w:r>
      <w:r>
        <w:rPr>
          <w:rFonts w:hint="eastAsia" w:ascii="宋体" w:hAnsi="宋体" w:eastAsia="宋体" w:cs="宋体"/>
          <w:color w:val="auto"/>
          <w:sz w:val="21"/>
          <w:szCs w:val="21"/>
          <w:highlight w:val="none"/>
        </w:rPr>
        <w:t>作业调度</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依据作业任务的更新频率以及依赖关系配置数据开发作业的调度任务，确保数据及时、完整地更新到数据模型中。</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2.4.6</w:t>
      </w:r>
      <w:r>
        <w:rPr>
          <w:rFonts w:hint="eastAsia" w:ascii="宋体" w:hAnsi="宋体" w:eastAsia="宋体" w:cs="宋体"/>
          <w:color w:val="auto"/>
          <w:sz w:val="21"/>
          <w:szCs w:val="21"/>
          <w:highlight w:val="none"/>
        </w:rPr>
        <w:t>模型开发</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2.4.6.1</w:t>
      </w:r>
      <w:r>
        <w:rPr>
          <w:rFonts w:hint="eastAsia" w:ascii="宋体" w:hAnsi="宋体" w:eastAsia="宋体" w:cs="宋体"/>
          <w:b w:val="0"/>
          <w:bCs w:val="0"/>
          <w:color w:val="auto"/>
          <w:sz w:val="21"/>
          <w:szCs w:val="21"/>
          <w:highlight w:val="none"/>
        </w:rPr>
        <w:t>融合模型</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●基本+工作模型（优化）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融合个人基础特征和工作特性开展模型构建。主要包括个人所属地市、区县、乡镇、年龄、性别、受教育程度、籍贯、专业职称、人员类型、行业、单位名称、职业、产业分布（一产）、产业分布（二产）、产业分布（三产）等信息。此外，针对特定人群，还包括个性化信息，具体如下：</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工人，包括身份证件号码、性别、年龄、受教育程度、户籍地行政区划代码、居住地行政区划代码、行业代码、是否在缴城镇企业职工基本养老保险、是否在缴机关事业单位养老保险、是否在缴城乡居民基本养老保险、是否在缴职业年金、是否在缴失业保险、是否在缴工伤保险等。</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高校毕业生，包括身份证件号、姓名、学校代码、学校名称、专业代码、专业名称、学历、毕业时间、生源地代码 、 生源地、用人单位、单位所在地、行业代码、职业、工资、年龄 、性别 、家庭户ID 、 家庭建筑面积 、户籍地6位行政区划 、居住地6位行政区划 、 家庭成员数量 、家庭汽车情况、民族等。</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研人员，包括姓名、身份证件号码、性别、年龄、专业技术级别、人员类型、高企科小标识、院校类型、研究机构服务行业、隶属关系、工作年限、户别、住宅类型、民族、受教育程度、婚姻状况、不动产数量、不动产面积、车辆、车辆价值、户籍地、居住地、行业、行业类别、单位名称、统一社会信用代码、行政区划代码、地址、单位性质、单位控股情况、主要业务活动、单位成立时间、技能等级、职业工种、单位科研人员数、是否在缴城镇企业职工基本养老保险、是否在缴机关事业单位养老保险、是否在缴城乡居民基本养老保险、是否在缴职业年金、是否在缴失业保险、是否在缴工伤保险等。</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●基本+收支模型（优化）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主要是融合个人基础特征和收支特性开展模型构建。主要包括个人所属地市、区县、乡镇、年龄、性别、受教育程度、籍贯、身份证号、 年、月、收入类型、收入金额、支出类型、支出金额等。不同的人群展示的信息有差异。</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低收入农户为例，展示的信息包括户id、省厅区划编码、民政部区划编码、行政区划、申请类别、申请人（户主）、申请身份证、低保类别仅低保数据有值、低边类别仅低边数据有值、户口性质（户主）、联系电话（户主）、手机号码（户主）、致贫原因、户籍地址区划编码、户籍地址门牌号、居住地址区划编码、居住地址门牌号、家庭总人口、申请救助原因、开户银行、开户人、开户人身份证、银行账号、救助标准（低保为保障标准，低边为救助标准，特困为基本生活标准）、月人均收入、人均保障金（仅低保数据有值）、一般残人数、重残人数、保障总人口、救助日期、救助证编号、低保类型、调查时间、调查结果、是否申请电力减免（仅低保数据有值）、用电户号（仅低保数据有值）、减免地址（仅低保数据有值）、水费户号（仅低保数据有值）、燃气户号（仅低保数据有值）、有线电视户号（仅低保数据有值）、是否集中供养（仅特困数据有值）、供养方式（仅特困数据有值）、供养地（仅特困数据有值）、是否区县调查、MD5身份证、人普户编码、本年度_工资性收入、本年度_经营性收入、本年度_财产性收入、本年度_除低保金外其他转移性收入、本年度_低保金、本年度_生产性支出、本年度_转移性支出、人普数据12位行政区划编码、人普数据机构编码、人普数据普查小区代码、统计局_劳动能力、统计局_有需陪护人员、男性占比、在校生占比、高学历占比、中低学历占比、离婚占比、丧偶占比、残疾占比、就业占比、第一产业占比、第二产业占比、第三产业占比、老人占比、小孩占比、城乡居民基本养老保险占比、职工基本养老保险占比、工伤保险占比、失业保险占比、低保人数占比、申请人</w:t>
      </w:r>
      <w:r>
        <w:rPr>
          <w:rFonts w:hint="eastAsia" w:eastAsia="宋体" w:cs="宋体"/>
          <w:color w:val="auto"/>
          <w:sz w:val="21"/>
          <w:szCs w:val="21"/>
          <w:highlight w:val="none"/>
          <w:lang w:eastAsia="zh-CN"/>
        </w:rPr>
        <w:t>姓名</w:t>
      </w:r>
      <w:r>
        <w:rPr>
          <w:rFonts w:hint="eastAsia" w:ascii="宋体" w:hAnsi="宋体" w:eastAsia="宋体" w:cs="宋体"/>
          <w:color w:val="auto"/>
          <w:sz w:val="21"/>
          <w:szCs w:val="21"/>
          <w:highlight w:val="none"/>
        </w:rPr>
        <w:t>脱敏、统计局_就业情况指标、统计局_供养指数指标、统计局_从业指数指标、统计局_供养压力指数指标、家庭类别、统计局_重点人群、统计局_脱低潜在人群、标准区划代码等。</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●工作+收支模型（优化）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融合个人工作特征和收支特性开展模型构建。主要包括个人所属地市、区县、乡镇、年龄、性别、受教育程度、籍贯、身份证号、收入类型、收入金额、支出类型、支出金额、工作单位、工作类型等。不同的人群展示的信息有差异。</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进城务工人员为例，展示的信息包括姓名、年龄、性别、民族、学历、婚姻状况、不动产数量、不动产面积、户籍地、居住地、在浙社保情况、车辆、单位名称、地址、行业类型、主要业务活动、职业工种、技能等级、单位期末从业人数、个人平均工资、行业平均工资、浙江省规上企业从业人员年均工资等。</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●企业+行业模型（新增）</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主要是融合企业和行业两个维度来开展模型构建。主要包括企业-房地产、企业-服务业、企业-工业、企业-建筑业等数据模型。</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企业-房地产主要包括：资质内建筑业企业的基本情况、特级企业的基本情况、资质内建筑业企业各行业的分布个数、建筑业总产值(亿元)和主营业务收入(亿元)、建筑业企业单位数、建筑业总产值(亿元)、新签合同额(亿元)、主营业务收入(亿元)、资产负债率(%)</w:t>
      </w:r>
      <w:r>
        <w:rPr>
          <w:rFonts w:hint="eastAsia" w:eastAsia="宋体" w:cs="宋体"/>
          <w:color w:val="auto"/>
          <w:sz w:val="21"/>
          <w:szCs w:val="21"/>
          <w:highlight w:val="none"/>
          <w:lang w:eastAsia="zh-CN"/>
        </w:rPr>
        <w:t>，</w:t>
      </w:r>
      <w:r>
        <w:rPr>
          <w:rFonts w:hint="eastAsia" w:ascii="宋体" w:hAnsi="宋体" w:eastAsia="宋体" w:cs="宋体"/>
          <w:color w:val="auto"/>
          <w:sz w:val="21"/>
          <w:szCs w:val="21"/>
          <w:highlight w:val="none"/>
        </w:rPr>
        <w:t>利润率(%)</w:t>
      </w:r>
      <w:r>
        <w:rPr>
          <w:rFonts w:hint="eastAsia" w:eastAsia="宋体" w:cs="宋体"/>
          <w:color w:val="auto"/>
          <w:sz w:val="21"/>
          <w:szCs w:val="21"/>
          <w:highlight w:val="none"/>
          <w:lang w:eastAsia="zh-CN"/>
        </w:rPr>
        <w:t>，</w:t>
      </w:r>
      <w:r>
        <w:rPr>
          <w:rFonts w:hint="eastAsia" w:ascii="宋体" w:hAnsi="宋体" w:eastAsia="宋体" w:cs="宋体"/>
          <w:color w:val="auto"/>
          <w:sz w:val="21"/>
          <w:szCs w:val="21"/>
          <w:highlight w:val="none"/>
        </w:rPr>
        <w:t>总资产收益率(%)等。</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企业-服务业主要包括：各门类全部单位数、各门类规上单位数、规上单位营收、规上单位营收增速、全部单位分地区数、规上单位分地区数、规上单位营收分地区数、规上单位营收增速分地区数、规上单位营收增速贡献分地区、数字经济、高技术服务业、阿里系企业、1000强企业、营收变化趋势、资产变化趋势、户均营收变化趋势、户均资产变化趋势、资产收益率、资产负债率、利润率、各门类营业收入增速贡献、各门类资产总计增速贡献、各门类利润总额增速贡献、企业研发费用占比、营业利润率、劳动生产率、营收增长率 、税金占营收、平均工资等。</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企业-工业主要包括：规上工业增加值、规上工业增加值增速、规上工业销售产值、规上工业销售产值增速、出口交货值、出口交货值增速、工业企业利润总额、工业企业利润总额增速、工业企业数、工业企业营业收入、利润总额、工业企业税金总额、战新企业数、数字经济企业数、盈利企业数、高技术企业数、大中型企业数、国有及国有控股相关指标、民营企业相关指标、工业企业总产值、销售产值、新产品产值、出口交货值、企业行业数量与占比等。</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企业-建筑业主要包括：资质内建筑业企业数、各行业的建筑业企业数、资质内建筑业企业建筑业总产值、资质内建筑业企业主营业务收入、资质内建筑业企业新签合同额、特级企业总产值、特级企业资产负债率、特级企业资产利润率、特级企业总资产收益率、特级企业建筑业总产值、特级企业新签合同额、特级企业营业收入、标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特级企业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总产值、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资产负债率、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资产利润率、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总资产收益率、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新签合同额、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营业收入、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总产值、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资产负债率、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资产利润率、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总资产收益率、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新签合同额、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建筑业总产值Top100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营业收入、各行业的资质内建筑业企业数、资质内建筑业企业营业收入、特级企业利润率、标签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建筑产业现代化示范企业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利润率等。</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2.4.6.2</w:t>
      </w:r>
      <w:r>
        <w:rPr>
          <w:rFonts w:hint="eastAsia" w:ascii="宋体" w:hAnsi="宋体" w:eastAsia="宋体" w:cs="宋体"/>
          <w:b w:val="0"/>
          <w:bCs w:val="0"/>
          <w:color w:val="auto"/>
          <w:sz w:val="21"/>
          <w:szCs w:val="21"/>
          <w:highlight w:val="none"/>
        </w:rPr>
        <w:t>大数据模型</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●常驻人口动态监测分析模型（新增）</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主要是借助大数据的手段，常态化开展常驻人口的监控，为人口的管理提供数据支撑。模型主要包括：</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整体监控模型：包括日期、地市名、区县名、流入、流出、净流入等。</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常驻人口通勤距离移动模型：包括地市名、区县名、人数、通勤距离分档（米）等。</w:t>
      </w:r>
    </w:p>
    <w:p>
      <w:pPr>
        <w:pStyle w:val="26"/>
        <w:pageBreakBefore w:val="0"/>
        <w:kinsoku/>
        <w:overflowPunct/>
        <w:topLinePunct w:val="0"/>
        <w:autoSpaceDE/>
        <w:autoSpaceDN/>
        <w:bidi w:val="0"/>
        <w:spacing w:after="0"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常驻人口基础特征模型：人口年龄、性别、地市名、区县名、出生人口、死亡人口、累计流入、累计流出、累计净流入等。</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●移动大数据就业人口模型（新增）</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借助大数据的手段，常态化开展就业人口的监控，为就业人群的管理提供数据支撑。模型主要包括：时间、地市名、区县名、就业人口数量、常驻人口数量、职住人口比、就业人口所属行业、就业人口所属产业、就业人口类型、就业人口TOP单位、就业人口画像等。</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●个体工商户活跃分析模型（新增）</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主要是整合个体工商户信息，形成活跃分析模型，主要包括：个体户所在城市 、 个体户所在区县 、一级行业分类代码 、 一级行业分类名称 、 注册资本_元 、 税费_元 、 雇员数量 、 雇主身份证号 、 雇主年龄 、 雇主教育水平 、雇主社保缴纳地类型、 家庭成员数量 、 家庭教育水平 、 家庭车辆数 、 家庭建筑面积 、家庭就业人数、家庭年收入、全年雇用雇员的总支出、全年缴纳的各种税费、房租、营业收入-抽样、与经营相关的总支出（其他支出）、用于购置房屋建筑物、机器设备、器具工具、役畜、产品畜等的支出、年营业收入-年报、养老保险、失业保险、工伤保险、 净利润 、一年存活数量、两年存活数量、三年存活数量、四年存活数量、五年存活数量、六年存活数量、一年存活率、两年存活率、三年存活率、四年存活率、五年存活率、六年存活率等。</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●新形态就业群体识别模型（新增）</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是借助大数据手段识别新形态就业人群，如快递小哥、外卖骑手、网约客车等。相关如下包括：姓名、受教育程度、户籍省市县（区）、居住地、婚姻状况、性别、年龄、平台分类、用工时长、工作年限、住房来源、月租房费用、（基本）养老保险费、机关事业单位养老保险、企业职工基本养老保险、城乡居民基本养老保险、（基本）医疗保险费、机关事业单位医疗保险、职工基本医疗保险、城乡居民基本医疗保险、大额医疗费用补助、失业保险费、住房公积金、年金、商业健康保险、税延养老保险等。</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2.4.6.3</w:t>
      </w:r>
      <w:r>
        <w:rPr>
          <w:rFonts w:hint="eastAsia" w:ascii="宋体" w:hAnsi="宋体" w:eastAsia="宋体" w:cs="宋体"/>
          <w:b w:val="0"/>
          <w:bCs w:val="0"/>
          <w:color w:val="auto"/>
          <w:sz w:val="21"/>
          <w:szCs w:val="21"/>
          <w:highlight w:val="none"/>
        </w:rPr>
        <w:t>专题模型</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●产业工人群体模型（优化）</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建设的产业工人群体模型，更新2022年最新账期数据。优化产业工人行业分布名称和行业分布占比、更新产业工人社会保险险种数据信息。增加产业工人的基本信息特征，包括不动产数量、不动产面积、车辆、行业人均工资等</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●低收入农户群体模型（优化）</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建设的产业工人群体模型，更新2022年最新账期数据。优化低收入农户年龄结构分布、健康状况分布、就业状况、收入水平、人均可支配收入以及人均可支配收入增幅。新增精准画像的多类条件筛选符合特征的低收入农户画像。</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●个体工商户群体模型（优化）</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基于一期建设的产业工人群体模型，更新2022年最新账期数据。优化个体工商户群体年龄结构分布、文化程度分布、家庭</w:t>
      </w:r>
      <w:r>
        <w:rPr>
          <w:rFonts w:hint="eastAsia" w:ascii="宋体" w:hAnsi="宋体" w:eastAsia="宋体" w:cs="宋体"/>
          <w:color w:val="auto"/>
          <w:sz w:val="21"/>
          <w:szCs w:val="21"/>
          <w:highlight w:val="none"/>
          <w:lang w:eastAsia="zh-CN"/>
        </w:rPr>
        <w:t>人均可支配收入</w:t>
      </w:r>
      <w:r>
        <w:rPr>
          <w:rFonts w:hint="eastAsia" w:ascii="宋体" w:hAnsi="宋体" w:eastAsia="宋体" w:cs="宋体"/>
          <w:color w:val="auto"/>
          <w:sz w:val="21"/>
          <w:szCs w:val="21"/>
          <w:highlight w:val="none"/>
        </w:rPr>
        <w:t>分布、家庭住房面积、行业分布名称、行业分布占比、净利润分布等数据信息。</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●就业人口模型（优化）</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建设的产业工人群体模型，更新2022年最新账期数据。优化就业人口年龄结构分布、文化程度分布、人均可支配收入分布、产业分布、规上就业人员年平均工资分区间分布、规上就业人员和年平均工资分职业、规上就业人员年平均工资变化趋势等数据信息。</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●新就业形态群体模型（新增）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新就业形态群体模型，融合多种新就业形态基本特征数据，以年龄性别、受教育程度、户籍分布、行业类型、月收入分布、用工时长、工作年限分布、月租房费用等综合数据耦合，形成新就业形态群体模型，用以分析新就业形态群体各种关联和预测的特征及行为。</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●科研群体模型（新增）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科研群体模型，融合多种科研群体基本特征数据，以年龄性别、受教育程度、户籍分布、行业类型、月收入分布、专业技术职称、行业分布数据、人员类型等综合数据耦合，形成科研群体模型，用以分析科研群体各种关联特征和预测特征及行为。</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●高校毕业生群体模型（新增）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高校毕业生群体模型，融合多种高校毕业生群体基本特征数据，以年龄性别、受教育程度、户籍分布、毕业生历年趋势、院校类型、毕业人数、平均工资、专业类型、行业分布等综合数据耦合，形成高校毕业生群体模型，用以分析高校毕业生群体各种关联特征和预测特征及行为。</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●城镇困难群体模型（新增）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城镇困难群体模型，融合多种城镇困难群体基本特征数据，以年龄性别、健康状况、就业状况、在册信息、人均可支配收入、家庭类型等综合数据耦合，形成城镇困难群体模型，用以分析城镇困难群体各种关联特征和预测特征及行为。</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●技术工人群体模型（新增）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新增技术工人群体模型，融合多种技术工人群体基本特征数据，以年龄性别、受教育程度、职业技能持证人员、职业工种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技术工人年平均工资、行业分布等综合数据耦合，形成技术工人群体模型，用以分析技术工人群体各种关联特征和预测特征及行为。</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●进城务工群体模型（新增）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进城务工群体模型，融合多种进城务工群体基本特征数据，以年龄性别、受教育程度、省外流入来源地、收入分布、行业分布等综合数据耦合，形成进城务工群体模型，用以分析进城务工群体各种关联特征和预测特征及行为。</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●常住人口模型（新增）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常住人口模型，融合多种常住人口基本特征数据，以常住人口变动趋势、常住人口净增趋势、常住人口结构特征、常住人口基本信息、人均寿命和生育率等综合数据耦合，形成常住人口模型，用以分析常住人口各种关联特征和预测特征及行为。</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●流动人口模型（新增）</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新增根据移动信令获取用户轨迹常住地居住地等数据，根据逻辑统计滚动360天常驻情况并对人口流入流出情况就行识别判断，生成浙江省个地市、区县日流入流出及累计流动额度统计。</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2.4.7</w:t>
      </w:r>
      <w:r>
        <w:rPr>
          <w:rFonts w:hint="eastAsia" w:ascii="宋体" w:hAnsi="宋体" w:eastAsia="宋体" w:cs="宋体"/>
          <w:color w:val="auto"/>
          <w:sz w:val="21"/>
          <w:szCs w:val="21"/>
          <w:highlight w:val="none"/>
        </w:rPr>
        <w:t>模型更新及维护</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定期对模型进行更新及维护</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2.5</w:t>
      </w:r>
      <w:r>
        <w:rPr>
          <w:rFonts w:hint="eastAsia" w:ascii="宋体" w:hAnsi="宋体" w:eastAsia="宋体" w:cs="宋体"/>
          <w:color w:val="auto"/>
          <w:sz w:val="21"/>
          <w:szCs w:val="21"/>
          <w:highlight w:val="none"/>
        </w:rPr>
        <w:t>构建共同富裕统计监测数据能力框架（能力输出）</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能力输出主要包括标准API接口模块和数据运营两大部分。其中标准API接口模块主要提供数据、模型、连接三大类共享。数据运营实现数据资产的可持续发展。</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PI接口开发：标准API接口模块中，从API接口创建、审批、授权、监控等方面入手，支持各种类型的API，调用方式支持同步调用，异步调用，消息类，订阅类等。数据模型共享简化不同租户间模型分享移植的过程，实现模型发布后供其它租户申请使用；数据共享实现统一数据服务标准，整合对内/外共享的数据服务；连接共享提供数据虚拟化访问方式，共享数据的连接不共享实际的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数据运营：提供日常任务运行、数据异常排查、数据迁移、批量故障排除等一系列服务，以及支持大数据分析平台使用，dataworks平台使用，pai平台等技术支持，问题解答等。</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2.6</w:t>
      </w:r>
      <w:r>
        <w:rPr>
          <w:rFonts w:hint="eastAsia" w:ascii="宋体" w:hAnsi="宋体" w:eastAsia="宋体" w:cs="宋体"/>
          <w:color w:val="auto"/>
          <w:sz w:val="21"/>
          <w:szCs w:val="21"/>
          <w:highlight w:val="none"/>
        </w:rPr>
        <w:t>迭代优化共同富裕监测已有场景（能力展示）</w:t>
      </w:r>
    </w:p>
    <w:p>
      <w:pPr>
        <w:pageBreakBefore w:val="0"/>
        <w:numPr>
          <w:ilvl w:val="0"/>
          <w:numId w:val="0"/>
        </w:numPr>
        <w:kinsoku/>
        <w:overflowPunct/>
        <w:topLinePunct w:val="0"/>
        <w:autoSpaceDE/>
        <w:autoSpaceDN/>
        <w:bidi w:val="0"/>
        <w:spacing w:line="360" w:lineRule="auto"/>
        <w:ind w:leftChars="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2.6.1</w:t>
      </w:r>
      <w:r>
        <w:rPr>
          <w:rFonts w:hint="eastAsia" w:ascii="宋体" w:hAnsi="宋体" w:eastAsia="宋体" w:cs="宋体"/>
          <w:color w:val="auto"/>
          <w:sz w:val="21"/>
          <w:szCs w:val="21"/>
          <w:highlight w:val="none"/>
        </w:rPr>
        <w:t>驾驶舱首页优化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驾驶舱首页优化主要包括综合评估组件优化、丰富综合评估组件、二维地图联动综合评估组件三方面内容。</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2.6.1.1</w:t>
      </w:r>
      <w:r>
        <w:rPr>
          <w:rFonts w:hint="eastAsia" w:ascii="宋体" w:hAnsi="宋体" w:eastAsia="宋体" w:cs="宋体"/>
          <w:b w:val="0"/>
          <w:bCs/>
          <w:color w:val="auto"/>
          <w:sz w:val="21"/>
          <w:szCs w:val="21"/>
          <w:highlight w:val="none"/>
        </w:rPr>
        <w:t>综合评估组件优化</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在一期的基础上，完善领导决策驾驶舱，优化城乡差距、地区差距、收入差距等三大评估组件。通过折柱图方式呈现时序情况，并与全国维度进行对比分析，支持区分省市两级维度，采用省级维度可展示浙江省和全国的对比数据，采用地市维度可展示省级和地市的对比数据，同时支持区分“季度趋势”和“年趋势”展示不同周期的城乡差距统计数据。</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2.6.1.2</w:t>
      </w:r>
      <w:r>
        <w:rPr>
          <w:rFonts w:hint="eastAsia" w:ascii="宋体" w:hAnsi="宋体" w:eastAsia="宋体" w:cs="宋体"/>
          <w:b w:val="0"/>
          <w:bCs/>
          <w:color w:val="auto"/>
          <w:sz w:val="21"/>
          <w:szCs w:val="21"/>
          <w:highlight w:val="none"/>
        </w:rPr>
        <w:t>丰富综合评估组件</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进一步完善领导决策驾驶舱的综合评估维度，补充物质富裕相关的三项指标，分别为GDP增速、居民可支配收入增速、家庭可支配收入占比，并通过折柱图的方式呈现2015年至2021年历年的GDP增速比指标、居民可支配收入增速指标和家庭可支配收入占比指标的变化趋势情况，可有效反映居民物质富裕情况。</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2.6.1.3</w:t>
      </w:r>
      <w:r>
        <w:rPr>
          <w:rFonts w:hint="eastAsia" w:ascii="宋体" w:hAnsi="宋体" w:eastAsia="宋体" w:cs="宋体"/>
          <w:b w:val="0"/>
          <w:bCs/>
          <w:color w:val="auto"/>
          <w:sz w:val="21"/>
          <w:szCs w:val="21"/>
          <w:highlight w:val="none"/>
        </w:rPr>
        <w:t>二维地图联动综合评估组件</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完善地图展示省级及11个地市满意度，包括共同富裕“四感”满意度和“法治浙江、美丽浙江”满意度，反映物质富裕和精神富裕。呈现方式：</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●指标总览</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支持展示法制浙江、美丽浙江满意度总指标</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●收入趋势</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支持按时间轴滚动展示浙江省和全国各省的城镇居民收入和农村居民收入对比数据。</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●共富评价</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rPr>
        <w:t>通过二维地图展示11个地市共富评价的指标，并用不同颜色区分“良好”和“优秀”以反映各地市指标达成情况。</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●居民收入</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通过二维地图展示11个地市及区县居民收入数据，将统计数据按25%的比例，根据四种颜色对11个地市进行分档，反映11个地市居民收入差异。</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●城乡差距</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通过二维地图展示11个地市及区县收入差距数据，将统计数据按25%的比例，根据四种颜色进行分档。</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2.6.2</w:t>
      </w:r>
      <w:r>
        <w:rPr>
          <w:rFonts w:hint="eastAsia" w:ascii="宋体" w:hAnsi="宋体" w:eastAsia="宋体" w:cs="宋体"/>
          <w:b w:val="0"/>
          <w:bCs/>
          <w:color w:val="auto"/>
          <w:sz w:val="21"/>
          <w:szCs w:val="21"/>
          <w:highlight w:val="none"/>
        </w:rPr>
        <w:t>七个先行示范监测优化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将七个先行示范监测划分为三大模块，分别为目标监测、战略管理、经济运行监测。优化目标监测模块和战略管理模块以及新增经济运行监测模块。</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2.6.2.1</w:t>
      </w:r>
      <w:r>
        <w:rPr>
          <w:rFonts w:hint="eastAsia" w:ascii="宋体" w:hAnsi="宋体" w:eastAsia="宋体" w:cs="宋体"/>
          <w:b w:val="0"/>
          <w:bCs/>
          <w:color w:val="auto"/>
          <w:sz w:val="21"/>
          <w:szCs w:val="21"/>
          <w:highlight w:val="none"/>
        </w:rPr>
        <w:t>目标监测</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省市两级维度既能了解全省7大核心指标历年变化趋势，又能横向对比各地市指标变化情况。同时综合评估应用，进入对应三级屏，进一步展示全省市7大指标完成具体情况并支持按距离2025年目标值的完成进度数据，进行全省排名。</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●省级综合评估</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省级综合评估，进一步展示全省类别、指标、单位、年份、2025年目标以及完成进度等7大指标完成具体情况并支持按距离2025年目标值的完成进度数据，进行全省排名。并支持按照地区、类型、指标等条件进行查询筛选，对筛选结果支持翻页查看；</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●市级综合评估</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以市级综合评估，展现地市类别、指标、单位、指标值、指标排序以及各市最大、最小值灯光7大指标完成具体情况。并支持按照地区、年份、类型、指标等条件进行查询筛选，对筛选结果支持翻页查看；</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2.6.2.2</w:t>
      </w:r>
      <w:r>
        <w:rPr>
          <w:rFonts w:hint="eastAsia" w:ascii="宋体" w:hAnsi="宋体" w:eastAsia="宋体" w:cs="宋体"/>
          <w:b w:val="0"/>
          <w:bCs/>
          <w:color w:val="auto"/>
          <w:sz w:val="21"/>
          <w:szCs w:val="21"/>
          <w:highlight w:val="none"/>
        </w:rPr>
        <w:t>战略管理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战略管理应用，进入三级屏，展示GDP、人均GDP、研发费用占GDP比重、城镇化率、总人口五大指标，通过接入国际和国内各省数据，实现与其他国家和国内各省数据进行联动，呈现与其他国家、国内各省历年趋势对比和指标差值。</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2.6.2.3</w:t>
      </w:r>
      <w:r>
        <w:rPr>
          <w:rFonts w:hint="eastAsia" w:ascii="宋体" w:hAnsi="宋体" w:eastAsia="宋体" w:cs="宋体"/>
          <w:b w:val="0"/>
          <w:bCs/>
          <w:color w:val="auto"/>
          <w:sz w:val="21"/>
          <w:szCs w:val="21"/>
          <w:highlight w:val="none"/>
        </w:rPr>
        <w:t>详细指标</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●经济高质量</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人均生产总值、全员劳动生产率、单位GDP能耗、单位GDP碳排放量、单位GDP建设用地使用面积、规上工业亩均税收、高技术制造业增加值占规上工业比重、居民人均可支配收入、居民人均消费支出、数字经济增加值占GDP比重、数字经济核心产业增加值占GDP比重、R&amp;D经费支出占GDP比重）。</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历年数据统计各地市（人均生产总值、全员劳动生产率、单位GDP能耗、单位GDP碳排放量、单位GDP建设用地使用面积、规上工业亩均税收、高技术制造业增加值占规上工业比重、居民人均可支配收入、居民人均消费支出、数字经济核心产业增加值占GDP比重、R&amp;D经费支出占GDP比重）变化趋势。</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●收入分配</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优化历年数据图表展示并新增2025年目标值数据（劳动报酬占GDP比重、各地市劳动报酬占GDP比重、城镇调整失业率，居民人均可支配收入与人均GDP之比、各地市居民人均可支配收入与人均GDP之比）。</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通过历年数据统计各地市（劳动报酬占GDP比重、居民人均可支配收入与人均GDP之比、各地市居民人均可支配收入与人均GDP之比）变化趋势。</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●公共服务</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每千人口拥有婴儿照护设施托位数、每千人口拥有执业（助理）医师数、每万人老年人口拥有持证养老护理员数、普惠性幼儿园占比、儿童平均预期受教育年限、高等教育毛入学率、技能人才占从业人员比重、人均预期寿命 、城镇保障性住房人群覆盖率、最低生活保障标准）。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历年数据统计各地市（每千人口拥有婴儿照护设施托位数、每千人口拥有执业（助理）医师数、每万人老年人口拥有持证养老护理员数、普惠性幼儿园占比、儿童平均预期受教育年限、技能人才占从业人员比重、人均预期寿命 、城镇住房保障受益覆盖率、最低生活保障标准）变化趋势。</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●城乡协调</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城乡居民收入倍差、常住人口城镇化率、地区人均GDP最高最低倍差、地区人均可支配收入最高最低倍差、山区26县居民人均可支配收入与全省平均之比、3个“1小时交通圈”人口覆盖率、城乡公交一体化率）。</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通过历年数据统计各地市（城乡居民收入倍差、常住人口城镇化率、地区人均GDP最高最低倍差、地区人均可支配收入最高最低倍差、3个“1小时交通圈”人口覆盖率、城乡公交一体化率）变化趋势。</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●全域美丽</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设区城市PM2.5平均浓度、县级以上城市公园绿地服务半径覆盖率、分地区展示“各地市地表水达到或好于III类水比例、各地市县级以上城市公园绿化服务半径覆盖率）。</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通过历年数据统计各地市（设区城市PM2.5平均浓度、县级以上城市公园绿地服务半径覆盖率、分地区展示“各地市地表水达到或好于III类水比例、各地市县级以上城市公园绿化服务半径覆盖率）变化趋势。</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●精神文明</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优化历年数据图表展示并新增2025年目标值数据（每万人拥有公共文化设施面积、居民综合阅读率、 文明好习惯养成实现率、社会诚信度、人均文化娱乐消费支出占比、人均体育场地面积、国民体质合格率）。</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通过历年数据统计各地市（每万人拥有公共文化设施面积、居民综合阅读率、 文明好习惯养成实现率、社会诚信度、人均体育场地面积、国民体质合格率）变化趋势。</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●社会治理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优化历年数据图表展示并新增2025年目标值数据（全面从严治党成效度、亿元生成总值生产安全事故死亡率、 万人成讼率、律师万人比）。</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通过历年数据统计各地市全面从严治党成效度、亿元生成总值生产安全事故死亡率、 万人成讼率、律师万人比）变化趋势。</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2.6.2.4</w:t>
      </w:r>
      <w:r>
        <w:rPr>
          <w:rFonts w:hint="eastAsia" w:ascii="宋体" w:hAnsi="宋体" w:eastAsia="宋体" w:cs="宋体"/>
          <w:b w:val="0"/>
          <w:bCs/>
          <w:color w:val="auto"/>
          <w:sz w:val="21"/>
          <w:szCs w:val="21"/>
          <w:highlight w:val="none"/>
        </w:rPr>
        <w:t>经济运行监测</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通过“经济增长与经济效益”、“创业创新与产业升级”、“投资消费与对外经济”、“财政与居民收支”、“要素供给与支撑保障”、“预警与预测”等六个方面进行社会经济指标进行展示。</w:t>
      </w:r>
    </w:p>
    <w:p>
      <w:pPr>
        <w:pStyle w:val="56"/>
        <w:pageBreakBefore w:val="0"/>
        <w:numPr>
          <w:ilvl w:val="0"/>
          <w:numId w:val="0"/>
        </w:numPr>
        <w:kinsoku/>
        <w:overflowPunct/>
        <w:topLinePunct w:val="0"/>
        <w:autoSpaceDE/>
        <w:autoSpaceDN/>
        <w:bidi w:val="0"/>
        <w:spacing w:before="0" w:beforeLines="0" w:after="0" w:afterLines="0"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2.6.3</w:t>
      </w:r>
      <w:r>
        <w:rPr>
          <w:rFonts w:hint="eastAsia" w:ascii="宋体" w:hAnsi="宋体" w:eastAsia="宋体" w:cs="宋体"/>
          <w:color w:val="auto"/>
          <w:sz w:val="21"/>
          <w:szCs w:val="21"/>
          <w:highlight w:val="none"/>
        </w:rPr>
        <w:t>优质公共服务优化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历年数据图表展示并新增2025年目标值数据（每千人拥有3岁以下婴幼儿托位数、3岁以下婴幼儿托育机构覆盖率、居民综合阅读率、儿童预期受教育年限、全省高等教育入学率、人均体育场地、劳动报酬占GDP比重、城镇住房保障收益覆盖率、公办幼儿园在园幼儿占比、每千人口拥有医疗床位、人均基本公共卫生服务经费、人均公共图书馆藏书量、每千名老人拥有社会养老床位、每千人口拥有执业（助理）医生数、养老机构护理型床位占比、城乡居民最低生活保障标准、残疾人专业托养机构覆盖率、地表水达到或优于三类水体比例）变化趋势。</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维地图联动展示11个地市公共服务各类数据，包括幼儿发展服务、公共文化服务、现代教育服务、公共体育服务、就业创业服务、城乡宜居服务、卫生健康服务、幸福养老服务、社会保障服务、生活环境服务等十大类公共服务，并以城乡居民最低生活保障标准进行分类，以“900元以下”、“900-1000元”、“1000元以上”分为三类，以三种颜色展现各地市城乡居民最低生活保障标准对比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对标对表，展现公办幼儿园在园幼儿占比、人均公共图书馆藏书量、每千人口拥有医疗床位、每千名老人拥有社会养老床位、人均基本公共卫生服务经费、每千人拥有执业（助理）医生数等数据指标，以及2025年目标值数据，区分浙江省各地市数据和全国平均水平数据值。</w:t>
      </w:r>
    </w:p>
    <w:p>
      <w:pPr>
        <w:pStyle w:val="4"/>
        <w:pageBreakBefore w:val="0"/>
        <w:numPr>
          <w:ilvl w:val="4"/>
          <w:numId w:val="0"/>
        </w:numPr>
        <w:kinsoku/>
        <w:overflowPunct/>
        <w:topLinePunct w:val="0"/>
        <w:autoSpaceDE/>
        <w:autoSpaceDN/>
        <w:bidi w:val="0"/>
        <w:spacing w:before="0" w:beforeLines="0" w:after="0" w:afterLines="0" w:line="360" w:lineRule="auto"/>
        <w:ind w:leftChars="0" w:firstLine="420" w:firstLineChars="200"/>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 xml:space="preserve">2.6.4 </w:t>
      </w:r>
      <w:r>
        <w:rPr>
          <w:rFonts w:hint="eastAsia" w:ascii="宋体" w:hAnsi="宋体" w:eastAsia="宋体" w:cs="宋体"/>
          <w:b w:val="0"/>
          <w:bCs/>
          <w:color w:val="auto"/>
          <w:sz w:val="21"/>
          <w:szCs w:val="21"/>
          <w:highlight w:val="none"/>
        </w:rPr>
        <w:t>26县统计监测优化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浙江省重点关注的山区26县增加2022年数据，以1-5月、1-7月、1-9月三部分累加的形式展示，不同季度间的数据对比趋势。主要包括GDP增速、三次产业占比、规上工业增加值增速、固定资产投资增速、社会消费品零售总额增速、“四上”民营经济变动、全体居民人均可支配收入变动等。增加列表样式展现26县不同百分比的GDP增速。</w:t>
      </w:r>
    </w:p>
    <w:p>
      <w:pPr>
        <w:pStyle w:val="4"/>
        <w:pageBreakBefore w:val="0"/>
        <w:numPr>
          <w:ilvl w:val="4"/>
          <w:numId w:val="0"/>
        </w:numPr>
        <w:kinsoku/>
        <w:overflowPunct/>
        <w:topLinePunct w:val="0"/>
        <w:autoSpaceDE/>
        <w:autoSpaceDN/>
        <w:bidi w:val="0"/>
        <w:spacing w:before="0" w:beforeLines="0" w:after="0" w:afterLines="0" w:line="360" w:lineRule="auto"/>
        <w:ind w:leftChars="0" w:firstLine="420" w:firstLineChars="200"/>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 xml:space="preserve">2.6.5 </w:t>
      </w:r>
      <w:r>
        <w:rPr>
          <w:rFonts w:hint="eastAsia" w:ascii="宋体" w:hAnsi="宋体" w:eastAsia="宋体" w:cs="宋体"/>
          <w:b w:val="0"/>
          <w:bCs/>
          <w:color w:val="auto"/>
          <w:sz w:val="21"/>
          <w:szCs w:val="21"/>
          <w:highlight w:val="none"/>
        </w:rPr>
        <w:t>1+3重点群体优化</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主要针对就业人员、产业工人、个人工商户、低收入农户群体开展优化，丰富群体精准画像-概览，地图数据新增2022年8月、2022年9月、2022年10月数据更新。</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2.6.4.1</w:t>
      </w:r>
      <w:r>
        <w:rPr>
          <w:rFonts w:hint="eastAsia" w:ascii="宋体" w:hAnsi="宋体" w:eastAsia="宋体" w:cs="宋体"/>
          <w:b w:val="0"/>
          <w:bCs/>
          <w:color w:val="auto"/>
          <w:sz w:val="21"/>
          <w:szCs w:val="21"/>
          <w:highlight w:val="none"/>
        </w:rPr>
        <w:t>就业人员</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的就业人员展示数据，增加地图就业人员数据以省、市、县三级进行区分，并根据地图选中的区县对产业分布数据、产业变化趋势、就业人员历年数据、规上就业人员平均工资变化趋势、规上就业人员年平均工资分区间分布、规上就业人员和年平均工资分行业、规上就业人员和年平均工资分职业进行数据联动，以多种图表展现数据。</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2.6.4.2</w:t>
      </w:r>
      <w:r>
        <w:rPr>
          <w:rFonts w:hint="eastAsia" w:ascii="宋体" w:hAnsi="宋体" w:eastAsia="宋体" w:cs="宋体"/>
          <w:b w:val="0"/>
          <w:bCs/>
          <w:color w:val="auto"/>
          <w:sz w:val="21"/>
          <w:szCs w:val="21"/>
          <w:highlight w:val="none"/>
        </w:rPr>
        <w:t>产业工人</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的产业工人展示数据，增加地图产业工人数据以省、市、县三级进行区分，并根据地图选中的区县进行数据联动。同时依赖大数据手段，将生成目标群体的个人画像特征进行具体分类，以“地区选择”、“行业类型”、“年平均工资分布”三类进行筛选查询。将产业工人行业分为“采矿业”、“制造业”、“电力、热力、燃气及水生产和供应业”、“建筑业”、“交通运输、仓储和邮政业”、“信息传输、软件和信息技术服务业”等六大类，并根据对应的行业进行产业人员数据联动：一、从产业工人年龄、性别、受教育程度、户籍分布等维度分析，展现本行业工人基本情况；二、从全省产业工人险种分布、地区分布情况、行业分布、收入分布，展示全省产业工人收入、行业分布情况。并支持精准画像以“地区选择”的指标进行数据筛选查询以及地图数据联动展示。</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2.6.4.3</w:t>
      </w:r>
      <w:r>
        <w:rPr>
          <w:rFonts w:hint="eastAsia" w:ascii="宋体" w:hAnsi="宋体" w:eastAsia="宋体" w:cs="宋体"/>
          <w:b w:val="0"/>
          <w:bCs/>
          <w:color w:val="auto"/>
          <w:sz w:val="21"/>
          <w:szCs w:val="21"/>
          <w:highlight w:val="none"/>
        </w:rPr>
        <w:t>个体工商户</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的个体工商户展示数据，增加地图个体工商户数据以省、市、县三级进行区分，并根据地图选中的区县进行数据联动。按照全省、地市、区县三个地区维度，对不同收入区间的对象家庭的关键指标新增2022年数据对比分析与展示。</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市场主体的模块，通过对注册注销比、存活率、冲击度、个体户雇工、险种覆盖率、行业分布、支出分布、净利润分布等指标体系，从全省、地市、区县三个地区维度展示个体户与总从业人数的对比分析。同时依赖大数据手段，将生成目标群体的个人画像特征进行具体分类。以“地区选择”、“净利润分布”、“行业”三类进行筛选查询。</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2.6.4.4</w:t>
      </w:r>
      <w:r>
        <w:rPr>
          <w:rFonts w:hint="eastAsia" w:ascii="宋体" w:hAnsi="宋体" w:eastAsia="宋体" w:cs="宋体"/>
          <w:b w:val="0"/>
          <w:bCs/>
          <w:color w:val="auto"/>
          <w:sz w:val="21"/>
          <w:szCs w:val="21"/>
          <w:highlight w:val="none"/>
        </w:rPr>
        <w:t>低收入农户</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一期的低收入农户展示数据，增加地图低收入农户数据以省、市、县三级进行区分，并根据地图选中的区县进行数据联动。以人数和收入的维度对地图展现的各地市的数据进行区分，人数以“&lt;3万人”、“3-6万人”、“6-9万人”、“&gt;9万人”四个维度进行分类，收入以“&lt;15469元”、“15469-17087元”、“17087-19394元”、“&gt;19394元”四个维度进行分类，展现各地市和26县的低收入农户人数以及户数。同时优化各种画像特征，通过对低收入农户的地区选择、就业情况、劳动能力、有需陪护人员、收入等做画像分析最终以展示低收入农户的家庭基本情况、住房、收入构成、家庭成员等各种画像特征。同时更新2022年8-10月份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新增辅助检测、帮扶重点人群、脱低潜在人群等三大模块，提升低收入农户群体的数据分析能力。</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●辅助检测</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情况模块，通过对低收入农户的年龄、性别、健康情况、就业情况（从业、灵活就业、在校生、未就业、其他）、建模预测人均可支配收入、监测记账人均收入、从业情况等多重指标统计全省和各地市的低收入农户数量、户数以及贫困等级人数（特困、低边、低保），并以省、市、县三个维度进行数据联动。</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支对比模块，通过对低收入农户的贫困类别（特困、低边、低保）、人均补助金额及结构、建模收入与监测收入对比、记账人均收入及结构等多重指标统计低收入农户的低保总发放、特困总发放、临时救助、农村居民最低生活保障资金以及各类低收入农户收入来源方式，并以省、市、县三个维度进行数据联动，并更新2022年8月-10月的样本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详情模块，通过大数据模型预测低收入农户的姓名、家庭关系、保障类型、从业情况、教育情况、家庭基本情况、最近12月收入数据与监测样本数据进行比对，提高大数据预测模型的准确性，同时支持通过查询个人姓名、身份证、户号等数据展现应用库存在的低收入农户的样本数据。</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●帮扶重点人群</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低收入农户的年龄、性别、健康情况、就业情况（从业、灵活就业、在校生、未就业、其他）、户数占比、收入水平、人均可支配收入、有需陪护人员家庭情况、劳动力情况和户内在校生等多重指标统计全省和各地市的低收入农户数量、户数以及贫困等级人数（特困、低边、低保），并以省、市、县三个维度进行数据联动，并更新2022年8月-10月的样本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同时通过对帮扶重点人群的地区分布、就业情况、劳动能力、有需陪护人员、收入等做画像分析最终以展示帮扶重点人群的精准画像特征。</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●脱低潜在人群</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脱低潜在人群的年龄、性别、健康情况、就业情况（从业、灵活就业、在校生、未就业、其他）、户数占比、收入水平、人均可支配收入、有需陪护人员家庭情况、劳动力情况和户内在校生等多重指标统计全省和各地市的低收入农户数量、户数以及贫困等级人数（特困、低边、低保），并以省、市、县三个维度进行数据联动，并更新2022年8月-10月的样本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同时通过对帮扶重点人群的地区分布、就业情况、劳动能力、有需陪护人员、收入等做画像分析最终以展示帮扶重点人群的精准画像特征。</w:t>
      </w:r>
    </w:p>
    <w:p>
      <w:pPr>
        <w:pStyle w:val="4"/>
        <w:pageBreakBefore w:val="0"/>
        <w:numPr>
          <w:ilvl w:val="4"/>
          <w:numId w:val="0"/>
        </w:numPr>
        <w:kinsoku/>
        <w:overflowPunct/>
        <w:topLinePunct w:val="0"/>
        <w:autoSpaceDE/>
        <w:autoSpaceDN/>
        <w:bidi w:val="0"/>
        <w:spacing w:before="0" w:beforeLines="0" w:after="0" w:afterLines="0" w:line="360" w:lineRule="auto"/>
        <w:ind w:firstLine="420" w:firstLineChars="200"/>
        <w:outlineLvl w:val="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rPr>
        <w:t>2.7</w:t>
      </w:r>
      <w:r>
        <w:rPr>
          <w:rFonts w:hint="eastAsia" w:ascii="宋体" w:hAnsi="宋体" w:eastAsia="宋体" w:cs="宋体"/>
          <w:b w:val="0"/>
          <w:bCs/>
          <w:color w:val="auto"/>
          <w:sz w:val="21"/>
          <w:szCs w:val="21"/>
          <w:highlight w:val="none"/>
        </w:rPr>
        <w:t>建设6类“扩中”“提低”重点群体的精准画像模块（能力展示）</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包括进城务工人员、科研人员、新就业形态从业人员、高校毕业生、城镇困难群体和技术工人模型和监测模块。</w:t>
      </w:r>
    </w:p>
    <w:p>
      <w:pPr>
        <w:pStyle w:val="49"/>
        <w:pageBreakBefore w:val="0"/>
        <w:numPr>
          <w:ilvl w:val="0"/>
          <w:numId w:val="0"/>
        </w:numPr>
        <w:kinsoku/>
        <w:overflowPunct/>
        <w:topLinePunct w:val="0"/>
        <w:autoSpaceDE/>
        <w:autoSpaceDN/>
        <w:bidi w:val="0"/>
        <w:spacing w:line="360" w:lineRule="auto"/>
        <w:ind w:leftChars="0" w:firstLine="64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2.7.1</w:t>
      </w:r>
      <w:r>
        <w:rPr>
          <w:rFonts w:hint="eastAsia" w:ascii="宋体" w:hAnsi="宋体" w:eastAsia="宋体" w:cs="宋体"/>
          <w:bCs/>
          <w:color w:val="auto"/>
          <w:sz w:val="21"/>
          <w:szCs w:val="21"/>
          <w:highlight w:val="none"/>
        </w:rPr>
        <w:t>进城务工人员</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通过统计全省进城务工人员按年龄、性别、受教育程度、行业分布、收入分布的人数、省外人员占比、省外流入地分布及外来务工人员占就业人员比重以柱状图、列表图、环形图、折线图等多种图表表达方式分析了解全省及地市进城务工人员基本情况。</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是通过全省“非本省籍”或“省内非本地区籍”指标统计，并通过，根据四种颜色省、市、区三类对进城务工人员数量进行分档，反映各地市区县以及省外进城务工人员数量流入流出的情况。对进城务工人员数量进行省外流入占比、省内跨县占比进行分类统计。</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三是针对5类行业进行进城务工人员人数统计，分别为制造业工人、建筑业工人、快递、骑手、网约车人数。</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四是通过对行业分布、收入分布、险种分布、户籍分布、年龄性别分布、受教育程度分布、省外流入地分布多维人群画像分析最终呈现进城务工人员精准画像。</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2.7.2</w:t>
      </w:r>
      <w:r>
        <w:rPr>
          <w:rFonts w:hint="eastAsia" w:ascii="宋体" w:hAnsi="宋体" w:eastAsia="宋体" w:cs="宋体"/>
          <w:bCs/>
          <w:color w:val="auto"/>
          <w:sz w:val="21"/>
          <w:szCs w:val="21"/>
          <w:highlight w:val="none"/>
        </w:rPr>
        <w:t>科研人员</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科研人员年龄性别、受教育程度，户籍、专业技术职称、收入分布、行业分别、人员类型等多种维度以柱状图、列表图、环形图、折线图等多种图表表达方式统计全省和各地市科研人员数量和不同类型占比。通过对科研人员类型高等院校、研究机构、企业、医院分类统计人员数量，并分析不同年龄、性别、户籍、受教育程度的人数及占比；对科研人员按户籍、职称、人群、行业进行分组统计人员数量；根据不同科研人员类型、不同分组维度进行科研人员收入分析；</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通过对科研人员年龄性别比例、受教育程度分布、户籍分布、个人资产、收入分布、工作年限、专业技术职称、人员类型、行业分布、企业类型等做画像分析最终以展示科研人员的画像特征。支持省、市、区县三级数据联动。</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籍分布模块，支持展现省外科研人员数据，以地区分组划为浙江省11个地市、受教育程度划分为“高中及以下、大专、本科、研究生、博士”等五大类、以及按人群分组、行业分布、专业技术职称等划分标准，重点对比省内外科研人员的信息数据和差异。支持省、市、区县三级数据联动。</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类型模块，通过对高等院校的科研人员年龄性别、受教育程度分布、户籍分布、工资收入分布、专业技术职称、院校分布、院校类型统计高等院校分类的科研人员多维度的统计分析。支持省、市、区县三级数据联动。</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同时补充更新2022年2季度、3季度科研人员基础数据。</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2.7.3</w:t>
      </w:r>
      <w:r>
        <w:rPr>
          <w:rFonts w:hint="eastAsia" w:ascii="宋体" w:hAnsi="宋体" w:eastAsia="宋体" w:cs="宋体"/>
          <w:bCs/>
          <w:color w:val="auto"/>
          <w:sz w:val="21"/>
          <w:szCs w:val="21"/>
          <w:highlight w:val="none"/>
        </w:rPr>
        <w:t>新就业形态从业人员</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通过统计全省年龄/性别、受教育程度、户籍分布、用工时长、工作年限、月收入分布等标签以柱状图、列表图、环形图、折线图等多种图表表达方式分析新就业形态从业人员地区分布及基本信息。同时，支持按照省、市、区县三个维度进行各指标标签的数据联动，展现精确的区位数据信息，并实时更新最新账期的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是选取市场主流快递、骑手、网约客车、网约货车四种新就业形态行业，从年龄性别、受教育程度、户籍分布、险种分布、月收入分布、月租费用、岗位工种、用工时长、工作年限人群画像维度进行分析展示新就业形态人群特征，并展示不同行业从业人员分布情况及变化趋势。</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三是对不同省、市、区县进行四种颜色标记各维度的新形态就业人数数量，并实时更新最新账期数据。支持对选中的区域数据进行着重展现。</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2.7.4</w:t>
      </w:r>
      <w:r>
        <w:rPr>
          <w:rFonts w:hint="eastAsia" w:ascii="宋体" w:hAnsi="宋体" w:eastAsia="宋体" w:cs="宋体"/>
          <w:bCs/>
          <w:color w:val="auto"/>
          <w:sz w:val="21"/>
          <w:szCs w:val="21"/>
          <w:highlight w:val="none"/>
        </w:rPr>
        <w:t>高校毕业生</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统计全省历年毕业生总人数及毕业生性别分布、学历分布、籍贯分布、院校类型分布、行业分布占比及历年毕业生收入趋势，并以柱状图、列表图、环形图、折线图等多种图表表达方式展现。同时，支持按照省、市、区县三个维度进行各指标标签的数据联动，展现精确的区位数据信息，并实时更新最新账期的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是统计全省毕业生家庭平均人口数、标准家庭收入情况、汽车保有量、结婚率、人均住房面积等以柱状图、列表图、环形图、折线图等多种图表表达方式多维度分析毕业生家庭差异情况。同时，支持按照省、市、区县三个维度进行各指标标签的数据联动，展现精确的区位数据信息，并实时更新最新账期的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三是统计全省毕业生学历分布、户籍分布、行业分布、职业分布、历年毕业高校收入趋势、院校类型、专业类型多维画像分析最终呈现高校毕业生画像特征。</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四是统计全省高校毕业生个人详情，展示高校毕业生家庭收入、家庭汽车情况、成员数、住房面积、就业人数、毕业院校、学历、专业、行业、职业、工资、跳槽频次、家庭成员信息。</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五是对不同省、市、区县进行四种颜色标记各维度的高校毕业生人数数量，并实时更新最新账期数据。支持对选中的区域数据进行着重展现。</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2.7.5</w:t>
      </w:r>
      <w:r>
        <w:rPr>
          <w:rFonts w:hint="eastAsia" w:ascii="宋体" w:hAnsi="宋体" w:eastAsia="宋体" w:cs="宋体"/>
          <w:bCs/>
          <w:color w:val="auto"/>
          <w:sz w:val="21"/>
          <w:szCs w:val="21"/>
          <w:highlight w:val="none"/>
        </w:rPr>
        <w:t>城镇困难群体</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通过统计全省城镇困难群体户数和收入数据，筛选群体年龄/性别、健康情况、就业情况、在册信息、人均可支配收入、家庭类型、有需陪护人员家庭情况等大数据维度，以柱状图、列表图、环形图、折线图等多种图表表达方式展现城镇困难群体样本数据。同时，支持按照省、市、区县三个维度进行各指标标签的数据联动，展现精确的区位数据信息，并实时更新最新账期的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二是通过地区选择、收入分类、以及多种特征指标多维画像分析最终呈现城镇困难群体年龄性别、健康情况、就业状况、在册信息、人均可支配收入、家庭类型等多种画像特征，并更新最新账期数据。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三是对不同省、市、区县进行四种颜色标记各维度的城镇困难群体人数数量，并实时更新最新账期数据。支持对选中的区域数据进行着重展现。</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2.7.6</w:t>
      </w:r>
      <w:r>
        <w:rPr>
          <w:rFonts w:hint="eastAsia" w:ascii="宋体" w:hAnsi="宋体" w:eastAsia="宋体" w:cs="宋体"/>
          <w:bCs/>
          <w:color w:val="auto"/>
          <w:sz w:val="21"/>
          <w:szCs w:val="21"/>
          <w:highlight w:val="none"/>
        </w:rPr>
        <w:t>技术工人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通过统计全省技术工人人数，年龄/性别、受教育程度、职业工种了解全省技术工人基本情况结合柱状图、列表图、环形图、折线图等多种图表表达方式，同时展示技术工人变化趋势、等级分布、家行业分布、年平均工资区间分布分析。同时，支持按照省、市、区县三个维度进行各指标标签的数据联动，展现精确的区位数据信息，并实时更新最新账期的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支持以地区选择、行业分布、年平均工资分布等多维画像分析最终呈现技术工人职业技能持证人员年龄性别、受教育程度、户籍分布、险种分布、等级分布、行业分布、年平均工资区间分布等多种画像特征，并更新最新账期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三是对不同省、市、区县进行四种颜色标记各维度的技术工人人数数量，并实时更新最新账期数据。支持对选中的区域数据进行着重展现。</w:t>
      </w:r>
    </w:p>
    <w:p>
      <w:pPr>
        <w:pStyle w:val="49"/>
        <w:pageBreakBefore w:val="0"/>
        <w:numPr>
          <w:ilvl w:val="0"/>
          <w:numId w:val="0"/>
        </w:numPr>
        <w:kinsoku/>
        <w:overflowPunct/>
        <w:topLinePunct w:val="0"/>
        <w:autoSpaceDE/>
        <w:autoSpaceDN/>
        <w:bidi w:val="0"/>
        <w:spacing w:line="360" w:lineRule="auto"/>
        <w:ind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2.8</w:t>
      </w:r>
      <w:r>
        <w:rPr>
          <w:rFonts w:hint="eastAsia" w:ascii="宋体" w:hAnsi="宋体" w:eastAsia="宋体" w:cs="宋体"/>
          <w:bCs/>
          <w:color w:val="auto"/>
          <w:sz w:val="21"/>
          <w:szCs w:val="21"/>
          <w:highlight w:val="none"/>
        </w:rPr>
        <w:t>建设5个专业的企业精准画像模块（能力展示）</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主要包括企业精准画像，贸易、服务业、工业、房地产业和建筑业专业精准画像模型和监测模块。</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2.8.1</w:t>
      </w:r>
      <w:r>
        <w:rPr>
          <w:rFonts w:hint="eastAsia" w:ascii="宋体" w:hAnsi="宋体" w:eastAsia="宋体" w:cs="宋体"/>
          <w:bCs/>
          <w:color w:val="auto"/>
          <w:sz w:val="21"/>
          <w:szCs w:val="21"/>
          <w:highlight w:val="none"/>
        </w:rPr>
        <w:t>企业概览</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支持展现全省基础企业信息、企业个数（包括全部企业数、营业收入、从业人员）、规上企业数（包括全部企业数、营业收入、从业人员）、民营企业个数（包括全部企业数、营业收入、从业人员）、企业规模（大型企业、中型企业、小微企业）、行业类型以及企业登记注册信息，以柱状图、列表图、环形图、折线图等多种图表形式展现，同时，支持按照省、市、区县三个维度进行各指标标签的数据联动，展现精确的区位数据信息，并实时更新最新账期的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二是支持重点展现各大类的企业类型，并支持快速导航定位对应企业类型的目录。对不同省、市、区县进行四种颜色标记各维度的企业数量，并实时更新最新账期数据。支持对选中的区域数据进行着重展现。</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展现特色企业类型，以世界500强企业、民营500强企业、全省百强企业、营收500强企业、境内上市企业、高技术产业、数字经济核心产业、质量竞争型产业、专精特新企业、出口型企业等作为分类展现各类符合类型的企业数量。支持列表查询，以单位名称、信用码、所在地区划代码、详细地址、开业时间、法人代表、主要业务活动、行业代码、登记注册类型、企业控股情况作为分类指标，展现企业信息。</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支持以省、市、区县等地域维度、标签选择、企业类别、机构类型、平均工资等级、研发投入强度、企业规模、企业控股情况、企业名称、行业代码、业务活动、营业收入、从业人员、等多类指标进行企业的精准画像筛查，展现符合标准的企业个数城市分布以及行业分布、汇总数据的营业收入和从业人员以及所有企业列表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五支持精准画像指标的动态范围扩展，以地图缩放的方式实时筛选企业信息。支持在地图选择地区或框选圈区域，包括长方形绘制方式、圆形绘制方式调整地图区域大小。支持对</w:t>
      </w:r>
      <w:r>
        <w:rPr>
          <w:rFonts w:hint="eastAsia" w:eastAsia="宋体" w:cs="宋体"/>
          <w:color w:val="auto"/>
          <w:sz w:val="21"/>
          <w:szCs w:val="21"/>
          <w:highlight w:val="none"/>
          <w:lang w:eastAsia="zh-CN"/>
        </w:rPr>
        <w:t>地图</w:t>
      </w:r>
      <w:r>
        <w:rPr>
          <w:rFonts w:hint="eastAsia" w:ascii="宋体" w:hAnsi="宋体" w:eastAsia="宋体" w:cs="宋体"/>
          <w:color w:val="auto"/>
          <w:sz w:val="21"/>
          <w:szCs w:val="21"/>
          <w:highlight w:val="none"/>
        </w:rPr>
        <w:t>的裁剪、编辑、删除等功能。</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2.8.2</w:t>
      </w:r>
      <w:r>
        <w:rPr>
          <w:rFonts w:hint="eastAsia" w:ascii="宋体" w:hAnsi="宋体" w:eastAsia="宋体" w:cs="宋体"/>
          <w:bCs/>
          <w:color w:val="auto"/>
          <w:sz w:val="21"/>
          <w:szCs w:val="21"/>
          <w:highlight w:val="none"/>
        </w:rPr>
        <w:t>企业-贸易</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是通过企业单位基本情况数据，包括单位数变化情况（全部、限上、限下）、分行业单位变化情况（批发、零售、住宿、餐饮）、营业收入及增速（批发、零售、住宿、餐饮）统计批发、零售、住宿、餐饮这四大类行业的数量以及收入的数据变化趋势。统计最新12个月份数据，并实时更新最新账期的数据。</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是展现特色餐饮数据信息，以特色餐饮单位数变化、特色餐饮分行业小类单位分布情况、限上特色餐饮单位营收收入情况结合柱状图、列表图、环形图、折线图等多种图表形式输出特色餐饮的数量以及收入的数据变化趋势。同时对特色餐饮分行业小类单位分布情况进行分类，以茶馆服务、咖啡馆服务、酒吧服务、其他饮料及冷饮为分类，展现最新12月份的单位数量，支持展现贸易商家列表名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是对不同省、市、区县进行四种颜色标记各维度的贸易企业数量，并实时更新最新账期数据。支持对选中的区域数据进行着重展现。同时，支持按照省、市、区县三个维度进行各指标标签的数据联动，展现精确的区位数据信息，并实时更新最新账期的数据。支持按照批发、零售、住宿、餐饮进行全部企业以及限上企业数量统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是展现特色餐饮、亿元以上商品交易市场、城市商业综合体、限上绿色消费(法人)、民宿五大贸易板块大类数据，将各市、各区县进行数据联动展示，结合特色餐饮单位数变化、特色餐饮分行业小类单位分布情况、限上特色餐饮单位营收收入情况统计图表展现企业行业和收支趋势分析。</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2.8.3</w:t>
      </w:r>
      <w:r>
        <w:rPr>
          <w:rFonts w:hint="eastAsia" w:ascii="宋体" w:hAnsi="宋体" w:eastAsia="宋体" w:cs="宋体"/>
          <w:bCs/>
          <w:color w:val="auto"/>
          <w:sz w:val="21"/>
          <w:szCs w:val="21"/>
          <w:highlight w:val="none"/>
        </w:rPr>
        <w:t>企业-服务业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结合柱状图、列表图、环形图、折线图等多种图表形式展示“企业数”（全部企业数和规模以上企业）、“分行业情况”（全部企业数和规模以上企业）和“规上服务业企业营收”，并以3D地图形式展示各地区的“全部单位数”、“规上企业数”、“规上企业营收”和“规上营业收入增速” 。同时，支持按照省、市、区县三个维度进行各指标标签的数据联动，展现精确的区位数据信息，并实时更新最新账期的数据。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二展现不同企业类型展示不同指标数据：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●高技术企业</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高技术企业主要效益指标、高技术企业营收收入、高技术企业列表。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●阿里系企业：</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阿里系企业主要效益指标、阿里系企业营收收入、阿里系</w:t>
      </w:r>
      <w:r>
        <w:rPr>
          <w:rFonts w:hint="eastAsia" w:eastAsia="宋体" w:cs="宋体"/>
          <w:color w:val="auto"/>
          <w:sz w:val="21"/>
          <w:szCs w:val="21"/>
          <w:highlight w:val="none"/>
          <w:lang w:eastAsia="zh-CN"/>
        </w:rPr>
        <w:t>企业</w:t>
      </w:r>
      <w:r>
        <w:rPr>
          <w:rFonts w:hint="eastAsia" w:ascii="宋体" w:hAnsi="宋体" w:eastAsia="宋体" w:cs="宋体"/>
          <w:color w:val="auto"/>
          <w:sz w:val="21"/>
          <w:szCs w:val="21"/>
          <w:highlight w:val="none"/>
        </w:rPr>
        <w:t>列表。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●营收100强企业</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营收100强企业、营收100强企业营收收入、营收100强企业列表。</w:t>
      </w:r>
    </w:p>
    <w:p>
      <w:pPr>
        <w:pStyle w:val="56"/>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三支持对不同省、市、区县进行四种颜色标记各维度的企业服务业数量，并实时更新最新账期数据。支持对选中的区域数据进行着重展现。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通过对企业服务业地区选择、行业类型、特色标签、平均工资等级、研发投入强度、企业控股情况、企业规模、企业名称、行业代码、业务活动、营业收入等多重维度做画像分析最终以展示服务业的画像特征，并支持省、市、区县三级数据联动。细分通过精准画像筛选后的企业服务业信息，企业研发费用占比、营业利润率、劳动生产率、营收增长率、税金占营收、平均工资等六大类，以雷达图的方式进行综合展现。</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2.8.4</w:t>
      </w:r>
      <w:r>
        <w:rPr>
          <w:rFonts w:hint="eastAsia" w:ascii="宋体" w:hAnsi="宋体" w:eastAsia="宋体" w:cs="宋体"/>
          <w:bCs/>
          <w:color w:val="auto"/>
          <w:sz w:val="21"/>
          <w:szCs w:val="21"/>
          <w:highlight w:val="none"/>
        </w:rPr>
        <w:t>企业-工业</w:t>
      </w:r>
    </w:p>
    <w:p>
      <w:pPr>
        <w:pStyle w:val="56"/>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结合柱状图、列表图、环形图、折线图等多种图表形式展示工业概况信息（包括企业数、战新企业、大中型企业、数字经济企业、专精特新企业、国有及国有控股企业、盈利企业、高技术企业、民营企业等数量）、各类工业（总产值、增加值、营业收入、销售产值、出口交货值、利润总额、税金总额、新产品产值）、分行业规模以上工业情况，同时，支持按照省、市、区县三个维度进行各指标标签的数据联动，展现精确的区位数据信息，并实时更新最新账期的数据。</w:t>
      </w:r>
    </w:p>
    <w:p>
      <w:pPr>
        <w:pStyle w:val="56"/>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支持展示规上工业情况八大产业、轻重工业、企业规模、十大工业部门、十大工业行业、产业升级的总产值、新产品产值、销售产值、出口交货值、利润总额、税金总额等多维度企业工业数据。支持展现企业生产情况列表数据，包括国有及国有控股企业、民营企业的生产情况和效益情况数据。支持展现企业工业的名称列表，以及企业的资产总计、营业收入、利润总额、税金总额数据。</w:t>
      </w:r>
    </w:p>
    <w:p>
      <w:pPr>
        <w:pStyle w:val="56"/>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三展现 “42个工业大县主要指标排序”、“26个山区县工业主要指标排序”等模块，同时联动工业概况、分行业规模以上工业情况、规上工业情况、企业生产情况、企业列表数据以及全省、市、区县数据。“企业健康诊断”模块进行外部接口链接，展现企业健康相关数据。“全国主要省份工业经济指标”展现各省工业利润总额和出口交货值数据。</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2.8.5</w:t>
      </w:r>
      <w:r>
        <w:rPr>
          <w:rFonts w:hint="eastAsia" w:ascii="宋体" w:hAnsi="宋体" w:eastAsia="宋体" w:cs="宋体"/>
          <w:bCs/>
          <w:color w:val="auto"/>
          <w:sz w:val="21"/>
          <w:szCs w:val="21"/>
          <w:highlight w:val="none"/>
        </w:rPr>
        <w:t>企业-房地产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通过对房开企业和开发项目数量、房开企业财务状况（商品房销售收入、资产总计、利润总额）、从业人员和纳税情况（从业人员期末数量、应交增值税）、企业资质、房开企业效益情况（利润率、负债率）等多重指标统计全省和各地市的全部企业以及有开发经营的房开企业数量，结合柱状图、列表图、环形图、折线图等多种图表形式展现房地产企业信息。同时，支持按照省、市、区县三个维度进行各指标标签的数据联动，展现精确的区位数据信息，并实时更新最新账期的数据。</w:t>
      </w:r>
    </w:p>
    <w:p>
      <w:pPr>
        <w:pStyle w:val="56"/>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二对不同省、市、区县全部单位数、项目数量、商品房销售收入进行四种颜色标记各维度的房地产企业数据，并实时更新最新账期数据。支持对选中的区域数据进行着重展现。</w:t>
      </w:r>
    </w:p>
    <w:p>
      <w:pPr>
        <w:pStyle w:val="56"/>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三展现“一级资质”、“销售TOP100”、“资产TOP100”等三个模块分别展示对应企业类型具体企业信息。</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2.8.6</w:t>
      </w:r>
      <w:r>
        <w:rPr>
          <w:rFonts w:hint="eastAsia" w:ascii="宋体" w:hAnsi="宋体" w:eastAsia="宋体" w:cs="宋体"/>
          <w:bCs/>
          <w:color w:val="auto"/>
          <w:sz w:val="21"/>
          <w:szCs w:val="21"/>
          <w:highlight w:val="none"/>
        </w:rPr>
        <w:t>企业-建筑业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资质企业数、建筑业总产值、新签合同额、营业收入”维度等结合柱状图、列表图、环形图、折线图等多种图表形式展示企业对应指标，按时间维度，“年度或季度”进行切换不同时间粒度数据。同时，支持按照省、市、区县三个维度进行各指标标签的数据联动，展现精确的区位数据信息，并实时更新最新账期的数据。</w:t>
      </w:r>
    </w:p>
    <w:p>
      <w:pPr>
        <w:pStyle w:val="56"/>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二对不同省、市、区县资企业数、建筑业总产值、新签合同额、营业收入进行四种颜色标记各维度的房地产企业数据，并实时更新最新账期数据。支持对选中的区域数据进行着重展现。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三展现“特级企业”、“建筑产业现代化示范企业”、“建筑业总产值TOP100”等三个模块分别展示对应建筑业类型具体企业信息。对主要效益指标、总产值、企业列表等数据进行联动展示。支持对应企业类别的企业列表数据，以酒店单位详细名称、地区、主要业务活动、注册地址、网址多个指标进行列表数据输出。</w:t>
      </w:r>
    </w:p>
    <w:p>
      <w:pPr>
        <w:pStyle w:val="56"/>
        <w:keepNext/>
        <w:keepLines/>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firstLine="420" w:firstLineChars="200"/>
        <w:jc w:val="both"/>
        <w:textAlignment w:val="auto"/>
        <w:outlineLvl w:val="1"/>
        <w:rPr>
          <w:rFonts w:hint="eastAsia" w:ascii="宋体" w:hAnsi="宋体" w:eastAsia="宋体" w:cs="宋体"/>
          <w:b w:val="0"/>
          <w:bCs/>
          <w:color w:val="auto"/>
          <w:kern w:val="2"/>
          <w:sz w:val="21"/>
          <w:szCs w:val="21"/>
          <w:highlight w:val="none"/>
          <w:lang w:val="en-US" w:eastAsia="zh-CN" w:bidi="ar-SA"/>
        </w:rPr>
      </w:pPr>
      <w:bookmarkStart w:id="115" w:name="_Toc3055"/>
      <w:bookmarkStart w:id="116" w:name="_Toc365"/>
      <w:r>
        <w:rPr>
          <w:rFonts w:hint="eastAsia" w:ascii="宋体" w:hAnsi="宋体" w:eastAsia="宋体" w:cs="宋体"/>
          <w:b w:val="0"/>
          <w:bCs/>
          <w:color w:val="auto"/>
          <w:kern w:val="2"/>
          <w:sz w:val="21"/>
          <w:szCs w:val="21"/>
          <w:highlight w:val="none"/>
          <w:lang w:val="en-US" w:eastAsia="zh-CN" w:bidi="ar-SA"/>
        </w:rPr>
        <w:t>3.一体化统计监督（二期）</w:t>
      </w:r>
      <w:bookmarkEnd w:id="115"/>
      <w:bookmarkEnd w:id="116"/>
    </w:p>
    <w:p>
      <w:pPr>
        <w:pStyle w:val="49"/>
        <w:pageBreakBefore w:val="0"/>
        <w:widowControl/>
        <w:numPr>
          <w:ilvl w:val="0"/>
          <w:numId w:val="0"/>
        </w:numPr>
        <w:kinsoku/>
        <w:overflowPunct/>
        <w:topLinePunct w:val="0"/>
        <w:autoSpaceDE/>
        <w:autoSpaceDN/>
        <w:bidi w:val="0"/>
        <w:spacing w:line="360" w:lineRule="auto"/>
        <w:ind w:firstLine="420" w:firstLineChars="200"/>
        <w:jc w:val="left"/>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3.1</w:t>
      </w:r>
      <w:r>
        <w:rPr>
          <w:rFonts w:hint="eastAsia" w:ascii="宋体" w:hAnsi="宋体" w:eastAsia="宋体" w:cs="宋体"/>
          <w:bCs/>
          <w:color w:val="auto"/>
          <w:sz w:val="21"/>
          <w:szCs w:val="21"/>
          <w:highlight w:val="none"/>
        </w:rPr>
        <w:t>网上预警</w:t>
      </w:r>
    </w:p>
    <w:p>
      <w:pPr>
        <w:pStyle w:val="56"/>
        <w:pageBreakBefore w:val="0"/>
        <w:numPr>
          <w:ilvl w:val="0"/>
          <w:numId w:val="0"/>
        </w:numPr>
        <w:kinsoku/>
        <w:overflowPunct/>
        <w:topLinePunct w:val="0"/>
        <w:autoSpaceDE/>
        <w:autoSpaceDN/>
        <w:bidi w:val="0"/>
        <w:spacing w:before="0" w:beforeLines="0" w:after="0" w:afterLines="0" w:line="360" w:lineRule="auto"/>
        <w:ind w:leftChars="0" w:firstLine="420" w:firstLineChars="200"/>
        <w:outlineLvl w:val="1"/>
        <w:rPr>
          <w:rFonts w:hint="eastAsia" w:ascii="宋体" w:hAnsi="宋体" w:eastAsia="宋体" w:cs="宋体"/>
          <w:bCs/>
          <w:color w:val="auto"/>
          <w:sz w:val="21"/>
          <w:szCs w:val="21"/>
          <w:highlight w:val="none"/>
        </w:rPr>
      </w:pPr>
      <w:bookmarkStart w:id="117" w:name="_Toc16098"/>
      <w:bookmarkStart w:id="118" w:name="_Toc12490"/>
      <w:r>
        <w:rPr>
          <w:rFonts w:hint="eastAsia" w:ascii="宋体" w:hAnsi="宋体" w:eastAsia="宋体" w:cs="宋体"/>
          <w:bCs/>
          <w:color w:val="auto"/>
          <w:sz w:val="21"/>
          <w:szCs w:val="21"/>
          <w:highlight w:val="none"/>
          <w:lang w:val="en-US" w:eastAsia="zh-CN"/>
        </w:rPr>
        <w:t>3.1.1</w:t>
      </w:r>
      <w:r>
        <w:rPr>
          <w:rFonts w:hint="eastAsia" w:ascii="宋体" w:hAnsi="宋体" w:eastAsia="宋体" w:cs="宋体"/>
          <w:bCs/>
          <w:color w:val="auto"/>
          <w:sz w:val="21"/>
          <w:szCs w:val="21"/>
          <w:highlight w:val="none"/>
        </w:rPr>
        <w:t>工业、服务业、贸易、投资专业企业预警因子管理</w:t>
      </w:r>
      <w:bookmarkEnd w:id="117"/>
      <w:bookmarkEnd w:id="118"/>
    </w:p>
    <w:p>
      <w:pPr>
        <w:pStyle w:val="49"/>
        <w:keepNext w:val="0"/>
        <w:keepLines w:val="0"/>
        <w:pageBreakBefore w:val="0"/>
        <w:widowControl/>
        <w:numPr>
          <w:ilvl w:val="0"/>
          <w:numId w:val="0"/>
        </w:numPr>
        <w:kinsoku/>
        <w:overflowPunct/>
        <w:topLinePunct w:val="0"/>
        <w:autoSpaceDE/>
        <w:autoSpaceDN/>
        <w:bidi w:val="0"/>
        <w:spacing w:line="360" w:lineRule="auto"/>
        <w:ind w:left="0" w:leftChars="0" w:firstLine="420" w:firstLineChars="200"/>
        <w:jc w:val="left"/>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3.1.1.1</w:t>
      </w:r>
      <w:r>
        <w:rPr>
          <w:rFonts w:hint="eastAsia" w:ascii="宋体" w:hAnsi="宋体" w:eastAsia="宋体" w:cs="宋体"/>
          <w:b w:val="0"/>
          <w:bCs/>
          <w:color w:val="auto"/>
          <w:sz w:val="21"/>
          <w:szCs w:val="21"/>
          <w:highlight w:val="none"/>
        </w:rPr>
        <w:t>预警规则及模型</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提升工业、服务业、贸易、投资企业预警因子模块管理的工业企业预警规则模型，增加子项预警因子、子项预警规则限定，支持部分子项规则累计叠加计算预警分值功能。</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3.1.1.2预警因子倍数修改功能</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工业、服务业、贸易、投资专业的预警因子数计算后，支持对预警因子数进行倍数修改功能。</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3.1.1.3预警级别规则</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对工业、服务业、贸易、投资专业预警级别规则进行调整：</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一级预警[108,∞）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二级预警[100,108）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三级预警【87，100）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正常(0,87）</w:t>
      </w:r>
      <w:r>
        <w:rPr>
          <w:rFonts w:hint="eastAsia" w:ascii="宋体" w:hAnsi="宋体" w:eastAsia="宋体" w:cs="宋体"/>
          <w:color w:val="auto"/>
          <w:sz w:val="21"/>
          <w:szCs w:val="21"/>
          <w:highlight w:val="none"/>
          <w:lang w:eastAsia="zh-CN"/>
        </w:rPr>
        <w:t>‘</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一级预警【100,∞）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二级预警（45,100）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三级预警(40,45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正常(0,40]</w:t>
      </w:r>
      <w:r>
        <w:rPr>
          <w:rFonts w:hint="eastAsia" w:ascii="宋体" w:hAnsi="宋体" w:eastAsia="宋体" w:cs="宋体"/>
          <w:color w:val="auto"/>
          <w:sz w:val="21"/>
          <w:szCs w:val="21"/>
          <w:highlight w:val="none"/>
          <w:lang w:val="en-US" w:eastAsia="zh-CN"/>
        </w:rPr>
        <w:t>”</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贸易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一级预警【70,∞）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二级预警【55,70）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三级预警【45,55）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正常(0,45）</w:t>
      </w:r>
      <w:r>
        <w:rPr>
          <w:rFonts w:hint="eastAsia" w:ascii="宋体" w:hAnsi="宋体" w:eastAsia="宋体" w:cs="宋体"/>
          <w:color w:val="auto"/>
          <w:sz w:val="21"/>
          <w:szCs w:val="21"/>
          <w:highlight w:val="none"/>
          <w:lang w:eastAsia="zh-CN"/>
        </w:rPr>
        <w:t>”</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一级预警(50,∞]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二级预警(40,50]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三级预警(30,40]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正常(0，30]—服务业预警因子优先减半后在进行此规则应用</w:t>
      </w:r>
      <w:r>
        <w:rPr>
          <w:rFonts w:hint="eastAsia" w:ascii="宋体" w:hAnsi="宋体" w:eastAsia="宋体" w:cs="宋体"/>
          <w:color w:val="auto"/>
          <w:sz w:val="21"/>
          <w:szCs w:val="21"/>
          <w:highlight w:val="none"/>
          <w:lang w:eastAsia="zh-CN"/>
        </w:rPr>
        <w:t>”</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3.1.1.4地区预警因子管理地区综合预警因子数计算规则修改</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地区综合预警因子数=该地区所有预警企业因子数之和/预警企业总数。</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3.2</w:t>
      </w:r>
      <w:r>
        <w:rPr>
          <w:rFonts w:hint="eastAsia" w:ascii="宋体" w:hAnsi="宋体" w:eastAsia="宋体" w:cs="宋体"/>
          <w:bCs/>
          <w:color w:val="auto"/>
          <w:sz w:val="21"/>
          <w:szCs w:val="21"/>
          <w:highlight w:val="none"/>
        </w:rPr>
        <w:t>智慧执法</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3.2.1</w:t>
      </w:r>
      <w:r>
        <w:rPr>
          <w:rFonts w:hint="eastAsia" w:ascii="宋体" w:hAnsi="宋体" w:eastAsia="宋体" w:cs="宋体"/>
          <w:bCs/>
          <w:color w:val="auto"/>
          <w:sz w:val="21"/>
          <w:szCs w:val="21"/>
          <w:highlight w:val="none"/>
        </w:rPr>
        <w:t>数据质量码管理</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码色期限自定义管理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新增设定数据质量码有效期管理功能，超过特定时间周期内企业检查/核查的数据质量码变成灰码。</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3.2.2</w:t>
      </w:r>
      <w:r>
        <w:rPr>
          <w:rFonts w:hint="eastAsia" w:ascii="宋体" w:hAnsi="宋体" w:eastAsia="宋体" w:cs="宋体"/>
          <w:bCs/>
          <w:color w:val="auto"/>
          <w:sz w:val="21"/>
          <w:szCs w:val="21"/>
          <w:highlight w:val="none"/>
        </w:rPr>
        <w:t>智慧执法</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3.2.2.1</w:t>
      </w:r>
      <w:r>
        <w:rPr>
          <w:rFonts w:hint="eastAsia" w:ascii="宋体" w:hAnsi="宋体" w:eastAsia="宋体" w:cs="宋体"/>
          <w:b w:val="0"/>
          <w:bCs/>
          <w:color w:val="auto"/>
          <w:sz w:val="21"/>
          <w:szCs w:val="21"/>
          <w:highlight w:val="none"/>
        </w:rPr>
        <w:t>执法检查结果功能</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新增互联网+监管检查数据补录：呈现高铁系统回流的执法检查结果数据，支持根据现有回流数据单条直接补录功能、待补录数据按照导入模板格式导出功能、补录导入功能；</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新增互联网+监管检查数据补录结果：根据登陆人员呈现高铁回流数据补充后的数据结果情况；</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新增线下检查数据补录：纯线下的数据通过此菜单进行导入、呈现；完善导入模板校验功能；</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更新互联网+数据补录”筛选条件，实现多个检查指标横向扩充导入。</w:t>
      </w:r>
    </w:p>
    <w:p>
      <w:pPr>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3.2.2.2</w:t>
      </w:r>
      <w:r>
        <w:rPr>
          <w:rFonts w:hint="eastAsia" w:ascii="宋体" w:hAnsi="宋体" w:eastAsia="宋体" w:cs="宋体"/>
          <w:b w:val="0"/>
          <w:bCs/>
          <w:color w:val="auto"/>
          <w:sz w:val="21"/>
          <w:szCs w:val="21"/>
          <w:highlight w:val="none"/>
        </w:rPr>
        <w:t>完善智慧执法报表统计分析功能</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智慧执法报表统计分析的筛选条件变更，关于按照地市查询筛选条件均变更为，根据统计局部门组织架构关联部门归属的地市信息，进而转换成树图形式展示供其筛选，通过后台逻辑调整实现。</w:t>
      </w:r>
    </w:p>
    <w:p>
      <w:pPr>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3.2.2.3</w:t>
      </w:r>
      <w:r>
        <w:rPr>
          <w:rFonts w:hint="eastAsia" w:ascii="宋体" w:hAnsi="宋体" w:eastAsia="宋体" w:cs="宋体"/>
          <w:b w:val="0"/>
          <w:bCs/>
          <w:color w:val="auto"/>
          <w:sz w:val="21"/>
          <w:szCs w:val="21"/>
          <w:highlight w:val="none"/>
        </w:rPr>
        <w:t>互联网+监管平台执法检查结果回流数据清洗去重</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监管平台执法检查结果由于回流数据存在重复，数据源侧目前无法把控，在本平台自行研究规律将数据去重处理（类型一：原始数据id，检查项唯一标识form_id不同，所有字段均相同，目前已处理为选择其中一条。类型二：数据id，检查项唯一标识form_id既有相同又有不同，传送总数大于2条，任务编号task_code有两种组成方式，一种为正常编号，例如“投资房地产”一种为《XX统计局+正常编号》例如“杭州拱墅区统计局投资房地产”目前此种类型数据已经多次去重处理，一体化平台待补录只保留一条数据）。</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3.3</w:t>
      </w:r>
      <w:r>
        <w:rPr>
          <w:rFonts w:hint="eastAsia" w:ascii="宋体" w:hAnsi="宋体" w:eastAsia="宋体" w:cs="宋体"/>
          <w:bCs/>
          <w:color w:val="auto"/>
          <w:sz w:val="21"/>
          <w:szCs w:val="21"/>
          <w:highlight w:val="none"/>
        </w:rPr>
        <w:t>掌上核查</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新增核查汇总实时汇总功能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实现核查汇总实时汇总功能，通过浮点方法自动计算差错额，差错率，根据不同类型实现自动汇总企业差错信息，预览核查信息。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3.4</w:t>
      </w:r>
      <w:r>
        <w:rPr>
          <w:rFonts w:hint="eastAsia" w:ascii="宋体" w:hAnsi="宋体" w:eastAsia="宋体" w:cs="宋体"/>
          <w:bCs/>
          <w:color w:val="auto"/>
          <w:sz w:val="21"/>
          <w:szCs w:val="21"/>
          <w:highlight w:val="none"/>
        </w:rPr>
        <w:t>量化督察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3.4.1</w:t>
      </w:r>
      <w:r>
        <w:rPr>
          <w:rFonts w:hint="eastAsia" w:ascii="宋体" w:hAnsi="宋体" w:eastAsia="宋体" w:cs="宋体"/>
          <w:bCs/>
          <w:color w:val="auto"/>
          <w:sz w:val="21"/>
          <w:szCs w:val="21"/>
          <w:highlight w:val="none"/>
        </w:rPr>
        <w:t>日常监督下发职责提醒迭代</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调整职责清单库增、删、改的内容字段信息</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下发职责提醒添加重点任务更新，实现重点任务自定义命名，添加具体问题时与监督对象联动功能</w:t>
      </w:r>
      <w:r>
        <w:rPr>
          <w:rFonts w:hint="eastAsia" w:ascii="宋体" w:hAnsi="宋体" w:eastAsia="宋体" w:cs="宋体"/>
          <w:color w:val="auto"/>
          <w:kern w:val="2"/>
          <w:sz w:val="21"/>
          <w:szCs w:val="21"/>
          <w:highlight w:val="none"/>
          <w:lang w:eastAsia="zh-CN" w:bidi="ar"/>
        </w:rPr>
        <w:t>。</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下发职责提醒详情增加查看下级回复的概览情况，支持搜索功能；增加按地区收合展示详细信息功能；查看详情时支持实现上传的图片、word支持在线预览</w:t>
      </w:r>
      <w:r>
        <w:rPr>
          <w:rFonts w:hint="eastAsia" w:ascii="宋体" w:hAnsi="宋体" w:eastAsia="宋体" w:cs="宋体"/>
          <w:color w:val="auto"/>
          <w:kern w:val="2"/>
          <w:sz w:val="21"/>
          <w:szCs w:val="21"/>
          <w:highlight w:val="none"/>
          <w:lang w:eastAsia="zh-CN" w:bidi="ar"/>
        </w:rPr>
        <w:t>。</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新增履职人员设置功能，实现自定义配置日常监督接收人可视化界面，自定义设置日常监督接收人权限功能。</w:t>
      </w:r>
    </w:p>
    <w:p>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3.4.2</w:t>
      </w:r>
      <w:r>
        <w:rPr>
          <w:rFonts w:hint="eastAsia" w:ascii="宋体" w:hAnsi="宋体" w:eastAsia="宋体" w:cs="宋体"/>
          <w:bCs/>
          <w:color w:val="auto"/>
          <w:sz w:val="21"/>
          <w:szCs w:val="21"/>
          <w:highlight w:val="none"/>
        </w:rPr>
        <w:t>新增上传履职情况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上传任务证明材料的类型更新，实现根据监督对象区分党委政府、职能部门、统计机构，不同监督对象上传不同类型的材料。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党委政府涉及 统计法律制度、学习领导指示批示、制定制度文件、有无违规干预统计行为、违法违规文件做法、统计法进党校、地方经费保障、责任追究的类型材料</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统计机构监督对象涉及立法-法规规章立法-规范性文件、制度立法-合法性审查普法-普法活动统计法律制度学习有无违规干预统计行为执法-行政复议诉讼执法-执法任务完成率 的类型文件；</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职能部门区分为：数据质量、自查统计、法律制度学习、违法违规文件做法、制定制度文件的类型文件</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上传履职权限查看：增加支持新加入同地市同部门角色人员查看上传文件</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上传材料的附件支持一次上传多项材料附件及图片、word支持在线预览。</w:t>
      </w:r>
    </w:p>
    <w:p>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3.5</w:t>
      </w:r>
      <w:r>
        <w:rPr>
          <w:rFonts w:hint="eastAsia" w:ascii="宋体" w:hAnsi="宋体" w:eastAsia="宋体" w:cs="宋体"/>
          <w:bCs/>
          <w:color w:val="auto"/>
          <w:sz w:val="21"/>
          <w:szCs w:val="21"/>
          <w:highlight w:val="none"/>
        </w:rPr>
        <w:t>协同监督</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3.5.1</w:t>
      </w:r>
      <w:r>
        <w:rPr>
          <w:rFonts w:hint="eastAsia" w:ascii="宋体" w:hAnsi="宋体" w:eastAsia="宋体" w:cs="宋体"/>
          <w:bCs/>
          <w:color w:val="auto"/>
          <w:sz w:val="21"/>
          <w:szCs w:val="21"/>
          <w:highlight w:val="none"/>
        </w:rPr>
        <w:t>新增纪委建委协同管理统计功能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区分干部处理情况、重大案件介入、典型案件通报、向纪委移交案件四类协同类型，不同协同类型不同展示字段，涉及4类类型展示，支持增、删、改、查功能。</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3.6</w:t>
      </w:r>
      <w:r>
        <w:rPr>
          <w:rFonts w:hint="eastAsia" w:ascii="宋体" w:hAnsi="宋体" w:eastAsia="宋体" w:cs="宋体"/>
          <w:bCs/>
          <w:color w:val="auto"/>
          <w:sz w:val="21"/>
          <w:szCs w:val="21"/>
          <w:highlight w:val="none"/>
        </w:rPr>
        <w:t>培训中心管理</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3.6.1</w:t>
      </w:r>
      <w:r>
        <w:rPr>
          <w:rFonts w:hint="eastAsia" w:ascii="宋体" w:hAnsi="宋体" w:eastAsia="宋体" w:cs="宋体"/>
          <w:bCs/>
          <w:color w:val="auto"/>
          <w:sz w:val="21"/>
          <w:szCs w:val="21"/>
          <w:highlight w:val="none"/>
        </w:rPr>
        <w:t>培训中心查看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宣传文件、系统操作手册、培训视频、常见问题等信息。</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3.6.2</w:t>
      </w:r>
      <w:r>
        <w:rPr>
          <w:rFonts w:hint="eastAsia" w:ascii="宋体" w:hAnsi="宋体" w:eastAsia="宋体" w:cs="宋体"/>
          <w:bCs/>
          <w:color w:val="auto"/>
          <w:sz w:val="21"/>
          <w:szCs w:val="21"/>
          <w:highlight w:val="none"/>
        </w:rPr>
        <w:t>培训中心管理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上传替换系统操作手册、培训视频、常见问题相关文件。</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3.6.3</w:t>
      </w:r>
      <w:r>
        <w:rPr>
          <w:rFonts w:hint="eastAsia" w:ascii="宋体" w:hAnsi="宋体" w:eastAsia="宋体" w:cs="宋体"/>
          <w:bCs/>
          <w:color w:val="auto"/>
          <w:sz w:val="21"/>
          <w:szCs w:val="21"/>
          <w:highlight w:val="none"/>
        </w:rPr>
        <w:t>培训中心提问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免登录跳转至浙江统计综合运维管理系统，进行问题提问与查看回复。</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3.7</w:t>
      </w:r>
      <w:r>
        <w:rPr>
          <w:rFonts w:hint="eastAsia" w:ascii="宋体" w:hAnsi="宋体" w:eastAsia="宋体" w:cs="宋体"/>
          <w:bCs/>
          <w:color w:val="auto"/>
          <w:sz w:val="21"/>
          <w:szCs w:val="21"/>
          <w:highlight w:val="none"/>
        </w:rPr>
        <w:t>数据驾驶舱迭代升级</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3.7.1</w:t>
      </w:r>
      <w:r>
        <w:rPr>
          <w:rFonts w:hint="eastAsia" w:ascii="宋体" w:hAnsi="宋体" w:eastAsia="宋体" w:cs="宋体"/>
          <w:bCs/>
          <w:color w:val="auto"/>
          <w:sz w:val="21"/>
          <w:szCs w:val="21"/>
          <w:highlight w:val="none"/>
        </w:rPr>
        <w:t>总驾驶舱迭代</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协同监督模块下钻调整，展示字段、下钻详情变更，下钻详情相应字段高亮显示。经济管理部门后增加切换按钮，按发改部门、经信部门、商务部门、市场监管部门切换展；统计督察基本情况展示方式变更，由图表变更为表格，及鼠标放在数字上显示地市区县的信息；</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执法检查情况（当年）模块的检查数、立案数、结案数、处罚金额、严重失信指标新增下钻展示基础数据，并支持二级下钻企业详情功能，采用token验证方式，并验证帐号权限、展示数据范围权限，下钻展示与地图省、市、县级100+项整体联动功能根据地图点击动态联动呈现相应地区数据，地图码色展示是通过新的地区码色算法模型汇总各地市企业码色计算得来；</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核查情况（当年）模块的核查情况是后台核查汇总算法汇总掌上核查、执法，导入等数据通过数据清洗、数据处理层及定时TASK分地市提炼出差核查企业数量，差错企业数量，并扩展层层下钻，数据与地图联动。</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3.7.2</w:t>
      </w:r>
      <w:r>
        <w:rPr>
          <w:rFonts w:hint="eastAsia" w:ascii="宋体" w:hAnsi="宋体" w:eastAsia="宋体" w:cs="宋体"/>
          <w:bCs/>
          <w:color w:val="auto"/>
          <w:sz w:val="21"/>
          <w:szCs w:val="21"/>
          <w:highlight w:val="none"/>
        </w:rPr>
        <w:t>智慧执法驾驶舱迭代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年执法检查/核查任务完成情况-执法模块：新增下钻展示执法企业详情列表，通过Quartz分析数据模型拆分出各地市不同数据，并完成与地图下钻100余项的市区县数据联动呈现；当年执法检查/核查任务完成情况-核查模块：新增下钻展示核查企业详情列表，通过Quartz分析数据模型拆分出各地市不同数据，并完成与地图下钻100余项的市区县数据联动呈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当年执法检查/核查情况-执法模块：新增检查数、立案数、结案数、处罚金额、严重失信、通报曝光指标下钻详情列表展示；且每个详情列表均支持二级下钻，点击企业，查看企业对应检查指标信息；当年执法检查/核查情况-核查：新增核查下钻详情列表，通过Quartz分析数据模型拆分出各地市不同数据，完成与地图下钻100余项的市区县数据联动呈现。 </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3.7.3</w:t>
      </w:r>
      <w:r>
        <w:rPr>
          <w:rFonts w:hint="eastAsia" w:ascii="宋体" w:hAnsi="宋体" w:eastAsia="宋体" w:cs="宋体"/>
          <w:bCs/>
          <w:color w:val="auto"/>
          <w:sz w:val="21"/>
          <w:szCs w:val="21"/>
          <w:highlight w:val="none"/>
        </w:rPr>
        <w:t>量化督察驾驶舱迭代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监督-党委政府模块：统计法治学习、领导指示批示、制定制度文件、有无违规干预统计行为、违法违规文件做法、统计法进党校、地方经费保障、责任追究指标数据新增下钻展示详情数据，共计8个详情页面；新增地区对比功能，新增的数据与地图下钻100余项的市区县实现数据联动呈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实地督察主要工作：召开会议、审阅文件、个别谈话、问卷调查、执法检查、信访举报指标数据新增下钻展示详情数据，且与地图省、市、县三级下钻数据联动呈现。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日常监督-职能部门：展示变更为柱状展示；新增部门对比功能，可对发改、经信、商务、交通运输、人力资源社会保障、建部门分类对比展示，且与地图省、市、县三级下钻数据联动呈现。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监督-统计机构：展示内容变更为统计法治学习、有无违规干预统计行为、立法-法规规章、立法-规范性文件制度、立法-合法性审查、执法-执法任务完成率、执法-行政复议诉讼、普法-活动次数、普法-已普法人数；变更后的9个指标数据均支持下钻展示详情；增加地区对比功能，且新增的功能与地图省、市、县三级下钻数据联动呈现。</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3.7.4</w:t>
      </w:r>
      <w:r>
        <w:rPr>
          <w:rFonts w:hint="eastAsia" w:ascii="宋体" w:hAnsi="宋体" w:eastAsia="宋体" w:cs="宋体"/>
          <w:bCs/>
          <w:color w:val="auto"/>
          <w:sz w:val="21"/>
          <w:szCs w:val="21"/>
          <w:highlight w:val="none"/>
        </w:rPr>
        <w:t>协同监督驾驶舱迭代</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地图展示模块新增下钻可查看区县级数据信息；</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与组织部协同监督：处理结果进档案、统计参与干部审核、邀请统计监督、统计法培训进党校、干部任免意见征求指标数据新增下钻展示详细数据列表，共计5个不同下钻列表。且下钻数据与地图省、市、县三级下钻联动呈现。</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与纪委监委协同监督：干部追责问责、典型案件通报数据指标新增下钻展示详细列表，共计2个下钻列表。</w:t>
      </w:r>
    </w:p>
    <w:p>
      <w:pPr>
        <w:pStyle w:val="24"/>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与派驻纪检组协同监督：参与统计监督、指导统计监督、检查统计监督、提供统计信息数据指标新增下钻详细列表，共计4个不同下钻列表</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与审计组协同监督：向统计移交审计线索、向审计提供信息指标新增下钻详细列表，共计2个不同下钻列表。</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与经济管理部门协同监督：发改部门、经信部门、商务部门、市场监管部门切换展示，发改部门-信用管理、发改部门-统计监测结果应用、发改部门-向发改提供信息、经信部门-向经信提供信息、经信部门-统计监测结果应用、商务部门-向商务提供信息、商务部门-统计监测结果应用、市场监管部门-向市场监管提供信息、市场监管部门-开展联合执法指标新增下钻详细列表，共计9个不同下钻列表。</w:t>
      </w:r>
    </w:p>
    <w:p>
      <w:pPr>
        <w:pStyle w:val="24"/>
        <w:pageBreakBefore w:val="0"/>
        <w:widowControl w:val="0"/>
        <w:kinsoku/>
        <w:overflowPunct/>
        <w:topLinePunct w:val="0"/>
        <w:autoSpaceDE/>
        <w:autoSpaceDN/>
        <w:bidi w:val="0"/>
        <w:spacing w:beforeAutospacing="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信息来源分类：右中新增信息来源分类展示块。同时，干部追责问责、纪检组参与监管、处理结果进档案、干部任免意见征求、移交巡视线索、移交审计线索、企业信用管理、向发改提供信息下钻详情数据展示，共计8个不同下钻列表。</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与派驻纪检组协同监督：由全省趋势图，变更为单个柱状图。</w:t>
      </w:r>
    </w:p>
    <w:p>
      <w:pPr>
        <w:pStyle w:val="49"/>
        <w:pageBreakBefore w:val="0"/>
        <w:widowControl/>
        <w:numPr>
          <w:ilvl w:val="0"/>
          <w:numId w:val="0"/>
        </w:numPr>
        <w:kinsoku/>
        <w:overflowPunct/>
        <w:topLinePunct w:val="0"/>
        <w:autoSpaceDE/>
        <w:autoSpaceDN/>
        <w:bidi w:val="0"/>
        <w:spacing w:line="360" w:lineRule="auto"/>
        <w:ind w:leftChars="0"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3.7.5</w:t>
      </w:r>
      <w:r>
        <w:rPr>
          <w:rFonts w:hint="eastAsia" w:ascii="宋体" w:hAnsi="宋体" w:eastAsia="宋体" w:cs="宋体"/>
          <w:bCs/>
          <w:color w:val="auto"/>
          <w:sz w:val="21"/>
          <w:szCs w:val="21"/>
          <w:highlight w:val="none"/>
        </w:rPr>
        <w:t>网上预警驾驶舱迭代</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图展示模块新增下钻可查看区县级数据信息；各级预警企业占比分级预警企业详情下钻，新增可查看县区级预警数据情况；一二级预警的企业规则计算变更，通过Quartz汇总各地市预警总数，汇总了预警算法，执法、核查、导入数据，再建立数据分析模型，计算出一级预警企业下核查数量和执法数量及问题检出率；地区预警情况模块新增季度统计数据趋势信息；月风险指数前100名企业名单模块新增点击企业名称下钻，通过定时TASK预警算法列出企业预警规则文本，展示该企业的风险指数及预警内容信息。</w:t>
      </w:r>
    </w:p>
    <w:p>
      <w:pPr>
        <w:pStyle w:val="49"/>
        <w:pageBreakBefore w:val="0"/>
        <w:widowControl/>
        <w:numPr>
          <w:ilvl w:val="0"/>
          <w:numId w:val="0"/>
        </w:numPr>
        <w:kinsoku/>
        <w:overflowPunct/>
        <w:topLinePunct w:val="0"/>
        <w:autoSpaceDE/>
        <w:autoSpaceDN/>
        <w:bidi w:val="0"/>
        <w:spacing w:line="360" w:lineRule="auto"/>
        <w:ind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3.8</w:t>
      </w:r>
      <w:r>
        <w:rPr>
          <w:rFonts w:hint="eastAsia" w:ascii="宋体" w:hAnsi="宋体" w:eastAsia="宋体" w:cs="宋体"/>
          <w:bCs/>
          <w:color w:val="auto"/>
          <w:sz w:val="21"/>
          <w:szCs w:val="21"/>
          <w:highlight w:val="none"/>
        </w:rPr>
        <w:t>系统管理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基于统计大脑用户体系，可设置接收日常监督任务人员，查看本地区用户使用情况等。</w:t>
      </w:r>
    </w:p>
    <w:p>
      <w:pPr>
        <w:pStyle w:val="56"/>
        <w:pageBreakBefore w:val="0"/>
        <w:numPr>
          <w:ilvl w:val="0"/>
          <w:numId w:val="0"/>
        </w:numPr>
        <w:kinsoku/>
        <w:overflowPunct/>
        <w:topLinePunct w:val="0"/>
        <w:autoSpaceDE/>
        <w:autoSpaceDN/>
        <w:bidi w:val="0"/>
        <w:spacing w:before="0" w:beforeLines="0" w:after="0" w:afterLines="0" w:line="360" w:lineRule="auto"/>
        <w:ind w:leftChars="0" w:firstLine="420" w:firstLineChars="200"/>
        <w:outlineLvl w:val="1"/>
        <w:rPr>
          <w:rFonts w:hint="eastAsia" w:ascii="宋体" w:hAnsi="宋体" w:eastAsia="宋体" w:cs="宋体"/>
          <w:bCs/>
          <w:color w:val="auto"/>
          <w:sz w:val="21"/>
          <w:szCs w:val="21"/>
          <w:highlight w:val="none"/>
        </w:rPr>
      </w:pPr>
      <w:bookmarkStart w:id="119" w:name="_Toc28535"/>
      <w:bookmarkStart w:id="120" w:name="_Toc10883"/>
      <w:r>
        <w:rPr>
          <w:rFonts w:hint="eastAsia" w:ascii="宋体" w:hAnsi="宋体" w:eastAsia="宋体" w:cs="宋体"/>
          <w:bCs/>
          <w:color w:val="auto"/>
          <w:sz w:val="21"/>
          <w:szCs w:val="21"/>
          <w:highlight w:val="none"/>
          <w:lang w:val="en-US"/>
        </w:rPr>
        <w:t>4.</w:t>
      </w:r>
      <w:r>
        <w:rPr>
          <w:rFonts w:hint="eastAsia" w:ascii="宋体" w:hAnsi="宋体" w:eastAsia="宋体" w:cs="宋体"/>
          <w:bCs/>
          <w:color w:val="auto"/>
          <w:sz w:val="21"/>
          <w:szCs w:val="21"/>
          <w:highlight w:val="none"/>
        </w:rPr>
        <w:t>投资领域全流程管理</w:t>
      </w:r>
      <w:bookmarkEnd w:id="119"/>
      <w:bookmarkEnd w:id="120"/>
    </w:p>
    <w:p>
      <w:pPr>
        <w:pStyle w:val="49"/>
        <w:pageBreakBefore w:val="0"/>
        <w:widowControl/>
        <w:numPr>
          <w:ilvl w:val="0"/>
          <w:numId w:val="0"/>
        </w:numPr>
        <w:kinsoku/>
        <w:overflowPunct/>
        <w:topLinePunct w:val="0"/>
        <w:autoSpaceDE/>
        <w:autoSpaceDN/>
        <w:bidi w:val="0"/>
        <w:spacing w:line="360" w:lineRule="auto"/>
        <w:ind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4.1</w:t>
      </w:r>
      <w:r>
        <w:rPr>
          <w:rFonts w:hint="eastAsia" w:ascii="宋体" w:hAnsi="宋体" w:eastAsia="宋体" w:cs="宋体"/>
          <w:bCs/>
          <w:color w:val="auto"/>
          <w:sz w:val="21"/>
          <w:szCs w:val="21"/>
          <w:highlight w:val="none"/>
        </w:rPr>
        <w:t>重大项目推进</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与省发改委共同建设。以年度重大项目为突破口，逐步贯通省市县，实现天、地、人、智多维数据自动监测、智能分析。</w:t>
      </w:r>
    </w:p>
    <w:p>
      <w:pPr>
        <w:pStyle w:val="49"/>
        <w:pageBreakBefore w:val="0"/>
        <w:widowControl/>
        <w:numPr>
          <w:ilvl w:val="0"/>
          <w:numId w:val="0"/>
        </w:numPr>
        <w:kinsoku/>
        <w:overflowPunct/>
        <w:topLinePunct w:val="0"/>
        <w:autoSpaceDE/>
        <w:autoSpaceDN/>
        <w:bidi w:val="0"/>
        <w:spacing w:line="360" w:lineRule="auto"/>
        <w:ind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4.2</w:t>
      </w:r>
      <w:r>
        <w:rPr>
          <w:rFonts w:hint="eastAsia" w:ascii="宋体" w:hAnsi="宋体" w:eastAsia="宋体" w:cs="宋体"/>
          <w:bCs/>
          <w:color w:val="auto"/>
          <w:sz w:val="21"/>
          <w:szCs w:val="21"/>
          <w:highlight w:val="none"/>
        </w:rPr>
        <w:t>项目统计入库在线审核</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名录审批系统、统计联网直报平台、投资在线平台3.0，实现投资项目信息自动获取与自动填表，投资项目批文件自动抓取，行业智能编码、公式智能审核、现场照片自动定位，项目定位自动索引，四至边界智能管理，部门供地边界智能关联，地理空间数据智能审核，高清卫星影像多源应用等功能的深入融合，最终实现投资项目智能统计入库的多跨场景应用，以强化投资领域统计数据“事前”管理</w:t>
      </w:r>
    </w:p>
    <w:p>
      <w:pPr>
        <w:pStyle w:val="49"/>
        <w:pageBreakBefore w:val="0"/>
        <w:widowControl/>
        <w:numPr>
          <w:ilvl w:val="0"/>
          <w:numId w:val="0"/>
        </w:numPr>
        <w:kinsoku/>
        <w:overflowPunct/>
        <w:topLinePunct w:val="0"/>
        <w:autoSpaceDE/>
        <w:autoSpaceDN/>
        <w:bidi w:val="0"/>
        <w:spacing w:line="360" w:lineRule="auto"/>
        <w:ind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4.3</w:t>
      </w:r>
      <w:r>
        <w:rPr>
          <w:rFonts w:hint="eastAsia" w:ascii="宋体" w:hAnsi="宋体" w:eastAsia="宋体" w:cs="宋体"/>
          <w:bCs/>
          <w:color w:val="auto"/>
          <w:sz w:val="21"/>
          <w:szCs w:val="21"/>
          <w:highlight w:val="none"/>
        </w:rPr>
        <w:t>项目精准画像</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合PC和手机端的“在线监测”模块，以在建项目库为依托，从行业、地理分布、指标、规模、重点领域等多维度对项目进行精准画像。其中，重点领域投资项目画像按照共同富裕、未来社区、省市县长项目、省集中开工项目、年度重大项目五个主题，集中展示我省投资领域重点项目建设状态</w:t>
      </w:r>
    </w:p>
    <w:p>
      <w:pPr>
        <w:pStyle w:val="49"/>
        <w:pageBreakBefore w:val="0"/>
        <w:widowControl/>
        <w:numPr>
          <w:ilvl w:val="0"/>
          <w:numId w:val="0"/>
        </w:numPr>
        <w:kinsoku/>
        <w:overflowPunct/>
        <w:topLinePunct w:val="0"/>
        <w:autoSpaceDE/>
        <w:autoSpaceDN/>
        <w:bidi w:val="0"/>
        <w:spacing w:line="360" w:lineRule="auto"/>
        <w:ind w:firstLine="420" w:firstLineChars="200"/>
        <w:jc w:val="left"/>
        <w:outlineLvl w:val="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4.4</w:t>
      </w:r>
      <w:r>
        <w:rPr>
          <w:rFonts w:hint="eastAsia" w:ascii="宋体" w:hAnsi="宋体" w:eastAsia="宋体" w:cs="宋体"/>
          <w:bCs/>
          <w:color w:val="auto"/>
          <w:sz w:val="21"/>
          <w:szCs w:val="21"/>
          <w:highlight w:val="none"/>
        </w:rPr>
        <w:t>统计智能分析等功能</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实现统计数据智能汇总，统计信息分析智能生产，协同数据浙江等发布投资统计领域公共产品</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定制开发驾驶舱</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建立个性化可定制的驾驶舱，实现场景模块（组件）化添加，满足不同层级、不同管理者的个性化需求</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4.6</w:t>
      </w:r>
      <w:r>
        <w:rPr>
          <w:rFonts w:hint="eastAsia" w:ascii="宋体" w:hAnsi="宋体" w:eastAsia="宋体" w:cs="宋体"/>
          <w:bCs/>
          <w:color w:val="auto"/>
          <w:sz w:val="21"/>
          <w:szCs w:val="21"/>
          <w:highlight w:val="none"/>
        </w:rPr>
        <w:t>数据共享服务</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充分考虑部门个性化需求，协同联网直报平台、数据融合计算平台等，采取多种形式满足共性化、个性化需求</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4.7</w:t>
      </w:r>
      <w:r>
        <w:rPr>
          <w:rFonts w:hint="eastAsia" w:ascii="宋体" w:hAnsi="宋体" w:eastAsia="宋体" w:cs="宋体"/>
          <w:bCs/>
          <w:color w:val="auto"/>
          <w:sz w:val="21"/>
          <w:szCs w:val="21"/>
          <w:highlight w:val="none"/>
        </w:rPr>
        <w:t>无感统计</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经过多期高分遥感数据的匹配分析，建立实物量与价值量的转换模型，测算区域投资额以及发展变化趋势</w:t>
      </w:r>
    </w:p>
    <w:p>
      <w:pPr>
        <w:pStyle w:val="56"/>
        <w:pageBreakBefore w:val="0"/>
        <w:numPr>
          <w:ilvl w:val="0"/>
          <w:numId w:val="0"/>
        </w:numPr>
        <w:kinsoku/>
        <w:overflowPunct/>
        <w:topLinePunct w:val="0"/>
        <w:autoSpaceDE/>
        <w:autoSpaceDN/>
        <w:bidi w:val="0"/>
        <w:spacing w:before="0" w:beforeLines="0" w:after="0" w:afterLines="0" w:line="360" w:lineRule="auto"/>
        <w:ind w:leftChars="0" w:firstLine="420" w:firstLineChars="200"/>
        <w:outlineLvl w:val="1"/>
        <w:rPr>
          <w:rFonts w:hint="eastAsia" w:ascii="宋体" w:hAnsi="宋体" w:eastAsia="宋体" w:cs="宋体"/>
          <w:bCs/>
          <w:color w:val="auto"/>
          <w:sz w:val="21"/>
          <w:szCs w:val="21"/>
          <w:highlight w:val="none"/>
        </w:rPr>
      </w:pPr>
      <w:bookmarkStart w:id="121" w:name="_Toc29390"/>
      <w:bookmarkStart w:id="122" w:name="_Toc39"/>
      <w:r>
        <w:rPr>
          <w:rFonts w:hint="eastAsia" w:ascii="宋体" w:hAnsi="宋体" w:eastAsia="宋体" w:cs="宋体"/>
          <w:bCs/>
          <w:color w:val="auto"/>
          <w:sz w:val="21"/>
          <w:szCs w:val="21"/>
          <w:highlight w:val="none"/>
          <w:lang w:val="en-US"/>
        </w:rPr>
        <w:t>5.</w:t>
      </w:r>
      <w:r>
        <w:rPr>
          <w:rFonts w:hint="eastAsia" w:ascii="宋体" w:hAnsi="宋体" w:eastAsia="宋体" w:cs="宋体"/>
          <w:bCs/>
          <w:color w:val="auto"/>
          <w:sz w:val="21"/>
          <w:szCs w:val="21"/>
          <w:highlight w:val="none"/>
        </w:rPr>
        <w:t>数据浙江（二期）</w:t>
      </w:r>
      <w:bookmarkEnd w:id="121"/>
      <w:bookmarkEnd w:id="122"/>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数据浙江系统升级改造</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rPr>
        <w:t>数据浙江-发布库</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5.1.1.1 </w:t>
      </w:r>
      <w:r>
        <w:rPr>
          <w:rFonts w:hint="eastAsia" w:ascii="宋体" w:hAnsi="宋体" w:eastAsia="宋体" w:cs="宋体"/>
          <w:b w:val="0"/>
          <w:bCs w:val="0"/>
          <w:color w:val="auto"/>
          <w:sz w:val="21"/>
          <w:szCs w:val="21"/>
          <w:highlight w:val="none"/>
        </w:rPr>
        <w:t>PC端门户</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数据浙江主要由首页、年度数据、进度数据、月度卡片、整表数据、数据产品、数据要情以及搜索等模块构成。本次针对PC端门户的升级改造，一方面对其整体架构进行了重新梳理，同时对各个模块进行了深入研究，并对市县业务人员的需求痛点进行了系统性调研及分析，最终抽象出首页、指标查询、整表查询、数据地图以及综合查询五大方面进行升级改造的设计。</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5.1.1.1.1首页</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首页作为门户对外的第一入口，承载着信息整合、门户导航、关键信息、整体风格等各个方面的作用，此次针对首页的升级改造设计主要从以下三个方面进行：</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加入“最新发布栏目”显示出刚刚发布的报表。</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5.1.1.1.2栏目调整</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对目前门户的栏目排列进行充分调研，根据栏目的点击频率、重要程度等方面，对栏目进行重新排列，如：</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首页、整表数据、月度卡片、进度指标、年度指标、数据产品、数据要情</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如此既能支持更快的进行数据查询等工作，又能与移动端尽量保持栏目设置的相同，保持了系统整体层面的一致性。</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5.1.1.1.3模块调整</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针对首页的模块计划主要在两个层面进行升级改造的设计：</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第一个层面主要是对首页具体所展示模块的设计，如增加数据地图模块。</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第二个层面主要是对各个模块的布局、交互、风格等方面的设计，如数据查询模块的交互优化、可视化产品模块得展示优化等等</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5.1.1.1.4界面调整</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界面调整方面，主要为综合上述栏目调整及模块调整，对整体界面风格、布局、交互等层面进行系统性UI设计。</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●右侧二维码可以手动关闭。将放在某块区域，可以随时打开。</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●查询模块当中，可以在选择地区后再选择某个指标进行查询。保持先年度，后进度的数据顺序。</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●整表数据下面点击次数，对内显示，对外不显示。 </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●首页设计多进行美化。</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5.1.1.1.5指标查询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指标查询主要包括年度数据和进度数据两个栏目。针对指标查询模块，主要通过调研市县业务人员的使用需求，并结合国家统计局等国家级统计数据网站的指标查询模块，在以下三个层面进行升级改造设计：</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5.1.1.1.6指标查询方式的优化</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指标查询方式的优化，主要思路为引入复合指标，以更贴近业务的复合指标进行最终数据查询的展示；同时保留数据浙江-基础库的指标分组，方便业务人员进行元数据指标等的管理。</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完善及突出指标解释说明，方便非统计专业人员及大众用户能够简单明了的理解指标含义，从而对统计数据有更直观更感性的认识。</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5.1.1.1.7自定义指标查询的优化</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自定义指标查询的优化，主要针对市县业务人员，对于多个地区的多个指标的查询、汇总、比较等需求。</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5.1.1.1.8整表查询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整表查询，主要包括月度卡片、整表数据、数据要情三个栏目，针对整表查询的升级改造主要计划从页面适配、月度数据及自定义查询模板三个方面进行：</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5.1.1.1.9页面适配</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页面适配主要针对数据要情栏目中，同一页面多个数据表格的显示问题进行优化，避免多个表格在同一个页面显示不统一，操作不方便等问题。</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5.1.1.1.10月度数据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月度数据主要计划结合月度数据的特点，以每月小册子的形式对月度数据进行更直观的展示。</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5.1.1.1.11数据地图</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数据地图栏目，为此次升级改造方案中计划新增的栏目。旨在通过结合地图的形式对数据浙江的宏观数据进行更直观的展示。方便用户基于地图进行数据的查询、统计、分析以及其它应用。</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5.1.1.1.12综合搜索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综合搜索主要计划为针对目前的搜索功能进行多方面的优化，具体有：</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5.1.1.1.13搜索位置突出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对目前搜索的位置进行更突出的展示，直接在页面固定搜索功能，方便可以随时进行搜索的发起，同时根据搜索频次进行统计热词、搜索建议的智能推荐。</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5.1.1.1.14多条件搜索支持</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升级多搜索条件的支持，支持以空格或逗号等间隔形式进行如地区、报告期、指标等的多条件搜索，方便能够更精准的获取数据。</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5.1.1.1.15搜索词联想</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通过智能学习，支持对所未完成输入的搜索关键词进行联想补全。</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5.1.1.1.16搜索结果导出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支持对搜索结果的不同类型数据，如指标数据、整表数据等进行整合。并提供统一的导出功能。</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5.1.1.1.17数据对比</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多地区比对查询功能。目前平台上的查询功能下可以进行多县市区选择，但是数据结果按报表期、地区顺序呈清单式排列，不方便进行地区比较。建议多地区多指标查询结果展示时，可将查询结果放入一张表格，纵向和横向对比栏目可以自主选择。</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5.1.1.1.18搜索功能增强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强化模糊搜索功能。个别指标名称比较专业，其他部门或者社会需求者可能无法准确说出。如战略性新兴产业增加值，搜索时只输入战略新兴，目前在平台无法搜到；或如批量住餐，也无法显示。建议提升模糊搜索功能，根据搜索内容提供推荐结果，如“您可能想找的是（***）指标”。 </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●添加搜索记录功能。对之前查询过的指标，建议在搜索记录显示。 </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5.1.1.2</w:t>
      </w:r>
      <w:r>
        <w:rPr>
          <w:rFonts w:hint="eastAsia" w:ascii="宋体" w:hAnsi="宋体" w:eastAsia="宋体" w:cs="宋体"/>
          <w:b w:val="0"/>
          <w:bCs w:val="0"/>
          <w:color w:val="auto"/>
          <w:sz w:val="21"/>
          <w:szCs w:val="21"/>
          <w:highlight w:val="none"/>
        </w:rPr>
        <w:t>移动端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针对数据浙江-发布库的移动端门户，主要的升级改造方向为页面适配及整体交互。</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5.1.1.2.1首页</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调整搜索位置，以更突出的形式对搜索进行展示，方便可以更直接更方便的进行数据搜索。</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5.1.1.2.2指标查询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指标查询，主要针对指标查询的数据结果在移动终端的显示进行优化，保证其能够在移动终端更直观、更美观的进行数据展示。</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5.1.2</w:t>
      </w:r>
      <w:r>
        <w:rPr>
          <w:rFonts w:hint="eastAsia" w:ascii="宋体" w:hAnsi="宋体" w:eastAsia="宋体" w:cs="宋体"/>
          <w:color w:val="auto"/>
          <w:sz w:val="21"/>
          <w:szCs w:val="21"/>
          <w:highlight w:val="none"/>
        </w:rPr>
        <w:t>数据浙江-工作库</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浙江-基础库，主要为数据浙江-发布库的底层数据管理及支撑。因此基础库的功能架构在很大程度上决定了发布库的数据查询、展示等效果。本次升级改造需对基础库整体结构进行重新梳理，分别从以下几个层面进行调整：</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5.1.2.1</w:t>
      </w:r>
      <w:r>
        <w:rPr>
          <w:rFonts w:hint="eastAsia" w:ascii="宋体" w:hAnsi="宋体" w:eastAsia="宋体" w:cs="宋体"/>
          <w:b w:val="0"/>
          <w:bCs w:val="0"/>
          <w:color w:val="auto"/>
          <w:sz w:val="21"/>
          <w:szCs w:val="21"/>
          <w:highlight w:val="none"/>
        </w:rPr>
        <w:t>数据发布</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针对数据发布功能，主要通过指标发布和整表发布两个层面进行优化：</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●指标发布</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新增指标发布功能，提供对于指标数据单独发布的功能，避免目前的整表和指标发布同时进行；如此即可以使业务人员更灵活的对不同数据进行发布，又避免了系统的冗余。</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其次增加发布指标，发布指标区别于管理指标，发布指标更偏向于业务层面的定义。通过对发布指标的维护，支持以业务层面对统计数据进行查询、分析及使用。</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再次通过管理指标树的功能，对管理指标和发布指标的映射提供支撑，通过一键发布功能进行指标映射，同时可以基于此进行指标的排列、组合。</w:t>
      </w:r>
    </w:p>
    <w:p>
      <w:pPr>
        <w:pStyle w:val="8"/>
        <w:pageBreakBefore w:val="0"/>
        <w:numPr>
          <w:ilvl w:val="0"/>
          <w:numId w:val="0"/>
        </w:numPr>
        <w:kinsoku/>
        <w:overflowPunct/>
        <w:topLinePunct w:val="0"/>
        <w:autoSpaceDE/>
        <w:autoSpaceDN/>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●整表发布</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整表发布新增整表部分发布功能，提供灵活决定整表数据所发布的行列数据范围。</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5.1.2.2</w:t>
      </w:r>
      <w:r>
        <w:rPr>
          <w:rFonts w:hint="eastAsia" w:ascii="宋体" w:hAnsi="宋体" w:eastAsia="宋体" w:cs="宋体"/>
          <w:b w:val="0"/>
          <w:bCs w:val="0"/>
          <w:color w:val="auto"/>
          <w:sz w:val="21"/>
          <w:szCs w:val="21"/>
          <w:highlight w:val="none"/>
        </w:rPr>
        <w:t>数据质量</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数据质量主要提供数据的质量检验功能，以期对数据的质量进行进一步的提高，主要通过冲突数据检查、数据奇异检查、地区数据检查、主要指标检查、连续性检查、合标性检查等几个方面进行。</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数据浙江系统IRS改造</w:t>
      </w:r>
    </w:p>
    <w:p>
      <w:pPr>
        <w:pStyle w:val="49"/>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5.2.1</w:t>
      </w:r>
      <w:r>
        <w:rPr>
          <w:rFonts w:hint="eastAsia" w:ascii="宋体" w:hAnsi="宋体" w:eastAsia="宋体" w:cs="宋体"/>
          <w:color w:val="auto"/>
          <w:sz w:val="21"/>
          <w:szCs w:val="21"/>
          <w:highlight w:val="none"/>
        </w:rPr>
        <w:t>数据浙江前端重构</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5.2.1.1</w:t>
      </w:r>
      <w:r>
        <w:rPr>
          <w:rFonts w:hint="eastAsia" w:ascii="宋体" w:hAnsi="宋体" w:eastAsia="宋体" w:cs="宋体"/>
          <w:b w:val="0"/>
          <w:bCs w:val="0"/>
          <w:color w:val="auto"/>
          <w:sz w:val="21"/>
          <w:szCs w:val="21"/>
          <w:highlight w:val="none"/>
        </w:rPr>
        <w:t>首页</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5.2.1.1.1门户图片</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门户图片重构，实现对门户图片进行改善及优化，支持门户图片在发布库首页自动跳转，通过点击门户图片可跳转至相应的发布信息详情页面。</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5.2.1.1.2数据解读</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数据解读重构，实现对数据解读的展示结构进行改善及优化，支持对最新8期的数据解读在发布库首页进行展示，通过点击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按钮可跳转至数据解读更多页面，展示所有数据解读的名称、发布日期及预览信息。点击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查看详情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按钮，可查看相应数据解读详细信息。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5.2.1.1.3数据查询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查询重构，实现对数据查询的展示结构进行改善及优化，支持按照年度、季度、月度的数据期别对调查制度进行分模块展示。调查制度以图标的形式进行展示，通过点击相应调查制度图标，可查看该调查制度详细指标信息。选择相应指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查询数据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按钮，以数据表形式展示指标的报告期和数据信息。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5.2.1.1.4宏观经济情况</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宏观经济情况重构，实现对宏观经济情况的展示结构进行改善及优化，支持按照调查制度进行分类，选择相应调查制度，以柱状图、折线图、柱折图等展现形式展示该调查制度下重点指标信息。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5.2.1.1.5整表数据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整表数据重构，实现对整表数据的展示结构进行改善及优化，支持按照年度、季度、月度的数据期别，对数据主题进行分类。根据数据主题展示相应整表数据的整表名称、报告期、发布日期及点击量信息。点击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按钮，可展示整表数据详细信息。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5.2.1.1.6月度卡片</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月度卡片重构，实现对月度卡片的展示结构进行改善及优化，支持按照按主题、按报表的数据主体，对数据主题进行分类。根据数据主题展示相应主题及报表的名称、报告期、发布日期及点击量信息。点击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按钮，可展示月度卡片详细信息。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5.2.1.1.7民生数据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民生数据重构，实现对民生数据的展示结构进行改善及优化，支持对最新6期的民生数据在发布库首页进行展示，通过点击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按钮可跳转至民生数据更多页面，展示所有民生数据的名称、发布日期及预览信息。点击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查看详情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按钮，可查看相应民生数据详细信息。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5.2.1.1.8统计公报</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统计公报重构，实现对统计公报的展示结构进行改善及优化，支持对最新6期的统计公报在发布库首页进行展示，通过点击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按钮可跳转至统计公报更多页面，展示所有统计公报的名称、发布日期及预览信息。点击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查看详情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按钮，可查看相应统计公报详细信息。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5.2.1.1.9统计年鉴</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统计年鉴重构，实现对统计年鉴的展示结构进行改善及优化，支持对最新6期的统计年鉴在发布库首页进行展示，通过点击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按钮可跳转至统计年鉴更多页面，展示所有统计年鉴的名称、发布日期及预览信息。点击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查看详情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按钮，可查看相应统计年鉴详细信息。</w:t>
      </w:r>
    </w:p>
    <w:p>
      <w:pPr>
        <w:pStyle w:val="5"/>
        <w:pageBreakBefore w:val="0"/>
        <w:numPr>
          <w:ilvl w:val="5"/>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5.2.1.1.10可视化产品</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可视化产品重构，实现对可视化的展示结构进行改善及优化，支持对最新3期的可视化产品在发布库首页进行展示，通过点击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更多可视化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按钮可跳转至可视化产品更多页面，展示所有可视化产品的名称、发布日期及预览信息。点击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查看详情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按钮，可查看相应可视化产品详细信息。</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5.2.1.2</w:t>
      </w:r>
      <w:r>
        <w:rPr>
          <w:rFonts w:hint="eastAsia" w:ascii="宋体" w:hAnsi="宋体" w:eastAsia="宋体" w:cs="宋体"/>
          <w:b w:val="0"/>
          <w:bCs w:val="0"/>
          <w:color w:val="auto"/>
          <w:sz w:val="21"/>
          <w:szCs w:val="21"/>
          <w:highlight w:val="none"/>
        </w:rPr>
        <w:t>整表查询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整表查询重构，实现对整表查询的展示结构进行改善及优化，支持按照年度、季度、月度的数据期别，对数据主题进行分类。根据数据主题展示相应整表查询的整表名称、报告期、发布日期及点击量信息。点击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按钮，可展示整表查询详细信息。</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5.2.1.3</w:t>
      </w:r>
      <w:r>
        <w:rPr>
          <w:rFonts w:hint="eastAsia" w:ascii="宋体" w:hAnsi="宋体" w:eastAsia="宋体" w:cs="宋体"/>
          <w:b w:val="0"/>
          <w:bCs w:val="0"/>
          <w:color w:val="auto"/>
          <w:sz w:val="21"/>
          <w:szCs w:val="21"/>
          <w:highlight w:val="none"/>
        </w:rPr>
        <w:t>月度卡片</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月度卡片重构，实现对月度卡片的展示结构进行改善及优化，支持按照按主题、按报表的数据主体，对数据主题进行分类。根据数据主题展示相应主题及报表的名称、报告期、发布日期及点击量信息。点击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按钮，可展示月度卡片详细信息。</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5.2.1.4</w:t>
      </w:r>
      <w:r>
        <w:rPr>
          <w:rFonts w:hint="eastAsia" w:ascii="宋体" w:hAnsi="宋体" w:eastAsia="宋体" w:cs="宋体"/>
          <w:b w:val="0"/>
          <w:bCs w:val="0"/>
          <w:color w:val="auto"/>
          <w:sz w:val="21"/>
          <w:szCs w:val="21"/>
          <w:highlight w:val="none"/>
        </w:rPr>
        <w:t>进度指标</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进度指标重构，实现对进度指标的展示结构进行改善及优化，支持按照月度数据和年度数据进行报告期别分类。根据报告期别分类以树形结构对指标信息进行展示，通过选择相信指标，点击</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查询数据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按钮，以数据表信息展示指标报告期及数据信息。</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5.2.1.5</w:t>
      </w:r>
      <w:r>
        <w:rPr>
          <w:rFonts w:hint="eastAsia" w:ascii="宋体" w:hAnsi="宋体" w:eastAsia="宋体" w:cs="宋体"/>
          <w:b w:val="0"/>
          <w:bCs w:val="0"/>
          <w:color w:val="auto"/>
          <w:sz w:val="21"/>
          <w:szCs w:val="21"/>
          <w:highlight w:val="none"/>
        </w:rPr>
        <w:t>年度指标</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年度指标重构，实现对年度指标的展示结构进行改善及优化，支持以树形结构对年度指标信息进行展示，通过选择相信指标，点击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查询数据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按钮，以数据表信息展示指标报告期及数据信息。</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5.2.1.6</w:t>
      </w:r>
      <w:r>
        <w:rPr>
          <w:rFonts w:hint="eastAsia" w:ascii="宋体" w:hAnsi="宋体" w:eastAsia="宋体" w:cs="宋体"/>
          <w:b w:val="0"/>
          <w:bCs w:val="0"/>
          <w:color w:val="auto"/>
          <w:sz w:val="21"/>
          <w:szCs w:val="21"/>
          <w:highlight w:val="none"/>
        </w:rPr>
        <w:t>数据要情</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数据要情重构，实现对数据要情的展示结构进行改善及优化，支持按照年度、季度、月度的数据期别对数据要情的名称、报告期、发布日期和点击量进行展示。点击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按钮，可查看数据要情的详细信息。</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5.2.1.7</w:t>
      </w:r>
      <w:r>
        <w:rPr>
          <w:rFonts w:hint="eastAsia" w:ascii="宋体" w:hAnsi="宋体" w:eastAsia="宋体" w:cs="宋体"/>
          <w:b w:val="0"/>
          <w:bCs w:val="0"/>
          <w:color w:val="auto"/>
          <w:sz w:val="21"/>
          <w:szCs w:val="21"/>
          <w:highlight w:val="none"/>
        </w:rPr>
        <w:t>综合查询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综合查询重构，实现对综合查询的展示结构进行改善及优化，支持检索历史搜索记录并智能匹配，点击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搜索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按钮，可对指标数据、整表数据、月卡数据、专题数据和可视化产品并进行模糊搜索。提供热词功能，对搜索频率高的关键字在搜索框下方进行展示</w:t>
      </w:r>
    </w:p>
    <w:p>
      <w:pPr>
        <w:pageBreakBefore w:val="0"/>
        <w:numPr>
          <w:ilvl w:val="0"/>
          <w:numId w:val="0"/>
        </w:numPr>
        <w:kinsoku/>
        <w:overflowPunct/>
        <w:topLinePunct w:val="0"/>
        <w:autoSpaceDE/>
        <w:autoSpaceDN/>
        <w:bidi w:val="0"/>
        <w:spacing w:line="360" w:lineRule="auto"/>
        <w:ind w:leftChars="0"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5.2.2</w:t>
      </w:r>
      <w:r>
        <w:rPr>
          <w:rFonts w:hint="eastAsia" w:ascii="宋体" w:hAnsi="宋体" w:eastAsia="宋体" w:cs="宋体"/>
          <w:color w:val="auto"/>
          <w:sz w:val="21"/>
          <w:szCs w:val="21"/>
          <w:highlight w:val="none"/>
        </w:rPr>
        <w:t xml:space="preserve">数据浙江后端改造 </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本次项目需要实现对数据浙江后端功能接口的改造工作，具体功能接口如下：</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●支持在发布库首页点击“数据查询”栏目的年度数据期别，从后台获取相应数据期别的调查制度信息，并在前端页面中，通过表格分别展示调查制度的信息。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●支持在发布库首页点击“数据查询”栏目，从后台获取到相应数据期别的名称信息，在前端页面中按年度、季度、月度的顺序进行排列展示。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解读”栏目时，从后台获取数据解读的标题、日期及预览信息，并在前端页面中，按发布时间倒叙展示数据解读的信息，通过点击”查看详情”按钮可以查看该数据解读的详细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●支持在发布库首页点击“各地区数据切换”栏目时，从后台获取浙江省的城市名称，并在前端页面中进行展示，通过点击相应城市名称按钮可以查看该城市的发布库首页信息。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●支持在发布库首页点击“门户数据”时，从后台获取门户数据详细信息，并在前端页面中进行展示该门户数据的详细信息。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●支持在发布库首页点击“搜索框”时，从后台获取搜索历史信息，并在前端页面中按时间倒序展示搜索的历史信息，通过点击该历史信息可以对该历史信息进行再次搜索。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●支持在发布库首页点击“年度指标”栏目时，从后台获取年度指标名称信息，并在前端页面中，按后台定义的顺序查看，选择某一指标后点击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查询数据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按钮可查看该指标的详细数据信息。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宏观经济情况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模块汇总的相应指标数据时，从后台获取指标的报告期和数据信息，并在前端页面中以图形化的形式进行展示，选择相应指标的报告期后可查看该指标相应报告期的详细数据信息。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●支持在发布库首页点击“月度卡片”栏目，从后台获取到相应查看方式信息，在前端页面进行展示。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●支持在发布库首页点击“民生数据”栏目，从后台获取到相应民生数据的信息，并在前端页面中，按发布日期倒叙，通过列表分别展示民生数据的信息，通过点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按钮可以查看该民生数据的详细信息。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●支持在发布库首页点击“数据查询”栏目，从后台获取到相应数据期别的名称信息，在前端页面中按年度、季度、月度的顺序进行排列展示。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●支持在发布库首页点击“热词管理”栏目，从后台获取热词的名称信息，并在前端页面中按后台定义的顺序进行查看，通过点击某一热词可查看该热词的详细数据信息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●支持在发布库首页点击“进度指标”栏目时，从后台获取月度数据及季度数据的栏目名称信息，并在前端页面中，按TAB页形式展示。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宏观经济情况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模块，从后台获取宏观经济指标的报告期和数据信息，并在前端页面中以模块形式进行展示。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●支持在发布库首页点击“进度指标”栏目时，从后台获取月度数据的指标名称信息，并在前端页面中，按后台定义的顺序进行展示。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●支持在发布库首页点击“民生数据”栏目，从后台获取到相应民生数据的信息，并在前端页面中，按发布日期倒叙，通过列表分别展示民生数据的信息。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●支持在发布库首页点击“民生数据”栏目，通过点击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查看详情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按钮，从后台获取该民生数据的详细信息。并在前端页面中进行展示。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●支持在发布库首页点击“进度指标”栏目时，从后台获取季度数据的指标名称信息，并在前端页面中，按后台定义的顺序查看进行展示。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●支持在发布库首页点击“进度指标”栏目时，从后台获取季度数据的指标名称信息，并在前端页面中，选择某一指标后点击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查询数据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按钮可查看该指标的详细数据信息。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●支持在发布库首页点击“进度指标”栏目时，从后台获取月度数据的指标名称信息，并在前端页面中，选择某一指标后点击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查询数据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按钮可查看该指标的详细数据信息。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●支持在发布库首页在“可视化产品”模块，从后台获取可视化产品的最新三期的名称信息及缩略图信息，在前端页面按照发布日期顺序进行可视化产品展示。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●支持在发布库首页点击“数据查询”栏目的季度数据期别，从后台获取相应数据期别的调查制度信息，并在前端页面中，通过表格分别展示调查制度的信息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●支持在发布库首页点击“数据查询”栏目的月度数据期别，从后台获取相应数据期别的调查制度信息，并在前端页面中，通过表格分别展示调查制度的信息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●支持在发布库首页点击“整表数据”栏目时，从后台获取数据期别信息，在前端页面中按照年度、季度、月度的顺序进行排列展示。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●支持在发布库首页点击“整表数据”栏目时，从后台获取年度数据期别的各个数据期别的数据主题，并在前端页面中，通过列表分别展示数据主题的信息，通过点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按钮可以查看该报表的详细信息。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●支持在发布库首页点击“整表数据”栏目时，从后台获取季度数据期别的各个数据期别的数据主题，并在前端页面中，通过列表分别展示数据主题的信息，通过点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按钮可以查看该报表的详细信息。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●支持在发布库首页点击“整表数据”栏目时，从后台获取月度数据期别的各个数据期别的数据主题，并在前端页面中，通过列表分别展示数据主题的信息，通过点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按钮可以查看该报表的详细信息。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●支持在发布库首页点击“数据查询”栏目获取到相应年度数据期别，从后台获取该数据期别的调查制度指标信息，在前端页面中按后台定义的顺序，以树形图的展示形式进行展现。</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●支持在发布库首页点击“数据查询”栏目获取到相应季度数据期别，从后台获取该数据期别的调查制度指标信息，在前端页面中按后台定义的顺序，以树形图的展示形式进行展现。</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●支持在发布库首页点击“数据查询”栏目获取到相应月度数据期别，从后台获取该数据期别的调查制度指标信息，在前端页面中按后台定义的顺序，以树形图的展示形式进行展现。</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●支持在发布库首页选择“可视化产品”模块中相应的可视化产品，从后台获取可视化产品的指标、报告期、数据、分析视图等详细信息，在前端页面对该可视化产品进行展示。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●支持在发布库首页选择“更多可视化”栏目，从后台获取可视化产品的名称、发布日期、预览信息和缩略图，在前端页面，按照发布日期倒叙对可视化产品进行展示。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●支持在发布库首页选择“更多可视化”栏目并从后台获取可视化产品的名称、发布日期、预览信息和缩略图后，点击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查看详情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按钮，从后台获取可视化产品的指标、报告期、数据、分析视图等详细信息，在前端页面对该可视化产品进行展示。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●支持在发布库首页点击“数据要情”栏目获取到相应月度数据期别，从后台获取该数据期别的数据要情名称、报告期、发布日期和点击率，在前端页面中按发布日期顺序排序，以列表的展示形式进行展现。</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●支持在发布库首页点击“数据要情”栏目获取到相应年度数据期别，从后台获取该数据期别的数据要情名称、报告期、发布日期和点击率，在前端页面中按发布日期顺序排序，以列表的展示形式进行展现。</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●支持在发布库首页点击“数据要情”栏目获取到相应季度数据期别，从后台获取该数据期别的数据要情名称、报告期、发布日期和点击率，在前端页面中按发布日期顺序排序，以列表的展示形式进行展现。</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●支持在发布库首页点击“数据要情”栏目，从后台获取到相应数据期别的名称信息，在前端页面中按年度、季度、月度的顺序进行排列展示。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●支持在发布库首页点击“数据要情”栏目中通过数据期别获取到的数据要情信息，点击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按钮，从后台获取数据要情的详细信息，在前端页面进行展示。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●支持在发布库首页点击“数据要情”栏目中数据要情的详细信息后，点击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报告期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按钮并选择相应报告期，从后台获取该数据要情详细报告期名称信息，在前端页面按报告期倒叙进行展示。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●支持在发布库首页点击“月度卡片”栏目中选择按主题分的查看方式，从后台获取到相应的月度卡片名称、报告期、发布日期和点击率，并在前端页面中，通过列表分别展示月度卡片的信息。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●支持在发布库首页点击“月度卡片”栏目中选择按报表分的查看方式，从后台获取到相应的月度卡片名称、报告期、发布日期和点击率，并在前端页面中，通过列表分别展示月度卡片的信息。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●支持在发布库首页点击“月度卡片”栏目，选择相应月度卡片信息，点击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按钮，从后台获取到相应的月度卡片信息，并在前端页面中对月度卡片信息进行展示。</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●支持在发布库首页点击“各地区数据切换”栏目时，从后台获取浙江省的各城市的区县名称，并在前端页面中进行展示，通过点击相应区县名称按钮可以查看该区县的发布库首页信息。</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●支持在发布库首页点击“新手指南”栏目时，从后台获取新手指南的详细信息，在前端页面对新手指南信息进行展示。</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5.2.3</w:t>
      </w:r>
      <w:r>
        <w:rPr>
          <w:rFonts w:hint="eastAsia" w:ascii="宋体" w:hAnsi="宋体" w:eastAsia="宋体" w:cs="宋体"/>
          <w:color w:val="auto"/>
          <w:sz w:val="21"/>
          <w:szCs w:val="21"/>
          <w:highlight w:val="none"/>
        </w:rPr>
        <w:t>移动端重构</w:t>
      </w:r>
    </w:p>
    <w:p>
      <w:pPr>
        <w:pStyle w:val="49"/>
        <w:pageBreakBefore w:val="0"/>
        <w:numPr>
          <w:ilvl w:val="0"/>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5.2.3.1</w:t>
      </w:r>
      <w:r>
        <w:rPr>
          <w:rFonts w:hint="eastAsia" w:ascii="宋体" w:hAnsi="宋体" w:eastAsia="宋体" w:cs="宋体"/>
          <w:b w:val="0"/>
          <w:bCs w:val="0"/>
          <w:color w:val="auto"/>
          <w:sz w:val="21"/>
          <w:szCs w:val="21"/>
          <w:highlight w:val="none"/>
        </w:rPr>
        <w:t>整表查询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表查询重构，实现对移动终端整表查询的展示结构进行改善及优化，支持按照数据主题进行分类。点击数据主题后选择要查询的指标及报告期，支持对整表信息进行展示，提供放大缩小按钮，对整表数据进行缩放查看。</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5.2.3.2</w:t>
      </w:r>
      <w:r>
        <w:rPr>
          <w:rFonts w:hint="eastAsia" w:ascii="宋体" w:hAnsi="宋体" w:eastAsia="宋体" w:cs="宋体"/>
          <w:b w:val="0"/>
          <w:bCs w:val="0"/>
          <w:color w:val="auto"/>
          <w:sz w:val="21"/>
          <w:szCs w:val="21"/>
          <w:highlight w:val="none"/>
        </w:rPr>
        <w:t>月卡数据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卡数据重构，实现对移动终端月卡数据的展示结构进行改善及优化，支持按照数据主题进行分类。点击数据主题后选择要查询的指标及报告期，支持对月卡数据信息进行展示，提供放大缩小按钮，对月卡数据进行缩放查看。</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5.2.3.3</w:t>
      </w:r>
      <w:r>
        <w:rPr>
          <w:rFonts w:hint="eastAsia" w:ascii="宋体" w:hAnsi="宋体" w:eastAsia="宋体" w:cs="宋体"/>
          <w:b w:val="0"/>
          <w:bCs w:val="0"/>
          <w:color w:val="auto"/>
          <w:sz w:val="21"/>
          <w:szCs w:val="21"/>
          <w:highlight w:val="none"/>
        </w:rPr>
        <w:t>进度数据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数据重构，实现对移动终端进度数据的展示结构进行改善及优化，支持按照指标进行分类。点击相应指标后选择所需报告期，支持对进度数据信息进行数据表及柱状图及折线图展示，提供放大缩小按钮，对进度数据进行缩放查看。</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5.2.3.4</w:t>
      </w:r>
      <w:r>
        <w:rPr>
          <w:rFonts w:hint="eastAsia" w:ascii="宋体" w:hAnsi="宋体" w:eastAsia="宋体" w:cs="宋体"/>
          <w:b w:val="0"/>
          <w:bCs w:val="0"/>
          <w:color w:val="auto"/>
          <w:sz w:val="21"/>
          <w:szCs w:val="21"/>
          <w:highlight w:val="none"/>
        </w:rPr>
        <w:t>年度数据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数据重构，实现对移动终端年度数据的展示结构进行改善及优化，支持按照数据主题进行分类。点击数据主题后选择要查询的指标及报告期，支持对年度数据信息进行数据表及柱状图及折线图展示，提供放大缩小按钮，对年度数据进行缩放查看。</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5.2.3.5</w:t>
      </w:r>
      <w:r>
        <w:rPr>
          <w:rFonts w:hint="eastAsia" w:ascii="宋体" w:hAnsi="宋体" w:eastAsia="宋体" w:cs="宋体"/>
          <w:b w:val="0"/>
          <w:bCs w:val="0"/>
          <w:color w:val="auto"/>
          <w:sz w:val="21"/>
          <w:szCs w:val="21"/>
          <w:highlight w:val="none"/>
        </w:rPr>
        <w:t>专题数据</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题数据重构，实现对移动终端专题数据的展示结构进行改善及优化，支持按照数据主题进行分类。点击数据主题后选择要查询的指标及报告期，支持对专题数据信息进行数据表及柱状图及折线图展示，提供放大缩小按钮，对专题数据进行缩放查看。</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5.2.3.6</w:t>
      </w:r>
      <w:r>
        <w:rPr>
          <w:rFonts w:hint="eastAsia" w:ascii="宋体" w:hAnsi="宋体" w:eastAsia="宋体" w:cs="宋体"/>
          <w:b w:val="0"/>
          <w:bCs w:val="0"/>
          <w:color w:val="auto"/>
          <w:sz w:val="21"/>
          <w:szCs w:val="21"/>
          <w:highlight w:val="none"/>
        </w:rPr>
        <w:t>分析查询</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分析查询重构，实现对移动终端分析查询的展示结构进行改善及优化，支持按照分析主题进行分类。点击分析主题后选择要查询的分析名称，展示分析详细信息，提供放大缩小按钮，对分析信息进行缩放查看。</w:t>
      </w:r>
    </w:p>
    <w:p>
      <w:pPr>
        <w:pStyle w:val="49"/>
        <w:pageBreakBefore w:val="0"/>
        <w:numPr>
          <w:ilvl w:val="0"/>
          <w:numId w:val="0"/>
        </w:numPr>
        <w:kinsoku/>
        <w:overflowPunct/>
        <w:topLinePunct w:val="0"/>
        <w:autoSpaceDE/>
        <w:autoSpaceDN/>
        <w:bidi w:val="0"/>
        <w:spacing w:line="360" w:lineRule="auto"/>
        <w:ind w:leftChars="0" w:firstLine="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5.2.4</w:t>
      </w:r>
      <w:r>
        <w:rPr>
          <w:rFonts w:hint="eastAsia" w:ascii="宋体" w:hAnsi="宋体" w:eastAsia="宋体" w:cs="宋体"/>
          <w:color w:val="auto"/>
          <w:sz w:val="21"/>
          <w:szCs w:val="21"/>
          <w:highlight w:val="none"/>
        </w:rPr>
        <w:t>数据浙江页面埋点设计</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采集埋点的主要目标是便于后续查询、统计应用的访问以及使用数据，应用内页面结构埋点即可采集用户在网站页面/关键区域的浏览、点击、曝光行为，让业务人员可更加直观的对比和分析用户在页面/关键区域的关注度、页面浏览次数和人数以及页面内各个元素的关注情况；</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5.2.4.1</w:t>
      </w:r>
      <w:r>
        <w:rPr>
          <w:rFonts w:hint="eastAsia" w:ascii="宋体" w:hAnsi="宋体" w:eastAsia="宋体" w:cs="宋体"/>
          <w:b w:val="0"/>
          <w:bCs w:val="0"/>
          <w:color w:val="auto"/>
          <w:sz w:val="21"/>
          <w:szCs w:val="21"/>
          <w:highlight w:val="none"/>
        </w:rPr>
        <w:t>应用所有页面需埋点</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应用内部首页及所有应用内跳转页面均需进行埋点并按参数规范上报，并整理成页面层级列表，页面层级关系以树状关系展示；页面名称可作为后台的事件分组名称，方便查找；</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5.2.4.2</w:t>
      </w:r>
      <w:r>
        <w:rPr>
          <w:rFonts w:hint="eastAsia" w:ascii="宋体" w:hAnsi="宋体" w:eastAsia="宋体" w:cs="宋体"/>
          <w:b w:val="0"/>
          <w:bCs w:val="0"/>
          <w:color w:val="auto"/>
          <w:sz w:val="21"/>
          <w:szCs w:val="21"/>
          <w:highlight w:val="none"/>
        </w:rPr>
        <w:t>素有页面内结构尽可能埋点</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内各页面需尽可能按照“页面-区块-位置-内容”的结构进行拆解并命名，页面区块、位置、内容命名方式做到方便查找且与页面一目了然进行匹配即可，并对关键结构区域进行埋点并按参数规范上报，需整理成页面结构列表，页面结构关系以树状关系展示；</w:t>
      </w:r>
    </w:p>
    <w:p>
      <w:pPr>
        <w:pStyle w:val="4"/>
        <w:pageBreakBefore w:val="0"/>
        <w:numPr>
          <w:ilvl w:val="4"/>
          <w:numId w:val="0"/>
        </w:numPr>
        <w:kinsoku/>
        <w:overflowPunct/>
        <w:topLinePunct w:val="0"/>
        <w:autoSpaceDE/>
        <w:autoSpaceDN/>
        <w:bidi w:val="0"/>
        <w:spacing w:before="0" w:beforeLines="0" w:after="0" w:afterLines="0" w:line="360" w:lineRule="auto"/>
        <w:ind w:left="0" w:lef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5.2.4.3</w:t>
      </w:r>
      <w:r>
        <w:rPr>
          <w:rFonts w:hint="eastAsia" w:ascii="宋体" w:hAnsi="宋体" w:eastAsia="宋体" w:cs="宋体"/>
          <w:b w:val="0"/>
          <w:bCs w:val="0"/>
          <w:color w:val="auto"/>
          <w:sz w:val="21"/>
          <w:szCs w:val="21"/>
          <w:highlight w:val="none"/>
        </w:rPr>
        <w:t>页面关键元素尽可能埋点：</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应用内各网站页面如有关键操作按钮、文章、图标等，应用提供方可按需进行整理在页面结构中展现，并做好区分按参数规范上报，以便后续能够识别并取数。</w:t>
      </w:r>
    </w:p>
    <w:p>
      <w:pPr>
        <w:pStyle w:val="56"/>
        <w:pageBreakBefore w:val="0"/>
        <w:numPr>
          <w:ilvl w:val="0"/>
          <w:numId w:val="0"/>
        </w:numPr>
        <w:kinsoku/>
        <w:overflowPunct/>
        <w:topLinePunct w:val="0"/>
        <w:autoSpaceDE/>
        <w:autoSpaceDN/>
        <w:bidi w:val="0"/>
        <w:spacing w:before="0" w:beforeLines="0" w:after="0" w:afterLines="0" w:line="360" w:lineRule="auto"/>
        <w:ind w:leftChars="0" w:firstLine="420" w:firstLineChars="200"/>
        <w:outlineLvl w:val="1"/>
        <w:rPr>
          <w:rFonts w:hint="eastAsia" w:ascii="宋体" w:hAnsi="宋体" w:eastAsia="宋体" w:cs="宋体"/>
          <w:bCs/>
          <w:color w:val="auto"/>
          <w:sz w:val="21"/>
          <w:szCs w:val="21"/>
          <w:highlight w:val="none"/>
          <w:lang w:val="en-US" w:eastAsia="zh-CN"/>
        </w:rPr>
      </w:pPr>
      <w:bookmarkStart w:id="123" w:name="_Toc31156"/>
      <w:bookmarkStart w:id="124" w:name="_Toc961"/>
      <w:r>
        <w:rPr>
          <w:rFonts w:hint="eastAsia" w:ascii="宋体" w:hAnsi="宋体" w:eastAsia="宋体" w:cs="宋体"/>
          <w:bCs/>
          <w:color w:val="auto"/>
          <w:sz w:val="21"/>
          <w:szCs w:val="21"/>
          <w:highlight w:val="none"/>
          <w:lang w:val="en-US" w:eastAsia="zh-CN"/>
        </w:rPr>
        <w:t>6.综合基础数据库建设</w:t>
      </w:r>
      <w:bookmarkEnd w:id="123"/>
      <w:bookmarkEnd w:id="124"/>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6.1</w:t>
      </w:r>
      <w:r>
        <w:rPr>
          <w:rFonts w:hint="eastAsia" w:ascii="宋体" w:hAnsi="宋体" w:eastAsia="宋体" w:cs="宋体"/>
          <w:color w:val="auto"/>
          <w:sz w:val="21"/>
          <w:szCs w:val="21"/>
          <w:highlight w:val="none"/>
        </w:rPr>
        <w:t>统计资料馆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统计资料馆中将所有上传的文献资料进行汇集展示，提供统计年鉴、统计公报、普查资料、内部资料、最新加载、点击排行、我的收藏等板块，提供统计专业人员进行数据查询。</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6.1.1首页</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统计资料馆首页提供统计年鉴、统计公报、普查资料、内部材料、最新加载、点击排行、我的收藏几个快捷查询栏目，并支持点击更多查看详情，为用户提供便利的文献查询功能。</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6.1.2统计年鉴</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提供浙江省历史统计年鉴查询，支持按照分类进行年鉴筛选，支持按照在线预览形式查看年鉴数据，并提供收藏、下载。</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6.1.3统计公报</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提供浙江省统计公报查询，支持按照分类进行公报筛选，支持按照在线预览形式查看公报内容，并提供收藏、下载。</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6.1.4普查资料</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提供浙江省普查资料查询，支持按照分类进行普查资料筛选，支持按照在线预览形式查看文档内容，并提供收藏、下载。</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6.1.5书籍杂志</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提供浙江省书籍杂志相关类目查询，如解读和评价浙江发展、数字魅力等，支持按照分类进行内容筛选，支持按照在线预览形式查看文档内容，并提供收藏、下载。</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6.1.6内部资料</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部资料按照专业进行分类，如工业、社会和科技、综合、固定资产投资、国民经济核算、人口和就业、能源和环境、服务业、贸易外经、新经济统计调查处、农业和农村、统计单位管理处、价格和居民生活等，分专业分目录筛选文献，提供在线预览形式查看文献内容，并提供收藏、下载。</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6.2</w:t>
      </w:r>
      <w:r>
        <w:rPr>
          <w:rFonts w:hint="eastAsia" w:ascii="宋体" w:hAnsi="宋体" w:eastAsia="宋体" w:cs="宋体"/>
          <w:color w:val="auto"/>
          <w:sz w:val="21"/>
          <w:szCs w:val="21"/>
          <w:highlight w:val="none"/>
        </w:rPr>
        <w:t>上报统计</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专业人员查询对应报表填报进情况，通过专业统计、专业上报明细、市县统计几个层面进行填报情况跟踪。专业统计主要是查询各个专业报表填报的情况，专业上报明细主要从具体报表的报送时间、上报人、是否迟报、迟报天数进行跟踪，市县统计支持查询下发至市县报送报表的填报进展情况。</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6.3</w:t>
      </w:r>
      <w:r>
        <w:rPr>
          <w:rFonts w:hint="eastAsia" w:ascii="宋体" w:hAnsi="宋体" w:eastAsia="宋体" w:cs="宋体"/>
          <w:color w:val="auto"/>
          <w:sz w:val="21"/>
          <w:szCs w:val="21"/>
          <w:highlight w:val="none"/>
        </w:rPr>
        <w:t>上报催报</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针对逾期未报、未报的报表，支持通过浙政钉、短信形式提醒专业人员进行数据填报。</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提醒人员支持配置，将催报消息推送至相关专业对应人员。</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6.4</w:t>
      </w:r>
      <w:r>
        <w:rPr>
          <w:rFonts w:hint="eastAsia" w:ascii="宋体" w:hAnsi="宋体" w:eastAsia="宋体" w:cs="宋体"/>
          <w:color w:val="auto"/>
          <w:sz w:val="21"/>
          <w:szCs w:val="21"/>
          <w:highlight w:val="none"/>
        </w:rPr>
        <w:t>报表查询</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按频度对报表进行分类，并通过规范的报表类别进行报表树展示，支持查询单个报表报送的数据情况。</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6.5</w:t>
      </w:r>
      <w:r>
        <w:rPr>
          <w:rFonts w:hint="eastAsia" w:ascii="宋体" w:hAnsi="宋体" w:eastAsia="宋体" w:cs="宋体"/>
          <w:color w:val="auto"/>
          <w:sz w:val="21"/>
          <w:szCs w:val="21"/>
          <w:highlight w:val="none"/>
        </w:rPr>
        <w:t>指标查询</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对原有指标监测功能进行优化，新增计算列、模板共享功能，对查询方式进行优化，通过自定义组合指标查询方式，进行数据查询。</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6.6制度管理</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制度管理模块中的报表管理模块中，提供报表排序管理功能，用于报表查询、填报查询等功能查询。</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6.7</w:t>
      </w:r>
      <w:r>
        <w:rPr>
          <w:rFonts w:hint="eastAsia" w:ascii="宋体" w:hAnsi="宋体" w:eastAsia="宋体" w:cs="宋体"/>
          <w:color w:val="auto"/>
          <w:sz w:val="21"/>
          <w:szCs w:val="21"/>
          <w:highlight w:val="none"/>
        </w:rPr>
        <w:t>智能编辑</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对原有分析文章功能进行优化，新增小数位数设置功能，支持对自动抓取的数值进行小数位数设置，支持四舍五入，提高分析文章定义效率。</w:t>
      </w:r>
    </w:p>
    <w:p>
      <w:pPr>
        <w:pageBreakBefore w:val="0"/>
        <w:kinsoku/>
        <w:overflowPunct/>
        <w:topLinePunct w:val="0"/>
        <w:autoSpaceDE/>
        <w:autoSpaceDN/>
        <w:bidi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6.8</w:t>
      </w:r>
      <w:r>
        <w:rPr>
          <w:rFonts w:hint="eastAsia" w:ascii="宋体" w:hAnsi="宋体" w:eastAsia="宋体" w:cs="宋体"/>
          <w:color w:val="auto"/>
          <w:sz w:val="21"/>
          <w:szCs w:val="21"/>
          <w:highlight w:val="none"/>
        </w:rPr>
        <w:t>手册制作</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提供浙江要情、月报、26县、区县排名、两办材料等资料本的报表实施服务，总数量在100张以内，通过专业人员提供的数据来源，进行报表初始化操作，生成相关数据手册。</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6.8.1报表初始化</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将专业提供的手册、要情等资料，进行模板初始化，并进行小数位数、只读模式等设置，并按照数据来源将指标、分组、对比项、地区、跨期取数等属性进行定义。</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6.8.2期别创建</w:t>
      </w:r>
    </w:p>
    <w:p>
      <w:pPr>
        <w:pStyle w:val="56"/>
        <w:pageBreakBefore w:val="0"/>
        <w:kinsoku/>
        <w:overflowPunct/>
        <w:topLinePunct w:val="0"/>
        <w:autoSpaceDE/>
        <w:autoSpaceDN/>
        <w:bidi w:val="0"/>
        <w:spacing w:before="0" w:beforeLines="0" w:after="0" w:afterLines="0" w:line="360" w:lineRule="auto"/>
        <w:ind w:firstLine="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将报表初始化后，对每个模板按照频度创建期别进行初始化，并通过查询进行数据检查。</w:t>
      </w:r>
    </w:p>
    <w:p>
      <w:pPr>
        <w:pStyle w:val="49"/>
        <w:pageBreakBefore w:val="0"/>
        <w:numPr>
          <w:ilvl w:val="4"/>
          <w:numId w:val="0"/>
        </w:numPr>
        <w:kinsoku/>
        <w:overflowPunct/>
        <w:topLinePunct w:val="0"/>
        <w:autoSpaceDE/>
        <w:autoSpaceDN/>
        <w:bidi w:val="0"/>
        <w:spacing w:line="360" w:lineRule="auto"/>
        <w:ind w:left="0" w:leftChars="0"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6.8.3手册主题创建</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对要情、月报等主题进行创建，将需要的报表进行选择，并排序。创建好后支持在手册查询中进行预览。</w:t>
      </w:r>
    </w:p>
    <w:p>
      <w:pPr>
        <w:pageBreakBefore w:val="0"/>
        <w:kinsoku/>
        <w:overflowPunct/>
        <w:topLinePunct w:val="0"/>
        <w:autoSpaceDE/>
        <w:autoSpaceDN/>
        <w:bidi w:val="0"/>
        <w:spacing w:line="360" w:lineRule="auto"/>
        <w:ind w:leftChars="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年鉴制作</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提供年鉴报表实施服务、排版服务，数量在320张以内，包含报表样式调整、期别创建、年鉴相关功能维护、报表样式排版等服务。</w:t>
      </w:r>
    </w:p>
    <w:p>
      <w:pPr>
        <w:pageBreakBefore w:val="0"/>
        <w:kinsoku/>
        <w:overflowPunct/>
        <w:topLinePunct w:val="0"/>
        <w:autoSpaceDE/>
        <w:autoSpaceDN/>
        <w:bidi w:val="0"/>
        <w:spacing w:line="360" w:lineRule="auto"/>
        <w:ind w:leftChars="0"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6.10</w:t>
      </w:r>
      <w:r>
        <w:rPr>
          <w:rFonts w:hint="eastAsia" w:ascii="宋体" w:hAnsi="宋体" w:eastAsia="宋体" w:cs="宋体"/>
          <w:color w:val="auto"/>
          <w:sz w:val="21"/>
          <w:szCs w:val="21"/>
          <w:highlight w:val="none"/>
        </w:rPr>
        <w:t>文献管理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对原先文献管理功能进行权限升级优化，</w:t>
      </w:r>
      <w:r>
        <w:rPr>
          <w:rFonts w:hint="eastAsia" w:ascii="宋体" w:hAnsi="宋体" w:eastAsia="宋体" w:cs="宋体"/>
          <w:color w:val="auto"/>
          <w:sz w:val="21"/>
          <w:szCs w:val="21"/>
          <w:highlight w:val="none"/>
          <w:lang w:val="en-US" w:eastAsia="zh-CN"/>
        </w:rPr>
        <w:t>将存储资源进行迁移至OSS，</w:t>
      </w:r>
      <w:r>
        <w:rPr>
          <w:rFonts w:hint="eastAsia" w:ascii="宋体" w:hAnsi="宋体" w:eastAsia="宋体" w:cs="宋体"/>
          <w:color w:val="auto"/>
          <w:sz w:val="21"/>
          <w:szCs w:val="21"/>
          <w:highlight w:val="none"/>
        </w:rPr>
        <w:t>以及新增批量上传文献、提供文献在线预览功能、新增排序功能，方便用户进行文献管理。</w:t>
      </w:r>
    </w:p>
    <w:p>
      <w:pPr>
        <w:pageBreakBefore w:val="0"/>
        <w:kinsoku/>
        <w:overflowPunct/>
        <w:topLinePunct w:val="0"/>
        <w:autoSpaceDE/>
        <w:autoSpaceDN/>
        <w:bidi w:val="0"/>
        <w:spacing w:line="360" w:lineRule="auto"/>
        <w:ind w:leftChars="0" w:firstLine="420" w:firstLineChars="200"/>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lang w:eastAsia="zh-CN"/>
        </w:rPr>
        <w:t>共享权限功能</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对原有系统整体进行权限升级，支持对综合报表、指标数据通过权限分配形式进行共享授权，提高数据安全性。</w:t>
      </w:r>
    </w:p>
    <w:p>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6.11.1权限管理</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支持对报表进行权限分配，默认查询本专业数据，非本专业报表需共享后才能进行查询。</w:t>
      </w:r>
    </w:p>
    <w:p>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6.11.2查询管控</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整表查询、指标监测查询等功能，按照权限管控规则，进行</w:t>
      </w:r>
      <w:r>
        <w:rPr>
          <w:rFonts w:hint="eastAsia" w:ascii="宋体" w:hAnsi="宋体" w:eastAsia="宋体" w:cs="宋体"/>
          <w:color w:val="auto"/>
          <w:sz w:val="21"/>
          <w:szCs w:val="21"/>
          <w:highlight w:val="none"/>
          <w:lang w:val="en-US" w:eastAsia="zh-CN"/>
        </w:rPr>
        <w:t>查询功能改造。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6.12</w:t>
      </w:r>
      <w:r>
        <w:rPr>
          <w:rFonts w:hint="eastAsia" w:ascii="宋体" w:hAnsi="宋体" w:eastAsia="宋体" w:cs="宋体"/>
          <w:color w:val="auto"/>
          <w:sz w:val="21"/>
          <w:szCs w:val="21"/>
          <w:highlight w:val="none"/>
        </w:rPr>
        <w:t>报表实施</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按照综合处提供的规范报表分类进行报表实施，将原有系统的所有报表归类至规范分类中。并提供规范分类报表查询。</w:t>
      </w:r>
    </w:p>
    <w:p>
      <w:pPr>
        <w:keepNext/>
        <w:keepLines/>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1"/>
        <w:rPr>
          <w:rFonts w:hint="eastAsia" w:ascii="宋体" w:hAnsi="宋体" w:eastAsia="宋体" w:cs="宋体"/>
          <w:b w:val="0"/>
          <w:bCs/>
          <w:color w:val="auto"/>
          <w:kern w:val="2"/>
          <w:sz w:val="21"/>
          <w:szCs w:val="21"/>
          <w:highlight w:val="none"/>
          <w:lang w:val="en-US" w:eastAsia="zh-CN" w:bidi="ar-SA"/>
        </w:rPr>
      </w:pPr>
      <w:bookmarkStart w:id="125" w:name="_Toc427"/>
      <w:bookmarkStart w:id="126" w:name="_Toc17556"/>
      <w:r>
        <w:rPr>
          <w:rFonts w:hint="eastAsia" w:ascii="宋体" w:hAnsi="宋体" w:eastAsia="宋体" w:cs="宋体"/>
          <w:b w:val="0"/>
          <w:bCs/>
          <w:color w:val="auto"/>
          <w:kern w:val="2"/>
          <w:sz w:val="21"/>
          <w:szCs w:val="21"/>
          <w:highlight w:val="none"/>
          <w:lang w:val="en-US" w:eastAsia="zh-CN" w:bidi="ar-SA"/>
        </w:rPr>
        <w:t>7.数据质量管控系统（二期）</w:t>
      </w:r>
      <w:bookmarkEnd w:id="125"/>
      <w:bookmarkEnd w:id="126"/>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7.1</w:t>
      </w:r>
      <w:r>
        <w:rPr>
          <w:rFonts w:hint="eastAsia" w:ascii="宋体" w:hAnsi="宋体" w:eastAsia="宋体" w:cs="宋体"/>
          <w:color w:val="auto"/>
          <w:sz w:val="21"/>
          <w:szCs w:val="21"/>
          <w:highlight w:val="none"/>
        </w:rPr>
        <w:t>企业预警结果一套表对接</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质量管控系统在联网直报一套表平台基础上，增加不同表种逻辑性审核、部门数据匹配性审核、变动趋势合理性审核，对存疑数据即时提醒，通过与一套表进行对接，将预警结果推送至一套表平台，以减轻基层负担，提高工作效率和数据质量。</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7.2</w:t>
      </w:r>
      <w:r>
        <w:rPr>
          <w:rFonts w:hint="eastAsia" w:ascii="宋体" w:hAnsi="宋体" w:eastAsia="宋体" w:cs="宋体"/>
          <w:color w:val="auto"/>
          <w:sz w:val="21"/>
          <w:szCs w:val="21"/>
          <w:highlight w:val="none"/>
        </w:rPr>
        <w:t>驾驶舱改版</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舱页面适应重大应用整体风格，背景由原先白底版式调整为深色底。从功能设计上，增加各专业功能模块导航，可从驾驶舱进入专业主要指标管控页面；从数据层面上，增加主要宏观指标和GDP核算主要指标模块，展示重点关注指标数据。</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7.3</w:t>
      </w:r>
      <w:r>
        <w:rPr>
          <w:rFonts w:hint="eastAsia" w:ascii="宋体" w:hAnsi="宋体" w:eastAsia="宋体" w:cs="宋体"/>
          <w:color w:val="auto"/>
          <w:sz w:val="21"/>
          <w:szCs w:val="21"/>
          <w:highlight w:val="none"/>
        </w:rPr>
        <w:t>农业新增功能</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进一步征求市、县农业统计的需求和建议，不断完善现有功能，开发新功能，并下沿到村级报表审核。增加功能：</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“抄袭报表”“僵尸数据”审核</w:t>
      </w:r>
      <w:r>
        <w:rPr>
          <w:rFonts w:hint="eastAsia" w:eastAsia="宋体" w:cs="宋体"/>
          <w:color w:val="auto"/>
          <w:sz w:val="21"/>
          <w:szCs w:val="21"/>
          <w:highlight w:val="none"/>
          <w:lang w:eastAsia="zh-CN"/>
        </w:rPr>
        <w:t>，</w:t>
      </w:r>
      <w:r>
        <w:rPr>
          <w:rFonts w:hint="eastAsia" w:ascii="宋体" w:hAnsi="宋体" w:eastAsia="宋体" w:cs="宋体"/>
          <w:color w:val="auto"/>
          <w:sz w:val="21"/>
          <w:szCs w:val="21"/>
          <w:highlight w:val="none"/>
        </w:rPr>
        <w:t>审核村或乡填报的年度数据，近3年填报数据类似的数据。并支持通过自动计算形式，将抄袭报表、僵尸数据</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同类型县、乡、村单产等指标的横向审核</w:t>
      </w:r>
      <w:r>
        <w:rPr>
          <w:rFonts w:hint="eastAsia" w:eastAsia="宋体" w:cs="宋体"/>
          <w:color w:val="auto"/>
          <w:sz w:val="21"/>
          <w:szCs w:val="21"/>
          <w:highlight w:val="none"/>
          <w:lang w:eastAsia="zh-CN"/>
        </w:rPr>
        <w:t>，</w:t>
      </w:r>
      <w:r>
        <w:rPr>
          <w:rFonts w:hint="eastAsia" w:ascii="宋体" w:hAnsi="宋体" w:eastAsia="宋体" w:cs="宋体"/>
          <w:color w:val="auto"/>
          <w:sz w:val="21"/>
          <w:szCs w:val="21"/>
          <w:highlight w:val="none"/>
        </w:rPr>
        <w:t>对乡和村单产进行审核。</w:t>
      </w:r>
    </w:p>
    <w:p>
      <w:pPr>
        <w:pageBreakBefore w:val="0"/>
        <w:widowControl/>
        <w:kinsoku/>
        <w:overflowPunct/>
        <w:topLinePunct w:val="0"/>
        <w:autoSpaceDE/>
        <w:autoSpaceDN/>
        <w:bidi w:val="0"/>
        <w:spacing w:line="360" w:lineRule="auto"/>
        <w:ind w:firstLine="420" w:firstLineChars="20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实现所有功能能够让市、县用户使用，审核结果能下载，均能实现他们自己辖区的分地区审核结果。</w:t>
      </w:r>
    </w:p>
    <w:p>
      <w:pPr>
        <w:keepNext/>
        <w:keepLines/>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1"/>
        <w:rPr>
          <w:rFonts w:hint="eastAsia" w:ascii="宋体" w:hAnsi="宋体" w:eastAsia="宋体" w:cs="宋体"/>
          <w:b w:val="0"/>
          <w:bCs/>
          <w:color w:val="auto"/>
          <w:kern w:val="2"/>
          <w:sz w:val="21"/>
          <w:szCs w:val="21"/>
          <w:highlight w:val="none"/>
          <w:lang w:val="en-US" w:eastAsia="zh-CN" w:bidi="ar-SA"/>
        </w:rPr>
      </w:pPr>
      <w:bookmarkStart w:id="127" w:name="_Toc25980"/>
      <w:bookmarkStart w:id="128" w:name="_Toc21412"/>
      <w:r>
        <w:rPr>
          <w:rFonts w:hint="eastAsia" w:ascii="宋体" w:hAnsi="宋体" w:eastAsia="宋体" w:cs="宋体"/>
          <w:b w:val="0"/>
          <w:bCs/>
          <w:color w:val="auto"/>
          <w:kern w:val="2"/>
          <w:sz w:val="21"/>
          <w:szCs w:val="21"/>
          <w:highlight w:val="none"/>
          <w:lang w:val="en-US" w:eastAsia="zh-CN" w:bidi="ar-SA"/>
        </w:rPr>
        <w:t>8.碳排放智能统计核算</w:t>
      </w:r>
      <w:bookmarkEnd w:id="127"/>
      <w:bookmarkEnd w:id="12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lang w:eastAsia="zh-CN"/>
        </w:rPr>
        <w:t xml:space="preserve">数据自动汇集 </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浙江统计联网直报平台（一套表平台）数据为依托，归集电力、经信、发改等省级相关部门数据，形成包含近5万家规模以上工业企业，涉及煤、电、油、气等39类主要能源品种生产、消费、回收、加工转换消费数据以及六大领域行业数据的碳主题业务数据仓，汇集数据记录约2000万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8.2数据多跨校验</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利用发改委能源监测中心提供的重点用能企业在线监测数据以及省电力公司有关数据，多跨协同开展分企业数据校核验证，全面提升碳排放统计核算基础数据质量。</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8.2.1</w:t>
      </w:r>
      <w:r>
        <w:rPr>
          <w:rFonts w:hint="eastAsia" w:ascii="宋体" w:hAnsi="宋体" w:eastAsia="宋体" w:cs="宋体"/>
          <w:color w:val="auto"/>
          <w:sz w:val="21"/>
          <w:szCs w:val="21"/>
          <w:highlight w:val="none"/>
        </w:rPr>
        <w:t>发改数据</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将发改提供的数据与统计局能耗数据进行比对，并计算差异率，对差异率进行分档，提供企业明细数据查询。</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8.2.2</w:t>
      </w:r>
      <w:r>
        <w:rPr>
          <w:rFonts w:hint="eastAsia" w:ascii="宋体" w:hAnsi="宋体" w:eastAsia="宋体" w:cs="宋体"/>
          <w:color w:val="auto"/>
          <w:sz w:val="21"/>
          <w:szCs w:val="21"/>
          <w:highlight w:val="none"/>
        </w:rPr>
        <w:t>电力数据</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将发改提供的数据与统计局发电煤耗数据进行比对，并计算差异率，对差异率进行分档，提供企业明细数据查询。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8.3碳排“一键核算” </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综合集成39类能源产品分领域、分类型消费量数据的基础上，结合化石电力地区间调入调出数据，构建碳核算模型，按不同品种和类型开展智能核算，将碳排放核算复杂计算过程（超过1000个指标，上万条计算公式）内置于平台底层，自动核算分地区、分领域（工业、能源、建筑、交通、农业、居民生活六大领域）、分行业碳排放量，实现核算数据可追溯、核算过程可重复、核算结果可推送，将碳排放核算业务由第三方机构代理转为平台全流程客观透明核算（一键核算）。</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8.3.1</w:t>
      </w:r>
      <w:r>
        <w:rPr>
          <w:rFonts w:hint="eastAsia" w:ascii="宋体" w:hAnsi="宋体" w:eastAsia="宋体" w:cs="宋体"/>
          <w:color w:val="auto"/>
          <w:sz w:val="21"/>
          <w:szCs w:val="21"/>
          <w:highlight w:val="none"/>
        </w:rPr>
        <w:t>分品种</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品种分析能耗、碳排放情况，能耗品种包括煤品燃料、油品燃料、气燃料、外来电、其他能源。碳排放品种包括生产端、消费端，生产端包括煤品燃料、油品燃料、气燃料、外来电等，消费端包括煤品燃料、油品燃料、气燃料、电力、热力等。</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8.3.2</w:t>
      </w:r>
      <w:r>
        <w:rPr>
          <w:rFonts w:hint="eastAsia" w:ascii="宋体" w:hAnsi="宋体" w:eastAsia="宋体" w:cs="宋体"/>
          <w:color w:val="auto"/>
          <w:sz w:val="21"/>
          <w:szCs w:val="21"/>
          <w:highlight w:val="none"/>
        </w:rPr>
        <w:t>重点指标</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重点指标主要从化石构成、其中原材料、非化石沟通三部分，非化石构成主要包括水电、核电、风电、太阳能、其他占比情况。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8.3.3</w:t>
      </w:r>
      <w:r>
        <w:rPr>
          <w:rFonts w:hint="eastAsia" w:ascii="宋体" w:hAnsi="宋体" w:eastAsia="宋体" w:cs="宋体"/>
          <w:color w:val="auto"/>
          <w:sz w:val="21"/>
          <w:szCs w:val="21"/>
          <w:highlight w:val="none"/>
        </w:rPr>
        <w:t>分产业增加值</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分产业增加值主要从农林牧渔业、工业、建筑业、服务业几方面分析分地区产业增加值情况。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8.3.4</w:t>
      </w:r>
      <w:r>
        <w:rPr>
          <w:rFonts w:hint="eastAsia" w:ascii="宋体" w:hAnsi="宋体" w:eastAsia="宋体" w:cs="宋体"/>
          <w:color w:val="auto"/>
          <w:sz w:val="21"/>
          <w:szCs w:val="21"/>
          <w:highlight w:val="none"/>
        </w:rPr>
        <w:t>分产业总量</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分产业总量主要从农林牧渔业、工业、建筑业、服务业、城镇、乡村产业方面的能耗、碳排放总量情况。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8.4碳效“智能对标”</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全国首创建立“5+3”碳效智能对标体系，分别将企业碳效与行业平均碳效比对，建立5级碳效体系，与工业平均碳效比对建立3级碳效体系，智能赋予企业碳效码。</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8.4.1</w:t>
      </w:r>
      <w:r>
        <w:rPr>
          <w:rFonts w:hint="eastAsia" w:ascii="宋体" w:hAnsi="宋体" w:eastAsia="宋体" w:cs="宋体"/>
          <w:color w:val="auto"/>
          <w:sz w:val="21"/>
          <w:szCs w:val="21"/>
          <w:highlight w:val="none"/>
        </w:rPr>
        <w:t>碳效工业对标</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碳效工业对标主要分析一级、二级、三级企业的占比情况以及排放量占比情况。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8.4.2</w:t>
      </w:r>
      <w:r>
        <w:rPr>
          <w:rFonts w:hint="eastAsia" w:ascii="宋体" w:hAnsi="宋体" w:eastAsia="宋体" w:cs="宋体"/>
          <w:color w:val="auto"/>
          <w:sz w:val="21"/>
          <w:szCs w:val="21"/>
          <w:highlight w:val="none"/>
        </w:rPr>
        <w:t>各地市工业对标占比情况</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工业对标占比情况主要从分地区层面分析一级、二级、三级的企业数占比、排放量占比。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8.4.3</w:t>
      </w:r>
      <w:r>
        <w:rPr>
          <w:rFonts w:hint="eastAsia" w:ascii="宋体" w:hAnsi="宋体" w:eastAsia="宋体" w:cs="宋体"/>
          <w:color w:val="auto"/>
          <w:sz w:val="21"/>
          <w:szCs w:val="21"/>
          <w:highlight w:val="none"/>
        </w:rPr>
        <w:t>行业对标一级至五级分布企业</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支持按照地图形式，体现一级、五级的预警情况，区间颜色按一级企业占比从高到低排序，反应预警情况。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8.4.4</w:t>
      </w:r>
      <w:r>
        <w:rPr>
          <w:rFonts w:hint="eastAsia" w:ascii="宋体" w:hAnsi="宋体" w:eastAsia="宋体" w:cs="宋体"/>
          <w:color w:val="auto"/>
          <w:sz w:val="21"/>
          <w:szCs w:val="21"/>
          <w:highlight w:val="none"/>
        </w:rPr>
        <w:t>八大高碳行业企业数占比</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八大高碳行业从工业对标、行业对标两方面查看一级、二级、三级占比情况。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8.4.5</w:t>
      </w:r>
      <w:r>
        <w:rPr>
          <w:rFonts w:hint="eastAsia" w:ascii="宋体" w:hAnsi="宋体" w:eastAsia="宋体" w:cs="宋体"/>
          <w:color w:val="auto"/>
          <w:sz w:val="21"/>
          <w:szCs w:val="21"/>
          <w:highlight w:val="none"/>
        </w:rPr>
        <w:t>碳效行业对标</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碳效工业对标主要分析一级、二级、三级、四级、五级企业的占比情况以及排放量占比情况。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8.4.6</w:t>
      </w:r>
      <w:r>
        <w:rPr>
          <w:rFonts w:hint="eastAsia" w:ascii="宋体" w:hAnsi="宋体" w:eastAsia="宋体" w:cs="宋体"/>
          <w:color w:val="auto"/>
          <w:sz w:val="21"/>
          <w:szCs w:val="21"/>
          <w:highlight w:val="none"/>
        </w:rPr>
        <w:t>各地市行业对标占比情况</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工业对标占比情况主要从分地区层面分析一级、二级、三级、四级、五级的企业数占比、排放量占比。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8.5碳排放预测</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筹兼顾经济发展、能源安全、碳排放和百姓生活四个维度，围绕能耗总量、能耗强度、碳排放总量、碳排放强度四个指标，基于浙江省经济社会发展现状及趋势、能源消费结构现状和趋势、国家下达能耗考核相关约束性指标等因素，重点考虑浙江省分产业GDP、分产业单耗、分产业能源消费结构、电力装机结构、重大项目等关键变量，预测浙江省中长期碳排放及碳达峰进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8.6系统管理</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系统管理整体应用基础功能，主要包括用户管理、权限管理、日志管理、接口对接管理内容。</w:t>
      </w:r>
    </w:p>
    <w:p>
      <w:pPr>
        <w:keepNext/>
        <w:keepLines/>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1"/>
        <w:rPr>
          <w:rFonts w:hint="eastAsia" w:ascii="宋体" w:hAnsi="宋体" w:eastAsia="宋体" w:cs="宋体"/>
          <w:b w:val="0"/>
          <w:bCs/>
          <w:color w:val="auto"/>
          <w:kern w:val="2"/>
          <w:sz w:val="21"/>
          <w:szCs w:val="21"/>
          <w:highlight w:val="none"/>
          <w:lang w:val="en-US" w:eastAsia="zh-CN" w:bidi="ar-SA"/>
        </w:rPr>
      </w:pPr>
      <w:bookmarkStart w:id="129" w:name="_Toc21642"/>
      <w:bookmarkStart w:id="130" w:name="_Toc4568"/>
      <w:r>
        <w:rPr>
          <w:rFonts w:hint="eastAsia" w:ascii="宋体" w:hAnsi="宋体" w:eastAsia="宋体" w:cs="宋体"/>
          <w:b w:val="0"/>
          <w:bCs/>
          <w:color w:val="auto"/>
          <w:kern w:val="2"/>
          <w:sz w:val="21"/>
          <w:szCs w:val="21"/>
          <w:highlight w:val="none"/>
          <w:lang w:val="en-US" w:eastAsia="zh-CN" w:bidi="ar-SA"/>
        </w:rPr>
        <w:t>9.统计单位全生命周期管理</w:t>
      </w:r>
      <w:bookmarkEnd w:id="129"/>
      <w:bookmarkEnd w:id="130"/>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9.1省级部门原始数据管理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对市监、税务、民政、编办、人社、司法、农业等多个部门数据进行收集管理，具备查询、比对、排重、标记、汇总等功能。</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9.2市级自有部门数据管理</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满足各市自有部门数据的导入和管理，具备查询、比对、排重、标记、汇总等功能。</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9.3对接国家名录库系统</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与国家名录库系统打通，实现查询、比对、标记、调用等功能。</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9.4对接国家审批系统</w:t>
      </w:r>
    </w:p>
    <w:p>
      <w:pPr>
        <w:pageBreakBefore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与国家调查单位审批库系统打通，实现在审批页面实时调用单位证照信息的功能。</w:t>
      </w:r>
    </w:p>
    <w:p>
      <w:pPr>
        <w:keepNext/>
        <w:keepLines/>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1"/>
        <w:rPr>
          <w:rFonts w:hint="eastAsia" w:ascii="宋体" w:hAnsi="宋体" w:eastAsia="宋体" w:cs="宋体"/>
          <w:b w:val="0"/>
          <w:bCs/>
          <w:color w:val="auto"/>
          <w:kern w:val="2"/>
          <w:sz w:val="21"/>
          <w:szCs w:val="21"/>
          <w:highlight w:val="none"/>
          <w:lang w:val="en-US" w:eastAsia="zh-CN" w:bidi="ar-SA"/>
        </w:rPr>
      </w:pPr>
      <w:bookmarkStart w:id="131" w:name="_Toc8072"/>
      <w:bookmarkStart w:id="132" w:name="_Toc25738"/>
      <w:r>
        <w:rPr>
          <w:rFonts w:hint="eastAsia" w:ascii="宋体" w:hAnsi="宋体" w:eastAsia="宋体" w:cs="宋体"/>
          <w:b w:val="0"/>
          <w:bCs/>
          <w:color w:val="auto"/>
          <w:kern w:val="2"/>
          <w:sz w:val="21"/>
          <w:szCs w:val="21"/>
          <w:highlight w:val="none"/>
          <w:lang w:val="en-US" w:eastAsia="zh-CN" w:bidi="ar-SA"/>
        </w:rPr>
        <w:t>10.高能级战略平台</w:t>
      </w:r>
      <w:bookmarkEnd w:id="131"/>
      <w:bookmarkEnd w:id="132"/>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10.1</w:t>
      </w:r>
      <w:r>
        <w:rPr>
          <w:rFonts w:hint="eastAsia" w:ascii="宋体" w:hAnsi="宋体" w:eastAsia="宋体" w:cs="宋体"/>
          <w:color w:val="auto"/>
          <w:sz w:val="21"/>
          <w:szCs w:val="21"/>
          <w:highlight w:val="none"/>
        </w:rPr>
        <w:t>监测总屏</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通过联合地理信息系统，绘制大湾区新区和高能级战略平台的区域图，精准展示新区和高能级战略平台的区域范围；</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通过轮番展示营业收入、固定资产投资、工业增加值等指标的经济数据来反映全省新区和高能级战略平台的规模实力，以及在全省的地位；</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对新区和高能级战略平台内企业的主要经济指标进行监测，对发展过快、过慢或存在数据质量风险的企业进行预警；</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与统计单位全生命周期应用相结合，动态展示新区和高能级战略平台范围内的龙头企业、特色企业的情况；</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建设固定资产投资项目和企业名录上传和分区新增、删减页面，做到数据自动更新，基层只需定期做好维护，解决原来线下手工核对和反馈，多步骤汇总的难题。</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10.2</w:t>
      </w:r>
      <w:r>
        <w:rPr>
          <w:rFonts w:hint="eastAsia" w:ascii="宋体" w:hAnsi="宋体" w:eastAsia="宋体" w:cs="宋体"/>
          <w:color w:val="auto"/>
          <w:sz w:val="21"/>
          <w:szCs w:val="21"/>
          <w:highlight w:val="none"/>
        </w:rPr>
        <w:t>分区屏</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由新区和高能级战略平台提供空间规划图，通过文字和规划图初步展示各新区和高能级战略平台的区域地位和发展方向；</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通过轮番展示营业收入、固定资产投资、工业增加值等指标的经济数据来反映各新区和高能级战略平台的规模实力，以及在全省的地位；</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结合发改委的考核指标和监测制度，从创新活力、共享融合、绿色安全、协调高效、开放包容和规模实力六个方面以综合得分的方式反映各新区和高能级战略平台的综合发展状况</w:t>
      </w:r>
    </w:p>
    <w:p>
      <w:pPr>
        <w:pageBreakBefore w:val="0"/>
        <w:kinsoku/>
        <w:overflowPunct/>
        <w:topLinePunct w:val="0"/>
        <w:autoSpaceDE/>
        <w:autoSpaceDN/>
        <w:bidi w:val="0"/>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10.3</w:t>
      </w:r>
      <w:r>
        <w:rPr>
          <w:rFonts w:hint="eastAsia" w:ascii="宋体" w:hAnsi="宋体" w:eastAsia="宋体" w:cs="宋体"/>
          <w:color w:val="auto"/>
          <w:sz w:val="21"/>
          <w:szCs w:val="21"/>
          <w:highlight w:val="none"/>
        </w:rPr>
        <w:t>行业屏</w:t>
      </w:r>
    </w:p>
    <w:p>
      <w:pPr>
        <w:pStyle w:val="56"/>
        <w:pageBreakBefore w:val="0"/>
        <w:kinsoku/>
        <w:overflowPunct/>
        <w:topLinePunct w:val="0"/>
        <w:autoSpaceDE/>
        <w:autoSpaceDN/>
        <w:bidi w:val="0"/>
        <w:spacing w:before="0" w:beforeLines="0" w:after="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通过对分新区工业、服务业、批零和住餐业、平台规模、共享融合、创新活力、人口、核心部门数据 核心指标与增长情况全面展示新区的发展状况，同时为提供与新区总和、所在地级市数据可视化对比，为各级政府对新区和高能级战略平台精准施策提供了有力支撑。</w:t>
      </w:r>
    </w:p>
    <w:p>
      <w:pPr>
        <w:keepNext/>
        <w:keepLines/>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1"/>
        <w:rPr>
          <w:rFonts w:hint="eastAsia" w:ascii="宋体" w:hAnsi="宋体" w:eastAsia="宋体" w:cs="宋体"/>
          <w:b w:val="0"/>
          <w:bCs/>
          <w:color w:val="auto"/>
          <w:kern w:val="2"/>
          <w:sz w:val="21"/>
          <w:szCs w:val="21"/>
          <w:highlight w:val="none"/>
          <w:lang w:val="en-US" w:eastAsia="zh-CN" w:bidi="ar-SA"/>
        </w:rPr>
      </w:pPr>
      <w:bookmarkStart w:id="133" w:name="_Toc3502"/>
      <w:bookmarkStart w:id="134" w:name="_Toc1940"/>
      <w:r>
        <w:rPr>
          <w:rFonts w:hint="eastAsia" w:ascii="宋体" w:hAnsi="宋体" w:eastAsia="宋体" w:cs="宋体"/>
          <w:b w:val="0"/>
          <w:bCs/>
          <w:color w:val="auto"/>
          <w:kern w:val="2"/>
          <w:sz w:val="21"/>
          <w:szCs w:val="21"/>
          <w:highlight w:val="none"/>
          <w:lang w:val="en-US" w:eastAsia="zh-CN" w:bidi="ar-SA"/>
        </w:rPr>
        <w:t>11.服务业数字化展示</w:t>
      </w:r>
      <w:bookmarkEnd w:id="133"/>
      <w:bookmarkEnd w:id="134"/>
    </w:p>
    <w:p>
      <w:pPr>
        <w:keepNext w:val="0"/>
        <w:keepLines w:val="0"/>
        <w:pageBreakBefore w:val="0"/>
        <w:kinsoku/>
        <w:wordWrap/>
        <w:overflowPunct/>
        <w:topLinePunct w:val="0"/>
        <w:autoSpaceDE/>
        <w:autoSpaceDN/>
        <w:bidi w:val="0"/>
        <w:adjustRightInd/>
        <w:snapToGrid/>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11.1</w:t>
      </w:r>
      <w:r>
        <w:rPr>
          <w:rFonts w:hint="eastAsia" w:ascii="宋体" w:hAnsi="宋体" w:eastAsia="宋体" w:cs="宋体"/>
          <w:color w:val="auto"/>
          <w:sz w:val="21"/>
          <w:szCs w:val="21"/>
          <w:highlight w:val="none"/>
        </w:rPr>
        <w:t>建模预测</w:t>
      </w:r>
    </w:p>
    <w:p>
      <w:pPr>
        <w:pStyle w:val="26"/>
        <w:keepNext w:val="0"/>
        <w:keepLines w:val="0"/>
        <w:pageBreakBefore w:val="0"/>
        <w:kinsoku/>
        <w:wordWrap/>
        <w:overflowPunct/>
        <w:topLinePunct w:val="0"/>
        <w:autoSpaceDE/>
        <w:autoSpaceDN/>
        <w:bidi w:val="0"/>
        <w:adjustRightInd/>
        <w:snapToGrid/>
        <w:spacing w:after="0" w:line="360" w:lineRule="auto"/>
        <w:ind w:leftChars="0"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依托统计大脑，采集汇通和服务业相关的政府统计数据、部门统计数据、行业统计数据和其他可用数据，实现服务业横向、纵向多跨数据协同。</w:t>
      </w:r>
    </w:p>
    <w:p>
      <w:pPr>
        <w:keepNext w:val="0"/>
        <w:keepLines w:val="0"/>
        <w:pageBreakBefore w:val="0"/>
        <w:numPr>
          <w:ilvl w:val="4"/>
          <w:numId w:val="0"/>
        </w:numPr>
        <w:kinsoku/>
        <w:wordWrap/>
        <w:overflowPunct/>
        <w:topLinePunct w:val="0"/>
        <w:autoSpaceDE/>
        <w:autoSpaceDN/>
        <w:bidi w:val="0"/>
        <w:adjustRightInd/>
        <w:snapToGrid/>
        <w:spacing w:line="360" w:lineRule="auto"/>
        <w:ind w:leftChars="0" w:firstLine="420" w:firstLineChars="200"/>
        <w:outlineLvl w:val="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11.1.1</w:t>
      </w:r>
      <w:r>
        <w:rPr>
          <w:rFonts w:hint="eastAsia" w:ascii="宋体" w:hAnsi="宋体" w:eastAsia="宋体" w:cs="宋体"/>
          <w:color w:val="auto"/>
          <w:sz w:val="21"/>
          <w:szCs w:val="21"/>
          <w:highlight w:val="none"/>
          <w:lang w:eastAsia="zh-CN"/>
        </w:rPr>
        <w:t>生产指数预测模型</w:t>
      </w:r>
    </w:p>
    <w:p>
      <w:pPr>
        <w:pStyle w:val="26"/>
        <w:keepNext w:val="0"/>
        <w:keepLines w:val="0"/>
        <w:pageBreakBefore w:val="0"/>
        <w:kinsoku/>
        <w:wordWrap/>
        <w:overflowPunct/>
        <w:topLinePunct w:val="0"/>
        <w:autoSpaceDE/>
        <w:autoSpaceDN/>
        <w:bidi w:val="0"/>
        <w:adjustRightInd/>
        <w:snapToGrid/>
        <w:spacing w:after="0" w:line="360" w:lineRule="auto"/>
        <w:ind w:leftChars="0"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eastAsia="zh-Hans"/>
        </w:rPr>
        <w:t>围绕服务业的不同行业门类和行业大类，统一构建代表性指标进行生产指数预测。环比的计算，从而动态监测服务业发展，预测服务业后续的生产力。</w:t>
      </w:r>
    </w:p>
    <w:p>
      <w:pPr>
        <w:keepNext w:val="0"/>
        <w:keepLines w:val="0"/>
        <w:pageBreakBefore w:val="0"/>
        <w:numPr>
          <w:ilvl w:val="4"/>
          <w:numId w:val="0"/>
        </w:numPr>
        <w:kinsoku/>
        <w:wordWrap/>
        <w:overflowPunct/>
        <w:topLinePunct w:val="0"/>
        <w:autoSpaceDE/>
        <w:autoSpaceDN/>
        <w:bidi w:val="0"/>
        <w:adjustRightInd/>
        <w:snapToGrid/>
        <w:spacing w:line="360" w:lineRule="auto"/>
        <w:ind w:leftChars="0" w:firstLine="420" w:firstLineChars="200"/>
        <w:outlineLvl w:val="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11.1.2营业收入预测模型</w:t>
      </w:r>
    </w:p>
    <w:p>
      <w:pPr>
        <w:pStyle w:val="26"/>
        <w:keepNext w:val="0"/>
        <w:keepLines w:val="0"/>
        <w:pageBreakBefore w:val="0"/>
        <w:kinsoku/>
        <w:wordWrap/>
        <w:overflowPunct/>
        <w:topLinePunct w:val="0"/>
        <w:autoSpaceDE/>
        <w:autoSpaceDN/>
        <w:bidi w:val="0"/>
        <w:adjustRightInd/>
        <w:snapToGrid/>
        <w:spacing w:after="0" w:line="360" w:lineRule="auto"/>
        <w:ind w:leftChars="0" w:firstLine="420"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生产指数预测模型</w:t>
      </w:r>
      <w:r>
        <w:rPr>
          <w:rFonts w:hint="eastAsia" w:ascii="宋体" w:hAnsi="宋体" w:eastAsia="宋体" w:cs="宋体"/>
          <w:color w:val="auto"/>
          <w:kern w:val="2"/>
          <w:sz w:val="21"/>
          <w:szCs w:val="21"/>
          <w:highlight w:val="none"/>
          <w:lang w:eastAsia="zh-CN"/>
        </w:rPr>
        <w:t>首先分析浙江省规上服务业营业收入数据的构成、长期趋势、季节指数、随机扰动等基本特征。</w:t>
      </w:r>
    </w:p>
    <w:p>
      <w:pPr>
        <w:pStyle w:val="26"/>
        <w:keepNext w:val="0"/>
        <w:keepLines w:val="0"/>
        <w:pageBreakBefore w:val="0"/>
        <w:kinsoku/>
        <w:wordWrap/>
        <w:overflowPunct/>
        <w:topLinePunct w:val="0"/>
        <w:autoSpaceDE/>
        <w:autoSpaceDN/>
        <w:bidi w:val="0"/>
        <w:adjustRightInd/>
        <w:snapToGrid/>
        <w:spacing w:after="0" w:line="360" w:lineRule="auto"/>
        <w:ind w:leftChars="0"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eastAsia="zh-CN"/>
        </w:rPr>
        <w:t>其次利用时间序</w:t>
      </w:r>
      <w:r>
        <w:rPr>
          <w:rFonts w:hint="eastAsia" w:ascii="宋体" w:hAnsi="宋体" w:eastAsia="宋体" w:cs="宋体"/>
          <w:color w:val="auto"/>
          <w:kern w:val="2"/>
          <w:sz w:val="21"/>
          <w:szCs w:val="21"/>
          <w:highlight w:val="none"/>
          <w:lang w:eastAsia="zh-Hans"/>
        </w:rPr>
        <w:t>列分析方法、分析影响规上服务业营业收入的外部因素，构建融合多项式趋势模型、指数增长趋势模型、景气指数等因素的规上服务业营业收入的预测模型。再用月度数据对规上服务业的营业收入、信息技术服务业等四个主要服务行业的营业收入进行模型参数辨识、检验。</w:t>
      </w:r>
    </w:p>
    <w:p>
      <w:pPr>
        <w:pStyle w:val="26"/>
        <w:keepNext w:val="0"/>
        <w:keepLines w:val="0"/>
        <w:pageBreakBefore w:val="0"/>
        <w:kinsoku/>
        <w:wordWrap/>
        <w:overflowPunct/>
        <w:topLinePunct w:val="0"/>
        <w:autoSpaceDE/>
        <w:autoSpaceDN/>
        <w:bidi w:val="0"/>
        <w:adjustRightInd/>
        <w:snapToGrid/>
        <w:spacing w:after="0" w:line="360" w:lineRule="auto"/>
        <w:ind w:leftChars="0"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eastAsia="zh-Hans"/>
        </w:rPr>
        <w:t>最后，利用所得模型，对规上服务业、信息技术服务业等四个主要服务行业的营业收入进行预测，并产出对应的模型预测报告。</w:t>
      </w:r>
    </w:p>
    <w:p>
      <w:pPr>
        <w:keepNext w:val="0"/>
        <w:keepLines w:val="0"/>
        <w:pageBreakBefore w:val="0"/>
        <w:kinsoku/>
        <w:wordWrap/>
        <w:overflowPunct/>
        <w:topLinePunct w:val="0"/>
        <w:autoSpaceDE/>
        <w:autoSpaceDN/>
        <w:bidi w:val="0"/>
        <w:adjustRightInd/>
        <w:snapToGrid/>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11.2</w:t>
      </w:r>
      <w:r>
        <w:rPr>
          <w:rFonts w:hint="eastAsia" w:ascii="宋体" w:hAnsi="宋体" w:eastAsia="宋体" w:cs="宋体"/>
          <w:color w:val="auto"/>
          <w:sz w:val="21"/>
          <w:szCs w:val="21"/>
          <w:highlight w:val="none"/>
        </w:rPr>
        <w:t>首屏展示</w:t>
      </w:r>
    </w:p>
    <w:p>
      <w:pPr>
        <w:pStyle w:val="26"/>
        <w:keepNext w:val="0"/>
        <w:keepLines w:val="0"/>
        <w:pageBreakBefore w:val="0"/>
        <w:kinsoku/>
        <w:wordWrap/>
        <w:overflowPunct/>
        <w:topLinePunct w:val="0"/>
        <w:autoSpaceDE/>
        <w:autoSpaceDN/>
        <w:bidi w:val="0"/>
        <w:adjustRightInd/>
        <w:snapToGrid/>
        <w:spacing w:after="0" w:line="360" w:lineRule="auto"/>
        <w:ind w:leftChars="0" w:firstLine="420" w:firstLineChars="200"/>
        <w:rPr>
          <w:rFonts w:hint="eastAsia" w:ascii="宋体" w:hAnsi="宋体" w:eastAsia="宋体" w:cs="宋体"/>
          <w:color w:val="auto"/>
          <w:sz w:val="21"/>
          <w:szCs w:val="21"/>
          <w:highlight w:val="none"/>
          <w:lang w:eastAsia="zh-Hans"/>
        </w:rPr>
      </w:pPr>
      <w:r>
        <w:rPr>
          <w:rFonts w:hint="eastAsia" w:ascii="宋体" w:hAnsi="宋体" w:eastAsia="宋体" w:cs="宋体"/>
          <w:color w:val="auto"/>
          <w:kern w:val="2"/>
          <w:sz w:val="21"/>
          <w:szCs w:val="21"/>
          <w:highlight w:val="none"/>
          <w:lang w:eastAsia="zh-Hans"/>
        </w:rPr>
        <w:t>根据业务发展需要，集成服务业精准画像和关键指标于服务业首屏。</w:t>
      </w:r>
    </w:p>
    <w:p>
      <w:pPr>
        <w:pageBreakBefore w:val="0"/>
        <w:widowControl w:val="0"/>
        <w:kinsoku/>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Hans"/>
        </w:rPr>
        <w:t>精准画像包括企业精准画像、区域精准画像和行业精准画像。重点指标包含GDP支撑指标监测、重点区域贡献监测、重点企业贡献监测和达规企业入统率监测、企业审核信息关键热词归集等。</w:t>
      </w:r>
      <w:bookmarkEnd w:id="109"/>
    </w:p>
    <w:p>
      <w:pPr>
        <w:pageBreakBefore w:val="0"/>
        <w:widowControl/>
        <w:tabs>
          <w:tab w:val="left" w:pos="851"/>
        </w:tabs>
        <w:kinsoku/>
        <w:overflowPunct/>
        <w:topLinePunct w:val="0"/>
        <w:autoSpaceDE/>
        <w:autoSpaceDN/>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重点注意：以上为基本需求，最终以项目建设时</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确定的功能需求为准。</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35" w:name="_Toc9674"/>
      <w:r>
        <w:rPr>
          <w:rFonts w:hint="eastAsia" w:ascii="宋体" w:hAnsi="宋体" w:eastAsia="宋体" w:cs="宋体"/>
          <w:color w:val="auto"/>
          <w:sz w:val="21"/>
          <w:szCs w:val="21"/>
          <w:highlight w:val="none"/>
          <w:lang w:val="en-US" w:eastAsia="zh-CN"/>
        </w:rPr>
        <w:t>技术指标和要求</w:t>
      </w:r>
      <w:bookmarkEnd w:id="135"/>
    </w:p>
    <w:p>
      <w:pPr>
        <w:keepNext/>
        <w:keepLines/>
        <w:pageBreakBefore w:val="0"/>
        <w:widowControl w:val="0"/>
        <w:numPr>
          <w:ilvl w:val="2"/>
          <w:numId w:val="0"/>
        </w:numPr>
        <w:kinsoku/>
        <w:overflowPunct/>
        <w:topLinePunct w:val="0"/>
        <w:autoSpaceDE/>
        <w:autoSpaceDN/>
        <w:bidi w:val="0"/>
        <w:spacing w:line="360" w:lineRule="auto"/>
        <w:ind w:left="420" w:leftChars="200" w:firstLine="0" w:firstLineChars="0"/>
        <w:outlineLvl w:val="1"/>
        <w:rPr>
          <w:rFonts w:hint="eastAsia" w:ascii="宋体" w:hAnsi="宋体" w:eastAsia="宋体" w:cs="宋体"/>
          <w:b w:val="0"/>
          <w:bCs w:val="0"/>
          <w:color w:val="auto"/>
          <w:kern w:val="2"/>
          <w:sz w:val="21"/>
          <w:szCs w:val="21"/>
          <w:highlight w:val="none"/>
          <w:lang w:val="en-US" w:eastAsia="zh-CN" w:bidi="ar-SA"/>
        </w:rPr>
      </w:pPr>
      <w:bookmarkStart w:id="136" w:name="_Toc27416"/>
      <w:bookmarkStart w:id="137" w:name="_Toc18918"/>
      <w:r>
        <w:rPr>
          <w:rFonts w:hint="eastAsia" w:ascii="宋体" w:hAnsi="宋体" w:eastAsia="宋体" w:cs="宋体"/>
          <w:b w:val="0"/>
          <w:bCs w:val="0"/>
          <w:color w:val="auto"/>
          <w:kern w:val="2"/>
          <w:sz w:val="21"/>
          <w:szCs w:val="21"/>
          <w:highlight w:val="none"/>
          <w:lang w:val="en-US" w:eastAsia="zh-CN" w:bidi="ar-SA"/>
        </w:rPr>
        <w:t>（一）系统架构</w:t>
      </w:r>
      <w:bookmarkEnd w:id="136"/>
      <w:bookmarkEnd w:id="137"/>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该系统必须采用基于J2EE平台的三层分布式应用体系架构进行构建，系统建设在技术实现上将用户界面、业务逻辑与数据资源进行分离，采用组件化、平台化和模块化设计；系统提供对web Services的支持，方便今后与其他应用系统集成。</w:t>
      </w:r>
    </w:p>
    <w:p>
      <w:pPr>
        <w:keepNext/>
        <w:keepLines/>
        <w:pageBreakBefore w:val="0"/>
        <w:widowControl w:val="0"/>
        <w:numPr>
          <w:ilvl w:val="2"/>
          <w:numId w:val="0"/>
        </w:numPr>
        <w:kinsoku/>
        <w:overflowPunct/>
        <w:topLinePunct w:val="0"/>
        <w:autoSpaceDE/>
        <w:autoSpaceDN/>
        <w:bidi w:val="0"/>
        <w:spacing w:line="360" w:lineRule="auto"/>
        <w:ind w:left="420" w:leftChars="200" w:firstLine="0" w:firstLineChars="0"/>
        <w:outlineLvl w:val="1"/>
        <w:rPr>
          <w:rFonts w:hint="eastAsia" w:ascii="宋体" w:hAnsi="宋体" w:eastAsia="宋体" w:cs="宋体"/>
          <w:b w:val="0"/>
          <w:bCs w:val="0"/>
          <w:color w:val="auto"/>
          <w:kern w:val="2"/>
          <w:sz w:val="21"/>
          <w:szCs w:val="21"/>
          <w:highlight w:val="none"/>
          <w:lang w:val="en-US" w:eastAsia="zh-CN" w:bidi="ar-SA"/>
        </w:rPr>
      </w:pPr>
      <w:bookmarkStart w:id="138" w:name="_Toc5287"/>
      <w:bookmarkStart w:id="139" w:name="_Toc22923"/>
      <w:r>
        <w:rPr>
          <w:rFonts w:hint="eastAsia" w:ascii="宋体" w:hAnsi="宋体" w:eastAsia="宋体" w:cs="宋体"/>
          <w:b w:val="0"/>
          <w:bCs w:val="0"/>
          <w:color w:val="auto"/>
          <w:kern w:val="2"/>
          <w:sz w:val="21"/>
          <w:szCs w:val="21"/>
          <w:highlight w:val="none"/>
          <w:lang w:val="en-US" w:eastAsia="zh-CN" w:bidi="ar-SA"/>
        </w:rPr>
        <w:t>（二）运行环境</w:t>
      </w:r>
      <w:bookmarkEnd w:id="138"/>
      <w:bookmarkEnd w:id="139"/>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网页端</w:t>
      </w:r>
      <w:r>
        <w:rPr>
          <w:rFonts w:hint="eastAsia" w:ascii="宋体" w:hAnsi="宋体" w:eastAsia="宋体" w:cs="宋体"/>
          <w:color w:val="auto"/>
          <w:sz w:val="21"/>
          <w:szCs w:val="21"/>
          <w:highlight w:val="none"/>
        </w:rPr>
        <w:t>系统部署在省政务云v3平台上，通过浙江省电子政务外网访问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浏览器：支持UOS、360、</w:t>
      </w:r>
      <w:r>
        <w:rPr>
          <w:rFonts w:hint="eastAsia" w:ascii="宋体" w:hAnsi="宋体" w:eastAsia="宋体" w:cs="宋体"/>
          <w:color w:val="auto"/>
          <w:sz w:val="21"/>
          <w:szCs w:val="21"/>
          <w:highlight w:val="none"/>
          <w:lang w:eastAsia="zh-CN"/>
        </w:rPr>
        <w:t>浙政钉</w:t>
      </w:r>
      <w:r>
        <w:rPr>
          <w:rFonts w:hint="eastAsia" w:ascii="宋体" w:hAnsi="宋体" w:eastAsia="宋体" w:cs="宋体"/>
          <w:color w:val="auto"/>
          <w:sz w:val="21"/>
          <w:szCs w:val="21"/>
          <w:highlight w:val="none"/>
        </w:rPr>
        <w:t>、Chrome等主流浏览器以及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指定的其他浏览器。</w:t>
      </w:r>
    </w:p>
    <w:p>
      <w:pPr>
        <w:keepNext/>
        <w:keepLines/>
        <w:pageBreakBefore w:val="0"/>
        <w:widowControl w:val="0"/>
        <w:numPr>
          <w:ilvl w:val="2"/>
          <w:numId w:val="0"/>
        </w:numPr>
        <w:kinsoku/>
        <w:overflowPunct/>
        <w:topLinePunct w:val="0"/>
        <w:autoSpaceDE/>
        <w:autoSpaceDN/>
        <w:bidi w:val="0"/>
        <w:spacing w:line="360" w:lineRule="auto"/>
        <w:ind w:left="420" w:leftChars="200" w:firstLine="0" w:firstLineChars="0"/>
        <w:outlineLvl w:val="1"/>
        <w:rPr>
          <w:rFonts w:hint="eastAsia" w:ascii="宋体" w:hAnsi="宋体" w:eastAsia="宋体" w:cs="宋体"/>
          <w:b w:val="0"/>
          <w:bCs w:val="0"/>
          <w:color w:val="auto"/>
          <w:kern w:val="2"/>
          <w:sz w:val="21"/>
          <w:szCs w:val="21"/>
          <w:highlight w:val="none"/>
          <w:lang w:val="en-US" w:eastAsia="zh-CN" w:bidi="ar-SA"/>
        </w:rPr>
      </w:pPr>
      <w:bookmarkStart w:id="140" w:name="_Toc14482"/>
      <w:bookmarkStart w:id="141" w:name="_Toc23035"/>
      <w:r>
        <w:rPr>
          <w:rFonts w:hint="eastAsia" w:ascii="宋体" w:hAnsi="宋体" w:eastAsia="宋体" w:cs="宋体"/>
          <w:b w:val="0"/>
          <w:bCs w:val="0"/>
          <w:color w:val="auto"/>
          <w:kern w:val="2"/>
          <w:sz w:val="21"/>
          <w:szCs w:val="21"/>
          <w:highlight w:val="none"/>
          <w:lang w:val="en-US" w:eastAsia="zh-CN" w:bidi="ar-SA"/>
        </w:rPr>
        <w:t>（三）网络和数据安全责任</w:t>
      </w:r>
      <w:bookmarkEnd w:id="140"/>
      <w:bookmarkEnd w:id="141"/>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中标后必须签订正式的合同及保密协议，在合同或保密协议中明确中标人网络和数据安全责任、必须遵守的安全要求以及违反要求的处罚等条款，未尽事宜，遵照《浙江省信息技术服务外包网络安全管理办法》执行。</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42" w:name="_Toc11275"/>
      <w:r>
        <w:rPr>
          <w:rFonts w:hint="eastAsia" w:ascii="宋体" w:hAnsi="宋体" w:eastAsia="宋体" w:cs="宋体"/>
          <w:color w:val="auto"/>
          <w:sz w:val="21"/>
          <w:szCs w:val="21"/>
          <w:highlight w:val="none"/>
          <w:lang w:val="en-US" w:eastAsia="zh-CN"/>
        </w:rPr>
        <w:t>项目实施方式和要求</w:t>
      </w:r>
      <w:bookmarkEnd w:id="142"/>
    </w:p>
    <w:p>
      <w:pPr>
        <w:keepNext/>
        <w:keepLines/>
        <w:pageBreakBefore w:val="0"/>
        <w:widowControl w:val="0"/>
        <w:numPr>
          <w:ilvl w:val="2"/>
          <w:numId w:val="0"/>
        </w:numPr>
        <w:kinsoku/>
        <w:overflowPunct/>
        <w:topLinePunct w:val="0"/>
        <w:autoSpaceDE/>
        <w:autoSpaceDN/>
        <w:bidi w:val="0"/>
        <w:spacing w:line="360" w:lineRule="auto"/>
        <w:ind w:left="420" w:leftChars="200" w:firstLine="0" w:firstLineChars="0"/>
        <w:outlineLvl w:val="1"/>
        <w:rPr>
          <w:rFonts w:hint="eastAsia" w:ascii="宋体" w:hAnsi="宋体" w:eastAsia="宋体" w:cs="宋体"/>
          <w:b w:val="0"/>
          <w:bCs w:val="0"/>
          <w:color w:val="auto"/>
          <w:kern w:val="2"/>
          <w:sz w:val="21"/>
          <w:szCs w:val="21"/>
          <w:highlight w:val="none"/>
          <w:lang w:val="en-US" w:eastAsia="zh-CN" w:bidi="ar-SA"/>
        </w:rPr>
      </w:pPr>
      <w:bookmarkStart w:id="143" w:name="_Toc12514"/>
      <w:bookmarkStart w:id="144" w:name="_Toc6742"/>
      <w:r>
        <w:rPr>
          <w:rFonts w:hint="eastAsia" w:ascii="宋体" w:hAnsi="宋体" w:eastAsia="宋体" w:cs="宋体"/>
          <w:b w:val="0"/>
          <w:bCs w:val="0"/>
          <w:color w:val="auto"/>
          <w:kern w:val="2"/>
          <w:sz w:val="21"/>
          <w:szCs w:val="21"/>
          <w:highlight w:val="none"/>
          <w:lang w:val="en-US" w:eastAsia="zh-CN" w:bidi="ar-SA"/>
        </w:rPr>
        <w:t>（一）项目实施方式</w:t>
      </w:r>
      <w:bookmarkEnd w:id="143"/>
      <w:bookmarkEnd w:id="144"/>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实施采用委托开发方式，软件开发以中标供应商为主，采购人负责系统开发的总体管理和进度控制，并协助中标供应商完成需求调研。中标供应商负责完成需求调研、概要设计、详细设计、程序编码、程序部署、程序测试等，并须向采购人提供系统需求规格说明书、概要设计方案、详细设计方案、软件测试报告、用户操作说明书等完整技术文档。</w:t>
      </w:r>
    </w:p>
    <w:p>
      <w:pPr>
        <w:keepNext/>
        <w:keepLines/>
        <w:pageBreakBefore w:val="0"/>
        <w:widowControl w:val="0"/>
        <w:numPr>
          <w:ilvl w:val="2"/>
          <w:numId w:val="0"/>
        </w:numPr>
        <w:kinsoku/>
        <w:overflowPunct/>
        <w:topLinePunct w:val="0"/>
        <w:autoSpaceDE/>
        <w:autoSpaceDN/>
        <w:bidi w:val="0"/>
        <w:spacing w:line="360" w:lineRule="auto"/>
        <w:ind w:left="420" w:leftChars="200" w:firstLine="0" w:firstLineChars="0"/>
        <w:outlineLvl w:val="1"/>
        <w:rPr>
          <w:rFonts w:hint="eastAsia" w:ascii="宋体" w:hAnsi="宋体" w:eastAsia="宋体" w:cs="宋体"/>
          <w:b w:val="0"/>
          <w:bCs w:val="0"/>
          <w:color w:val="auto"/>
          <w:kern w:val="2"/>
          <w:sz w:val="21"/>
          <w:szCs w:val="21"/>
          <w:highlight w:val="none"/>
          <w:lang w:val="en-US" w:eastAsia="zh-CN" w:bidi="ar-SA"/>
        </w:rPr>
      </w:pPr>
      <w:bookmarkStart w:id="145" w:name="_Toc4553"/>
      <w:bookmarkStart w:id="146" w:name="_Toc22809"/>
      <w:r>
        <w:rPr>
          <w:rFonts w:hint="eastAsia" w:ascii="宋体" w:hAnsi="宋体" w:eastAsia="宋体" w:cs="宋体"/>
          <w:b w:val="0"/>
          <w:bCs w:val="0"/>
          <w:color w:val="auto"/>
          <w:kern w:val="2"/>
          <w:sz w:val="21"/>
          <w:szCs w:val="21"/>
          <w:highlight w:val="none"/>
          <w:lang w:val="en-US" w:eastAsia="zh-CN" w:bidi="ar-SA"/>
        </w:rPr>
        <w:t>（二）项目管理</w:t>
      </w:r>
      <w:bookmarkEnd w:id="145"/>
      <w:bookmarkEnd w:id="146"/>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1.中标供应商人员要服从采购人管理，遵守统一的项目管理制度。</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2.开发、实地测试和修改期间中标供应商人员食宿由中标供应商自行负责。</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3.中标供应商人员应遵守采购人相关的保密规定。</w:t>
      </w:r>
    </w:p>
    <w:p>
      <w:pPr>
        <w:keepNext/>
        <w:keepLines/>
        <w:pageBreakBefore w:val="0"/>
        <w:widowControl w:val="0"/>
        <w:numPr>
          <w:ilvl w:val="2"/>
          <w:numId w:val="0"/>
        </w:numPr>
        <w:kinsoku/>
        <w:overflowPunct/>
        <w:topLinePunct w:val="0"/>
        <w:autoSpaceDE/>
        <w:autoSpaceDN/>
        <w:bidi w:val="0"/>
        <w:spacing w:line="360" w:lineRule="auto"/>
        <w:ind w:left="420" w:leftChars="200" w:firstLine="0" w:firstLineChars="0"/>
        <w:outlineLvl w:val="1"/>
        <w:rPr>
          <w:rFonts w:hint="eastAsia" w:ascii="宋体" w:hAnsi="宋体" w:eastAsia="宋体" w:cs="宋体"/>
          <w:b w:val="0"/>
          <w:bCs w:val="0"/>
          <w:color w:val="auto"/>
          <w:kern w:val="2"/>
          <w:sz w:val="21"/>
          <w:szCs w:val="21"/>
          <w:highlight w:val="none"/>
          <w:lang w:val="en-US" w:eastAsia="zh-CN" w:bidi="ar-SA"/>
        </w:rPr>
      </w:pPr>
      <w:bookmarkStart w:id="147" w:name="_Toc6814"/>
      <w:bookmarkStart w:id="148" w:name="_Toc14658"/>
      <w:r>
        <w:rPr>
          <w:rFonts w:hint="eastAsia" w:ascii="宋体" w:hAnsi="宋体" w:eastAsia="宋体" w:cs="宋体"/>
          <w:b w:val="0"/>
          <w:bCs w:val="0"/>
          <w:color w:val="auto"/>
          <w:kern w:val="2"/>
          <w:sz w:val="21"/>
          <w:szCs w:val="21"/>
          <w:highlight w:val="none"/>
          <w:lang w:val="en-US" w:eastAsia="zh-CN" w:bidi="ar-SA"/>
        </w:rPr>
        <w:t>（三）规范要求</w:t>
      </w:r>
      <w:bookmarkEnd w:id="147"/>
      <w:bookmarkEnd w:id="148"/>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1.中标供应商须提供软件系统整体架构设计、数据库结构设计的方案和软件开发规范。</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2.中标供应商须实现但不仅限于本方案中规定的全部功能需求，采购人有权根据自身业务变化，调整相应功能需求。</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49" w:name="_Toc23293"/>
      <w:r>
        <w:rPr>
          <w:rFonts w:hint="eastAsia" w:ascii="宋体" w:hAnsi="宋体" w:eastAsia="宋体" w:cs="宋体"/>
          <w:color w:val="auto"/>
          <w:sz w:val="21"/>
          <w:szCs w:val="21"/>
          <w:highlight w:val="none"/>
          <w:lang w:val="en-US" w:eastAsia="zh-CN"/>
        </w:rPr>
        <w:t>售后服务</w:t>
      </w:r>
      <w:bookmarkEnd w:id="149"/>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在系统终验合格后，要求提供一年免费质保服务。质保服务主要包括：</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①系统故障修复。</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②非功能性的系统调整。</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③系统补丁和版本升级。</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④规则库、引擎、控制台等的技术支持。</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⑤程序bug修改。</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终验时向采购单位提供所有源代码存档，所有软件开发版权归采购单位所有。</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如技术需求内有规定的服务要求以技术需求内要求为准。</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50" w:name="_Toc2377"/>
      <w:r>
        <w:rPr>
          <w:rFonts w:hint="eastAsia" w:ascii="宋体" w:hAnsi="宋体" w:eastAsia="宋体" w:cs="宋体"/>
          <w:color w:val="auto"/>
          <w:sz w:val="21"/>
          <w:szCs w:val="21"/>
          <w:highlight w:val="none"/>
          <w:lang w:val="en-US" w:eastAsia="zh-CN"/>
        </w:rPr>
        <w:t>交货时间及地点</w:t>
      </w:r>
      <w:bookmarkEnd w:id="150"/>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1.交货时间：中标通知书发出后30个日内签订合同，签订合同之日起4个月内完成系统设计开发和部署。开发结束后进行实地测试和集中修改，时间约为1个月。试运行时间约为2个月。具体时间以实际时间为准。</w:t>
      </w:r>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2.交货地点：用户指定地点。</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51" w:name="_Toc28702"/>
      <w:r>
        <w:rPr>
          <w:rFonts w:hint="eastAsia" w:ascii="宋体" w:hAnsi="宋体" w:eastAsia="宋体" w:cs="宋体"/>
          <w:color w:val="auto"/>
          <w:sz w:val="21"/>
          <w:szCs w:val="21"/>
          <w:highlight w:val="none"/>
          <w:lang w:val="en-US" w:eastAsia="zh-CN"/>
        </w:rPr>
        <w:t>交货时间及地点</w:t>
      </w:r>
      <w:bookmarkEnd w:id="151"/>
    </w:p>
    <w:p>
      <w:pPr>
        <w:pageBreakBefore w:val="0"/>
        <w:kinsoku/>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签订合同并制定开发实施方案后（需项目负责人签字确认）</w:t>
      </w:r>
      <w:r>
        <w:rPr>
          <w:rFonts w:hint="eastAsia" w:ascii="宋体" w:hAnsi="宋体" w:cs="宋体"/>
          <w:color w:val="auto"/>
          <w:szCs w:val="21"/>
          <w:highlight w:val="none"/>
          <w:lang w:val="en-US" w:eastAsia="zh-CN" w:bidi="ar"/>
        </w:rPr>
        <w:t>7个工作日内</w:t>
      </w:r>
      <w:r>
        <w:rPr>
          <w:rFonts w:hint="eastAsia" w:ascii="宋体" w:hAnsi="宋体" w:eastAsia="宋体" w:cs="宋体"/>
          <w:color w:val="auto"/>
          <w:sz w:val="21"/>
          <w:szCs w:val="21"/>
          <w:highlight w:val="none"/>
          <w:lang w:val="en-US" w:eastAsia="zh-CN"/>
        </w:rPr>
        <w:t>支付合同款3900000元（大写：叁佰玖拾万元整），完成需求分析、软件架构设计、数据库设计、概要设计和详细设计并进入编码阶段后（需项目负责人签字确认）</w:t>
      </w:r>
      <w:r>
        <w:rPr>
          <w:rFonts w:hint="eastAsia" w:ascii="宋体" w:hAnsi="宋体" w:cs="宋体"/>
          <w:color w:val="auto"/>
          <w:szCs w:val="21"/>
          <w:highlight w:val="none"/>
          <w:lang w:val="en-US" w:eastAsia="zh-CN" w:bidi="ar"/>
        </w:rPr>
        <w:t>7个工作日内</w:t>
      </w:r>
      <w:r>
        <w:rPr>
          <w:rFonts w:hint="eastAsia" w:ascii="宋体" w:hAnsi="宋体" w:eastAsia="宋体" w:cs="宋体"/>
          <w:color w:val="auto"/>
          <w:sz w:val="21"/>
          <w:szCs w:val="21"/>
          <w:highlight w:val="none"/>
          <w:lang w:val="en-US" w:eastAsia="zh-CN"/>
        </w:rPr>
        <w:t>支付合同款4000000元（大写：肆佰万元整），竣工验收合格后</w:t>
      </w:r>
      <w:r>
        <w:rPr>
          <w:rFonts w:hint="eastAsia" w:ascii="宋体" w:hAnsi="宋体" w:cs="宋体"/>
          <w:color w:val="auto"/>
          <w:szCs w:val="21"/>
          <w:highlight w:val="none"/>
          <w:lang w:val="en-US" w:eastAsia="zh-CN" w:bidi="ar"/>
        </w:rPr>
        <w:t>7个工作日内</w:t>
      </w:r>
      <w:r>
        <w:rPr>
          <w:rFonts w:hint="eastAsia" w:ascii="宋体" w:hAnsi="宋体" w:eastAsia="宋体" w:cs="宋体"/>
          <w:color w:val="auto"/>
          <w:sz w:val="21"/>
          <w:szCs w:val="21"/>
          <w:highlight w:val="none"/>
          <w:lang w:val="en-US" w:eastAsia="zh-CN"/>
        </w:rPr>
        <w:t>支付合同剩余款项。</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52" w:name="_Toc8677"/>
      <w:r>
        <w:rPr>
          <w:rFonts w:hint="eastAsia" w:ascii="宋体" w:hAnsi="宋体" w:eastAsia="宋体" w:cs="宋体"/>
          <w:color w:val="auto"/>
          <w:sz w:val="21"/>
          <w:szCs w:val="21"/>
          <w:highlight w:val="none"/>
          <w:lang w:val="en-US" w:eastAsia="zh-CN"/>
        </w:rPr>
        <w:t>软件开发归属</w:t>
      </w:r>
      <w:bookmarkEnd w:id="152"/>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开发完成后</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提供完成的所有程序、控件、工具的源代码，并按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要求提供所有相关文档，软件版权归</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所有。</w:t>
      </w:r>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开发期间</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提供的公司自有产权的平台和控件，须向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提供永久使用权，并不受用户数的限制，在全省统计系统内可以免费使用，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提供相应的保密承诺。</w:t>
      </w:r>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中标供应商须对开发过程中涉及的统计数据资料进行严格的保密。</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53" w:name="_Toc26474"/>
      <w:r>
        <w:rPr>
          <w:rFonts w:hint="eastAsia" w:ascii="宋体" w:hAnsi="宋体" w:eastAsia="宋体" w:cs="宋体"/>
          <w:color w:val="auto"/>
          <w:sz w:val="21"/>
          <w:szCs w:val="21"/>
          <w:highlight w:val="none"/>
          <w:lang w:val="en-US" w:eastAsia="zh-CN"/>
        </w:rPr>
        <w:t>违约赔偿和服务考核</w:t>
      </w:r>
      <w:bookmarkEnd w:id="153"/>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1.在系统设计开发过程中，若因</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原因造成项目延期，经监理</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确认，每</w:t>
      </w:r>
      <w:r>
        <w:rPr>
          <w:rFonts w:hint="eastAsia" w:ascii="宋体" w:hAnsi="宋体" w:eastAsia="宋体" w:cs="宋体"/>
          <w:color w:val="auto"/>
          <w:sz w:val="21"/>
          <w:szCs w:val="21"/>
          <w:highlight w:val="none"/>
          <w:lang w:eastAsia="zh-CN"/>
        </w:rPr>
        <w:t>延误</w:t>
      </w:r>
      <w:r>
        <w:rPr>
          <w:rFonts w:hint="eastAsia" w:ascii="宋体" w:hAnsi="宋体" w:eastAsia="宋体" w:cs="宋体"/>
          <w:color w:val="auto"/>
          <w:sz w:val="21"/>
          <w:szCs w:val="21"/>
          <w:highlight w:val="none"/>
        </w:rPr>
        <w:t>一天，扣5000元人民币。</w:t>
      </w:r>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人员不遵从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开发、应用、维护的管理制度（规定）或不能在约定的时间内保证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所要求的人员到位的，或未经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同意更换开发技术人员的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经监理</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确认，每发生一人次，扣5000元人民币。</w:t>
      </w:r>
    </w:p>
    <w:p>
      <w:pPr>
        <w:pStyle w:val="3"/>
        <w:keepNext/>
        <w:keepLines/>
        <w:pageBreakBefore w:val="0"/>
        <w:widowControl w:val="0"/>
        <w:numPr>
          <w:ilvl w:val="0"/>
          <w:numId w:val="9"/>
        </w:numPr>
        <w:kinsoku/>
        <w:wordWrap/>
        <w:overflowPunct/>
        <w:topLinePunct w:val="0"/>
        <w:autoSpaceDE/>
        <w:autoSpaceDN/>
        <w:bidi w:val="0"/>
        <w:adjustRightInd w:val="0"/>
        <w:snapToGrid/>
        <w:spacing w:before="0" w:after="0" w:line="360" w:lineRule="auto"/>
        <w:ind w:firstLine="420"/>
        <w:textAlignment w:val="auto"/>
        <w:outlineLvl w:val="1"/>
        <w:rPr>
          <w:rFonts w:hint="eastAsia" w:ascii="宋体" w:hAnsi="宋体" w:eastAsia="宋体" w:cs="宋体"/>
          <w:color w:val="auto"/>
          <w:sz w:val="21"/>
          <w:szCs w:val="21"/>
          <w:highlight w:val="none"/>
          <w:lang w:val="en-US" w:eastAsia="zh-CN"/>
        </w:rPr>
      </w:pPr>
      <w:bookmarkStart w:id="154" w:name="_Toc7487"/>
      <w:r>
        <w:rPr>
          <w:rFonts w:hint="eastAsia" w:ascii="宋体" w:hAnsi="宋体" w:eastAsia="宋体" w:cs="宋体"/>
          <w:color w:val="auto"/>
          <w:sz w:val="21"/>
          <w:szCs w:val="21"/>
          <w:highlight w:val="none"/>
          <w:lang w:val="en-US" w:eastAsia="zh-CN"/>
        </w:rPr>
        <w:t>项目其它相关要求</w:t>
      </w:r>
      <w:bookmarkEnd w:id="154"/>
    </w:p>
    <w:p>
      <w:pPr>
        <w:pageBreakBefore w:val="0"/>
        <w:widowControl/>
        <w:kinsoku/>
        <w:overflowPunct/>
        <w:topLinePunct w:val="0"/>
        <w:autoSpaceDE/>
        <w:autoSpaceDN/>
        <w:bidi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提供的投标文件中存在虚假信息（如开发技术人员资历等），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有权拒绝签订合同或中止合同，所造成的损失由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spacing w:line="360" w:lineRule="auto"/>
        <w:ind w:firstLine="420" w:firstLineChars="200"/>
        <w:rPr>
          <w:rFonts w:hint="eastAsia" w:ascii="宋体" w:hAnsi="宋体" w:cs="宋体"/>
          <w:b w:val="0"/>
          <w:bCs w:val="0"/>
          <w:color w:val="auto"/>
          <w:kern w:val="0"/>
          <w:szCs w:val="21"/>
          <w:highlight w:val="none"/>
        </w:rPr>
      </w:pPr>
      <w:r>
        <w:rPr>
          <w:rFonts w:hint="eastAsia" w:ascii="宋体" w:hAnsi="宋体" w:eastAsia="宋体" w:cs="宋体"/>
          <w:b w:val="0"/>
          <w:bCs w:val="0"/>
          <w:color w:val="auto"/>
          <w:kern w:val="0"/>
          <w:sz w:val="21"/>
          <w:szCs w:val="21"/>
          <w:highlight w:val="none"/>
          <w:lang w:val="en-US" w:eastAsia="zh-CN" w:bidi="ar-SA"/>
        </w:rPr>
        <w:t>2.演示要求</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评标时安排每个投标人进行系统演示，系统演示要求详见采购文件第三部分采购需求和评标办法的演示要求。每个投标人时间不超过20分钟，演示次序以投标文件解密时间先后次序为准，如遇不演示或现场未及时响应的投标人则自动至下一次序投标人。</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方案讲解演示可选择以下两种方式之一，如两种均提供则只接受方式二的演示内容作为现场评审依据：</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方式一：递交系统演示视频。</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投标人采用递交系统演示视频方式的，应将按采购文件评分要求录制的视频（格式须为MP4、AVI、MPEG、MPEG-4、RM、RMVB等主流视频格式）同本表第17“备份投标文件递交要求”在提交投标文件截止时间前通过快递形式寄达或现场送达采购代理机构处，（邮寄/送达地址：杭州市西湖区文三路90号东部软件园1号楼3楼305室，接收人：周群峰，电话：0571-81061821）。</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未按上述要求在提交投标文件截止时间后密封送达的，不予接收；未递交系统演示视频的视为自动放弃系统演示，采购文件第五部分中评标细则及标准中的系统演示部分不得分，但不会导致投标无效。</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方式二：现场系统演示。</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投标人采用现场系统演示方式的</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应在提交投标文件截止时间前到采购文件规定线下开标室签到（杭州市西湖区文三路90号东部软件园1号楼3楼浙江国际招投标有限公司301开标室）后按评标委员会指定的时间段和会议室进行现场系统演示，演示现场提供网络环境及投影仪，其余由投标人自备。</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系统演示人员须为投标人书面授权的演示代表。投标人进入系统演示现场的演示代表不超过2人，系统演示人员进场前须核验演示代表身份证明原件及投标人出具的加盖投标人公章的书面授权演示代表证明（注明姓名，身份证号），核验合格后方可开始现场系统演示，否则系统演示不得分。</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系统演示后按要求解答评标委员会的提问（如有），提问时间不包含在演示时间内。</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未按要求及时到现场签到并经演示人员身份核验合格后进行系统演示的，本项现场系统演示不得分。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因投标人自身原因导致无法演示或者演示效果不理想的，责任自负。因平台原因导致本项目方案讲解演示环节无法顺利开展，按照《浙江省政府采购项目电子交易管理暂行办法》相关规定执行。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3.经验或业绩要求</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投标人具有2020年1月1日以来与本项目类似的智慧大脑类软件开发项目案例。</w:t>
      </w:r>
    </w:p>
    <w:p>
      <w:pPr>
        <w:pStyle w:val="8"/>
        <w:keepNext w:val="0"/>
        <w:keepLines w:val="0"/>
        <w:pageBreakBefore w:val="0"/>
        <w:kinsoku/>
        <w:wordWrap/>
        <w:overflowPunct/>
        <w:topLinePunct w:val="0"/>
        <w:autoSpaceDE/>
        <w:autoSpaceDN/>
        <w:bidi w:val="0"/>
        <w:adjustRightInd/>
        <w:snapToGrid/>
        <w:spacing w:line="360" w:lineRule="auto"/>
        <w:textAlignment w:val="auto"/>
        <w:outlineLvl w:val="9"/>
        <w:rPr>
          <w:rFonts w:hint="eastAsia" w:eastAsia="宋体"/>
          <w:color w:val="auto"/>
          <w:sz w:val="21"/>
          <w:szCs w:val="21"/>
          <w:highlight w:val="none"/>
          <w:lang w:val="en-US" w:eastAsia="zh-CN"/>
        </w:rPr>
      </w:pPr>
      <w:r>
        <w:rPr>
          <w:rFonts w:hint="eastAsia"/>
          <w:color w:val="auto"/>
          <w:sz w:val="21"/>
          <w:szCs w:val="21"/>
          <w:highlight w:val="none"/>
          <w:lang w:val="en-US" w:eastAsia="zh-CN"/>
        </w:rPr>
        <w:t>4.</w:t>
      </w:r>
      <w:r>
        <w:rPr>
          <w:rFonts w:hint="eastAsia" w:ascii="宋体" w:hAnsi="宋体" w:eastAsia="宋体" w:cs="宋体"/>
          <w:i w:val="0"/>
          <w:color w:val="auto"/>
          <w:kern w:val="0"/>
          <w:sz w:val="21"/>
          <w:szCs w:val="21"/>
          <w:highlight w:val="none"/>
          <w:u w:val="none"/>
          <w:lang w:val="en-US" w:eastAsia="zh-CN" w:bidi="ar"/>
        </w:rPr>
        <w:t>项目团队要求（团队人员应为本单位在职人员）</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0"/>
        <w:textAlignment w:val="auto"/>
        <w:outlineLvl w:val="9"/>
        <w:rPr>
          <w:rFonts w:hint="eastAsia" w:eastAsia="宋体"/>
          <w:color w:val="auto"/>
          <w:sz w:val="21"/>
          <w:szCs w:val="21"/>
          <w:highlight w:val="none"/>
          <w:lang w:val="en-US" w:eastAsia="zh-CN"/>
        </w:rPr>
      </w:pPr>
      <w:r>
        <w:rPr>
          <w:rFonts w:hint="eastAsia"/>
          <w:color w:val="auto"/>
          <w:sz w:val="21"/>
          <w:szCs w:val="21"/>
          <w:highlight w:val="none"/>
          <w:lang w:val="en-US" w:eastAsia="zh-CN"/>
        </w:rPr>
        <w:t>4.1</w:t>
      </w:r>
      <w:r>
        <w:rPr>
          <w:rFonts w:hint="eastAsia" w:ascii="宋体" w:hAnsi="宋体" w:eastAsia="宋体" w:cs="宋体"/>
          <w:i w:val="0"/>
          <w:color w:val="auto"/>
          <w:kern w:val="0"/>
          <w:sz w:val="21"/>
          <w:szCs w:val="21"/>
          <w:highlight w:val="none"/>
          <w:u w:val="none"/>
          <w:lang w:val="en-US" w:eastAsia="zh-CN" w:bidi="ar"/>
        </w:rPr>
        <w:t>项目负责人具有人社部门颁发的信息系统项目管理师（高级）证书，具有较高的职称、学历，具备履约相关专业本科或以上学历。项目负责人专业技术能力强、经验多，具有项目管理经验。</w:t>
      </w:r>
    </w:p>
    <w:p>
      <w:pPr>
        <w:pStyle w:val="9"/>
        <w:keepNext w:val="0"/>
        <w:keepLines w:val="0"/>
        <w:pageBreakBefore w:val="0"/>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color w:val="auto"/>
          <w:sz w:val="21"/>
          <w:szCs w:val="21"/>
          <w:highlight w:val="none"/>
          <w:lang w:val="en-US" w:eastAsia="zh-CN"/>
        </w:rPr>
        <w:t>4.2</w:t>
      </w:r>
      <w:r>
        <w:rPr>
          <w:rFonts w:hint="eastAsia" w:ascii="宋体" w:hAnsi="宋体" w:eastAsia="宋体" w:cs="宋体"/>
          <w:i w:val="0"/>
          <w:color w:val="auto"/>
          <w:kern w:val="0"/>
          <w:sz w:val="21"/>
          <w:szCs w:val="21"/>
          <w:highlight w:val="none"/>
          <w:u w:val="none"/>
          <w:lang w:val="en-US" w:eastAsia="zh-CN" w:bidi="ar"/>
        </w:rPr>
        <w:t>项目组成员应具有5人或以上，其中信息化相关专业本科及以上学历的不少于2人，项目组成员具有人社部门颁发的系统分析师证书或人社部门颁发的系统架构设计师证书。</w:t>
      </w:r>
    </w:p>
    <w:p>
      <w:pPr>
        <w:pStyle w:val="9"/>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color w:val="auto"/>
          <w:kern w:val="0"/>
          <w:sz w:val="21"/>
          <w:szCs w:val="21"/>
          <w:highlight w:val="none"/>
          <w:u w:val="none"/>
          <w:lang w:val="en-US" w:eastAsia="zh-CN" w:bidi="ar"/>
        </w:rPr>
      </w:pPr>
      <w:r>
        <w:rPr>
          <w:rFonts w:hint="eastAsia"/>
          <w:color w:val="auto"/>
          <w:sz w:val="21"/>
          <w:szCs w:val="21"/>
          <w:highlight w:val="none"/>
          <w:lang w:val="en-US" w:eastAsia="zh-CN"/>
        </w:rPr>
        <w:t>5.</w:t>
      </w:r>
      <w:r>
        <w:rPr>
          <w:rFonts w:hint="eastAsia" w:ascii="宋体" w:hAnsi="宋体" w:eastAsia="宋体" w:cs="宋体"/>
          <w:i w:val="0"/>
          <w:color w:val="auto"/>
          <w:kern w:val="0"/>
          <w:sz w:val="21"/>
          <w:szCs w:val="21"/>
          <w:highlight w:val="none"/>
          <w:u w:val="none"/>
          <w:lang w:val="en-US" w:eastAsia="zh-CN" w:bidi="ar"/>
        </w:rPr>
        <w:t>投标人具有有效期内的ISO9001质量管理体系认证、ISO27001信息安全管理体系认证、ISO22301业务连续性管理体系认证证书。</w:t>
      </w:r>
    </w:p>
    <w:p>
      <w:pPr>
        <w:pStyle w:val="9"/>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eastAsia="宋体"/>
          <w:color w:val="auto"/>
          <w:sz w:val="21"/>
          <w:szCs w:val="21"/>
          <w:highlight w:val="none"/>
          <w:lang w:val="en-US" w:eastAsia="zh-CN"/>
        </w:rPr>
        <w:sectPr>
          <w:pgSz w:w="11906" w:h="16838"/>
          <w:pgMar w:top="1417" w:right="1474" w:bottom="1417" w:left="1587" w:header="851" w:footer="992" w:gutter="0"/>
          <w:cols w:space="720" w:num="1"/>
          <w:docGrid w:type="lines" w:linePitch="332" w:charSpace="0"/>
        </w:sectPr>
      </w:pPr>
      <w:r>
        <w:rPr>
          <w:rFonts w:hint="eastAsia"/>
          <w:color w:val="auto"/>
          <w:sz w:val="21"/>
          <w:szCs w:val="21"/>
          <w:highlight w:val="none"/>
          <w:lang w:val="en-US" w:eastAsia="zh-CN"/>
        </w:rPr>
        <w:t>6.</w:t>
      </w:r>
      <w:r>
        <w:rPr>
          <w:rFonts w:hint="eastAsia" w:ascii="宋体" w:hAnsi="宋体" w:eastAsia="宋体" w:cs="宋体"/>
          <w:i w:val="0"/>
          <w:color w:val="auto"/>
          <w:kern w:val="0"/>
          <w:sz w:val="21"/>
          <w:szCs w:val="21"/>
          <w:highlight w:val="none"/>
          <w:u w:val="none"/>
          <w:lang w:val="en-US" w:eastAsia="zh-CN" w:bidi="ar"/>
        </w:rPr>
        <w:t>投标人应提供针对本项目的质量保证方案，质量保证方案应科学合理、可操作性强。</w:t>
      </w:r>
    </w:p>
    <w:p>
      <w:pPr>
        <w:adjustRightInd w:val="0"/>
        <w:snapToGrid w:val="0"/>
        <w:spacing w:line="360" w:lineRule="auto"/>
        <w:ind w:firstLine="602" w:firstLineChars="200"/>
        <w:jc w:val="center"/>
        <w:outlineLvl w:val="0"/>
        <w:rPr>
          <w:rFonts w:ascii="宋体" w:hAnsi="宋体" w:cs="宋体"/>
          <w:color w:val="auto"/>
          <w:sz w:val="36"/>
          <w:highlight w:val="none"/>
        </w:rPr>
      </w:pPr>
      <w:bookmarkStart w:id="155" w:name="_Toc25537"/>
      <w:r>
        <w:rPr>
          <w:rFonts w:hint="eastAsia" w:ascii="宋体" w:hAnsi="宋体" w:cs="宋体"/>
          <w:b/>
          <w:color w:val="auto"/>
          <w:sz w:val="30"/>
          <w:szCs w:val="30"/>
          <w:highlight w:val="none"/>
        </w:rPr>
        <w:t>第四部分  合同主要条款</w:t>
      </w:r>
      <w:bookmarkEnd w:id="155"/>
    </w:p>
    <w:p>
      <w:pPr>
        <w:keepNext/>
        <w:keepLines/>
        <w:spacing w:line="360" w:lineRule="auto"/>
        <w:jc w:val="center"/>
        <w:outlineLvl w:val="2"/>
        <w:rPr>
          <w:rFonts w:hint="eastAsia" w:ascii="宋体" w:hAnsi="宋体" w:cs="宋体"/>
          <w:color w:val="auto"/>
          <w:sz w:val="24"/>
          <w:highlight w:val="none"/>
        </w:rPr>
      </w:pPr>
      <w:bookmarkStart w:id="156" w:name="_Toc4460"/>
      <w:bookmarkStart w:id="157" w:name="_Toc6576"/>
      <w:bookmarkStart w:id="158" w:name="_Toc14078"/>
      <w:bookmarkStart w:id="159" w:name="_Toc536610517"/>
      <w:bookmarkStart w:id="160" w:name="_Toc1878830502"/>
      <w:bookmarkStart w:id="161" w:name="_Toc14791"/>
      <w:bookmarkStart w:id="162" w:name="_Toc1459380911"/>
      <w:bookmarkStart w:id="163" w:name="_Toc9206"/>
      <w:bookmarkStart w:id="164" w:name="_Toc557696005"/>
      <w:bookmarkStart w:id="165" w:name="_Toc368604799"/>
      <w:bookmarkStart w:id="166" w:name="_Toc24870"/>
      <w:bookmarkStart w:id="167" w:name="_Toc17570"/>
      <w:bookmarkStart w:id="168" w:name="_Toc7743"/>
      <w:bookmarkStart w:id="169" w:name="_Toc28480"/>
      <w:bookmarkStart w:id="170" w:name="_Toc25103"/>
      <w:bookmarkStart w:id="171" w:name="_Toc25284"/>
      <w:bookmarkStart w:id="172" w:name="_Toc11176"/>
      <w:bookmarkStart w:id="173" w:name="_Toc14523"/>
      <w:bookmarkStart w:id="174" w:name="_Toc54833966"/>
      <w:bookmarkStart w:id="175" w:name="_Toc1103933012"/>
      <w:bookmarkStart w:id="176" w:name="_Toc17438"/>
      <w:bookmarkStart w:id="177" w:name="_Toc177870558"/>
      <w:bookmarkStart w:id="178" w:name="_Hlk534720381"/>
      <w:bookmarkStart w:id="179" w:name="_Toc20497"/>
      <w:bookmarkStart w:id="180" w:name="_Toc3071"/>
      <w:bookmarkStart w:id="181" w:name="_Toc249760790"/>
      <w:bookmarkStart w:id="182" w:name="_Toc2298"/>
      <w:bookmarkStart w:id="183" w:name="_Toc13754"/>
      <w:bookmarkStart w:id="184" w:name="_Toc251566661"/>
      <w:bookmarkStart w:id="185" w:name="_Toc14349"/>
      <w:r>
        <w:rPr>
          <w:rFonts w:hint="eastAsia" w:ascii="宋体" w:hAnsi="宋体" w:cs="宋体"/>
          <w:color w:val="auto"/>
          <w:sz w:val="24"/>
          <w:highlight w:val="none"/>
        </w:rPr>
        <w:t>（最终签订合同以甲方确认为准）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spacing w:line="360" w:lineRule="auto"/>
        <w:ind w:right="-185" w:rightChars="-88"/>
        <w:rPr>
          <w:rFonts w:hint="eastAsia" w:ascii="宋体" w:hAnsi="宋体" w:cs="宋体"/>
          <w:color w:val="auto"/>
          <w:szCs w:val="21"/>
          <w:highlight w:val="none"/>
        </w:rPr>
      </w:pPr>
      <w:r>
        <w:rPr>
          <w:rFonts w:hint="eastAsia" w:ascii="宋体" w:hAnsi="宋体" w:cs="宋体"/>
          <w:color w:val="auto"/>
          <w:szCs w:val="21"/>
          <w:highlight w:val="none"/>
        </w:rPr>
        <w:t xml:space="preserve">    </w:t>
      </w:r>
    </w:p>
    <w:bookmarkEnd w:id="177"/>
    <w:bookmarkEnd w:id="178"/>
    <w:p>
      <w:pPr>
        <w:adjustRightInd w:val="0"/>
        <w:snapToGrid w:val="0"/>
        <w:spacing w:line="360" w:lineRule="auto"/>
        <w:jc w:val="center"/>
        <w:outlineLvl w:val="0"/>
        <w:rPr>
          <w:rFonts w:hint="eastAsia" w:ascii="宋体" w:hAnsi="宋体" w:cs="宋体"/>
          <w:b/>
          <w:color w:val="auto"/>
          <w:sz w:val="30"/>
          <w:szCs w:val="30"/>
          <w:highlight w:val="none"/>
        </w:rPr>
      </w:pPr>
      <w:bookmarkStart w:id="186" w:name="_Toc17518"/>
      <w:bookmarkStart w:id="187" w:name="_Toc9896"/>
      <w:r>
        <w:rPr>
          <w:rFonts w:hint="eastAsia" w:ascii="宋体" w:hAnsi="宋体" w:cs="宋体"/>
          <w:b/>
          <w:color w:val="auto"/>
          <w:sz w:val="30"/>
          <w:szCs w:val="30"/>
          <w:highlight w:val="none"/>
          <w:lang w:bidi="ar"/>
        </w:rPr>
        <w:t>合同模板</w:t>
      </w:r>
      <w:bookmarkEnd w:id="186"/>
      <w:bookmarkEnd w:id="187"/>
    </w:p>
    <w:p>
      <w:pPr>
        <w:spacing w:before="300"/>
        <w:rPr>
          <w:rFonts w:ascii="仿宋" w:hAnsi="仿宋" w:eastAsia="仿宋" w:cs="仿宋"/>
          <w:b/>
          <w:bCs/>
          <w:color w:val="auto"/>
          <w:sz w:val="48"/>
          <w:szCs w:val="48"/>
          <w:highlight w:val="none"/>
        </w:rPr>
      </w:pPr>
      <w:r>
        <w:rPr>
          <w:rFonts w:ascii="仿宋" w:hAnsi="仿宋" w:eastAsia="仿宋" w:cs="仿宋"/>
          <w:b/>
          <w:bCs/>
          <w:color w:val="auto"/>
          <w:sz w:val="48"/>
          <w:szCs w:val="48"/>
          <w:highlight w:val="none"/>
          <w:lang w:bidi="ar"/>
        </w:rPr>
        <w:t xml:space="preserve"> </w:t>
      </w:r>
    </w:p>
    <w:p>
      <w:pPr>
        <w:spacing w:before="300"/>
        <w:jc w:val="center"/>
        <w:rPr>
          <w:rFonts w:ascii="仿宋" w:hAnsi="仿宋" w:eastAsia="仿宋" w:cs="仿宋"/>
          <w:b/>
          <w:bCs/>
          <w:color w:val="auto"/>
          <w:sz w:val="48"/>
          <w:szCs w:val="48"/>
          <w:highlight w:val="none"/>
        </w:rPr>
      </w:pPr>
      <w:r>
        <w:rPr>
          <w:rFonts w:ascii="仿宋" w:hAnsi="仿宋" w:eastAsia="仿宋" w:cs="仿宋"/>
          <w:b/>
          <w:bCs/>
          <w:color w:val="auto"/>
          <w:sz w:val="48"/>
          <w:szCs w:val="48"/>
          <w:highlight w:val="none"/>
          <w:lang w:bidi="ar"/>
        </w:rPr>
        <w:t>【</w:t>
      </w:r>
      <w:r>
        <w:rPr>
          <w:rFonts w:hint="eastAsia" w:ascii="仿宋" w:hAnsi="仿宋" w:eastAsia="仿宋" w:cs="仿宋"/>
          <w:b/>
          <w:bCs/>
          <w:color w:val="auto"/>
          <w:sz w:val="48"/>
          <w:szCs w:val="48"/>
          <w:highlight w:val="none"/>
          <w:lang w:val="en-US" w:eastAsia="zh-CN" w:bidi="ar"/>
        </w:rPr>
        <w:t xml:space="preserve">     </w:t>
      </w:r>
      <w:r>
        <w:rPr>
          <w:rFonts w:ascii="仿宋" w:hAnsi="仿宋" w:eastAsia="仿宋" w:cs="仿宋"/>
          <w:b/>
          <w:bCs/>
          <w:color w:val="auto"/>
          <w:sz w:val="48"/>
          <w:szCs w:val="48"/>
          <w:highlight w:val="none"/>
          <w:lang w:bidi="ar"/>
        </w:rPr>
        <w:t>】</w:t>
      </w:r>
    </w:p>
    <w:p>
      <w:pPr>
        <w:spacing w:before="300"/>
        <w:jc w:val="center"/>
        <w:rPr>
          <w:rFonts w:ascii="仿宋" w:hAnsi="仿宋" w:eastAsia="仿宋" w:cs="仿宋"/>
          <w:b/>
          <w:bCs/>
          <w:color w:val="auto"/>
          <w:sz w:val="52"/>
          <w:szCs w:val="52"/>
          <w:highlight w:val="none"/>
        </w:rPr>
      </w:pPr>
      <w:r>
        <w:rPr>
          <w:rFonts w:ascii="仿宋" w:hAnsi="仿宋" w:eastAsia="仿宋" w:cs="仿宋"/>
          <w:b/>
          <w:bCs/>
          <w:color w:val="auto"/>
          <w:sz w:val="52"/>
          <w:szCs w:val="52"/>
          <w:highlight w:val="none"/>
          <w:lang w:bidi="ar"/>
        </w:rPr>
        <w:t>项目技术开发合同</w:t>
      </w:r>
    </w:p>
    <w:p>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lang w:bidi="ar"/>
        </w:rPr>
        <w:t xml:space="preserve"> </w:t>
      </w:r>
    </w:p>
    <w:p>
      <w:pPr>
        <w:ind w:firstLine="643"/>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lang w:bidi="ar"/>
        </w:rPr>
        <w:t xml:space="preserve"> </w:t>
      </w:r>
    </w:p>
    <w:p>
      <w:pPr>
        <w:ind w:firstLine="643"/>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lang w:bidi="ar"/>
        </w:rPr>
        <w:t xml:space="preserve"> </w:t>
      </w:r>
    </w:p>
    <w:p>
      <w:pPr>
        <w:ind w:firstLine="643"/>
        <w:rPr>
          <w:rFonts w:ascii="仿宋" w:hAnsi="仿宋" w:eastAsia="仿宋" w:cs="仿宋"/>
          <w:b/>
          <w:bCs/>
          <w:color w:val="auto"/>
          <w:sz w:val="32"/>
          <w:szCs w:val="32"/>
          <w:highlight w:val="none"/>
          <w:u w:val="single"/>
          <w:lang w:bidi="ar"/>
        </w:rPr>
      </w:pPr>
      <w:r>
        <w:rPr>
          <w:rFonts w:ascii="仿宋" w:hAnsi="仿宋" w:eastAsia="仿宋" w:cs="仿宋"/>
          <w:b/>
          <w:bCs/>
          <w:color w:val="auto"/>
          <w:sz w:val="32"/>
          <w:szCs w:val="32"/>
          <w:highlight w:val="none"/>
          <w:lang w:bidi="ar"/>
        </w:rPr>
        <w:t>甲方（采购</w:t>
      </w:r>
      <w:r>
        <w:rPr>
          <w:rFonts w:hint="eastAsia" w:ascii="仿宋" w:hAnsi="仿宋" w:eastAsia="仿宋" w:cs="仿宋"/>
          <w:b/>
          <w:bCs/>
          <w:color w:val="auto"/>
          <w:sz w:val="32"/>
          <w:szCs w:val="32"/>
          <w:highlight w:val="none"/>
          <w:lang w:val="en-US" w:eastAsia="zh-CN" w:bidi="ar"/>
        </w:rPr>
        <w:t>人</w:t>
      </w:r>
      <w:r>
        <w:rPr>
          <w:rFonts w:ascii="仿宋" w:hAnsi="仿宋" w:eastAsia="仿宋" w:cs="仿宋"/>
          <w:b/>
          <w:bCs/>
          <w:color w:val="auto"/>
          <w:sz w:val="32"/>
          <w:szCs w:val="32"/>
          <w:highlight w:val="none"/>
          <w:lang w:bidi="ar"/>
        </w:rPr>
        <w:t>）：</w:t>
      </w:r>
      <w:r>
        <w:rPr>
          <w:rFonts w:ascii="仿宋" w:hAnsi="仿宋" w:eastAsia="仿宋" w:cs="仿宋"/>
          <w:b/>
          <w:bCs/>
          <w:color w:val="auto"/>
          <w:sz w:val="32"/>
          <w:szCs w:val="32"/>
          <w:highlight w:val="none"/>
          <w:u w:val="single"/>
          <w:lang w:bidi="ar"/>
        </w:rPr>
        <w:t xml:space="preserve">                 </w:t>
      </w:r>
      <w:r>
        <w:rPr>
          <w:rFonts w:hint="eastAsia" w:ascii="仿宋" w:hAnsi="仿宋" w:eastAsia="仿宋" w:cs="仿宋"/>
          <w:b/>
          <w:bCs/>
          <w:color w:val="auto"/>
          <w:sz w:val="32"/>
          <w:szCs w:val="32"/>
          <w:highlight w:val="none"/>
          <w:u w:val="single"/>
          <w:lang w:val="en-US" w:eastAsia="zh-CN" w:bidi="ar"/>
        </w:rPr>
        <w:t xml:space="preserve"> </w:t>
      </w:r>
      <w:r>
        <w:rPr>
          <w:rFonts w:ascii="仿宋" w:hAnsi="仿宋" w:eastAsia="仿宋" w:cs="仿宋"/>
          <w:b/>
          <w:bCs/>
          <w:color w:val="auto"/>
          <w:sz w:val="32"/>
          <w:szCs w:val="32"/>
          <w:highlight w:val="none"/>
          <w:u w:val="single"/>
          <w:lang w:bidi="ar"/>
        </w:rPr>
        <w:t xml:space="preserve">    </w:t>
      </w:r>
    </w:p>
    <w:p>
      <w:pPr>
        <w:ind w:firstLine="643"/>
        <w:rPr>
          <w:rFonts w:ascii="仿宋" w:hAnsi="仿宋" w:eastAsia="仿宋" w:cs="仿宋"/>
          <w:b/>
          <w:bCs/>
          <w:color w:val="auto"/>
          <w:sz w:val="30"/>
          <w:szCs w:val="30"/>
          <w:highlight w:val="none"/>
        </w:rPr>
      </w:pPr>
      <w:r>
        <w:rPr>
          <w:rFonts w:ascii="仿宋" w:hAnsi="仿宋" w:eastAsia="仿宋" w:cs="仿宋"/>
          <w:b/>
          <w:bCs/>
          <w:color w:val="auto"/>
          <w:sz w:val="32"/>
          <w:szCs w:val="32"/>
          <w:highlight w:val="none"/>
          <w:lang w:bidi="ar"/>
        </w:rPr>
        <w:t>乙方（</w:t>
      </w:r>
      <w:r>
        <w:rPr>
          <w:rFonts w:hint="eastAsia" w:ascii="仿宋" w:hAnsi="仿宋" w:eastAsia="仿宋" w:cs="仿宋"/>
          <w:b/>
          <w:bCs/>
          <w:color w:val="auto"/>
          <w:sz w:val="32"/>
          <w:szCs w:val="32"/>
          <w:highlight w:val="none"/>
          <w:lang w:val="en-US" w:eastAsia="zh-CN" w:bidi="ar"/>
        </w:rPr>
        <w:t>中标</w:t>
      </w:r>
      <w:r>
        <w:rPr>
          <w:rFonts w:hint="eastAsia" w:ascii="仿宋" w:hAnsi="仿宋" w:eastAsia="仿宋" w:cs="仿宋"/>
          <w:b/>
          <w:bCs/>
          <w:color w:val="auto"/>
          <w:sz w:val="32"/>
          <w:szCs w:val="32"/>
          <w:highlight w:val="none"/>
          <w:lang w:val="en-US" w:eastAsia="zh-CN" w:bidi="ar"/>
        </w:rPr>
        <w:t>供应商</w:t>
      </w:r>
      <w:r>
        <w:rPr>
          <w:rFonts w:ascii="仿宋" w:hAnsi="仿宋" w:eastAsia="仿宋" w:cs="仿宋"/>
          <w:b/>
          <w:bCs/>
          <w:color w:val="auto"/>
          <w:sz w:val="32"/>
          <w:szCs w:val="32"/>
          <w:highlight w:val="none"/>
          <w:lang w:bidi="ar"/>
        </w:rPr>
        <w:t>）：</w:t>
      </w:r>
      <w:r>
        <w:rPr>
          <w:rFonts w:hint="eastAsia" w:ascii="宋体" w:hAnsi="宋体" w:cs="宋体"/>
          <w:b/>
          <w:bCs/>
          <w:color w:val="auto"/>
          <w:sz w:val="32"/>
          <w:szCs w:val="32"/>
          <w:highlight w:val="none"/>
          <w:u w:val="single"/>
          <w:lang w:bidi="ar"/>
        </w:rPr>
        <w:t xml:space="preserve">            </w:t>
      </w:r>
      <w:r>
        <w:rPr>
          <w:rFonts w:ascii="仿宋" w:hAnsi="仿宋" w:eastAsia="仿宋" w:cs="仿宋"/>
          <w:b/>
          <w:bCs/>
          <w:color w:val="auto"/>
          <w:sz w:val="32"/>
          <w:szCs w:val="32"/>
          <w:highlight w:val="none"/>
          <w:u w:val="single"/>
          <w:lang w:bidi="ar"/>
        </w:rPr>
        <w:t xml:space="preserve">      </w:t>
      </w:r>
    </w:p>
    <w:p>
      <w:pPr>
        <w:spacing w:before="360" w:line="400" w:lineRule="exact"/>
        <w:ind w:firstLine="602"/>
        <w:rPr>
          <w:rFonts w:ascii="仿宋" w:hAnsi="仿宋" w:eastAsia="仿宋" w:cs="仿宋"/>
          <w:b/>
          <w:bCs/>
          <w:color w:val="auto"/>
          <w:sz w:val="30"/>
          <w:szCs w:val="30"/>
          <w:highlight w:val="none"/>
        </w:rPr>
      </w:pPr>
      <w:r>
        <w:rPr>
          <w:rFonts w:ascii="仿宋" w:hAnsi="仿宋" w:eastAsia="仿宋" w:cs="仿宋"/>
          <w:b/>
          <w:bCs/>
          <w:color w:val="auto"/>
          <w:sz w:val="30"/>
          <w:szCs w:val="30"/>
          <w:highlight w:val="none"/>
          <w:lang w:bidi="ar"/>
        </w:rPr>
        <w:t xml:space="preserve"> </w:t>
      </w:r>
    </w:p>
    <w:p>
      <w:pPr>
        <w:ind w:firstLine="562"/>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lang w:bidi="ar"/>
        </w:rPr>
        <w:t xml:space="preserve"> </w:t>
      </w:r>
    </w:p>
    <w:p>
      <w:pPr>
        <w:rPr>
          <w:rFonts w:ascii="仿宋" w:hAnsi="仿宋" w:eastAsia="仿宋" w:cs="仿宋"/>
          <w:color w:val="auto"/>
          <w:sz w:val="28"/>
          <w:szCs w:val="28"/>
          <w:highlight w:val="none"/>
        </w:rPr>
      </w:pPr>
      <w:r>
        <w:rPr>
          <w:rFonts w:ascii="仿宋" w:hAnsi="仿宋" w:eastAsia="仿宋" w:cs="仿宋"/>
          <w:color w:val="auto"/>
          <w:sz w:val="28"/>
          <w:szCs w:val="28"/>
          <w:highlight w:val="none"/>
          <w:lang w:bidi="ar"/>
        </w:rPr>
        <w:t xml:space="preserve"> </w:t>
      </w:r>
    </w:p>
    <w:p>
      <w:pPr>
        <w:pStyle w:val="24"/>
        <w:widowControl w:val="0"/>
        <w:spacing w:after="120" w:afterAutospacing="0"/>
        <w:jc w:val="both"/>
        <w:rPr>
          <w:rFonts w:hint="eastAsia" w:ascii="Calibri" w:hAnsi="Calibri"/>
          <w:color w:val="auto"/>
          <w:kern w:val="2"/>
          <w:sz w:val="21"/>
          <w:szCs w:val="21"/>
          <w:highlight w:val="none"/>
        </w:rPr>
      </w:pPr>
      <w:r>
        <w:rPr>
          <w:rFonts w:hint="eastAsia" w:ascii="Calibri" w:hAnsi="Calibri"/>
          <w:color w:val="auto"/>
          <w:kern w:val="2"/>
          <w:sz w:val="21"/>
          <w:szCs w:val="21"/>
          <w:highlight w:val="none"/>
          <w:lang w:bidi="ar"/>
        </w:rPr>
        <w:t xml:space="preserve"> </w:t>
      </w:r>
    </w:p>
    <w:p>
      <w:pPr>
        <w:spacing w:line="440" w:lineRule="exact"/>
        <w:ind w:firstLine="602"/>
        <w:rPr>
          <w:rFonts w:ascii="仿宋" w:hAnsi="仿宋" w:eastAsia="仿宋" w:cs="仿宋"/>
          <w:b/>
          <w:bCs/>
          <w:color w:val="auto"/>
          <w:sz w:val="30"/>
          <w:szCs w:val="30"/>
          <w:highlight w:val="none"/>
          <w:u w:val="single"/>
        </w:rPr>
      </w:pPr>
      <w:r>
        <w:rPr>
          <w:rFonts w:ascii="仿宋" w:hAnsi="仿宋" w:eastAsia="仿宋" w:cs="仿宋"/>
          <w:b/>
          <w:bCs/>
          <w:color w:val="auto"/>
          <w:sz w:val="30"/>
          <w:szCs w:val="30"/>
          <w:highlight w:val="none"/>
          <w:lang w:bidi="ar"/>
        </w:rPr>
        <w:t xml:space="preserve">签订地点： </w:t>
      </w:r>
      <w:r>
        <w:rPr>
          <w:rFonts w:hint="eastAsia" w:ascii="宋体" w:hAnsi="宋体" w:cs="宋体"/>
          <w:b/>
          <w:bCs/>
          <w:color w:val="auto"/>
          <w:sz w:val="30"/>
          <w:szCs w:val="30"/>
          <w:highlight w:val="none"/>
          <w:u w:val="single"/>
          <w:lang w:bidi="ar"/>
        </w:rPr>
        <w:t xml:space="preserve">      </w:t>
      </w:r>
    </w:p>
    <w:p>
      <w:pPr>
        <w:spacing w:line="440" w:lineRule="exact"/>
        <w:ind w:firstLine="1193" w:firstLineChars="396"/>
        <w:rPr>
          <w:rFonts w:ascii="仿宋" w:hAnsi="仿宋" w:eastAsia="仿宋" w:cs="仿宋"/>
          <w:b/>
          <w:bCs/>
          <w:color w:val="auto"/>
          <w:sz w:val="30"/>
          <w:szCs w:val="30"/>
          <w:highlight w:val="none"/>
        </w:rPr>
      </w:pPr>
      <w:r>
        <w:rPr>
          <w:rFonts w:ascii="仿宋" w:hAnsi="仿宋" w:eastAsia="仿宋" w:cs="仿宋"/>
          <w:b/>
          <w:bCs/>
          <w:color w:val="auto"/>
          <w:sz w:val="30"/>
          <w:szCs w:val="30"/>
          <w:highlight w:val="none"/>
          <w:lang w:bidi="ar"/>
        </w:rPr>
        <w:t xml:space="preserve"> </w:t>
      </w:r>
    </w:p>
    <w:p>
      <w:pPr>
        <w:spacing w:line="440" w:lineRule="exact"/>
        <w:ind w:firstLine="602"/>
        <w:rPr>
          <w:rFonts w:ascii="黑体" w:hAnsi="宋体" w:eastAsia="黑体" w:cs="黑体"/>
          <w:b/>
          <w:bCs/>
          <w:color w:val="auto"/>
          <w:sz w:val="30"/>
          <w:szCs w:val="30"/>
          <w:highlight w:val="none"/>
          <w:u w:val="single"/>
        </w:rPr>
      </w:pPr>
      <w:r>
        <w:rPr>
          <w:rFonts w:ascii="仿宋" w:hAnsi="仿宋" w:eastAsia="仿宋" w:cs="仿宋"/>
          <w:b/>
          <w:bCs/>
          <w:color w:val="auto"/>
          <w:sz w:val="30"/>
          <w:szCs w:val="30"/>
          <w:highlight w:val="none"/>
          <w:lang w:bidi="ar"/>
        </w:rPr>
        <w:t>签订日期：</w:t>
      </w:r>
      <w:r>
        <w:rPr>
          <w:rFonts w:ascii="仿宋" w:hAnsi="仿宋" w:eastAsia="仿宋" w:cs="仿宋"/>
          <w:b/>
          <w:bCs/>
          <w:color w:val="auto"/>
          <w:sz w:val="30"/>
          <w:szCs w:val="30"/>
          <w:highlight w:val="none"/>
          <w:u w:val="single"/>
          <w:lang w:bidi="ar"/>
        </w:rPr>
        <w:t xml:space="preserve">     年   月</w:t>
      </w:r>
      <w:r>
        <w:rPr>
          <w:rFonts w:ascii="黑体" w:hAnsi="宋体" w:eastAsia="黑体" w:cs="黑体"/>
          <w:b/>
          <w:bCs/>
          <w:color w:val="auto"/>
          <w:sz w:val="30"/>
          <w:szCs w:val="30"/>
          <w:highlight w:val="none"/>
          <w:u w:val="single"/>
          <w:lang w:bidi="ar"/>
        </w:rPr>
        <w:t xml:space="preserve"> </w:t>
      </w:r>
    </w:p>
    <w:p>
      <w:pPr>
        <w:rPr>
          <w:rFonts w:ascii="仿宋" w:hAnsi="仿宋"/>
          <w:b/>
          <w:bCs/>
          <w:color w:val="auto"/>
          <w:szCs w:val="21"/>
          <w:highlight w:val="none"/>
        </w:rPr>
        <w:sectPr>
          <w:pgSz w:w="11906" w:h="16838"/>
          <w:pgMar w:top="1440" w:right="1800" w:bottom="1440" w:left="1800" w:header="851" w:footer="992" w:gutter="0"/>
          <w:cols w:space="720" w:num="1"/>
          <w:titlePg/>
          <w:docGrid w:type="lines" w:linePitch="312" w:charSpace="0"/>
        </w:sectPr>
      </w:pP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 xml:space="preserve">甲方（采购方）：                          </w:t>
      </w: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法定代表人：</w:t>
      </w: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住所地：</w:t>
      </w: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电话：</w:t>
      </w:r>
    </w:p>
    <w:p>
      <w:pPr>
        <w:pStyle w:val="24"/>
        <w:widowControl w:val="0"/>
        <w:spacing w:after="120" w:afterAutospacing="0"/>
        <w:ind w:left="0" w:leftChars="0"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乙方（服务方）：</w:t>
      </w: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法定代表人：</w:t>
      </w: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住所地：</w:t>
      </w:r>
    </w:p>
    <w:p>
      <w:pPr>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 xml:space="preserve">电话：  </w:t>
      </w:r>
    </w:p>
    <w:p>
      <w:pPr>
        <w:autoSpaceDE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autoSpaceDE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甲乙双方根据</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项目（项目编号：</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）招标结果和招标文件的要求，在平等、自愿的基础上友好协商，就乙方向甲方提供本合同约定的技术及服务相关事宜，达成如下协议，以自双方共同遵守。</w:t>
      </w:r>
    </w:p>
    <w:p>
      <w:pPr>
        <w:autoSpaceDE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一、合同文件</w:t>
      </w:r>
    </w:p>
    <w:p>
      <w:pPr>
        <w:autoSpaceDE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下列文件构成本合同的组成部分：</w:t>
      </w:r>
    </w:p>
    <w:p>
      <w:pPr>
        <w:pStyle w:val="24"/>
        <w:widowControl w:val="0"/>
        <w:snapToGrid w:val="0"/>
        <w:spacing w:before="0" w:beforeAutospacing="0" w:after="0" w:afterAutospacing="0" w:line="360" w:lineRule="auto"/>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1、合同条款。</w:t>
      </w:r>
    </w:p>
    <w:p>
      <w:pPr>
        <w:pStyle w:val="24"/>
        <w:widowControl w:val="0"/>
        <w:snapToGrid w:val="0"/>
        <w:spacing w:before="0" w:beforeAutospacing="0" w:after="0" w:afterAutospacing="0" w:line="360" w:lineRule="auto"/>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2、中标通知书。</w:t>
      </w:r>
    </w:p>
    <w:p>
      <w:pPr>
        <w:pStyle w:val="24"/>
        <w:widowControl w:val="0"/>
        <w:snapToGrid w:val="0"/>
        <w:spacing w:before="0" w:beforeAutospacing="0" w:after="0" w:afterAutospacing="0" w:line="360" w:lineRule="auto"/>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3、招标文件。</w:t>
      </w:r>
    </w:p>
    <w:p>
      <w:pPr>
        <w:pStyle w:val="24"/>
        <w:widowControl w:val="0"/>
        <w:snapToGrid w:val="0"/>
        <w:spacing w:before="0" w:beforeAutospacing="0" w:after="0" w:afterAutospacing="0" w:line="360" w:lineRule="auto"/>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4、更正公告。</w:t>
      </w:r>
    </w:p>
    <w:p>
      <w:pPr>
        <w:pStyle w:val="24"/>
        <w:widowControl w:val="0"/>
        <w:snapToGrid w:val="0"/>
        <w:spacing w:before="0" w:beforeAutospacing="0" w:after="0" w:afterAutospacing="0" w:line="360" w:lineRule="auto"/>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5、中标</w:t>
      </w:r>
      <w:r>
        <w:rPr>
          <w:rFonts w:hint="eastAsia" w:ascii="宋体" w:hAnsi="宋体" w:cs="宋体"/>
          <w:color w:val="auto"/>
          <w:kern w:val="2"/>
          <w:sz w:val="21"/>
          <w:szCs w:val="21"/>
          <w:highlight w:val="none"/>
          <w:lang w:val="en-US" w:eastAsia="zh-CN" w:bidi="ar"/>
        </w:rPr>
        <w:t>供应商</w:t>
      </w:r>
      <w:r>
        <w:rPr>
          <w:rFonts w:hint="eastAsia" w:ascii="宋体" w:hAnsi="宋体" w:cs="宋体"/>
          <w:color w:val="auto"/>
          <w:kern w:val="2"/>
          <w:sz w:val="21"/>
          <w:szCs w:val="21"/>
          <w:highlight w:val="none"/>
          <w:lang w:bidi="ar"/>
        </w:rPr>
        <w:t>投标文件。</w:t>
      </w:r>
    </w:p>
    <w:p>
      <w:pPr>
        <w:pStyle w:val="24"/>
        <w:widowControl w:val="0"/>
        <w:snapToGrid w:val="0"/>
        <w:spacing w:before="0" w:beforeAutospacing="0" w:after="0" w:afterAutospacing="0" w:line="360" w:lineRule="auto"/>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6、合同补充条款或说明。</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生效时间在后的以上文件具有优先解释效力。</w:t>
      </w:r>
    </w:p>
    <w:p>
      <w:pPr>
        <w:numPr>
          <w:ilvl w:val="0"/>
          <w:numId w:val="10"/>
        </w:numPr>
        <w:autoSpaceDE w:val="0"/>
        <w:autoSpaceDN w:val="0"/>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合同标的</w:t>
      </w:r>
    </w:p>
    <w:p>
      <w:pPr>
        <w:autoSpaceDE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bidi="ar"/>
        </w:rPr>
        <w:t>甲方委托乙方开发</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项目。项目建设内容包括</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。具体详见《服务功能清单》约定内容（附件一）。</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三、合同金额及支付方式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1、本项目建设费用含税金额为￥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（大写：</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元整），税率</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%，增值税税额为￥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元。费用分</w:t>
      </w:r>
      <w:r>
        <w:rPr>
          <w:rFonts w:hint="eastAsia" w:ascii="宋体" w:hAnsi="宋体" w:cs="宋体"/>
          <w:color w:val="auto"/>
          <w:szCs w:val="21"/>
          <w:highlight w:val="none"/>
          <w:u w:val="single"/>
          <w:lang w:bidi="ar"/>
        </w:rPr>
        <w:t>三次</w:t>
      </w:r>
      <w:r>
        <w:rPr>
          <w:rFonts w:hint="eastAsia" w:ascii="宋体" w:hAnsi="宋体" w:cs="宋体"/>
          <w:color w:val="auto"/>
          <w:szCs w:val="21"/>
          <w:highlight w:val="none"/>
          <w:lang w:bidi="ar"/>
        </w:rPr>
        <w:t>付款：</w:t>
      </w:r>
    </w:p>
    <w:p>
      <w:pPr>
        <w:spacing w:line="360" w:lineRule="auto"/>
        <w:ind w:firstLine="420" w:firstLineChars="200"/>
        <w:rPr>
          <w:rFonts w:hint="eastAsia" w:ascii="宋体" w:hAnsi="宋体" w:cs="宋体"/>
          <w:color w:val="auto"/>
          <w:szCs w:val="21"/>
          <w:highlight w:val="none"/>
          <w:lang w:eastAsia="zh-CN"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签订合同并制定开发实施方案后（需项目负责人签字确认）</w:t>
      </w:r>
      <w:r>
        <w:rPr>
          <w:rFonts w:hint="eastAsia" w:ascii="宋体" w:hAnsi="宋体" w:cs="宋体"/>
          <w:color w:val="auto"/>
          <w:szCs w:val="21"/>
          <w:highlight w:val="none"/>
          <w:lang w:val="en-US" w:eastAsia="zh-CN" w:bidi="ar"/>
        </w:rPr>
        <w:t>7个工作日内</w:t>
      </w:r>
      <w:r>
        <w:rPr>
          <w:rFonts w:hint="eastAsia" w:ascii="宋体" w:hAnsi="宋体" w:cs="宋体"/>
          <w:color w:val="auto"/>
          <w:szCs w:val="21"/>
          <w:highlight w:val="none"/>
          <w:lang w:bidi="ar"/>
        </w:rPr>
        <w:t>支付合同款3900000元（大写：叁佰玖拾万元整）</w:t>
      </w:r>
      <w:r>
        <w:rPr>
          <w:rFonts w:hint="eastAsia" w:ascii="宋体" w:hAnsi="宋体" w:cs="宋体"/>
          <w:color w:val="auto"/>
          <w:szCs w:val="21"/>
          <w:highlight w:val="none"/>
          <w:lang w:eastAsia="zh-CN" w:bidi="ar"/>
        </w:rPr>
        <w:t>；</w:t>
      </w:r>
    </w:p>
    <w:p>
      <w:pPr>
        <w:spacing w:line="360" w:lineRule="auto"/>
        <w:ind w:firstLine="420" w:firstLineChars="200"/>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完成需求分析、软件架构设计、数据库设计、概要设计和详细设计并进入编码阶段后（需项目负责人签字确认）</w:t>
      </w:r>
      <w:r>
        <w:rPr>
          <w:rFonts w:hint="eastAsia" w:ascii="宋体" w:hAnsi="宋体" w:cs="宋体"/>
          <w:color w:val="auto"/>
          <w:szCs w:val="21"/>
          <w:highlight w:val="none"/>
          <w:lang w:val="en-US" w:eastAsia="zh-CN" w:bidi="ar"/>
        </w:rPr>
        <w:t>7个工作日内</w:t>
      </w:r>
      <w:r>
        <w:rPr>
          <w:rFonts w:hint="eastAsia" w:ascii="宋体" w:hAnsi="宋体" w:cs="宋体"/>
          <w:color w:val="auto"/>
          <w:szCs w:val="21"/>
          <w:highlight w:val="none"/>
          <w:lang w:bidi="ar"/>
        </w:rPr>
        <w:t>支付合同款4000000元（大写：肆佰万元整）</w:t>
      </w:r>
      <w:r>
        <w:rPr>
          <w:rFonts w:hint="eastAsia" w:ascii="宋体" w:hAnsi="宋体" w:cs="宋体"/>
          <w:color w:val="auto"/>
          <w:szCs w:val="21"/>
          <w:highlight w:val="none"/>
          <w:lang w:eastAsia="zh-CN" w:bidi="ar"/>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竣工验收合格后</w:t>
      </w:r>
      <w:r>
        <w:rPr>
          <w:rFonts w:hint="eastAsia" w:ascii="宋体" w:hAnsi="宋体" w:cs="宋体"/>
          <w:color w:val="auto"/>
          <w:szCs w:val="21"/>
          <w:highlight w:val="none"/>
          <w:lang w:val="en-US" w:eastAsia="zh-CN" w:bidi="ar"/>
        </w:rPr>
        <w:t>7个工作日内</w:t>
      </w:r>
      <w:r>
        <w:rPr>
          <w:rFonts w:hint="eastAsia" w:ascii="宋体" w:hAnsi="宋体" w:cs="宋体"/>
          <w:color w:val="auto"/>
          <w:szCs w:val="21"/>
          <w:highlight w:val="none"/>
          <w:lang w:bidi="ar"/>
        </w:rPr>
        <w:t>支付合同剩余款项。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2、甲方通过</w:t>
      </w:r>
      <w:r>
        <w:rPr>
          <w:rFonts w:hint="eastAsia" w:ascii="宋体" w:hAnsi="宋体" w:cs="宋体"/>
          <w:color w:val="auto"/>
          <w:szCs w:val="21"/>
          <w:highlight w:val="none"/>
          <w:u w:val="single"/>
          <w:lang w:bidi="ar"/>
        </w:rPr>
        <w:t>银行转账</w:t>
      </w:r>
      <w:r>
        <w:rPr>
          <w:rFonts w:hint="eastAsia" w:ascii="宋体" w:hAnsi="宋体" w:cs="宋体"/>
          <w:color w:val="auto"/>
          <w:szCs w:val="21"/>
          <w:highlight w:val="none"/>
          <w:lang w:bidi="ar"/>
        </w:rPr>
        <w:t>方式支付费用，付款前乙方需向甲方开具等额发票。</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四、项目实施时间、地点</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1、实施时间：</w:t>
      </w:r>
      <w:r>
        <w:rPr>
          <w:rFonts w:hint="eastAsia" w:ascii="宋体" w:hAnsi="宋体" w:cs="宋体"/>
          <w:color w:val="auto"/>
          <w:szCs w:val="21"/>
          <w:highlight w:val="none"/>
          <w:u w:val="single"/>
          <w:lang w:bidi="ar"/>
        </w:rPr>
        <w:t xml:space="preserve">             </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2、质保期：</w:t>
      </w:r>
      <w:r>
        <w:rPr>
          <w:rFonts w:hint="eastAsia" w:ascii="宋体" w:hAnsi="宋体" w:cs="宋体"/>
          <w:color w:val="auto"/>
          <w:szCs w:val="21"/>
          <w:highlight w:val="none"/>
          <w:u w:val="single"/>
          <w:lang w:bidi="ar"/>
        </w:rPr>
        <w:t xml:space="preserve">               </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3、履行地点：</w:t>
      </w:r>
      <w:r>
        <w:rPr>
          <w:rFonts w:hint="eastAsia" w:ascii="宋体" w:hAnsi="宋体" w:cs="宋体"/>
          <w:color w:val="auto"/>
          <w:szCs w:val="21"/>
          <w:highlight w:val="none"/>
          <w:u w:val="single"/>
          <w:lang w:bidi="ar"/>
        </w:rPr>
        <w:t xml:space="preserve">甲方指定地点 </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五、甲乙双方的权利和义务</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（一）甲方的权利和义务</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1、甲方有权对乙方工作予以监督，并配备项目负责人，配合乙方工作。</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2、甲方应按照本合同约定条款，按时、足额支付服务费用。</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（二）乙方的权利和义务</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1、乙方负责项目开发和管理工作。</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2、乙方依合同收取费用。甲方若对产品提出需求规格说明书以外的功能升级、新功能增加等需求，因此所产生的额外费用由双方另行商议。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3、如乙方依照本合同向甲方提供的软件系统产品或服务涉及第三方的合法权利的，乙方必须取得相关授权。</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六、技术成果的归属</w:t>
      </w:r>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开发完成后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方提供完成的所有程序、控件、工具的源代码，并按</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方要求提供所有相关文档，软件版权归</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方所有。</w:t>
      </w:r>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开发期间</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提供的公司自有产权的平台和控件，须向</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方提供永久使用权，并不受用户数的限制，在全省统计系统内可以免费使用，</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方提供相应的保密承诺。</w:t>
      </w:r>
    </w:p>
    <w:p>
      <w:pPr>
        <w:pageBreakBefore w:val="0"/>
        <w:widowControl/>
        <w:kinsoku/>
        <w:overflowPunct/>
        <w:topLinePunct w:val="0"/>
        <w:autoSpaceDE/>
        <w:autoSpaceDN/>
        <w:bidi w:val="0"/>
        <w:snapToGrid w:val="0"/>
        <w:spacing w:line="360" w:lineRule="auto"/>
        <w:ind w:firstLine="403" w:firstLineChars="192"/>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须对开发过程中涉及的统计数据资料进行严格的保密。</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七、保密事项规定</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任何一方对在本合同履行过程中以及合同期满后，对本合同及以任何方式获知的另一方商业秘密或其他技术及各种数据资源均负有保密义务，不得向任何其他第三方透露或泄露，但中国现行法律、法规另有规定或经另一方书面同意的除外。如任何一方因故意或过失违反本条款，造成损害的，应赔偿由此给另一方造成的一切直接或间接损失。</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八、不可抗力</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自不可抗力因素消失后三日内，应立即恢复履行合同。</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九、验收标准和方法</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1、验收方式：</w:t>
      </w:r>
      <w:r>
        <w:rPr>
          <w:rFonts w:hint="eastAsia" w:ascii="宋体" w:hAnsi="宋体" w:cs="宋体"/>
          <w:color w:val="auto"/>
          <w:szCs w:val="21"/>
          <w:highlight w:val="none"/>
          <w:u w:val="single"/>
          <w:lang w:bidi="ar"/>
        </w:rPr>
        <w:t>甲方组织。</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2、验收时间：</w:t>
      </w:r>
      <w:r>
        <w:rPr>
          <w:rFonts w:hint="eastAsia" w:ascii="宋体" w:hAnsi="宋体" w:cs="宋体"/>
          <w:color w:val="auto"/>
          <w:szCs w:val="21"/>
          <w:highlight w:val="none"/>
          <w:u w:val="single"/>
          <w:lang w:bidi="ar"/>
        </w:rPr>
        <w:t>项目各项功能模块开发完成且正常运行后即可进行验收。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3、验收地点：</w:t>
      </w:r>
      <w:r>
        <w:rPr>
          <w:rFonts w:hint="eastAsia" w:ascii="宋体" w:hAnsi="宋体" w:cs="宋体"/>
          <w:color w:val="auto"/>
          <w:szCs w:val="21"/>
          <w:highlight w:val="none"/>
          <w:u w:val="single"/>
          <w:lang w:bidi="ar"/>
        </w:rPr>
        <w:t>甲方指定地点。</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十、违约赔偿和服务考核</w:t>
      </w:r>
    </w:p>
    <w:p>
      <w:pPr>
        <w:pageBreakBefore w:val="0"/>
        <w:widowControl/>
        <w:kinsoku/>
        <w:overflowPunct/>
        <w:topLinePunct w:val="0"/>
        <w:autoSpaceDE/>
        <w:autoSpaceDN/>
        <w:bidi w:val="0"/>
        <w:snapToGrid w:val="0"/>
        <w:spacing w:line="360" w:lineRule="auto"/>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1.在系统设计开发过程中，若因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原因造成项目延期，经监理</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确认，每</w:t>
      </w:r>
      <w:r>
        <w:rPr>
          <w:rFonts w:hint="eastAsia" w:ascii="宋体" w:hAnsi="宋体" w:eastAsia="宋体" w:cs="宋体"/>
          <w:color w:val="auto"/>
          <w:sz w:val="21"/>
          <w:szCs w:val="21"/>
          <w:highlight w:val="none"/>
          <w:lang w:eastAsia="zh-CN"/>
        </w:rPr>
        <w:t>延误</w:t>
      </w:r>
      <w:r>
        <w:rPr>
          <w:rFonts w:hint="eastAsia" w:ascii="宋体" w:hAnsi="宋体" w:eastAsia="宋体" w:cs="宋体"/>
          <w:color w:val="auto"/>
          <w:sz w:val="21"/>
          <w:szCs w:val="21"/>
          <w:highlight w:val="none"/>
        </w:rPr>
        <w:t>一天，扣5000元人民币。</w:t>
      </w:r>
    </w:p>
    <w:p>
      <w:pPr>
        <w:pageBreakBefore w:val="0"/>
        <w:widowControl/>
        <w:kinsoku/>
        <w:overflowPunct/>
        <w:topLinePunct w:val="0"/>
        <w:autoSpaceDE/>
        <w:autoSpaceDN/>
        <w:bidi w:val="0"/>
        <w:snapToGrid w:val="0"/>
        <w:spacing w:line="360" w:lineRule="auto"/>
        <w:ind w:firstLine="403" w:firstLineChars="192"/>
        <w:rPr>
          <w:rFonts w:hint="eastAsia" w:ascii="宋体" w:hAnsi="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人员不遵从</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方开发、应用、维护的管理制度（规定）或不能在约定的时间内保证</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方所要求的人员到位的，或未经</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方同意更换开发技术人员的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经监理</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确认，每发生一人次，扣5000元人民币。</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十一、争议的解决方法</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甲乙双方在合同履行中发生争议，应通过协商解决。如协商不成，可以向</w:t>
      </w:r>
      <w:r>
        <w:rPr>
          <w:rFonts w:hint="eastAsia" w:ascii="宋体" w:hAnsi="宋体" w:cs="宋体"/>
          <w:color w:val="auto"/>
          <w:szCs w:val="21"/>
          <w:highlight w:val="none"/>
          <w:u w:val="single"/>
          <w:lang w:bidi="ar"/>
        </w:rPr>
        <w:t>原告所在地人民法院</w:t>
      </w:r>
      <w:r>
        <w:rPr>
          <w:rFonts w:hint="eastAsia" w:ascii="宋体" w:hAnsi="宋体" w:cs="宋体"/>
          <w:color w:val="auto"/>
          <w:szCs w:val="21"/>
          <w:highlight w:val="none"/>
          <w:lang w:bidi="ar"/>
        </w:rPr>
        <w:t>提起诉讼。</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十二、其它</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1、本合同由甲、乙双方的法定代表人或授权代表签字或签章，并经双方加盖单位公章或合同章之日起生效。本合同一式陆份，甲乙双方各执叁份，具有同等法律效力。</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2、所有在工作中双方授权代表书面签字认可的文字材料均作为合同附件，具有与本合同同等的法律效力。</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3、本合同的未尽事宜，双方另行签订补充协议，补充协议与本合同具有同等法律效力。</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lang w:bidi="ar"/>
        </w:rPr>
        <w:t>【以下无正文，为合同签署页】</w:t>
      </w:r>
    </w:p>
    <w:p>
      <w:pPr>
        <w:spacing w:line="360" w:lineRule="auto"/>
        <w:ind w:firstLine="420" w:firstLineChars="200"/>
        <w:rPr>
          <w:rFonts w:hint="eastAsia" w:ascii="宋体" w:hAnsi="宋体" w:eastAsia="宋体" w:cs="宋体"/>
          <w:color w:val="auto"/>
          <w:szCs w:val="21"/>
          <w:highlight w:val="none"/>
          <w:u w:val="singl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附：保密协议。</w:t>
      </w:r>
    </w:p>
    <w:p>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lang w:bidi="ar"/>
        </w:rPr>
        <w:t>【本页无正文，为合同签署页】</w:t>
      </w:r>
    </w:p>
    <w:tbl>
      <w:tblPr>
        <w:tblStyle w:val="2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956"/>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15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113" w:right="113"/>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（采购</w:t>
            </w:r>
            <w:r>
              <w:rPr>
                <w:rFonts w:hint="eastAsia" w:ascii="宋体" w:hAnsi="宋体" w:cs="宋体"/>
                <w:b/>
                <w:color w:val="auto"/>
                <w:szCs w:val="21"/>
                <w:highlight w:val="none"/>
                <w:lang w:val="en-US" w:eastAsia="zh-CN" w:bidi="ar"/>
              </w:rPr>
              <w:t>人</w:t>
            </w:r>
            <w:r>
              <w:rPr>
                <w:rFonts w:hint="eastAsia" w:ascii="宋体" w:hAnsi="宋体" w:cs="宋体"/>
                <w:b/>
                <w:color w:val="auto"/>
                <w:szCs w:val="21"/>
                <w:highlight w:val="none"/>
                <w:lang w:bidi="ar"/>
              </w:rPr>
              <w:t>）甲方</w:t>
            </w: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单位名称</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法定代表人（或授权代表）</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（签字或签章）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项目负责人</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地    址</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i/>
                <w:iCs/>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电    话</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纳税人识别号</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签署日期</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157" w:type="dxa"/>
            <w:vMerge w:val="restart"/>
            <w:tcBorders>
              <w:top w:val="nil"/>
              <w:left w:val="single" w:color="auto" w:sz="4" w:space="0"/>
              <w:bottom w:val="single" w:color="auto" w:sz="4" w:space="0"/>
              <w:right w:val="single" w:color="auto" w:sz="4" w:space="0"/>
            </w:tcBorders>
            <w:noWrap w:val="0"/>
            <w:vAlign w:val="center"/>
          </w:tcPr>
          <w:p>
            <w:pPr>
              <w:snapToGrid w:val="0"/>
              <w:ind w:left="113" w:right="113"/>
              <w:jc w:val="center"/>
              <w:rPr>
                <w:rFonts w:hint="eastAsia" w:ascii="宋体" w:hAnsi="宋体" w:cs="宋体"/>
                <w:color w:val="auto"/>
                <w:szCs w:val="21"/>
                <w:highlight w:val="none"/>
              </w:rPr>
            </w:pPr>
            <w:r>
              <w:rPr>
                <w:rFonts w:hint="eastAsia" w:ascii="宋体" w:hAnsi="宋体" w:cs="宋体"/>
                <w:b/>
                <w:color w:val="auto"/>
                <w:szCs w:val="21"/>
                <w:highlight w:val="none"/>
                <w:lang w:bidi="ar"/>
              </w:rPr>
              <w:t>（</w:t>
            </w:r>
            <w:r>
              <w:rPr>
                <w:rFonts w:hint="eastAsia" w:ascii="宋体" w:hAnsi="宋体" w:cs="宋体"/>
                <w:b/>
                <w:color w:val="auto"/>
                <w:szCs w:val="21"/>
                <w:highlight w:val="none"/>
                <w:lang w:val="en-US" w:eastAsia="zh-CN" w:bidi="ar"/>
              </w:rPr>
              <w:t>中标</w:t>
            </w:r>
            <w:r>
              <w:rPr>
                <w:rFonts w:hint="eastAsia" w:ascii="宋体" w:hAnsi="宋体" w:cs="宋体"/>
                <w:b/>
                <w:color w:val="auto"/>
                <w:szCs w:val="21"/>
                <w:highlight w:val="none"/>
                <w:lang w:val="en-US" w:eastAsia="zh-CN" w:bidi="ar"/>
              </w:rPr>
              <w:t>供应商</w:t>
            </w:r>
            <w:r>
              <w:rPr>
                <w:rFonts w:hint="eastAsia" w:ascii="宋体" w:hAnsi="宋体" w:cs="宋体"/>
                <w:b/>
                <w:color w:val="auto"/>
                <w:szCs w:val="21"/>
                <w:highlight w:val="none"/>
                <w:lang w:bidi="ar"/>
              </w:rPr>
              <w:t>）乙方</w:t>
            </w: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单位名称</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1157"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法定代表人</w:t>
            </w:r>
          </w:p>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（或授权代表）</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（签字或签章）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项目负责人</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地    址</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电    话</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开户银行</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账    号</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57"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956"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签署日期</w:t>
            </w:r>
          </w:p>
        </w:tc>
        <w:tc>
          <w:tcPr>
            <w:tcW w:w="5183"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lang w:bidi="ar"/>
              </w:rPr>
              <w:t>年   月   日</w:t>
            </w:r>
          </w:p>
        </w:tc>
      </w:tr>
    </w:tbl>
    <w:p>
      <w:pPr>
        <w:jc w:val="center"/>
        <w:rPr>
          <w:rFonts w:ascii="宋体" w:hAnsi="宋体" w:cs="宋体"/>
          <w:b/>
          <w:color w:val="auto"/>
          <w:sz w:val="30"/>
          <w:szCs w:val="30"/>
          <w:highlight w:val="none"/>
        </w:rPr>
      </w:pPr>
      <w:r>
        <w:rPr>
          <w:rStyle w:val="41"/>
          <w:rFonts w:hint="eastAsia" w:ascii="宋体" w:hAnsi="宋体"/>
          <w:color w:val="auto"/>
          <w:sz w:val="30"/>
          <w:szCs w:val="30"/>
          <w:highlight w:val="none"/>
        </w:rPr>
        <w:br w:type="page"/>
      </w:r>
      <w:bookmarkStart w:id="188" w:name="_Toc28506"/>
      <w:r>
        <w:rPr>
          <w:rStyle w:val="41"/>
          <w:rFonts w:hint="eastAsia" w:ascii="宋体" w:hAnsi="宋体" w:eastAsia="宋体"/>
          <w:b/>
          <w:bCs/>
          <w:color w:val="auto"/>
          <w:sz w:val="30"/>
          <w:szCs w:val="30"/>
          <w:highlight w:val="none"/>
        </w:rPr>
        <w:t>第五部分</w:t>
      </w:r>
      <w:r>
        <w:rPr>
          <w:rStyle w:val="41"/>
          <w:rFonts w:hint="eastAsia" w:ascii="宋体" w:hAnsi="宋体"/>
          <w:b/>
          <w:bCs/>
          <w:color w:val="auto"/>
          <w:sz w:val="30"/>
          <w:szCs w:val="30"/>
          <w:highlight w:val="none"/>
        </w:rPr>
        <w:t xml:space="preserve">  </w:t>
      </w:r>
      <w:r>
        <w:rPr>
          <w:rStyle w:val="41"/>
          <w:rFonts w:hint="eastAsia" w:ascii="宋体" w:hAnsi="宋体" w:eastAsia="宋体"/>
          <w:b/>
          <w:bCs/>
          <w:color w:val="auto"/>
          <w:sz w:val="30"/>
          <w:szCs w:val="30"/>
          <w:highlight w:val="none"/>
        </w:rPr>
        <w:t>评标办法（综合评分法）</w:t>
      </w:r>
      <w:bookmarkEnd w:id="179"/>
      <w:bookmarkEnd w:id="180"/>
      <w:bookmarkEnd w:id="181"/>
      <w:bookmarkEnd w:id="182"/>
      <w:bookmarkEnd w:id="183"/>
      <w:bookmarkEnd w:id="184"/>
      <w:bookmarkEnd w:id="185"/>
      <w:bookmarkEnd w:id="188"/>
    </w:p>
    <w:p>
      <w:pPr>
        <w:tabs>
          <w:tab w:val="left" w:pos="735"/>
        </w:tabs>
        <w:adjustRightInd w:val="0"/>
        <w:snapToGrid w:val="0"/>
        <w:spacing w:line="360" w:lineRule="auto"/>
        <w:ind w:firstLine="420" w:firstLineChars="200"/>
        <w:rPr>
          <w:rFonts w:ascii="宋体" w:hAnsi="宋体" w:cs="宋体"/>
          <w:snapToGrid w:val="0"/>
          <w:color w:val="auto"/>
          <w:kern w:val="0"/>
          <w:szCs w:val="21"/>
          <w:highlight w:val="none"/>
        </w:rPr>
      </w:pPr>
    </w:p>
    <w:p>
      <w:pPr>
        <w:tabs>
          <w:tab w:val="left" w:pos="73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napToGrid w:val="0"/>
          <w:color w:val="auto"/>
          <w:kern w:val="0"/>
          <w:szCs w:val="21"/>
          <w:highlight w:val="none"/>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hint="eastAsia" w:ascii="宋体" w:hAnsi="宋体" w:cs="宋体"/>
          <w:color w:val="auto"/>
          <w:szCs w:val="21"/>
          <w:highlight w:val="none"/>
        </w:rPr>
        <w:t>。</w:t>
      </w:r>
    </w:p>
    <w:p>
      <w:pPr>
        <w:pStyle w:val="3"/>
        <w:snapToGrid w:val="0"/>
        <w:spacing w:before="0" w:after="0" w:line="360" w:lineRule="auto"/>
        <w:ind w:firstLine="422"/>
        <w:rPr>
          <w:rFonts w:ascii="宋体" w:hAnsi="宋体" w:eastAsia="宋体"/>
          <w:color w:val="auto"/>
          <w:sz w:val="21"/>
          <w:szCs w:val="21"/>
          <w:highlight w:val="none"/>
        </w:rPr>
      </w:pPr>
      <w:bookmarkStart w:id="189" w:name="_Toc7363"/>
      <w:bookmarkStart w:id="190" w:name="_Toc19840"/>
      <w:bookmarkStart w:id="191" w:name="_Toc8958"/>
      <w:bookmarkStart w:id="192" w:name="_Toc23956"/>
      <w:bookmarkStart w:id="193" w:name="_Toc12843"/>
      <w:r>
        <w:rPr>
          <w:rFonts w:hint="eastAsia" w:ascii="宋体" w:hAnsi="宋体" w:eastAsia="宋体"/>
          <w:color w:val="auto"/>
          <w:sz w:val="21"/>
          <w:szCs w:val="21"/>
          <w:highlight w:val="none"/>
        </w:rPr>
        <w:t>一、总则</w:t>
      </w:r>
      <w:bookmarkEnd w:id="189"/>
      <w:bookmarkEnd w:id="190"/>
      <w:bookmarkEnd w:id="191"/>
      <w:bookmarkEnd w:id="192"/>
      <w:bookmarkEnd w:id="193"/>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0" w:after="0" w:line="360" w:lineRule="auto"/>
        <w:ind w:firstLine="422"/>
        <w:rPr>
          <w:rFonts w:ascii="宋体" w:hAnsi="宋体" w:eastAsia="宋体"/>
          <w:color w:val="auto"/>
          <w:sz w:val="21"/>
          <w:szCs w:val="21"/>
          <w:highlight w:val="none"/>
        </w:rPr>
      </w:pPr>
      <w:bookmarkStart w:id="194" w:name="_Toc7677"/>
      <w:bookmarkStart w:id="195" w:name="_Toc14650"/>
      <w:bookmarkStart w:id="196" w:name="_Toc18277"/>
      <w:bookmarkStart w:id="197" w:name="_Toc32306"/>
      <w:bookmarkStart w:id="198" w:name="_Toc22808"/>
      <w:r>
        <w:rPr>
          <w:rFonts w:hint="eastAsia" w:ascii="宋体" w:hAnsi="宋体" w:eastAsia="宋体"/>
          <w:color w:val="auto"/>
          <w:sz w:val="21"/>
          <w:szCs w:val="21"/>
          <w:highlight w:val="none"/>
        </w:rPr>
        <w:t>二、评标组织</w:t>
      </w:r>
      <w:bookmarkEnd w:id="194"/>
      <w:bookmarkEnd w:id="195"/>
      <w:bookmarkEnd w:id="196"/>
      <w:bookmarkEnd w:id="197"/>
      <w:bookmarkEnd w:id="198"/>
    </w:p>
    <w:p>
      <w:pPr>
        <w:adjustRightInd w:val="0"/>
        <w:snapToGrid w:val="0"/>
        <w:spacing w:line="360" w:lineRule="auto"/>
        <w:ind w:firstLine="420" w:firstLineChars="200"/>
        <w:rPr>
          <w:rFonts w:ascii="宋体" w:hAnsi="宋体" w:cs="宋体"/>
          <w:snapToGrid w:val="0"/>
          <w:color w:val="auto"/>
          <w:kern w:val="0"/>
          <w:szCs w:val="21"/>
          <w:highlight w:val="none"/>
        </w:rPr>
      </w:pPr>
      <w:bookmarkStart w:id="199" w:name="_Toc18118"/>
      <w:r>
        <w:rPr>
          <w:rFonts w:hint="eastAsia" w:ascii="宋体" w:hAnsi="宋体" w:cs="宋体"/>
          <w:snapToGrid w:val="0"/>
          <w:color w:val="auto"/>
          <w:kern w:val="0"/>
          <w:szCs w:val="21"/>
          <w:highlight w:val="none"/>
        </w:rPr>
        <w:t>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pPr>
        <w:pStyle w:val="3"/>
        <w:snapToGrid w:val="0"/>
        <w:spacing w:before="0" w:after="0" w:line="360" w:lineRule="auto"/>
        <w:ind w:firstLine="422"/>
        <w:rPr>
          <w:rFonts w:ascii="宋体" w:hAnsi="宋体" w:eastAsia="宋体"/>
          <w:color w:val="auto"/>
          <w:sz w:val="21"/>
          <w:szCs w:val="21"/>
          <w:highlight w:val="none"/>
        </w:rPr>
      </w:pPr>
      <w:bookmarkStart w:id="200" w:name="_Toc21085"/>
      <w:bookmarkStart w:id="201" w:name="_Toc5418"/>
      <w:bookmarkStart w:id="202" w:name="_Toc27167"/>
      <w:bookmarkStart w:id="203" w:name="_Toc31259"/>
      <w:r>
        <w:rPr>
          <w:rFonts w:hint="eastAsia" w:ascii="宋体" w:hAnsi="宋体" w:eastAsia="宋体"/>
          <w:color w:val="auto"/>
          <w:sz w:val="21"/>
          <w:szCs w:val="21"/>
          <w:highlight w:val="none"/>
        </w:rPr>
        <w:t>三、评标纪律</w:t>
      </w:r>
      <w:bookmarkEnd w:id="199"/>
      <w:bookmarkEnd w:id="200"/>
      <w:bookmarkEnd w:id="201"/>
      <w:bookmarkEnd w:id="202"/>
      <w:bookmarkEnd w:id="203"/>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2．所有评标人员应忠于职守、廉洁自律、秉公办事、不徇私情。</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4．评标期间，评标人员不得随意出入评标地点、与外界通讯、会客等。</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8．评标结束后，各评标人员应将全部资料整理上交采购人，严禁将评标过程中的任何资料带出评标现场向投标人或其他单位提供。</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9．在中标结果公布前应对评标委员会成员名单予以保密。</w:t>
      </w:r>
    </w:p>
    <w:p>
      <w:pPr>
        <w:adjustRightInd w:val="0"/>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10．评标委员会对各投标人的商业秘密予以保密。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12．在整个评标过程中，投标人企图影响招标结果的任何活动，可能导致其投标失败。如有违法行为，将依法追究其法律责任。</w:t>
      </w:r>
    </w:p>
    <w:p>
      <w:pPr>
        <w:pStyle w:val="3"/>
        <w:snapToGrid w:val="0"/>
        <w:spacing w:before="0" w:after="0" w:line="360" w:lineRule="auto"/>
        <w:ind w:firstLine="422"/>
        <w:rPr>
          <w:rFonts w:ascii="宋体" w:hAnsi="宋体" w:eastAsia="宋体"/>
          <w:color w:val="auto"/>
          <w:sz w:val="21"/>
          <w:szCs w:val="21"/>
          <w:highlight w:val="none"/>
        </w:rPr>
      </w:pPr>
      <w:bookmarkStart w:id="204" w:name="_Toc17717"/>
      <w:bookmarkStart w:id="205" w:name="_Toc6498"/>
      <w:bookmarkStart w:id="206" w:name="_Toc5927"/>
      <w:bookmarkStart w:id="207" w:name="_Toc19445"/>
      <w:bookmarkStart w:id="208" w:name="_Toc4487"/>
      <w:bookmarkStart w:id="209" w:name="_Toc21334"/>
      <w:r>
        <w:rPr>
          <w:rFonts w:hint="eastAsia" w:ascii="宋体" w:hAnsi="宋体" w:eastAsia="宋体"/>
          <w:color w:val="auto"/>
          <w:sz w:val="21"/>
          <w:szCs w:val="21"/>
          <w:highlight w:val="none"/>
        </w:rPr>
        <w:t>四、评标程序</w:t>
      </w:r>
      <w:bookmarkEnd w:id="204"/>
      <w:bookmarkEnd w:id="205"/>
      <w:bookmarkEnd w:id="206"/>
      <w:bookmarkEnd w:id="207"/>
      <w:bookmarkEnd w:id="208"/>
      <w:bookmarkEnd w:id="209"/>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1．本项目采用不公开方式评标，评标的依据为采购文件和投标文件。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2．熟悉采购文件和评标办法。</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3．采购代理机构按照采购文件规定的时间、地点及程序组织评审。流程如下：</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开启评审场地的录音录像采集设备，并确保其正常运行。</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核验出席评审活动现场的评审小组各成员和相关监督人员身份，并要求其分别登记、签到，按规定统一收缴、保存其通讯工具，无关人员一律拒绝其进入评审现场。</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介绍评审现场的人员情况，宣布评审工作纪律，告知评审人员应当回避情形；组织推选评审小组组长。</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通报报名参加本项目采购的投标人名单及资格预审情况（如有），宣读最终提交采购响应文件的投标人名单，组织评审小组各位成员签订《政府采购评审人员廉洁自律承诺书》。</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根据需要简要介绍采购文件（含补充文件）制定及质疑答复情况、按书面陈述项目基本情况及评审工作需注意事项等。</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评审小组组长组织评审人员独立评审。评标程序见本文件投标须知第21.4条。</w:t>
      </w:r>
    </w:p>
    <w:p>
      <w:pPr>
        <w:tabs>
          <w:tab w:val="left" w:pos="851"/>
          <w:tab w:val="left" w:pos="993"/>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评审小组根据评审汇总情况和采购文件规定确定中标（成交）候选供应商排序名单。</w:t>
      </w:r>
    </w:p>
    <w:p>
      <w:pPr>
        <w:numPr>
          <w:ilvl w:val="1"/>
          <w:numId w:val="11"/>
        </w:numPr>
        <w:tabs>
          <w:tab w:val="left" w:pos="851"/>
          <w:tab w:val="left" w:pos="993"/>
        </w:tabs>
        <w:adjustRightInd w:val="0"/>
        <w:snapToGrid w:val="0"/>
        <w:spacing w:line="360" w:lineRule="auto"/>
        <w:ind w:left="0" w:firstLine="426"/>
        <w:rPr>
          <w:rFonts w:ascii="宋体" w:hAnsi="宋体" w:cs="宋体"/>
          <w:color w:val="auto"/>
          <w:szCs w:val="21"/>
          <w:highlight w:val="none"/>
        </w:rPr>
      </w:pPr>
      <w:r>
        <w:rPr>
          <w:rFonts w:hint="eastAsia" w:ascii="宋体" w:hAnsi="宋体" w:cs="宋体"/>
          <w:color w:val="auto"/>
          <w:szCs w:val="21"/>
          <w:highlight w:val="none"/>
        </w:rPr>
        <w:t>起草评审报告，所有评审人员须在评审报告上签字确认。</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（1）采购公告刊登的媒体名称、开标日期和地点；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（2）获取采购文件的投标人名单和评标委员会成员名单；</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（3）评标方法和标准；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（4）开标记录和评标情况及说明，包括投标无效投标人名单及原因；</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（5）评标结果和中标候选人排序；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（6）评标委员会的授标建议。</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4.评标程序</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4.1投标文件初审。初审分为资格性检查和符合性检查。</w:t>
      </w:r>
    </w:p>
    <w:p>
      <w:pPr>
        <w:numPr>
          <w:ilvl w:val="0"/>
          <w:numId w:val="12"/>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资格性检查。</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开标后，采购人或采购代理机构将依据法律法规和投标须知第9.1条规定对投标人的基本资格条件、落实政府采购政策需满足的资格要求及特定资格条件进行审查。</w:t>
      </w:r>
    </w:p>
    <w:p>
      <w:pPr>
        <w:numPr>
          <w:ilvl w:val="0"/>
          <w:numId w:val="12"/>
        </w:num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符合性检查。依据采购文件的规定，从投标文件的有效性、完整性和对采购文件的响应程度进行审查，以确定是否对采购文件的实质性要求作出响应。具体审查内容见“无效投标的认定”。</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评标委员会决定投标文件的响应性只根据投标文件本身的内容，而不寻求外部证据。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澄清有关问题。在评标期间，对投标文件中含义不明确、同类问题表述不一致或者有明显文字和计算错误的内容，可由评审组长将问题汇总后发起询标澄清函（或由采购代理机构代替评审组长发起询标澄清函）。投标人的澄清、说明或者补正不得超出投标文件的范围或者改变投标文件的实质性内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投标人的澄清、说明或者补正应当加盖投标人电子签章后上传提交（或通过平台上传经授权代表签字或加盖公章的扫描件）。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除邮件交互外，如政采云平台提供信息发布、澄清说明、数据交换等操作方式的，或者政采云系统平台有新的操作流程的，按其规定。</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4.3修正原则</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投标文件报价出现前后不一致的，按照下列规定修正：</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(5)政采云平台填报的开标一览表中的价格与上传的报价响应文件中开标一览表的报价不一致的，以上传的报价响应文件中开标一览表的价格为准，修正平台上的投标报价。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4.4比较与评价。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4.5按采购文件中规定的评标方法和标准，对投标人进行排序，并推荐中标候选人。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4.6编写评标报告。</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5．无效投标的认定</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5.1资格审查阶段</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未按照采购文件投标须知9.1条要求提供与基本资格条件、落实政府采购政策需满足的资格要求及特定资格条件相应的有效资格证明材料的，视为投标人不具备采购文件中规定的资格要求，其资格审查不通过。</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5.2商务技术文件评审阶段</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5.2.1如发现下列情形之一的，商务文件将被视为无效投标：</w:t>
      </w:r>
    </w:p>
    <w:p>
      <w:pPr>
        <w:numPr>
          <w:ilvl w:val="0"/>
          <w:numId w:val="14"/>
        </w:numPr>
        <w:tabs>
          <w:tab w:val="left" w:pos="900"/>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投标文件中授权委托书所载内容与本项目内容有异的或者授权委托书未按照采购文件要求签署、盖章的；</w:t>
      </w:r>
    </w:p>
    <w:p>
      <w:pPr>
        <w:numPr>
          <w:ilvl w:val="0"/>
          <w:numId w:val="14"/>
        </w:numPr>
        <w:tabs>
          <w:tab w:val="left" w:pos="900"/>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投标文件内容弄虚作假的；</w:t>
      </w:r>
    </w:p>
    <w:p>
      <w:pPr>
        <w:numPr>
          <w:ilvl w:val="0"/>
          <w:numId w:val="14"/>
        </w:numPr>
        <w:tabs>
          <w:tab w:val="left" w:pos="900"/>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商务文件未按采购文件要求盖章的；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snapToGrid w:val="0"/>
          <w:color w:val="auto"/>
          <w:kern w:val="0"/>
          <w:szCs w:val="21"/>
          <w:highlight w:val="none"/>
        </w:rPr>
      </w:pPr>
      <w:r>
        <w:rPr>
          <w:rFonts w:hint="eastAsia" w:ascii="宋体" w:hAnsi="宋体" w:cs="宋体"/>
          <w:b/>
          <w:bCs/>
          <w:color w:val="auto"/>
          <w:szCs w:val="21"/>
          <w:highlight w:val="none"/>
        </w:rPr>
        <w:t>不响应采购文件标注“</w:t>
      </w:r>
      <w:r>
        <w:rPr>
          <w:rFonts w:hint="eastAsia" w:ascii="宋体" w:hAnsi="宋体" w:cs="宋体"/>
          <w:snapToGrid w:val="0"/>
          <w:color w:val="auto"/>
          <w:kern w:val="0"/>
          <w:szCs w:val="21"/>
          <w:highlight w:val="none"/>
        </w:rPr>
        <w:t>▲</w:t>
      </w:r>
      <w:r>
        <w:rPr>
          <w:rFonts w:hint="eastAsia" w:ascii="宋体" w:hAnsi="宋体" w:cs="宋体"/>
          <w:b/>
          <w:bCs/>
          <w:color w:val="auto"/>
          <w:szCs w:val="21"/>
          <w:highlight w:val="none"/>
        </w:rPr>
        <w:t>”条款要求的；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投标有效期、服务期等条款不满足采购文件要求的；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投标人有恶意串通、妨碍其他投标人的竞争行为、损害采购人或者其他投标人的合法权益情形的；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存在法律、法规规定及采购文件规定的其它无效情形的。</w:t>
      </w:r>
    </w:p>
    <w:p>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5.2.2如发现下列情形之一的，技术文件将被视为无效投标：</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技术文件未按采购文件要求盖章的；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技术文件标明的响应或偏离与事实不符或虚假投标的；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明显不符合采购内容、质量标准，或者与采购文件中标注“▲”条款存在实质性偏离的；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投标文件含有采购人不能接受的附加条件的；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napToGrid w:val="0"/>
          <w:color w:val="auto"/>
          <w:kern w:val="0"/>
          <w:szCs w:val="21"/>
          <w:highlight w:val="none"/>
        </w:rPr>
      </w:pPr>
      <w:r>
        <w:rPr>
          <w:rFonts w:hint="eastAsia" w:ascii="宋体" w:hAnsi="宋体" w:cs="宋体"/>
          <w:b/>
          <w:bCs/>
          <w:color w:val="auto"/>
          <w:szCs w:val="21"/>
          <w:highlight w:val="none"/>
        </w:rPr>
        <w:t>投标人有恶意串通、妨碍其他投标人的竞争行为、损害采购人或者其他投标人的合法权益情形的；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存在法律、法规规定及采购文件规定的其它无效情形的。</w:t>
      </w:r>
    </w:p>
    <w:p>
      <w:pPr>
        <w:adjustRightInd w:val="0"/>
        <w:snapToGrid w:val="0"/>
        <w:spacing w:line="360" w:lineRule="auto"/>
        <w:ind w:firstLine="422" w:firstLineChars="200"/>
        <w:jc w:val="left"/>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5.3报价响应文件评审阶段</w:t>
      </w:r>
    </w:p>
    <w:p>
      <w:pPr>
        <w:tabs>
          <w:tab w:val="left" w:pos="900"/>
          <w:tab w:val="left" w:pos="1080"/>
        </w:tabs>
        <w:adjustRightInd w:val="0"/>
        <w:snapToGrid w:val="0"/>
        <w:spacing w:line="360" w:lineRule="auto"/>
        <w:ind w:left="360"/>
        <w:jc w:val="left"/>
        <w:rPr>
          <w:rFonts w:ascii="宋体" w:hAnsi="宋体" w:cs="宋体"/>
          <w:b/>
          <w:bCs/>
          <w:color w:val="auto"/>
          <w:szCs w:val="21"/>
          <w:highlight w:val="none"/>
        </w:rPr>
      </w:pPr>
      <w:r>
        <w:rPr>
          <w:rFonts w:hint="eastAsia" w:ascii="宋体" w:hAnsi="宋体" w:cs="宋体"/>
          <w:snapToGrid w:val="0"/>
          <w:color w:val="auto"/>
          <w:kern w:val="0"/>
          <w:szCs w:val="21"/>
          <w:highlight w:val="none"/>
        </w:rPr>
        <w:t>在报价评审时，如发现下列情形之一的，投标文件将被视为无效：</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报价文件未按采购文件要求盖章的；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开标一览表投标报价为零的（包括投标文件中标明：免费或赠予）或其报价（大写）无法按正常书写方式进行报价唱标的或无投标报价的；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投标文件中的投标报价出现前后不一致等本部分第4.3条适用的情形时，投标人不同意按本部分“第4.3修正原则”进行修正并确认的；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政采云平台上传的报价响应文件缺少最基本的报价内容（如开标一览表）的；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bCs/>
          <w:color w:val="auto"/>
          <w:szCs w:val="21"/>
          <w:highlight w:val="none"/>
        </w:rPr>
        <w:t>报价明细表存在缺漏项的；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color w:val="auto"/>
          <w:szCs w:val="21"/>
          <w:highlight w:val="none"/>
        </w:rPr>
      </w:pPr>
      <w:r>
        <w:rPr>
          <w:rFonts w:hint="eastAsia" w:ascii="宋体" w:hAnsi="宋体" w:cs="宋体"/>
          <w:b/>
          <w:snapToGrid w:val="0"/>
          <w:color w:val="auto"/>
          <w:kern w:val="0"/>
          <w:highlight w:val="none"/>
        </w:rPr>
        <w:t>投标人提交两份或多份内容不同的报价响应文件，或在一份报价响应文件中对同一内容报有两个或多个报价，且未声明哪一个为最终报价的；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color w:val="auto"/>
          <w:kern w:val="0"/>
          <w:highlight w:val="none"/>
        </w:rPr>
      </w:pPr>
      <w:r>
        <w:rPr>
          <w:rFonts w:hint="eastAsia" w:ascii="宋体" w:hAnsi="宋体" w:cs="宋体"/>
          <w:b/>
          <w:snapToGrid w:val="0"/>
          <w:color w:val="auto"/>
          <w:kern w:val="0"/>
          <w:highlight w:val="none"/>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color w:val="auto"/>
          <w:kern w:val="0"/>
          <w:highlight w:val="none"/>
        </w:rPr>
      </w:pPr>
      <w:r>
        <w:rPr>
          <w:rFonts w:hint="eastAsia" w:ascii="宋体" w:hAnsi="宋体" w:cs="宋体"/>
          <w:b/>
          <w:snapToGrid w:val="0"/>
          <w:color w:val="auto"/>
          <w:kern w:val="0"/>
          <w:highlight w:val="none"/>
        </w:rPr>
        <w:t>投标报价超过采购文件中规定的预算金额（或最高限价）的；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color w:val="auto"/>
          <w:kern w:val="0"/>
          <w:highlight w:val="none"/>
        </w:rPr>
      </w:pPr>
      <w:r>
        <w:rPr>
          <w:rFonts w:hint="eastAsia" w:ascii="宋体" w:hAnsi="宋体" w:cs="宋体"/>
          <w:b/>
          <w:snapToGrid w:val="0"/>
          <w:color w:val="auto"/>
          <w:kern w:val="0"/>
          <w:highlight w:val="none"/>
        </w:rPr>
        <w:t>投标人有恶意串通、妨碍其他投标人的竞争行为、损害采购人或者其他投标人的合法权益情形的；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color w:val="auto"/>
          <w:kern w:val="0"/>
          <w:highlight w:val="none"/>
        </w:rPr>
      </w:pPr>
      <w:r>
        <w:rPr>
          <w:rFonts w:hint="eastAsia" w:ascii="宋体" w:hAnsi="宋体" w:cs="宋体"/>
          <w:b/>
          <w:snapToGrid w:val="0"/>
          <w:color w:val="auto"/>
          <w:kern w:val="0"/>
          <w:highlight w:val="none"/>
        </w:rPr>
        <w:t>存在法律、法规规定及采购文件规定的其它无效情形的。</w:t>
      </w:r>
    </w:p>
    <w:p>
      <w:pPr>
        <w:pStyle w:val="3"/>
        <w:numPr>
          <w:ilvl w:val="0"/>
          <w:numId w:val="17"/>
        </w:numPr>
        <w:snapToGrid w:val="0"/>
        <w:spacing w:before="0" w:after="0" w:line="360" w:lineRule="auto"/>
        <w:ind w:firstLine="422"/>
        <w:rPr>
          <w:rFonts w:ascii="宋体" w:hAnsi="宋体" w:eastAsia="宋体"/>
          <w:color w:val="auto"/>
          <w:sz w:val="21"/>
          <w:szCs w:val="21"/>
          <w:highlight w:val="none"/>
        </w:rPr>
      </w:pPr>
      <w:bookmarkStart w:id="210" w:name="_Toc249760795"/>
      <w:bookmarkStart w:id="211" w:name="_Toc251566666"/>
      <w:bookmarkStart w:id="212" w:name="_Toc14251"/>
      <w:bookmarkStart w:id="213" w:name="_Toc15564"/>
      <w:bookmarkStart w:id="214" w:name="_Toc20349"/>
      <w:bookmarkStart w:id="215" w:name="_Toc11517"/>
      <w:bookmarkStart w:id="216" w:name="_Toc26535"/>
      <w:bookmarkStart w:id="217" w:name="_Toc2295"/>
      <w:r>
        <w:rPr>
          <w:rFonts w:hint="eastAsia" w:ascii="宋体" w:hAnsi="宋体" w:eastAsia="宋体"/>
          <w:color w:val="auto"/>
          <w:sz w:val="21"/>
          <w:szCs w:val="21"/>
          <w:highlight w:val="none"/>
        </w:rPr>
        <w:t>评标</w:t>
      </w:r>
      <w:bookmarkEnd w:id="210"/>
      <w:bookmarkEnd w:id="211"/>
      <w:r>
        <w:rPr>
          <w:rFonts w:hint="eastAsia" w:ascii="宋体" w:hAnsi="宋体" w:eastAsia="宋体"/>
          <w:color w:val="auto"/>
          <w:sz w:val="21"/>
          <w:szCs w:val="21"/>
          <w:highlight w:val="none"/>
        </w:rPr>
        <w:t>细则及标准</w:t>
      </w:r>
      <w:bookmarkEnd w:id="212"/>
      <w:bookmarkEnd w:id="213"/>
      <w:bookmarkEnd w:id="214"/>
      <w:bookmarkEnd w:id="215"/>
      <w:bookmarkEnd w:id="216"/>
      <w:bookmarkEnd w:id="217"/>
    </w:p>
    <w:tbl>
      <w:tblPr>
        <w:tblStyle w:val="2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6480"/>
        <w:gridCol w:w="85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bookmarkStart w:id="218" w:name="_Toc11469"/>
            <w:r>
              <w:rPr>
                <w:rFonts w:hint="eastAsia" w:ascii="宋体" w:hAnsi="宋体" w:eastAsia="宋体" w:cs="宋体"/>
                <w:i w:val="0"/>
                <w:color w:val="auto"/>
                <w:kern w:val="0"/>
                <w:sz w:val="21"/>
                <w:szCs w:val="21"/>
                <w:highlight w:val="none"/>
                <w:u w:val="none"/>
                <w:lang w:val="en-US" w:eastAsia="zh-CN" w:bidi="ar"/>
              </w:rPr>
              <w:t>序号</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评分细则</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投标人具有有效期内的ISO9001质量管理体系认证、ISO27001信息安全管理体系认证、ISO22301业务连续性管理体系认证证书的，每项认证得1分，最高3分。投标文件必须提供相应的证明文件（证书扫描件等），提供的证明材料不完善或未提供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人自2020年1月1日至今（以合同签订时间为准），投标人具备类似智慧大脑类软件开发项目案例的，每个得0.5分，最高1分。投标文件必须提供相应的证明文件（合同扫描件），并加盖单位公章。提供的证明材料不完善或未提供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对投标人提供的总体架构设计、项目技术路线的内容进行评价打分：总体架构设计合理专业、针对性强，项目技术路线科学专业、可实施性好，且完全符合本项目要求的得 3分；总体架构设计合理专业性和针对性、项目技术路线科学专业性和可实施性一般且完全符合本项目要求的得 2 分；总体架构设计合理专业性和针对性、项目技术路线科学专业性和可实施性有明显不足的得 1分；未提供相关内容的得0分。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投标文件中针对本项目的重难点分析和应对措施完全符合本项目要求且描述清晰、内容完整、针对性和可行性强的得 3 分：投标文件中针对本项目的重难点分析和应对措施基本符合本项目要求且描述清晰、内容较为完整、针对性和可行性较强的得 2 分；投标文件中针对本项目的重难点分析和应对措施有明显不足，与本项目要求有偏差、内容、针对性和可行性交差的得1分；未提供相关内容的得0分。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统计大脑功能设计方案，具体要求如下：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（1）提供统计数库建设方案，对数据架构、数据采集、数据清洗、数据主题库等重点内容进行描述。（3分）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（2）提供服务业数字化展示建设方案，对生产指数预测模型、营业收入预测模型和首屏展示进行描述。（3分）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（3）中心建设方案，对权限中心、应用集成、各大智能模块等建设内容进行描述。（3分）</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7"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共同富裕统计监测 (二期)功能设计方案(可提供系统功能描述、业务场景设计思路等)</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提供共同富裕统计监测基础数据库建设总体架构设计和具体数据库建设设计思路，具体实现方式（含操作流程图），并提供基础数据库概览功能入口界面，基础数据库结构指标和数据来源，展示数据采集情况和数据源统计情况。（共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 3 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（2）提供共同富裕统计监测驾驶舱首页、七个先行示范区、“四感”满意度调查功能介绍和操作步骤包含功能介绍和操作步骤（含操作流程图）（共3分）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 3 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提供就业人员、产业工人、个体工商户、低收入农户、进城务工人员、新就业形态、科研人员、高校毕业生、城镇困难群体、规上技术工人及五个专业的精准画像包含贸易、服务业、工业、房地产业和建筑业具体实现方式包含功能介绍和操作步骤（含操作流程图）（共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 3 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一体化统计监督(二期)设计方案，提供智慧执法场景线下检查数据补录功能，阐述功能介绍和操作步骤页面设计。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 2 分；功能设计方案科学专业性和可实施性存在明显不足系统功能描述完善性和针对性存在明显不足、业务场景设计思路清晰逻辑合理性和可操作性存在明显不足、或与本项目采购需求匹配存在较大的得 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64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投资领域全流程管理功能设计方案(可提供系统功能描述、业务场景设计思路等)</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 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数据浙江(二期)功能设计方案(可提供系统功能描述、业务场景设计思路等)</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 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综合基础数据库建设功能设计方案(可提供系统功能描述、业务场景设计思路等)</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数据质量管控系统(二期)功能设计方案(可提供系统功能描述、业务场景设计思路等)</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64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碳排放智能统计核算功能设计方案(可提供系统功能描述、业务场景设计思路等)</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4"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64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统计单位全生命周期管理功能设计方案(可提供系统功能描述、业务场景设计思路等)</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64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高能级战略平台功能设计方案(可提供系统功能描述、业务场景设计思路等)</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64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服务业数字化展示功能设计方案(可提供系统功能描述、业务场景设计思路等)</w:t>
            </w:r>
          </w:p>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功能设计方案科学专业可实施性好，系统功能描述完善针对性强，业务场景设计思路清晰逻辑合理可操作性强，且完全符合本项目采购需求的得3分：功能设计方案科学专业性和可实施性一般，系统功能描述完善性和针对性一般，业务场景设计思路清晰逻辑合理性和可操作性一般，且基本符合本项目采购需求的得2分；功能设计方案科学专业性和可实施性存在明显不足系统功能描述完善性和针对性存在明显不足、业务场景设计思路清晰逻辑合理性和可操作性存在明显不足、或与本项目采购需求匹配存在较大的得1分；功能设计方案完全不符合采购需求或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质量保证方案</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内容详细完善、科学合理、可实施性好且完全满足采购需求的得3分；内容详细完善性、科学合理性、可实施性较好且基本符合采购需求的得2分；内容详细完善性、科学合理性、可实施性一般且与采购需求有偏差的得1分；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售后服务方案(包括服务体系、响应时间、服务承诺)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内容详细完善、科学合理、可实施性好且完全满足采购需求的得3分；内容详细完善性、科学合理性、可实施性较好且基本符合采购需求的得2分；内容详细完善性、科学合理性、可实施性一般且与采购需求有偏差的得1分；未提供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5"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拟投入本次项目的项目负责人工作履历、技术能力、职称、类似项目经验等方面（注：1、提供学历、职称证明、相关证书等材料；2、提供人员最近不少于3个月的社保证明，否则此项不得分。）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其中：</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1、具有人社部门颁发的信息系统项目管理师（高级）证书，得2分。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2、项目负责人职称、学历（0-2分）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项目负责人职称、学历较高，具备履约相关专业研究生或以上学历得2分；项目负责人职称、学历一般，具备履约相关专业本科学历得1分；完全未体现相关内容的得0分。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3、项目负责人技术能力、经验（0-2分）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项目负责人专业技术能力强、经验多，具备3个及以上项目管理经验的得2分，需提供相关项目合同或加盖业主公章（或处室章）的证明等材料复印件；项目负责人专业技术能力一般、经验较少，具备1个以上3个以下项目管理经验的得1分，需提供相关项目合同或加盖业主公章（或处室章）的证明等材料复印件；完全未体现相关内容的得0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1"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拟投入本项目的项目团队（除项目负责人）整体能力情况（各人员工作履历、职称、学历、技术能力等情况介绍）及人员配置合理性（注：1、提供学历、职称证明、相关证书等材料；2、提供以上人员最近不少于3个月的社保证明，否则此项不得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其中：</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1.项目组成员须为本单位在职员工，5-7人得1分，8-9人得2分，10人或以上得3分；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2.项目组成员信息化相关专业本科及以上学历达到2人得1分，3-5人得2分，6人及以上，得3分；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3.项目组成员具有人社部门颁发的系统分析师证书，得1分；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4.项目组成员具有人社部门颁发的系统架构设计师证书，得1分。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7"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1.针对统计大脑功能模块进行演示（0-5分）：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（1）展示统计算力池（一池）中统计服务器硬件算力监测效果的得0.5分；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（2）展示统计数库（一库）中数据目录清单、业务流程的得1分；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（3）展示统计工具箱（一箱）中ai机器学习平台能力组件、经济形势感知知识图谱的得1.5分；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（4）展示统计驾驶舱（一舱）中统计大脑驾驶舱首页和统计数库驾驶舱的得1分；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（5）展示智能中心（一中心）中智能模块预测预警的得1分。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2.针对共同富裕统计监测模块进行演示（0-5分）：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（1）平台界面美观、数据展现设计合理的得1分，平台界面美观有不足、数据展现设计合理有瑕疵的得0.5分，欠缺过多或不提供不得分；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提供六个群体画像（进城务工人员、新就业形态、科研人员、高校毕业生、城镇困难群体、规上技术工人）以及五个专业的企业精准画像（企业精准画像，贸易、服务业、工业、房地产业和建筑业）模型和监测模块的得2分，少量功能欠缺得1分，欠缺过多或不提供不得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（3）可以切换浙江省11个地市及以下区县的数据得2分，少量功能欠缺得1分，欠缺过多或不提供不得分。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3.针对一体化统计日常监督-下发模块进行演示（0-5分）：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（1）具备下发职责提醒添加重点任务，并实现重点任务自定义命名，添加具体问题时与监督对象支持联动功能得3分，少量功能欠缺得1.5分，欠缺过多或不提供不得分；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（2）下发职责提醒详情，支持按照地区、状态筛选条件查询，进行预览，查看下级回复的概览，得2分；支持通过点击查看功能可以查看已回复的详细信息得1分，欠缺过多或不提供不得分。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Cs w:val="21"/>
                <w:highlight w:val="none"/>
                <w:lang w:val="en-US" w:eastAsia="zh-CN" w:bidi="ar"/>
              </w:rPr>
              <w:t>21</w:t>
            </w:r>
          </w:p>
        </w:tc>
        <w:tc>
          <w:tcPr>
            <w:tcW w:w="6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1.投标价格的合理性和有效性评价</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2.商务报价计算</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各投标人的商务报价得分统一采用低价优先法计算，即满足采购文件要求且投标价格最低的投标报价为评标基准价，其价格分为满分10分。其他投标人的商务报价得分统一按照下列公式计算：</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投标报价得分=（评标基准价/投标报价）×价格权值（即10%）×100。</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3.针对本项目的</w:t>
            </w:r>
            <w:r>
              <w:rPr>
                <w:rFonts w:hint="eastAsia" w:ascii="宋体" w:hAnsi="宋体" w:cs="宋体"/>
                <w:color w:val="auto"/>
                <w:kern w:val="0"/>
                <w:szCs w:val="21"/>
                <w:highlight w:val="none"/>
                <w:lang w:val="en-US" w:eastAsia="zh-CN" w:bidi="ar"/>
              </w:rPr>
              <w:t>价格评审</w:t>
            </w:r>
            <w:r>
              <w:rPr>
                <w:rFonts w:hint="eastAsia" w:ascii="宋体" w:hAnsi="宋体" w:cs="宋体"/>
                <w:color w:val="auto"/>
                <w:kern w:val="0"/>
                <w:szCs w:val="21"/>
                <w:highlight w:val="none"/>
                <w:lang w:bidi="ar"/>
              </w:rPr>
              <w:t>相关</w:t>
            </w:r>
            <w:r>
              <w:rPr>
                <w:rFonts w:hint="eastAsia" w:ascii="宋体" w:hAnsi="宋体" w:cs="宋体"/>
                <w:color w:val="auto"/>
                <w:kern w:val="0"/>
                <w:szCs w:val="21"/>
                <w:highlight w:val="none"/>
                <w:lang w:val="en-US" w:eastAsia="zh-CN" w:bidi="ar"/>
              </w:rPr>
              <w:t>政策</w:t>
            </w:r>
            <w:r>
              <w:rPr>
                <w:rFonts w:hint="eastAsia" w:ascii="宋体" w:hAnsi="宋体" w:cs="宋体"/>
                <w:color w:val="auto"/>
                <w:kern w:val="0"/>
                <w:szCs w:val="21"/>
                <w:highlight w:val="none"/>
                <w:lang w:bidi="ar"/>
              </w:rPr>
              <w:t>规定</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3.1政府采购目录类别：</w:t>
            </w:r>
            <w:r>
              <w:rPr>
                <w:rFonts w:hint="eastAsia" w:ascii="宋体" w:hAnsi="宋体" w:cs="宋体"/>
                <w:color w:val="auto"/>
                <w:kern w:val="0"/>
                <w:szCs w:val="21"/>
                <w:highlight w:val="none"/>
                <w:lang w:eastAsia="zh-CN" w:bidi="ar"/>
              </w:rPr>
              <w:t>服务类</w:t>
            </w:r>
            <w:r>
              <w:rPr>
                <w:rFonts w:hint="eastAsia" w:ascii="宋体" w:hAnsi="宋体" w:cs="宋体"/>
                <w:color w:val="auto"/>
                <w:kern w:val="0"/>
                <w:szCs w:val="21"/>
                <w:highlight w:val="none"/>
                <w:lang w:bidi="ar"/>
              </w:rPr>
              <w:t>。</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3.2价格评审优惠的扶持政策</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本项目</w:t>
            </w:r>
            <w:r>
              <w:rPr>
                <w:rFonts w:hint="eastAsia" w:ascii="宋体" w:hAnsi="宋体" w:cs="宋体"/>
                <w:color w:val="auto"/>
                <w:kern w:val="0"/>
                <w:szCs w:val="21"/>
                <w:highlight w:val="none"/>
                <w:lang w:bidi="ar"/>
              </w:rPr>
              <w:t>非专门面向中小微企业采购的项目/标项，执行下列价格政策价格评审优惠的扶持政策：</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本项目对符合规定的小微企业（含小型企业）报价给予10% 的扣除。</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对符合规定的联合体或者大中型企业的报价给予</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%的扣除（不接受联合体投标的，本条不适用）。</w:t>
            </w:r>
          </w:p>
          <w:p>
            <w:pPr>
              <w:widowControl/>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如有分包，对于分包意向协议约定小微企业的合同份额占到合同总金额 30%以上的，对大中型企业的报价给予</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%的扣除，用扣除后的价格参加评审（不允许分包的，本条不适用）。</w:t>
            </w:r>
          </w:p>
          <w:p>
            <w:pPr>
              <w:widowControl/>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color w:val="auto"/>
                <w:kern w:val="0"/>
                <w:szCs w:val="21"/>
                <w:highlight w:val="none"/>
                <w:lang w:bidi="ar"/>
              </w:rPr>
              <w:t>3.3本项目采购标的对应的中小企业划分标准所属行业为：</w:t>
            </w:r>
            <w:r>
              <w:rPr>
                <w:rFonts w:hint="eastAsia" w:ascii="宋体" w:hAnsi="宋体" w:cs="宋体"/>
                <w:color w:val="auto"/>
                <w:kern w:val="0"/>
                <w:szCs w:val="21"/>
                <w:highlight w:val="none"/>
                <w:lang w:eastAsia="zh-CN" w:bidi="ar"/>
              </w:rPr>
              <w:t>软件和信息技术服务业</w:t>
            </w:r>
            <w:r>
              <w:rPr>
                <w:rFonts w:hint="eastAsia" w:ascii="宋体" w:hAnsi="宋体" w:cs="宋体"/>
                <w:color w:val="auto"/>
                <w:kern w:val="0"/>
                <w:szCs w:val="21"/>
                <w:highlight w:val="none"/>
                <w:lang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color w:val="auto"/>
                <w:kern w:val="0"/>
                <w:szCs w:val="21"/>
                <w:highlight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color w:val="auto"/>
                <w:kern w:val="0"/>
                <w:szCs w:val="21"/>
                <w:highlight w:val="none"/>
                <w:lang w:val="en-US" w:eastAsia="zh-CN" w:bidi="ar"/>
              </w:rPr>
              <w:t>统一评分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备注</w:t>
            </w:r>
          </w:p>
        </w:tc>
        <w:tc>
          <w:tcPr>
            <w:tcW w:w="82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24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widowControl/>
              <w:numPr>
                <w:ilvl w:val="0"/>
                <w:numId w:val="0"/>
              </w:numPr>
              <w:spacing w:line="24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评分时保留小数点后1位小数，计算评分值时保留小数点后2位小数，第3位四舍五入，由评标委员会当场统一计算。 </w:t>
            </w:r>
          </w:p>
          <w:p>
            <w:pPr>
              <w:widowControl/>
              <w:numPr>
                <w:ilvl w:val="0"/>
                <w:numId w:val="0"/>
              </w:numPr>
              <w:spacing w:line="240" w:lineRule="auto"/>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投标人的最终总得分为以上各部分得分的总和。</w:t>
            </w:r>
          </w:p>
          <w:p>
            <w:pPr>
              <w:widowControl/>
              <w:numPr>
                <w:ilvl w:val="0"/>
                <w:numId w:val="0"/>
              </w:numPr>
              <w:spacing w:line="240" w:lineRule="auto"/>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报价是中标的一个重要因素，但最低报价不是中标的唯一依据。</w:t>
            </w:r>
          </w:p>
        </w:tc>
      </w:tr>
    </w:tbl>
    <w:p>
      <w:pPr>
        <w:pStyle w:val="3"/>
        <w:snapToGrid w:val="0"/>
        <w:spacing w:before="0" w:after="0" w:line="360" w:lineRule="auto"/>
        <w:ind w:firstLine="422"/>
        <w:rPr>
          <w:rFonts w:hint="eastAsia"/>
          <w:color w:val="auto"/>
          <w:sz w:val="21"/>
          <w:szCs w:val="21"/>
          <w:highlight w:val="none"/>
        </w:rPr>
      </w:pPr>
      <w:r>
        <w:rPr>
          <w:rFonts w:hint="eastAsia" w:ascii="宋体" w:hAnsi="宋体" w:eastAsia="宋体"/>
          <w:color w:val="auto"/>
          <w:sz w:val="21"/>
          <w:szCs w:val="21"/>
          <w:highlight w:val="none"/>
        </w:rPr>
        <w:t>六、询标</w:t>
      </w:r>
      <w:bookmarkEnd w:id="218"/>
    </w:p>
    <w:p>
      <w:pPr>
        <w:pStyle w:val="22"/>
        <w:adjustRightInd w:val="0"/>
        <w:snapToGrid w:val="0"/>
        <w:spacing w:line="360" w:lineRule="auto"/>
        <w:ind w:left="0" w:leftChars="0" w:firstLine="420"/>
        <w:rPr>
          <w:color w:val="auto"/>
          <w:sz w:val="21"/>
          <w:szCs w:val="21"/>
          <w:highlight w:val="none"/>
        </w:rPr>
      </w:pPr>
      <w:r>
        <w:rPr>
          <w:rFonts w:hint="eastAsia"/>
          <w:color w:val="auto"/>
          <w:sz w:val="21"/>
          <w:szCs w:val="21"/>
          <w:highlight w:val="none"/>
        </w:rPr>
        <w:t>对投标文件中存在含义不清楚的内容，必要时评标委员会要求投标人作必要的澄清、说明或补正。询标记录将作为投标文件的一部分。</w:t>
      </w:r>
    </w:p>
    <w:p>
      <w:pPr>
        <w:pStyle w:val="3"/>
        <w:snapToGrid w:val="0"/>
        <w:spacing w:before="0" w:after="0" w:line="360" w:lineRule="auto"/>
        <w:ind w:firstLine="422"/>
        <w:rPr>
          <w:rFonts w:ascii="宋体" w:hAnsi="宋体" w:eastAsia="宋体"/>
          <w:color w:val="auto"/>
          <w:sz w:val="21"/>
          <w:szCs w:val="21"/>
          <w:highlight w:val="none"/>
        </w:rPr>
      </w:pPr>
      <w:bookmarkStart w:id="219" w:name="_Toc29753"/>
      <w:bookmarkStart w:id="220" w:name="_Toc19256"/>
      <w:r>
        <w:rPr>
          <w:rFonts w:hint="eastAsia" w:ascii="宋体" w:hAnsi="宋体" w:eastAsia="宋体"/>
          <w:color w:val="auto"/>
          <w:sz w:val="21"/>
          <w:szCs w:val="21"/>
          <w:highlight w:val="none"/>
        </w:rPr>
        <w:t>七、修改评标结果</w:t>
      </w:r>
      <w:bookmarkEnd w:id="219"/>
      <w:bookmarkEnd w:id="220"/>
    </w:p>
    <w:p>
      <w:pPr>
        <w:adjustRightInd w:val="0"/>
        <w:snapToGrid w:val="0"/>
        <w:spacing w:line="360" w:lineRule="auto"/>
        <w:ind w:firstLine="420" w:firstLineChars="200"/>
        <w:rPr>
          <w:b/>
          <w:bCs/>
          <w:color w:val="auto"/>
          <w:szCs w:val="21"/>
          <w:highlight w:val="none"/>
        </w:rPr>
      </w:pPr>
      <w:r>
        <w:rPr>
          <w:rStyle w:val="42"/>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42"/>
          <w:rFonts w:hint="default" w:ascii="Times New Roman" w:hAnsi="Times New Roman"/>
          <w:color w:val="auto"/>
          <w:sz w:val="21"/>
          <w:szCs w:val="21"/>
          <w:highlight w:val="none"/>
        </w:rPr>
      </w:pPr>
      <w:r>
        <w:rPr>
          <w:rStyle w:val="42"/>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42"/>
          <w:rFonts w:hint="default" w:ascii="Times New Roman" w:hAnsi="Times New Roman"/>
          <w:color w:val="auto"/>
          <w:sz w:val="21"/>
          <w:szCs w:val="21"/>
          <w:highlight w:val="none"/>
        </w:rPr>
      </w:pPr>
      <w:r>
        <w:rPr>
          <w:rStyle w:val="42"/>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42"/>
          <w:rFonts w:hint="default" w:ascii="Times New Roman" w:hAnsi="Times New Roman"/>
          <w:color w:val="auto"/>
          <w:sz w:val="21"/>
          <w:szCs w:val="21"/>
          <w:highlight w:val="none"/>
        </w:rPr>
      </w:pPr>
      <w:r>
        <w:rPr>
          <w:rStyle w:val="42"/>
          <w:rFonts w:hint="default" w:ascii="Times New Roman" w:hAnsi="Times New Roman"/>
          <w:color w:val="auto"/>
          <w:sz w:val="21"/>
          <w:szCs w:val="21"/>
          <w:highlight w:val="none"/>
        </w:rPr>
        <w:t>（三）评标委员会成员对客观评审因素评分不一致的；</w:t>
      </w:r>
    </w:p>
    <w:p>
      <w:pPr>
        <w:adjustRightInd w:val="0"/>
        <w:snapToGrid w:val="0"/>
        <w:spacing w:line="360" w:lineRule="auto"/>
        <w:ind w:firstLine="420" w:firstLineChars="200"/>
        <w:rPr>
          <w:rStyle w:val="42"/>
          <w:rFonts w:hint="default" w:ascii="Times New Roman" w:hAnsi="Times New Roman"/>
          <w:color w:val="auto"/>
          <w:sz w:val="21"/>
          <w:szCs w:val="21"/>
          <w:highlight w:val="none"/>
        </w:rPr>
      </w:pPr>
      <w:r>
        <w:rPr>
          <w:rStyle w:val="42"/>
          <w:rFonts w:hint="default" w:ascii="Times New Roman" w:hAnsi="Times New Roman"/>
          <w:color w:val="auto"/>
          <w:sz w:val="21"/>
          <w:szCs w:val="21"/>
          <w:highlight w:val="none"/>
        </w:rPr>
        <w:t>（四）经评标委员会认定评分畸高、畸低的。</w:t>
      </w:r>
    </w:p>
    <w:p>
      <w:pPr>
        <w:pStyle w:val="3"/>
        <w:snapToGrid w:val="0"/>
        <w:spacing w:before="0" w:after="0" w:line="360" w:lineRule="auto"/>
        <w:ind w:firstLine="422"/>
        <w:rPr>
          <w:rFonts w:hint="eastAsia" w:ascii="宋体" w:hAnsi="宋体" w:eastAsia="宋体"/>
          <w:color w:val="auto"/>
          <w:sz w:val="21"/>
          <w:szCs w:val="21"/>
          <w:highlight w:val="none"/>
          <w:lang w:eastAsia="zh-CN"/>
        </w:rPr>
      </w:pPr>
      <w:bookmarkStart w:id="221" w:name="_Toc6417"/>
      <w:r>
        <w:rPr>
          <w:rFonts w:hint="eastAsia" w:ascii="宋体" w:hAnsi="宋体" w:eastAsia="宋体"/>
          <w:color w:val="auto"/>
          <w:sz w:val="21"/>
          <w:szCs w:val="21"/>
          <w:highlight w:val="none"/>
          <w:lang w:val="en-US" w:eastAsia="zh-CN"/>
        </w:rPr>
        <w:t>八</w:t>
      </w:r>
      <w:r>
        <w:rPr>
          <w:rFonts w:hint="eastAsia" w:ascii="宋体" w:hAnsi="宋体" w:eastAsia="宋体"/>
          <w:color w:val="auto"/>
          <w:sz w:val="21"/>
          <w:szCs w:val="21"/>
          <w:highlight w:val="none"/>
        </w:rPr>
        <w:t>、推荐</w:t>
      </w:r>
      <w:r>
        <w:rPr>
          <w:rFonts w:hint="eastAsia" w:ascii="宋体" w:hAnsi="宋体" w:eastAsia="宋体"/>
          <w:color w:val="auto"/>
          <w:sz w:val="21"/>
          <w:szCs w:val="21"/>
          <w:highlight w:val="none"/>
          <w:lang w:val="en-US" w:eastAsia="zh-CN"/>
        </w:rPr>
        <w:t>中标</w:t>
      </w:r>
      <w:r>
        <w:rPr>
          <w:rFonts w:hint="eastAsia" w:ascii="宋体" w:hAnsi="宋体" w:eastAsia="宋体"/>
          <w:color w:val="auto"/>
          <w:sz w:val="21"/>
          <w:szCs w:val="21"/>
          <w:highlight w:val="none"/>
        </w:rPr>
        <w:t>候选</w:t>
      </w:r>
      <w:r>
        <w:rPr>
          <w:rFonts w:hint="eastAsia" w:ascii="宋体" w:hAnsi="宋体" w:eastAsia="宋体"/>
          <w:color w:val="auto"/>
          <w:sz w:val="21"/>
          <w:szCs w:val="21"/>
          <w:highlight w:val="none"/>
          <w:lang w:val="en-US" w:eastAsia="zh-CN"/>
        </w:rPr>
        <w:t>人</w:t>
      </w:r>
      <w:bookmarkEnd w:id="221"/>
    </w:p>
    <w:p>
      <w:pPr>
        <w:snapToGrid w:val="0"/>
        <w:spacing w:line="360" w:lineRule="auto"/>
        <w:ind w:firstLine="420" w:firstLineChars="200"/>
        <w:rPr>
          <w:rFonts w:hint="eastAsia"/>
          <w:color w:val="auto"/>
          <w:highlight w:val="none"/>
        </w:rPr>
      </w:pPr>
      <w:r>
        <w:rPr>
          <w:rFonts w:hint="eastAsia" w:ascii="宋体" w:hAnsi="宋体" w:eastAsia="宋体" w:cs="宋体"/>
          <w:color w:val="auto"/>
          <w:szCs w:val="21"/>
          <w:highlight w:val="none"/>
          <w:lang w:val="en-US" w:eastAsia="zh-CN"/>
        </w:rPr>
        <w:t>评标委员会</w:t>
      </w:r>
      <w:r>
        <w:rPr>
          <w:rFonts w:hint="eastAsia" w:ascii="宋体" w:hAnsi="宋体" w:eastAsia="宋体" w:cs="宋体"/>
          <w:color w:val="auto"/>
          <w:szCs w:val="21"/>
          <w:highlight w:val="none"/>
        </w:rPr>
        <w:t>应当根据综合评分情况，按照评审得分由高到低顺序推荐</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候选</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，并编写评审报告。</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分相同的，按投标报价由低到高顺序排列。得分且投标报价相同的并列。投标文件满足招标文件全部实质性要求，且按照评审因素的量化指标评审得分最高的投标人为排名第一的中标候选人。</w:t>
      </w:r>
    </w:p>
    <w:p>
      <w:pPr>
        <w:pStyle w:val="12"/>
        <w:rPr>
          <w:rFonts w:hint="default"/>
          <w:color w:val="auto"/>
          <w:highlight w:val="none"/>
        </w:rPr>
        <w:sectPr>
          <w:pgSz w:w="11906" w:h="16838"/>
          <w:pgMar w:top="1440" w:right="1483" w:bottom="1440" w:left="1603" w:header="851" w:footer="992" w:gutter="0"/>
          <w:cols w:space="720" w:num="1"/>
          <w:docGrid w:type="lines" w:linePitch="332" w:charSpace="0"/>
        </w:sectPr>
      </w:pPr>
    </w:p>
    <w:p>
      <w:pPr>
        <w:adjustRightInd w:val="0"/>
        <w:snapToGrid w:val="0"/>
        <w:spacing w:before="166" w:beforeLines="50" w:after="166" w:afterLines="50" w:line="360" w:lineRule="auto"/>
        <w:jc w:val="center"/>
        <w:outlineLvl w:val="0"/>
        <w:rPr>
          <w:rFonts w:ascii="宋体" w:hAnsi="宋体" w:cs="宋体"/>
          <w:b/>
          <w:bCs/>
          <w:color w:val="auto"/>
          <w:sz w:val="32"/>
          <w:szCs w:val="32"/>
          <w:highlight w:val="none"/>
        </w:rPr>
      </w:pPr>
      <w:bookmarkStart w:id="222" w:name="_Toc251566668"/>
      <w:bookmarkStart w:id="223" w:name="_Toc1306"/>
      <w:bookmarkStart w:id="224" w:name="_Toc234764855"/>
      <w:bookmarkStart w:id="225" w:name="_Toc30193"/>
      <w:bookmarkStart w:id="226" w:name="_Toc20687"/>
      <w:bookmarkStart w:id="227" w:name="_Toc14456"/>
      <w:bookmarkStart w:id="228" w:name="_Toc249760797"/>
      <w:bookmarkStart w:id="229" w:name="_Toc7209"/>
      <w:bookmarkStart w:id="230" w:name="_Toc9232"/>
      <w:r>
        <w:rPr>
          <w:rFonts w:hint="eastAsia" w:ascii="宋体" w:hAnsi="宋体" w:cs="宋体"/>
          <w:b/>
          <w:color w:val="auto"/>
          <w:sz w:val="30"/>
          <w:szCs w:val="30"/>
          <w:highlight w:val="none"/>
        </w:rPr>
        <w:t>第六部分  投标文件格式</w:t>
      </w:r>
      <w:bookmarkEnd w:id="222"/>
      <w:bookmarkEnd w:id="223"/>
      <w:bookmarkEnd w:id="224"/>
      <w:bookmarkEnd w:id="225"/>
      <w:bookmarkEnd w:id="226"/>
      <w:bookmarkEnd w:id="227"/>
      <w:bookmarkEnd w:id="228"/>
      <w:bookmarkEnd w:id="229"/>
      <w:bookmarkEnd w:id="230"/>
    </w:p>
    <w:p>
      <w:pPr>
        <w:autoSpaceDE w:val="0"/>
        <w:autoSpaceDN w:val="0"/>
        <w:adjustRightInd w:val="0"/>
        <w:spacing w:line="360" w:lineRule="auto"/>
        <w:ind w:firstLine="480"/>
        <w:rPr>
          <w:rFonts w:ascii="宋体" w:hAnsi="宋体" w:cs="宋体"/>
          <w:color w:val="auto"/>
          <w:sz w:val="24"/>
          <w:highlight w:val="none"/>
        </w:rPr>
      </w:pPr>
    </w:p>
    <w:p>
      <w:pPr>
        <w:pStyle w:val="15"/>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说明：</w:t>
      </w:r>
    </w:p>
    <w:p>
      <w:pPr>
        <w:pStyle w:val="15"/>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1．投标文件由投标人根据采购文件要求参照附件格式编制。</w:t>
      </w:r>
    </w:p>
    <w:p>
      <w:pPr>
        <w:pStyle w:val="15"/>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2．投标人根据实际情况填写。</w:t>
      </w:r>
    </w:p>
    <w:p>
      <w:pPr>
        <w:pStyle w:val="15"/>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3．采购文件中没有参考格式的，投标人自行编制。</w:t>
      </w:r>
    </w:p>
    <w:p>
      <w:pPr>
        <w:autoSpaceDE w:val="0"/>
        <w:autoSpaceDN w:val="0"/>
        <w:adjustRightInd w:val="0"/>
        <w:snapToGrid w:val="0"/>
        <w:spacing w:line="360" w:lineRule="auto"/>
        <w:outlineLvl w:val="1"/>
        <w:rPr>
          <w:rFonts w:ascii="宋体" w:hAnsi="宋体" w:cs="宋体"/>
          <w:bCs/>
          <w:snapToGrid w:val="0"/>
          <w:color w:val="auto"/>
          <w:kern w:val="0"/>
          <w:szCs w:val="21"/>
          <w:highlight w:val="none"/>
        </w:rPr>
      </w:pPr>
      <w:r>
        <w:rPr>
          <w:rFonts w:hint="eastAsia" w:ascii="宋体" w:hAnsi="宋体" w:cs="宋体"/>
          <w:b/>
          <w:bCs/>
          <w:color w:val="auto"/>
          <w:sz w:val="32"/>
          <w:szCs w:val="32"/>
          <w:highlight w:val="none"/>
        </w:rPr>
        <w:br w:type="page"/>
      </w:r>
      <w:bookmarkStart w:id="231" w:name="_Toc1647"/>
      <w:bookmarkStart w:id="232" w:name="_Toc27220"/>
      <w:bookmarkStart w:id="233" w:name="_Toc18896"/>
      <w:bookmarkStart w:id="234" w:name="_Toc22147"/>
      <w:bookmarkStart w:id="235" w:name="_Toc21796"/>
      <w:bookmarkStart w:id="236" w:name="_Toc22464"/>
      <w:bookmarkStart w:id="237" w:name="_Toc2724"/>
      <w:r>
        <w:rPr>
          <w:rStyle w:val="36"/>
          <w:rFonts w:hint="eastAsia" w:ascii="宋体" w:hAnsi="宋体" w:eastAsia="宋体"/>
          <w:color w:val="auto"/>
          <w:sz w:val="28"/>
          <w:szCs w:val="28"/>
          <w:highlight w:val="none"/>
        </w:rPr>
        <w:t>一、</w:t>
      </w:r>
      <w:bookmarkEnd w:id="231"/>
      <w:bookmarkEnd w:id="232"/>
      <w:bookmarkStart w:id="238" w:name="_Toc32101"/>
      <w:bookmarkStart w:id="239" w:name="_Toc27346"/>
      <w:r>
        <w:rPr>
          <w:rStyle w:val="36"/>
          <w:rFonts w:hint="eastAsia" w:ascii="宋体" w:hAnsi="宋体" w:eastAsia="宋体"/>
          <w:color w:val="auto"/>
          <w:sz w:val="28"/>
          <w:szCs w:val="28"/>
          <w:highlight w:val="none"/>
        </w:rPr>
        <w:t>投标文件封面（格式供参考）</w:t>
      </w:r>
      <w:bookmarkEnd w:id="233"/>
      <w:bookmarkEnd w:id="234"/>
      <w:bookmarkEnd w:id="235"/>
      <w:bookmarkEnd w:id="236"/>
      <w:bookmarkEnd w:id="237"/>
      <w:bookmarkEnd w:id="238"/>
      <w:bookmarkEnd w:id="239"/>
    </w:p>
    <w:p>
      <w:pPr>
        <w:autoSpaceDE w:val="0"/>
        <w:autoSpaceDN w:val="0"/>
        <w:adjustRightInd w:val="0"/>
        <w:rPr>
          <w:rFonts w:ascii="宋体" w:hAnsi="宋体" w:cs="宋体"/>
          <w:bCs/>
          <w:color w:val="auto"/>
          <w:highlight w:val="none"/>
        </w:rPr>
      </w:pPr>
    </w:p>
    <w:p>
      <w:pPr>
        <w:autoSpaceDE w:val="0"/>
        <w:autoSpaceDN w:val="0"/>
        <w:adjustRightInd w:val="0"/>
        <w:rPr>
          <w:rFonts w:ascii="宋体" w:hAnsi="宋体" w:cs="宋体"/>
          <w:bCs/>
          <w:color w:val="auto"/>
          <w:highlight w:val="none"/>
        </w:rPr>
      </w:pPr>
      <w:r>
        <w:rPr>
          <w:rFonts w:hint="eastAsia" w:ascii="宋体" w:hAnsi="宋体" w:cs="宋体"/>
          <w:bCs/>
          <w:color w:val="auto"/>
          <w:highlight w:val="none"/>
        </w:rPr>
        <w:t>1.1报价响应文件封面格式</w:t>
      </w:r>
    </w:p>
    <w:p>
      <w:pPr>
        <w:autoSpaceDE w:val="0"/>
        <w:autoSpaceDN w:val="0"/>
        <w:adjustRightInd w:val="0"/>
        <w:spacing w:line="360" w:lineRule="auto"/>
        <w:jc w:val="right"/>
        <w:rPr>
          <w:rFonts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ascii="宋体" w:hAnsi="宋体" w:cs="宋体"/>
          <w:b/>
          <w:color w:val="auto"/>
          <w:sz w:val="32"/>
          <w:szCs w:val="32"/>
          <w:highlight w:val="none"/>
        </w:rPr>
      </w:pPr>
    </w:p>
    <w:p>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浙江省统计局</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统计大脑项目</w:t>
      </w:r>
    </w:p>
    <w:p>
      <w:pPr>
        <w:autoSpaceDE w:val="0"/>
        <w:autoSpaceDN w:val="0"/>
        <w:adjustRightInd w:val="0"/>
        <w:spacing w:line="360" w:lineRule="auto"/>
        <w:jc w:val="center"/>
        <w:rPr>
          <w:rFonts w:ascii="宋体" w:hAnsi="宋体" w:cs="宋体"/>
          <w:color w:val="auto"/>
          <w:sz w:val="32"/>
          <w:szCs w:val="32"/>
          <w:highlight w:val="none"/>
          <w:u w:val="single"/>
        </w:rPr>
      </w:pPr>
    </w:p>
    <w:p>
      <w:pPr>
        <w:autoSpaceDE w:val="0"/>
        <w:autoSpaceDN w:val="0"/>
        <w:adjustRightInd w:val="0"/>
        <w:spacing w:line="360" w:lineRule="auto"/>
        <w:jc w:val="center"/>
        <w:rPr>
          <w:rFonts w:ascii="宋体" w:hAnsi="宋体" w:cs="宋体"/>
          <w:b/>
          <w:color w:val="auto"/>
          <w:sz w:val="32"/>
          <w:szCs w:val="32"/>
          <w:highlight w:val="none"/>
        </w:rPr>
      </w:pPr>
    </w:p>
    <w:p>
      <w:pPr>
        <w:spacing w:line="360" w:lineRule="auto"/>
        <w:jc w:val="center"/>
        <w:rPr>
          <w:rFonts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（报价响应文件）</w:t>
      </w:r>
    </w:p>
    <w:p>
      <w:pPr>
        <w:autoSpaceDE w:val="0"/>
        <w:autoSpaceDN w:val="0"/>
        <w:adjustRightIn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ZJ-2371103-09</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投标人（盖公章或电子签章）：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jc w:val="center"/>
        <w:rPr>
          <w:rFonts w:ascii="宋体" w:hAnsi="宋体" w:cs="宋体"/>
          <w:b/>
          <w:color w:val="auto"/>
          <w:sz w:val="32"/>
          <w:szCs w:val="32"/>
          <w:highlight w:val="none"/>
        </w:rPr>
      </w:pP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日期：    年   月   日</w:t>
      </w:r>
    </w:p>
    <w:p>
      <w:pPr>
        <w:autoSpaceDE w:val="0"/>
        <w:autoSpaceDN w:val="0"/>
        <w:adjustRightInd w:val="0"/>
        <w:rPr>
          <w:rFonts w:ascii="宋体" w:hAnsi="宋体" w:cs="宋体"/>
          <w:bCs/>
          <w:color w:val="auto"/>
          <w:highlight w:val="none"/>
        </w:rPr>
      </w:pPr>
      <w:r>
        <w:rPr>
          <w:rFonts w:hint="eastAsia" w:ascii="宋体" w:hAnsi="宋体" w:cs="宋体"/>
          <w:color w:val="auto"/>
          <w:highlight w:val="none"/>
        </w:rPr>
        <w:br w:type="page"/>
      </w:r>
      <w:r>
        <w:rPr>
          <w:rFonts w:hint="eastAsia" w:ascii="宋体" w:hAnsi="宋体" w:cs="宋体"/>
          <w:bCs/>
          <w:color w:val="auto"/>
          <w:highlight w:val="none"/>
        </w:rPr>
        <w:t>1.2资格响应文件/商务技术响应文件封面格式</w:t>
      </w:r>
    </w:p>
    <w:p>
      <w:pPr>
        <w:autoSpaceDE w:val="0"/>
        <w:autoSpaceDN w:val="0"/>
        <w:adjustRightInd w:val="0"/>
        <w:rPr>
          <w:rFonts w:ascii="宋体" w:hAnsi="宋体" w:cs="宋体"/>
          <w:b/>
          <w:bCs/>
          <w:color w:val="auto"/>
          <w:highlight w:val="none"/>
        </w:rPr>
      </w:pPr>
    </w:p>
    <w:p>
      <w:pPr>
        <w:pStyle w:val="12"/>
        <w:rPr>
          <w:color w:val="auto"/>
          <w:highlight w:val="none"/>
        </w:rPr>
      </w:pPr>
    </w:p>
    <w:p>
      <w:pPr>
        <w:autoSpaceDE w:val="0"/>
        <w:autoSpaceDN w:val="0"/>
        <w:adjustRightInd w:val="0"/>
        <w:spacing w:line="360" w:lineRule="auto"/>
        <w:jc w:val="right"/>
        <w:rPr>
          <w:rFonts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ascii="宋体" w:hAnsi="宋体" w:cs="宋体"/>
          <w:b/>
          <w:color w:val="auto"/>
          <w:sz w:val="32"/>
          <w:szCs w:val="32"/>
          <w:highlight w:val="none"/>
        </w:rPr>
      </w:pPr>
    </w:p>
    <w:p>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浙江省统计局</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统计大脑项目</w:t>
      </w:r>
    </w:p>
    <w:p>
      <w:pPr>
        <w:autoSpaceDE w:val="0"/>
        <w:autoSpaceDN w:val="0"/>
        <w:adjustRightInd w:val="0"/>
        <w:spacing w:line="360" w:lineRule="auto"/>
        <w:jc w:val="center"/>
        <w:rPr>
          <w:rFonts w:ascii="宋体" w:hAnsi="宋体" w:cs="宋体"/>
          <w:color w:val="auto"/>
          <w:sz w:val="32"/>
          <w:szCs w:val="32"/>
          <w:highlight w:val="none"/>
          <w:u w:val="single"/>
        </w:rPr>
      </w:pPr>
    </w:p>
    <w:p>
      <w:pPr>
        <w:autoSpaceDE w:val="0"/>
        <w:autoSpaceDN w:val="0"/>
        <w:adjustRightInd w:val="0"/>
        <w:spacing w:line="360" w:lineRule="auto"/>
        <w:jc w:val="center"/>
        <w:rPr>
          <w:rFonts w:ascii="宋体" w:hAnsi="宋体" w:cs="宋体"/>
          <w:b/>
          <w:color w:val="auto"/>
          <w:sz w:val="32"/>
          <w:szCs w:val="32"/>
          <w:highlight w:val="none"/>
        </w:rPr>
      </w:pPr>
    </w:p>
    <w:p>
      <w:pPr>
        <w:spacing w:line="360" w:lineRule="auto"/>
        <w:jc w:val="center"/>
        <w:rPr>
          <w:rFonts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（资格响应文件/商务技术响应文件）</w:t>
      </w:r>
    </w:p>
    <w:p>
      <w:pPr>
        <w:autoSpaceDE w:val="0"/>
        <w:autoSpaceDN w:val="0"/>
        <w:adjustRightInd w:val="0"/>
        <w:spacing w:line="360" w:lineRule="auto"/>
        <w:ind w:firstLine="2528" w:firstLineChars="787"/>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ZJ-2371103-09</w:t>
      </w: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rPr>
      </w:pPr>
    </w:p>
    <w:p>
      <w:pPr>
        <w:autoSpaceDE w:val="0"/>
        <w:autoSpaceDN w:val="0"/>
        <w:adjustRightInd w:val="0"/>
        <w:spacing w:line="36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投标人（盖公章或电子签章）：</w:t>
      </w:r>
      <w:r>
        <w:rPr>
          <w:rFonts w:hint="eastAsia" w:ascii="宋体" w:hAnsi="宋体" w:cs="宋体"/>
          <w:b/>
          <w:color w:val="auto"/>
          <w:sz w:val="32"/>
          <w:szCs w:val="32"/>
          <w:highlight w:val="none"/>
          <w:u w:val="single"/>
        </w:rPr>
        <w:t xml:space="preserve">                        </w:t>
      </w:r>
    </w:p>
    <w:p>
      <w:pPr>
        <w:pStyle w:val="12"/>
        <w:rPr>
          <w:color w:val="auto"/>
          <w:highlight w:val="none"/>
        </w:rPr>
      </w:pPr>
    </w:p>
    <w:p>
      <w:pPr>
        <w:autoSpaceDE w:val="0"/>
        <w:autoSpaceDN w:val="0"/>
        <w:adjustRightInd w:val="0"/>
        <w:spacing w:line="360" w:lineRule="auto"/>
        <w:jc w:val="center"/>
        <w:rPr>
          <w:rFonts w:ascii="宋体" w:hAnsi="宋体" w:cs="宋体"/>
          <w:b/>
          <w:color w:val="auto"/>
          <w:sz w:val="32"/>
          <w:szCs w:val="32"/>
          <w:highlight w:val="none"/>
        </w:rPr>
      </w:pPr>
    </w:p>
    <w:p>
      <w:pPr>
        <w:autoSpaceDE w:val="0"/>
        <w:autoSpaceDN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日期：    年   月   日</w:t>
      </w:r>
    </w:p>
    <w:p>
      <w:pPr>
        <w:autoSpaceDE w:val="0"/>
        <w:autoSpaceDN w:val="0"/>
        <w:adjustRightInd w:val="0"/>
        <w:spacing w:line="360" w:lineRule="auto"/>
        <w:rPr>
          <w:rFonts w:ascii="宋体" w:hAnsi="宋体" w:cs="宋体"/>
          <w:color w:val="auto"/>
          <w:highlight w:val="none"/>
        </w:rPr>
      </w:pPr>
    </w:p>
    <w:p>
      <w:pPr>
        <w:rPr>
          <w:rFonts w:ascii="宋体" w:hAnsi="宋体" w:cs="宋体"/>
          <w:color w:val="auto"/>
          <w:highlight w:val="none"/>
        </w:rPr>
      </w:pPr>
      <w:r>
        <w:rPr>
          <w:rFonts w:hint="eastAsia" w:ascii="宋体" w:hAnsi="宋体" w:cs="宋体"/>
          <w:snapToGrid w:val="0"/>
          <w:color w:val="auto"/>
          <w:kern w:val="0"/>
          <w:highlight w:val="none"/>
        </w:rPr>
        <w:br w:type="page"/>
      </w:r>
    </w:p>
    <w:p>
      <w:pPr>
        <w:autoSpaceDE w:val="0"/>
        <w:autoSpaceDN w:val="0"/>
        <w:adjustRightInd w:val="0"/>
        <w:snapToGrid w:val="0"/>
        <w:spacing w:line="360" w:lineRule="auto"/>
        <w:outlineLvl w:val="1"/>
        <w:rPr>
          <w:rStyle w:val="36"/>
          <w:rFonts w:hint="eastAsia" w:ascii="宋体" w:hAnsi="宋体" w:eastAsia="宋体"/>
          <w:color w:val="auto"/>
          <w:sz w:val="28"/>
          <w:szCs w:val="28"/>
          <w:highlight w:val="none"/>
        </w:rPr>
      </w:pPr>
      <w:bookmarkStart w:id="240" w:name="_Toc31523"/>
      <w:bookmarkStart w:id="241" w:name="_Toc15653"/>
      <w:bookmarkStart w:id="242" w:name="_Toc8129"/>
      <w:bookmarkStart w:id="243" w:name="_Toc20310"/>
      <w:bookmarkStart w:id="244" w:name="_Toc7837"/>
      <w:bookmarkStart w:id="245" w:name="_Toc286"/>
      <w:bookmarkStart w:id="246" w:name="_Toc2779"/>
      <w:r>
        <w:rPr>
          <w:rStyle w:val="36"/>
          <w:rFonts w:hint="eastAsia" w:ascii="宋体" w:hAnsi="宋体" w:eastAsia="宋体"/>
          <w:color w:val="auto"/>
          <w:sz w:val="28"/>
          <w:szCs w:val="28"/>
          <w:highlight w:val="none"/>
        </w:rPr>
        <w:t>二、</w:t>
      </w:r>
      <w:bookmarkEnd w:id="240"/>
      <w:bookmarkEnd w:id="241"/>
      <w:r>
        <w:rPr>
          <w:rStyle w:val="36"/>
          <w:rFonts w:hint="eastAsia" w:ascii="宋体" w:hAnsi="宋体" w:eastAsia="宋体"/>
          <w:color w:val="auto"/>
          <w:sz w:val="28"/>
          <w:szCs w:val="28"/>
          <w:highlight w:val="none"/>
        </w:rPr>
        <w:t>资格响应文件</w:t>
      </w:r>
      <w:bookmarkEnd w:id="242"/>
      <w:bookmarkEnd w:id="243"/>
      <w:bookmarkEnd w:id="244"/>
      <w:bookmarkEnd w:id="245"/>
      <w:bookmarkEnd w:id="246"/>
    </w:p>
    <w:p>
      <w:pPr>
        <w:pStyle w:val="24"/>
        <w:tabs>
          <w:tab w:val="left" w:pos="630"/>
          <w:tab w:val="left" w:pos="840"/>
          <w:tab w:val="left" w:pos="1050"/>
        </w:tabs>
        <w:adjustRightInd w:val="0"/>
        <w:snapToGrid w:val="0"/>
        <w:spacing w:before="0" w:beforeAutospacing="0" w:after="0" w:afterAutospacing="0" w:line="360" w:lineRule="auto"/>
        <w:rPr>
          <w:rFonts w:ascii="宋体" w:hAnsi="宋体" w:cs="宋体"/>
          <w:b/>
          <w:bCs/>
          <w:color w:val="auto"/>
          <w:sz w:val="21"/>
          <w:szCs w:val="21"/>
          <w:highlight w:val="none"/>
        </w:rPr>
      </w:pPr>
      <w:r>
        <w:rPr>
          <w:rFonts w:hint="eastAsia" w:ascii="宋体" w:hAnsi="宋体" w:cs="宋体"/>
          <w:b/>
          <w:color w:val="auto"/>
          <w:sz w:val="21"/>
          <w:szCs w:val="21"/>
          <w:highlight w:val="none"/>
        </w:rPr>
        <w:t>2.1基本资格条件相关证明材料</w:t>
      </w:r>
    </w:p>
    <w:p>
      <w:pPr>
        <w:pStyle w:val="24"/>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a.具有独立承担民事责任能力的证明材料（如为联合体投标人的，联合体各方均须提供）</w:t>
      </w:r>
    </w:p>
    <w:p>
      <w:pPr>
        <w:pStyle w:val="24"/>
        <w:tabs>
          <w:tab w:val="left" w:pos="630"/>
          <w:tab w:val="left" w:pos="840"/>
          <w:tab w:val="left" w:pos="1050"/>
        </w:tabs>
        <w:adjustRightInd w:val="0"/>
        <w:snapToGrid w:val="0"/>
        <w:spacing w:before="0" w:beforeAutospacing="0" w:after="0" w:afterAutospacing="0" w:line="360" w:lineRule="auto"/>
        <w:ind w:left="420"/>
        <w:rPr>
          <w:rFonts w:ascii="宋体" w:hAnsi="宋体" w:cs="宋体"/>
          <w:color w:val="auto"/>
          <w:sz w:val="21"/>
          <w:szCs w:val="21"/>
          <w:highlight w:val="none"/>
        </w:rPr>
      </w:pPr>
      <w:r>
        <w:rPr>
          <w:rFonts w:hint="eastAsia" w:ascii="宋体" w:hAnsi="宋体" w:cs="宋体"/>
          <w:color w:val="auto"/>
          <w:sz w:val="21"/>
          <w:szCs w:val="21"/>
          <w:highlight w:val="none"/>
        </w:rPr>
        <w:t>投标人须在投标文件中出具符合以下情况的证明材料复印件（五选一）：</w:t>
      </w:r>
    </w:p>
    <w:p>
      <w:pPr>
        <w:pStyle w:val="24"/>
        <w:numPr>
          <w:ilvl w:val="0"/>
          <w:numId w:val="18"/>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如投标人是企业（包括合伙企业），提供在工商部门注册的有效“企业法人营业执照”或“营业执照”；</w:t>
      </w:r>
    </w:p>
    <w:p>
      <w:pPr>
        <w:pStyle w:val="24"/>
        <w:numPr>
          <w:ilvl w:val="0"/>
          <w:numId w:val="18"/>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如投标人是事业单位，提供有效的“事业单位法人证书”；</w:t>
      </w:r>
    </w:p>
    <w:p>
      <w:pPr>
        <w:pStyle w:val="24"/>
        <w:numPr>
          <w:ilvl w:val="0"/>
          <w:numId w:val="18"/>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如投标人是非企业专业服务机构的，提供执业许可证等证明文件；</w:t>
      </w:r>
    </w:p>
    <w:p>
      <w:pPr>
        <w:pStyle w:val="24"/>
        <w:numPr>
          <w:ilvl w:val="0"/>
          <w:numId w:val="18"/>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如投标人是个体工商户，提供有效的“个体工商户营业执照”；</w:t>
      </w:r>
    </w:p>
    <w:p>
      <w:pPr>
        <w:pStyle w:val="24"/>
        <w:numPr>
          <w:ilvl w:val="0"/>
          <w:numId w:val="18"/>
        </w:numPr>
        <w:tabs>
          <w:tab w:val="left" w:pos="312"/>
        </w:tabs>
        <w:adjustRightInd w:val="0"/>
        <w:snapToGrid w:val="0"/>
        <w:spacing w:before="0" w:beforeAutospacing="0" w:after="0" w:afterAutospacing="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如投标人是自然人，提供有效的自然人身份证明（居民身份证正反面或公安机关出具的临时居民身份证正反面或港澳台胞证或护照）。</w:t>
      </w:r>
    </w:p>
    <w:p>
      <w:pPr>
        <w:pStyle w:val="24"/>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分公司经总公司授权后，可以以分公司的名义参加政府采购活动，可以提供总公司或分公司的营业执照、财务报表、纳税证明等材料，可以使用总公司的相关业绩和资质，但其民事责任由总公司承担。同一总公司下的两家分公司不能同时参与一个采购项目投标。中标后，应当和总公司签订政府采购合同。</w:t>
      </w:r>
    </w:p>
    <w:p>
      <w:pPr>
        <w:pStyle w:val="24"/>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对于某些具有垄断性质的特殊行业或企业，例如银行、保险、电信、邮政、铁路等行业，其总公司为了方便分公司在全国开展业务，采用公司文件或公司制度的形式授权其分公司独立开展业务，其民事责任由总公司承担。在此情况下，不要求分公司出具总公司的授权，出具总公司的有关文件或制度等能够证明总公司授权其独立开展业务的证明即可。投标文件中法定代表人身份证明书及授权书可以为分支机构负责人身份证明书及授权书。</w:t>
      </w:r>
    </w:p>
    <w:p>
      <w:pPr>
        <w:pStyle w:val="24"/>
        <w:tabs>
          <w:tab w:val="left" w:pos="312"/>
        </w:tabs>
        <w:adjustRightInd w:val="0"/>
        <w:snapToGrid w:val="0"/>
        <w:spacing w:before="0" w:beforeAutospacing="0" w:after="0" w:afterAutospacing="0" w:line="360" w:lineRule="auto"/>
        <w:rPr>
          <w:rFonts w:ascii="宋体" w:hAnsi="宋体" w:cs="宋体"/>
          <w:b/>
          <w:bCs/>
          <w:color w:val="auto"/>
          <w:sz w:val="21"/>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 w:val="21"/>
          <w:szCs w:val="21"/>
          <w:highlight w:val="none"/>
        </w:rPr>
        <w:t>b.符合参与政府采购活动资格条件的证明材料（如为联合体投标人的，联合体各方均须提供）</w:t>
      </w:r>
    </w:p>
    <w:p>
      <w:pPr>
        <w:pStyle w:val="24"/>
        <w:adjustRightInd w:val="0"/>
        <w:snapToGrid w:val="0"/>
        <w:spacing w:before="166" w:beforeLines="50" w:beforeAutospacing="0" w:after="166" w:afterLines="50" w:afterAutospacing="0" w:line="360" w:lineRule="auto"/>
        <w:jc w:val="center"/>
        <w:rPr>
          <w:rFonts w:ascii="宋体" w:hAnsi="宋体" w:cs="宋体"/>
          <w:color w:val="auto"/>
          <w:szCs w:val="21"/>
          <w:highlight w:val="none"/>
          <w:u w:val="single"/>
        </w:rPr>
      </w:pPr>
      <w:r>
        <w:rPr>
          <w:rFonts w:hint="eastAsia" w:ascii="宋体" w:hAnsi="宋体" w:cs="宋体"/>
          <w:b/>
          <w:bCs/>
          <w:color w:val="auto"/>
          <w:sz w:val="32"/>
          <w:szCs w:val="32"/>
          <w:highlight w:val="none"/>
        </w:rPr>
        <w:t>符合参与政府采购活动资格条件的承诺函</w:t>
      </w:r>
    </w:p>
    <w:p>
      <w:pPr>
        <w:spacing w:line="400" w:lineRule="exact"/>
        <w:rPr>
          <w:rFonts w:ascii="宋体" w:hAnsi="宋体" w:cs="宋体"/>
          <w:b/>
          <w:bCs/>
          <w:color w:val="auto"/>
          <w:szCs w:val="21"/>
          <w:highlight w:val="none"/>
          <w:u w:val="single"/>
        </w:rPr>
      </w:pPr>
      <w:r>
        <w:rPr>
          <w:rFonts w:hint="eastAsia" w:ascii="宋体" w:hAnsi="宋体" w:cs="宋体"/>
          <w:b/>
          <w:bCs/>
          <w:color w:val="auto"/>
          <w:szCs w:val="21"/>
          <w:highlight w:val="none"/>
          <w:u w:val="single"/>
          <w:lang w:eastAsia="zh-CN"/>
        </w:rPr>
        <w:t>浙江省统计局</w:t>
      </w:r>
      <w:r>
        <w:rPr>
          <w:rFonts w:hint="eastAsia" w:ascii="宋体" w:hAnsi="宋体" w:cs="宋体"/>
          <w:b/>
          <w:bCs/>
          <w:color w:val="auto"/>
          <w:szCs w:val="21"/>
          <w:highlight w:val="none"/>
          <w:u w:val="single"/>
        </w:rPr>
        <w:t>：</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w:t>
      </w:r>
      <w:r>
        <w:rPr>
          <w:rFonts w:hint="eastAsia" w:ascii="宋体" w:hAnsi="宋体" w:cs="宋体"/>
          <w:i/>
          <w:iCs/>
          <w:color w:val="auto"/>
          <w:sz w:val="21"/>
          <w:szCs w:val="21"/>
          <w:highlight w:val="none"/>
          <w:u w:val="single"/>
        </w:rPr>
        <w:t>（投标人全称）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参与</w:t>
      </w:r>
      <w:r>
        <w:rPr>
          <w:rFonts w:hint="eastAsia" w:ascii="宋体" w:hAnsi="宋体" w:cs="宋体"/>
          <w:color w:val="auto"/>
          <w:sz w:val="21"/>
          <w:szCs w:val="21"/>
          <w:highlight w:val="none"/>
          <w:u w:val="single"/>
          <w:lang w:eastAsia="zh-CN"/>
        </w:rPr>
        <w:t>浙江省统计局统计大脑项目</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eastAsia="zh-CN"/>
        </w:rPr>
        <w:t>ZJ-2371103-09</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政府采购活动，郑重承诺如下：</w:t>
      </w:r>
    </w:p>
    <w:p>
      <w:pPr>
        <w:adjustRightIn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（一）具备《中华人民共和国政府采购法》第二十二条第一款规定的下列条件：</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1.我方具有良好的商业信誉和健全的财务会计制度；</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2.我方具有履行本项目合同所必需的设备和专业技术能力；</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3.我方没有缴纳税收和社会保障等方面的失信记录；</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4"/>
        <w:spacing w:before="0" w:beforeAutospacing="0" w:after="0" w:afterAutospacing="0" w:line="40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（二）未被信用中国（www.creditchina.gov.cn）、中国政府采购网（www.ccgp.gov.cn）列入失信被执行人、重大税收违法案件当事人名单、政府采购严重违法失信行为记录名单。</w:t>
      </w:r>
    </w:p>
    <w:p>
      <w:pPr>
        <w:pStyle w:val="24"/>
        <w:spacing w:before="0" w:beforeAutospacing="0" w:after="0" w:afterAutospacing="0" w:line="40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（三）不存在以下情况：</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2.为采购项目提供整体设计、规范编制或者项目管理、监理、检测等服务后再参加该采购项目的其他采购活动的（其他采购活动不包括为该项目提供整体设计、规范编制或者项目管理、监理、检测等服务）；</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3.以联合体形式参加政府采购活动的，再单独参加或者与其他投标人另外组成联合体参加同一合同项下的政府采购活动的情形。</w:t>
      </w:r>
    </w:p>
    <w:p>
      <w:pPr>
        <w:pStyle w:val="24"/>
        <w:spacing w:before="0" w:beforeAutospacing="0" w:after="0" w:afterAutospacing="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我方对上述承诺内容的真实性负责。如有虚假，将依法承担相应责任。</w:t>
      </w:r>
    </w:p>
    <w:p>
      <w:pPr>
        <w:adjustRightInd w:val="0"/>
        <w:spacing w:line="360" w:lineRule="auto"/>
        <w:ind w:firstLine="4515" w:firstLineChars="2150"/>
        <w:rPr>
          <w:rFonts w:hint="eastAsia" w:ascii="宋体" w:hAnsi="宋体" w:cs="宋体"/>
          <w:color w:val="auto"/>
          <w:szCs w:val="21"/>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pStyle w:val="24"/>
        <w:spacing w:before="0" w:beforeAutospacing="0" w:after="0" w:afterAutospacing="0" w:line="360" w:lineRule="auto"/>
        <w:ind w:firstLine="422" w:firstLineChars="200"/>
        <w:rPr>
          <w:rFonts w:hint="eastAsia" w:ascii="宋体" w:hAnsi="宋体" w:cs="宋体"/>
          <w:b/>
          <w:bCs/>
          <w:color w:val="auto"/>
          <w:sz w:val="21"/>
          <w:szCs w:val="21"/>
          <w:highlight w:val="none"/>
        </w:rPr>
      </w:pPr>
    </w:p>
    <w:p>
      <w:pPr>
        <w:pStyle w:val="24"/>
        <w:spacing w:before="0" w:beforeAutospacing="0" w:after="0" w:afterAutospacing="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特别说明：已完成信用修复的“缴纳税收和社会保障等方面的失信记录”不包含在上述第3点所述情形内（属于重大违法记录情形的除外）。</w:t>
      </w:r>
    </w:p>
    <w:p>
      <w:pPr>
        <w:adjustRightInd w:val="0"/>
        <w:snapToGrid w:val="0"/>
        <w:spacing w:line="360" w:lineRule="auto"/>
        <w:jc w:val="left"/>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rPr>
        <w:t>2.2落实政府采购政策需满足的资格要求（如为联合体投标人的，联合体各方均须提供）：</w:t>
      </w:r>
      <w:r>
        <w:rPr>
          <w:rFonts w:hint="eastAsia" w:ascii="宋体" w:hAnsi="宋体" w:cs="宋体"/>
          <w:b/>
          <w:bCs/>
          <w:color w:val="auto"/>
          <w:kern w:val="0"/>
          <w:szCs w:val="21"/>
          <w:highlight w:val="none"/>
        </w:rPr>
        <w:t>服务全部由符合政策要求的中小企业承接，提供中小企业声明函。</w:t>
      </w:r>
    </w:p>
    <w:p>
      <w:pPr>
        <w:pStyle w:val="11"/>
        <w:rPr>
          <w:rFonts w:hint="eastAsia"/>
          <w:color w:val="auto"/>
          <w:highlight w:val="none"/>
        </w:rPr>
      </w:pPr>
    </w:p>
    <w:p>
      <w:pPr>
        <w:pStyle w:val="14"/>
        <w:ind w:firstLine="0"/>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中小企业声明函（服务）</w:t>
      </w:r>
    </w:p>
    <w:p>
      <w:pPr>
        <w:pStyle w:val="11"/>
        <w:autoSpaceDE w:val="0"/>
        <w:autoSpaceDN w:val="0"/>
        <w:spacing w:after="0" w:line="360" w:lineRule="auto"/>
        <w:ind w:right="-54"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w:t>
      </w:r>
      <w:r>
        <w:rPr>
          <w:rFonts w:hint="eastAsia" w:ascii="宋体" w:hAnsi="宋体" w:cs="宋体"/>
          <w:b/>
          <w:bCs/>
          <w:color w:val="auto"/>
          <w:szCs w:val="21"/>
          <w:highlight w:val="none"/>
        </w:rPr>
        <w:t>服务</w:t>
      </w:r>
      <w:r>
        <w:rPr>
          <w:rFonts w:hint="eastAsia" w:ascii="宋体" w:hAnsi="宋体" w:cs="宋体"/>
          <w:b/>
          <w:bCs/>
          <w:color w:val="auto"/>
          <w:w w:val="95"/>
          <w:szCs w:val="21"/>
          <w:highlight w:val="none"/>
        </w:rPr>
        <w:t>全部由符合政策要求的中小企业承接。</w:t>
      </w:r>
      <w:r>
        <w:rPr>
          <w:rFonts w:hint="eastAsia" w:ascii="宋体" w:hAnsi="宋体" w:cs="宋体"/>
          <w:color w:val="auto"/>
          <w:szCs w:val="21"/>
          <w:highlight w:val="none"/>
        </w:rPr>
        <w:t>相关企业（含联合体中的中小企业、签订分包意向协议的中小企业）的具体情况如下：</w:t>
      </w:r>
    </w:p>
    <w:p>
      <w:pPr>
        <w:pStyle w:val="58"/>
        <w:tabs>
          <w:tab w:val="left" w:pos="1243"/>
        </w:tabs>
        <w:autoSpaceDE w:val="0"/>
        <w:autoSpaceDN w:val="0"/>
        <w:spacing w:line="360" w:lineRule="auto"/>
        <w:ind w:left="19" w:leftChars="9" w:firstLine="399" w:firstLineChars="199"/>
        <w:rPr>
          <w:rFonts w:ascii="宋体" w:hAnsi="宋体" w:cs="宋体"/>
          <w:color w:val="auto"/>
          <w:szCs w:val="21"/>
          <w:highlight w:val="none"/>
        </w:rPr>
      </w:pPr>
      <w:r>
        <w:rPr>
          <w:rFonts w:hint="eastAsia" w:ascii="宋体" w:hAnsi="宋体" w:cs="宋体"/>
          <w:color w:val="auto"/>
          <w:w w:val="96"/>
          <w:szCs w:val="21"/>
          <w:highlight w:val="none"/>
        </w:rPr>
        <w:t>1.</w:t>
      </w:r>
      <w:r>
        <w:rPr>
          <w:rFonts w:hint="eastAsia" w:ascii="宋体" w:hAnsi="宋体" w:cs="宋体"/>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b/>
          <w:bCs/>
          <w:color w:val="auto"/>
          <w:highlight w:val="none"/>
          <w:u w:val="single"/>
        </w:rPr>
        <w:t>软件和信息技术服务业</w:t>
      </w:r>
      <w:r>
        <w:rPr>
          <w:rFonts w:hint="eastAsia" w:ascii="宋体" w:hAnsi="宋体" w:cs="宋体"/>
          <w:color w:val="auto"/>
          <w:w w:val="99"/>
          <w:szCs w:val="21"/>
          <w:highlight w:val="none"/>
        </w:rPr>
        <w:t>；承建（承接）企业为</w:t>
      </w:r>
      <w:r>
        <w:rPr>
          <w:rFonts w:hint="eastAsia" w:ascii="宋体" w:hAnsi="宋体" w:cs="宋体"/>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w:t>
      </w:r>
      <w:r>
        <w:rPr>
          <w:rFonts w:hint="eastAsia" w:ascii="宋体" w:hAnsi="宋体" w:cs="宋体"/>
          <w:color w:val="auto"/>
          <w:w w:val="96"/>
          <w:szCs w:val="21"/>
          <w:highlight w:val="none"/>
          <w:u w:val="single"/>
        </w:rPr>
        <w:t>小型企业、微型企业）</w:t>
      </w:r>
      <w:r>
        <w:rPr>
          <w:rFonts w:hint="eastAsia" w:ascii="宋体" w:hAnsi="宋体" w:cs="宋体"/>
          <w:color w:val="auto"/>
          <w:w w:val="99"/>
          <w:szCs w:val="21"/>
          <w:highlight w:val="none"/>
        </w:rPr>
        <w:t>；</w:t>
      </w:r>
    </w:p>
    <w:p>
      <w:pPr>
        <w:pStyle w:val="58"/>
        <w:tabs>
          <w:tab w:val="left" w:pos="1243"/>
          <w:tab w:val="left" w:pos="1806"/>
          <w:tab w:val="left" w:pos="5005"/>
          <w:tab w:val="left" w:pos="7213"/>
        </w:tabs>
        <w:autoSpaceDE w:val="0"/>
        <w:autoSpaceDN w:val="0"/>
        <w:spacing w:line="360" w:lineRule="auto"/>
        <w:ind w:left="19" w:leftChars="9" w:firstLine="399" w:firstLineChars="199"/>
        <w:jc w:val="left"/>
        <w:rPr>
          <w:rFonts w:ascii="宋体" w:hAnsi="宋体" w:cs="宋体"/>
          <w:color w:val="auto"/>
          <w:szCs w:val="21"/>
          <w:highlight w:val="none"/>
        </w:rPr>
      </w:pPr>
      <w:r>
        <w:rPr>
          <w:rFonts w:hint="eastAsia" w:ascii="宋体" w:hAnsi="宋体" w:cs="宋体"/>
          <w:color w:val="auto"/>
          <w:w w:val="96"/>
          <w:szCs w:val="21"/>
          <w:highlight w:val="none"/>
        </w:rPr>
        <w:t>2.</w:t>
      </w:r>
      <w:r>
        <w:rPr>
          <w:rFonts w:hint="eastAsia" w:ascii="宋体" w:hAnsi="宋体" w:cs="宋体"/>
          <w:color w:val="auto"/>
          <w:w w:val="96"/>
          <w:szCs w:val="21"/>
          <w:highlight w:val="none"/>
          <w:u w:val="single"/>
        </w:rPr>
        <w:t>（标的名称）</w:t>
      </w:r>
      <w:r>
        <w:rPr>
          <w:rFonts w:hint="eastAsia" w:ascii="宋体" w:hAnsi="宋体" w:cs="宋体"/>
          <w:color w:val="auto"/>
          <w:w w:val="99"/>
          <w:szCs w:val="21"/>
          <w:highlight w:val="none"/>
        </w:rPr>
        <w:t>，属于</w:t>
      </w:r>
      <w:r>
        <w:rPr>
          <w:rFonts w:hint="eastAsia" w:ascii="宋体" w:hAnsi="宋体" w:cs="宋体"/>
          <w:b/>
          <w:bCs/>
          <w:color w:val="auto"/>
          <w:highlight w:val="none"/>
          <w:u w:val="single"/>
        </w:rPr>
        <w:t>软件和信息技术服务业</w:t>
      </w:r>
      <w:r>
        <w:rPr>
          <w:rFonts w:hint="eastAsia" w:ascii="宋体" w:hAnsi="宋体" w:cs="宋体"/>
          <w:color w:val="auto"/>
          <w:w w:val="99"/>
          <w:szCs w:val="21"/>
          <w:highlight w:val="none"/>
        </w:rPr>
        <w:t>； 承建（承接）企业为</w:t>
      </w:r>
      <w:r>
        <w:rPr>
          <w:rFonts w:hint="eastAsia" w:ascii="宋体" w:hAnsi="宋体" w:cs="宋体"/>
          <w:color w:val="auto"/>
          <w:w w:val="96"/>
          <w:szCs w:val="21"/>
          <w:highlight w:val="none"/>
          <w:u w:val="single"/>
        </w:rPr>
        <w:t>（企业名称）</w:t>
      </w:r>
      <w:r>
        <w:rPr>
          <w:rFonts w:hint="eastAsia" w:ascii="宋体" w:hAnsi="宋体" w:cs="宋体"/>
          <w:color w:val="auto"/>
          <w:w w:val="99"/>
          <w:szCs w:val="21"/>
          <w:highlight w:val="none"/>
        </w:rPr>
        <w:t>，从业人员</w:t>
      </w:r>
      <w:r>
        <w:rPr>
          <w:rFonts w:hint="eastAsia" w:ascii="宋体" w:hAnsi="宋体" w:cs="宋体"/>
          <w:color w:val="auto"/>
          <w:w w:val="99"/>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w w:val="99"/>
          <w:szCs w:val="21"/>
          <w:highlight w:val="none"/>
        </w:rPr>
        <w:t>人，营业</w:t>
      </w:r>
      <w:r>
        <w:rPr>
          <w:rFonts w:hint="eastAsia" w:ascii="宋体" w:hAnsi="宋体" w:cs="宋体"/>
          <w:color w:val="auto"/>
          <w:szCs w:val="21"/>
          <w:highlight w:val="none"/>
        </w:rPr>
        <w:t>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w:t>
      </w:r>
      <w:r>
        <w:rPr>
          <w:rFonts w:hint="eastAsia" w:ascii="宋体" w:hAnsi="宋体" w:cs="宋体"/>
          <w:color w:val="auto"/>
          <w:w w:val="96"/>
          <w:szCs w:val="21"/>
          <w:highlight w:val="none"/>
          <w:u w:val="single"/>
        </w:rPr>
        <w:t>小型企业、微型企业）</w:t>
      </w:r>
      <w:r>
        <w:rPr>
          <w:rFonts w:hint="eastAsia" w:ascii="宋体" w:hAnsi="宋体" w:cs="宋体"/>
          <w:color w:val="auto"/>
          <w:w w:val="99"/>
          <w:szCs w:val="21"/>
          <w:highlight w:val="none"/>
        </w:rPr>
        <w:t>；</w:t>
      </w:r>
    </w:p>
    <w:p>
      <w:pPr>
        <w:pStyle w:val="11"/>
        <w:autoSpaceDE w:val="0"/>
        <w:autoSpaceDN w:val="0"/>
        <w:spacing w:after="0" w:line="360" w:lineRule="auto"/>
        <w:ind w:left="19" w:leftChars="9" w:firstLine="417" w:firstLineChars="199"/>
        <w:rPr>
          <w:rFonts w:ascii="宋体" w:hAnsi="宋体" w:cs="宋体"/>
          <w:color w:val="auto"/>
          <w:szCs w:val="21"/>
          <w:highlight w:val="none"/>
        </w:rPr>
      </w:pPr>
      <w:r>
        <w:rPr>
          <w:rFonts w:hint="eastAsia" w:ascii="宋体" w:hAnsi="宋体" w:cs="宋体"/>
          <w:color w:val="auto"/>
          <w:szCs w:val="21"/>
          <w:highlight w:val="none"/>
        </w:rPr>
        <w:t>……</w:t>
      </w:r>
    </w:p>
    <w:p>
      <w:pPr>
        <w:pStyle w:val="11"/>
        <w:autoSpaceDE w:val="0"/>
        <w:autoSpaceDN w:val="0"/>
        <w:spacing w:after="0" w:line="360" w:lineRule="auto"/>
        <w:ind w:left="19" w:leftChars="9" w:firstLine="417" w:firstLineChars="199"/>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11"/>
        <w:autoSpaceDE w:val="0"/>
        <w:autoSpaceDN w:val="0"/>
        <w:spacing w:after="0" w:line="360" w:lineRule="auto"/>
        <w:ind w:left="19" w:leftChars="9" w:firstLine="417" w:firstLineChars="199"/>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360" w:lineRule="auto"/>
        <w:ind w:firstLine="3998" w:firstLineChars="1904"/>
        <w:jc w:val="left"/>
        <w:rPr>
          <w:rFonts w:ascii="宋体" w:hAnsi="宋体" w:cs="宋体"/>
          <w:color w:val="auto"/>
          <w:szCs w:val="21"/>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360" w:lineRule="auto"/>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snapToGrid w:val="0"/>
        <w:spacing w:line="360" w:lineRule="auto"/>
        <w:rPr>
          <w:rFonts w:ascii="宋体" w:hAnsi="宋体" w:cs="宋体"/>
          <w:b/>
          <w:color w:val="auto"/>
          <w:szCs w:val="21"/>
          <w:highlight w:val="none"/>
        </w:rPr>
      </w:pP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说明：</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1.从业人员、营业收入、资产总额填报上一年度数据，无上一年度数据的新成立企业可不填报。</w:t>
      </w:r>
    </w:p>
    <w:p>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2.本项目所属行业见前附表。</w:t>
      </w:r>
    </w:p>
    <w:p>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3.中小企业划型标准规定（工信部联企业[2011]300号）附后。</w:t>
      </w:r>
    </w:p>
    <w:p>
      <w:pPr>
        <w:adjustRightInd w:val="0"/>
        <w:snapToGrid w:val="0"/>
        <w:spacing w:line="360" w:lineRule="auto"/>
        <w:ind w:firstLine="422" w:firstLineChars="200"/>
        <w:jc w:val="left"/>
        <w:rPr>
          <w:rFonts w:hint="eastAsia" w:ascii="宋体" w:hAnsi="宋体" w:cs="宋体"/>
          <w:b/>
          <w:color w:val="auto"/>
          <w:szCs w:val="21"/>
          <w:highlight w:val="none"/>
        </w:rPr>
        <w:sectPr>
          <w:footerReference r:id="rId4" w:type="default"/>
          <w:pgSz w:w="11906" w:h="16838"/>
          <w:pgMar w:top="1440" w:right="1483" w:bottom="1440" w:left="1603" w:header="851" w:footer="992" w:gutter="0"/>
          <w:cols w:space="720" w:num="1"/>
          <w:formProt w:val="0"/>
          <w:docGrid w:type="lines" w:linePitch="332" w:charSpace="0"/>
        </w:sectPr>
      </w:pPr>
      <w:r>
        <w:rPr>
          <w:rFonts w:hint="eastAsia" w:ascii="宋体" w:hAnsi="宋体" w:cs="宋体"/>
          <w:b/>
          <w:color w:val="auto"/>
          <w:szCs w:val="21"/>
          <w:highlight w:val="none"/>
        </w:rPr>
        <w:t>4.《中小企业声明函》格式不得擅自调整，格式</w:t>
      </w:r>
      <w:r>
        <w:rPr>
          <w:rFonts w:hint="eastAsia" w:ascii="宋体" w:hAnsi="宋体" w:cs="宋体"/>
          <w:b/>
          <w:color w:val="auto"/>
          <w:szCs w:val="21"/>
          <w:highlight w:val="none"/>
          <w:lang w:eastAsia="zh-CN"/>
        </w:rPr>
        <w:t>中画横线的</w:t>
      </w:r>
      <w:r>
        <w:rPr>
          <w:rFonts w:hint="eastAsia" w:ascii="宋体" w:hAnsi="宋体" w:cs="宋体"/>
          <w:b/>
          <w:color w:val="auto"/>
          <w:szCs w:val="21"/>
          <w:highlight w:val="none"/>
        </w:rPr>
        <w:t>部分需要各投标人按实际情况如实填写，括号中的内容是对拟填写内容的说明。</w:t>
      </w:r>
    </w:p>
    <w:p>
      <w:pPr>
        <w:pStyle w:val="12"/>
        <w:rPr>
          <w:rFonts w:hint="eastAsia"/>
          <w:color w:val="auto"/>
          <w:highlight w:val="none"/>
        </w:rPr>
        <w:sectPr>
          <w:footerReference r:id="rId5" w:type="default"/>
          <w:pgSz w:w="11906" w:h="16838"/>
          <w:pgMar w:top="1440" w:right="1483" w:bottom="1440" w:left="1603" w:header="851" w:footer="992" w:gutter="0"/>
          <w:cols w:space="720" w:num="1"/>
          <w:formProt w:val="0"/>
          <w:docGrid w:type="lines" w:linePitch="332" w:charSpace="0"/>
        </w:sectPr>
      </w:pPr>
      <w:r>
        <w:rPr>
          <w:color w:val="auto"/>
          <w:highlight w:val="none"/>
        </w:rPr>
        <w:drawing>
          <wp:inline distT="0" distB="0" distL="114300" distR="114300">
            <wp:extent cx="8671560" cy="524446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rot="-5400000">
                      <a:off x="0" y="0"/>
                      <a:ext cx="8671560" cy="5244465"/>
                    </a:xfrm>
                    <a:prstGeom prst="rect">
                      <a:avLst/>
                    </a:prstGeom>
                    <a:noFill/>
                    <a:ln>
                      <a:noFill/>
                    </a:ln>
                  </pic:spPr>
                </pic:pic>
              </a:graphicData>
            </a:graphic>
          </wp:inline>
        </w:drawing>
      </w:r>
    </w:p>
    <w:p>
      <w:pPr>
        <w:rPr>
          <w:rFonts w:hint="eastAsia" w:ascii="宋体" w:hAnsi="宋体" w:cs="宋体"/>
          <w:b/>
          <w:bCs/>
          <w:color w:val="auto"/>
          <w:szCs w:val="21"/>
          <w:highlight w:val="none"/>
        </w:rPr>
        <w:sectPr>
          <w:pgSz w:w="11906" w:h="16838"/>
          <w:pgMar w:top="1276" w:right="1418" w:bottom="1247" w:left="1418" w:header="851" w:footer="992" w:gutter="0"/>
          <w:cols w:space="720" w:num="1"/>
          <w:formProt w:val="0"/>
        </w:sectPr>
      </w:pPr>
      <w:r>
        <w:rPr>
          <w:rFonts w:hint="eastAsia" w:ascii="宋体" w:hAnsi="宋体" w:cs="宋体"/>
          <w:b/>
          <w:bCs/>
          <w:color w:val="auto"/>
          <w:szCs w:val="21"/>
          <w:highlight w:val="none"/>
        </w:rPr>
        <w:t>2.3 特定资格条件证明材料：无</w:t>
      </w:r>
    </w:p>
    <w:p>
      <w:pPr>
        <w:autoSpaceDE w:val="0"/>
        <w:autoSpaceDN w:val="0"/>
        <w:adjustRightInd w:val="0"/>
        <w:snapToGrid w:val="0"/>
        <w:spacing w:line="360" w:lineRule="auto"/>
        <w:textAlignment w:val="bottom"/>
        <w:rPr>
          <w:rFonts w:ascii="宋体" w:hAnsi="宋体" w:cs="宋体"/>
          <w:b/>
          <w:bCs/>
          <w:color w:val="auto"/>
          <w:szCs w:val="21"/>
          <w:highlight w:val="none"/>
        </w:rPr>
      </w:pPr>
      <w:r>
        <w:rPr>
          <w:rFonts w:hint="eastAsia" w:ascii="宋体" w:hAnsi="宋体" w:cs="宋体"/>
          <w:b/>
          <w:bCs/>
          <w:color w:val="auto"/>
          <w:szCs w:val="21"/>
          <w:highlight w:val="none"/>
        </w:rPr>
        <w:t>2.4联合体协议（如为联合体投标的，须提供）</w:t>
      </w:r>
    </w:p>
    <w:p>
      <w:pPr>
        <w:rPr>
          <w:color w:val="auto"/>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w:t>
      </w:r>
      <w:r>
        <w:rPr>
          <w:rFonts w:hint="eastAsia" w:ascii="宋体" w:hAnsi="宋体" w:cs="宋体"/>
          <w:b/>
          <w:color w:val="auto"/>
          <w:kern w:val="0"/>
          <w:sz w:val="32"/>
          <w:szCs w:val="32"/>
          <w:highlight w:val="none"/>
        </w:rPr>
        <w:t>体</w:t>
      </w:r>
      <w:r>
        <w:rPr>
          <w:rFonts w:hint="eastAsia" w:ascii="宋体" w:hAnsi="宋体" w:cs="宋体"/>
          <w:b/>
          <w:color w:val="auto"/>
          <w:kern w:val="0"/>
          <w:sz w:val="32"/>
          <w:szCs w:val="32"/>
          <w:highlight w:val="none"/>
          <w:lang w:val="zh-CN"/>
        </w:rPr>
        <w:t>协议</w:t>
      </w:r>
    </w:p>
    <w:p>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Cs w:val="21"/>
          <w:highlight w:val="none"/>
          <w:u w:val="single"/>
        </w:rPr>
      </w:pP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（项目名称：）项目编号：）</w:t>
      </w:r>
      <w:r>
        <w:rPr>
          <w:rFonts w:hint="eastAsia" w:ascii="宋体" w:hAnsi="宋体" w:cs="宋体"/>
          <w:color w:val="auto"/>
          <w:kern w:val="0"/>
          <w:szCs w:val="21"/>
          <w:highlight w:val="none"/>
          <w:lang w:val="zh-CN"/>
        </w:rPr>
        <w:t xml:space="preserve">投标。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r>
        <w:rPr>
          <w:rFonts w:hint="eastAsia" w:ascii="宋体" w:hAnsi="宋体" w:cs="宋体"/>
          <w:color w:val="auto"/>
          <w:kern w:val="0"/>
          <w:szCs w:val="21"/>
          <w:highlight w:val="none"/>
          <w:u w:val="single"/>
        </w:rPr>
        <w:t>（联合体其中一方成员名称）</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（联合体其中一方成员名称）</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w:t>
      </w: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的扣除）</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rFonts w:ascii="宋体" w:hAnsi="宋体" w:cs="宋体"/>
          <w:color w:val="auto"/>
          <w:kern w:val="0"/>
          <w:szCs w:val="21"/>
          <w:highlight w:val="none"/>
          <w:lang w:val="zh-CN"/>
        </w:rPr>
      </w:pPr>
    </w:p>
    <w:p>
      <w:pPr>
        <w:snapToGrid w:val="0"/>
        <w:spacing w:line="360" w:lineRule="auto"/>
        <w:ind w:firstLine="4410" w:firstLineChars="2100"/>
        <w:rPr>
          <w:rFonts w:ascii="宋体" w:hAnsi="宋体" w:cs="宋体"/>
          <w:color w:val="auto"/>
          <w:kern w:val="0"/>
          <w:szCs w:val="21"/>
          <w:highlight w:val="none"/>
          <w:lang w:val="zh-CN"/>
        </w:rPr>
      </w:pPr>
    </w:p>
    <w:p>
      <w:pPr>
        <w:snapToGrid w:val="0"/>
        <w:spacing w:line="360" w:lineRule="auto"/>
        <w:ind w:firstLine="3360" w:firstLineChars="16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联合体成员名称（盖公章或电子签章）：</w:t>
      </w:r>
    </w:p>
    <w:p>
      <w:pPr>
        <w:snapToGrid w:val="0"/>
        <w:spacing w:line="360" w:lineRule="auto"/>
        <w:ind w:firstLine="3360" w:firstLineChars="1600"/>
        <w:rPr>
          <w:rFonts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360" w:lineRule="auto"/>
        <w:ind w:firstLine="3360" w:firstLineChars="16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p>
    <w:p>
      <w:pPr>
        <w:widowControl/>
        <w:spacing w:line="360" w:lineRule="auto"/>
        <w:jc w:val="left"/>
        <w:rPr>
          <w:rFonts w:ascii="仿宋_GB2312" w:hAnsi="仿宋" w:eastAsia="仿宋_GB2312" w:cs="仿宋_GB2312"/>
          <w:b/>
          <w:color w:val="auto"/>
          <w:kern w:val="0"/>
          <w:szCs w:val="21"/>
          <w:highlight w:val="none"/>
          <w:lang w:val="zh-CN"/>
        </w:rPr>
        <w:sectPr>
          <w:pgSz w:w="11906" w:h="16838"/>
          <w:pgMar w:top="1276" w:right="1418" w:bottom="1247" w:left="1418" w:header="851" w:footer="992" w:gutter="0"/>
          <w:cols w:space="720" w:num="1"/>
          <w:formProt w:val="0"/>
        </w:sectPr>
      </w:pPr>
    </w:p>
    <w:p>
      <w:pPr>
        <w:autoSpaceDE w:val="0"/>
        <w:autoSpaceDN w:val="0"/>
        <w:adjustRightInd w:val="0"/>
        <w:snapToGrid w:val="0"/>
        <w:spacing w:line="360" w:lineRule="auto"/>
        <w:outlineLvl w:val="1"/>
        <w:rPr>
          <w:rStyle w:val="36"/>
          <w:rFonts w:hint="eastAsia" w:ascii="宋体" w:hAnsi="宋体" w:eastAsia="宋体"/>
          <w:color w:val="auto"/>
          <w:sz w:val="28"/>
          <w:szCs w:val="28"/>
          <w:highlight w:val="none"/>
        </w:rPr>
      </w:pPr>
      <w:bookmarkStart w:id="247" w:name="_Toc12217"/>
      <w:bookmarkStart w:id="248" w:name="_Toc1017"/>
      <w:bookmarkStart w:id="249" w:name="_Toc27282"/>
      <w:bookmarkStart w:id="250" w:name="_Toc4467"/>
      <w:bookmarkStart w:id="251" w:name="_Toc29816"/>
      <w:bookmarkStart w:id="252" w:name="_Toc28362"/>
      <w:bookmarkStart w:id="253" w:name="_Toc3961"/>
      <w:r>
        <w:rPr>
          <w:rStyle w:val="36"/>
          <w:rFonts w:hint="eastAsia" w:ascii="宋体" w:hAnsi="宋体" w:eastAsia="宋体"/>
          <w:color w:val="auto"/>
          <w:sz w:val="28"/>
          <w:szCs w:val="28"/>
          <w:highlight w:val="none"/>
        </w:rPr>
        <w:t>三、商务技术响应文件部分格式</w:t>
      </w:r>
      <w:bookmarkEnd w:id="247"/>
      <w:bookmarkEnd w:id="248"/>
      <w:bookmarkEnd w:id="249"/>
      <w:bookmarkEnd w:id="250"/>
      <w:bookmarkEnd w:id="251"/>
      <w:bookmarkEnd w:id="252"/>
      <w:bookmarkEnd w:id="253"/>
    </w:p>
    <w:p>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（顺序不作强制；未提供格式的，可自行提供）</w:t>
      </w:r>
    </w:p>
    <w:p>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t>3.1评分索引表；</w:t>
      </w:r>
    </w:p>
    <w:p>
      <w:pPr>
        <w:pStyle w:val="15"/>
        <w:snapToGrid w:val="0"/>
        <w:spacing w:line="360" w:lineRule="auto"/>
        <w:jc w:val="center"/>
        <w:rPr>
          <w:rFonts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评分索引表</w:t>
      </w:r>
    </w:p>
    <w:p>
      <w:pPr>
        <w:adjustRightIn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浙江省统计局统计大脑项目</w:t>
      </w:r>
    </w:p>
    <w:p>
      <w:pPr>
        <w:adjustRightInd w:val="0"/>
        <w:spacing w:line="360" w:lineRule="auto"/>
        <w:jc w:val="left"/>
        <w:rPr>
          <w:rFonts w:hint="eastAsia"/>
          <w:color w:val="auto"/>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ZJ-2371103-09</w:t>
      </w:r>
      <w:r>
        <w:rPr>
          <w:rFonts w:hint="eastAsia"/>
          <w:color w:val="auto"/>
          <w:highlight w:val="none"/>
        </w:rPr>
        <w:t xml:space="preserve">      </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序号</w:t>
            </w: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评分细则内容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投标响应情况</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证明材料所在页码</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snapToGrid w:val="0"/>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snapToGrid w:val="0"/>
                <w:color w:val="auto"/>
                <w:kern w:val="0"/>
                <w:szCs w:val="21"/>
                <w:highlight w:val="none"/>
              </w:rPr>
            </w:pPr>
          </w:p>
        </w:tc>
        <w:tc>
          <w:tcPr>
            <w:tcW w:w="503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hAnsi="宋体" w:cs="宋体"/>
                <w:b/>
                <w:snapToGrid w:val="0"/>
                <w:color w:val="auto"/>
                <w:kern w:val="0"/>
                <w:szCs w:val="21"/>
                <w:highlight w:val="none"/>
              </w:rPr>
            </w:pPr>
          </w:p>
        </w:tc>
      </w:tr>
    </w:tbl>
    <w:p>
      <w:pPr>
        <w:widowControl/>
        <w:spacing w:line="360" w:lineRule="auto"/>
        <w:jc w:val="left"/>
        <w:rPr>
          <w:rFonts w:ascii="宋体" w:hAnsi="宋体" w:cs="宋体"/>
          <w:b/>
          <w:color w:val="auto"/>
          <w:szCs w:val="21"/>
          <w:highlight w:val="none"/>
        </w:rPr>
        <w:sectPr>
          <w:pgSz w:w="11906" w:h="16838"/>
          <w:pgMar w:top="1247" w:right="1587" w:bottom="1089" w:left="1587" w:header="851" w:footer="992" w:gutter="0"/>
          <w:cols w:space="720" w:num="1"/>
          <w:formProt w:val="0"/>
        </w:sectPr>
      </w:pPr>
    </w:p>
    <w:p>
      <w:pPr>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3.2投标函</w:t>
      </w:r>
    </w:p>
    <w:p>
      <w:pPr>
        <w:pStyle w:val="15"/>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w:t>
      </w:r>
    </w:p>
    <w:p>
      <w:pPr>
        <w:pStyle w:val="15"/>
        <w:spacing w:line="360" w:lineRule="auto"/>
        <w:rPr>
          <w:rFonts w:ascii="宋体" w:hAnsi="宋体" w:eastAsia="宋体" w:cs="宋体"/>
          <w:color w:val="auto"/>
          <w:highlight w:val="none"/>
          <w:u w:val="single"/>
        </w:rPr>
      </w:pPr>
      <w:r>
        <w:rPr>
          <w:rFonts w:hint="eastAsia" w:ascii="宋体" w:hAnsi="宋体" w:eastAsia="宋体" w:cs="宋体"/>
          <w:color w:val="auto"/>
          <w:highlight w:val="none"/>
          <w:u w:val="single"/>
          <w:lang w:eastAsia="zh-CN"/>
        </w:rPr>
        <w:t>浙江省统计局</w:t>
      </w:r>
      <w:r>
        <w:rPr>
          <w:rFonts w:hint="eastAsia" w:ascii="宋体" w:hAnsi="宋体" w:eastAsia="宋体" w:cs="宋体"/>
          <w:color w:val="auto"/>
          <w:highlight w:val="none"/>
        </w:rPr>
        <w:t>：</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（投标人全称）授权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lang w:eastAsia="zh-CN"/>
        </w:rPr>
        <w:t>浙江省统计局统计大脑项目</w:t>
      </w:r>
      <w:r>
        <w:rPr>
          <w:rFonts w:hint="eastAsia" w:ascii="宋体" w:hAnsi="宋体" w:eastAsia="宋体" w:cs="宋体"/>
          <w:color w:val="auto"/>
          <w:highlight w:val="none"/>
        </w:rPr>
        <w:t xml:space="preserve"> （项目编号：</w:t>
      </w:r>
      <w:r>
        <w:rPr>
          <w:rFonts w:hint="eastAsia" w:ascii="宋体" w:hAnsi="宋体" w:eastAsia="宋体" w:cs="宋体"/>
          <w:color w:val="auto"/>
          <w:highlight w:val="none"/>
          <w:u w:val="single"/>
          <w:lang w:eastAsia="zh-CN"/>
        </w:rPr>
        <w:t>ZJ-2371103-09</w:t>
      </w:r>
      <w:r>
        <w:rPr>
          <w:rFonts w:hint="eastAsia" w:ascii="宋体" w:hAnsi="宋体" w:eastAsia="宋体" w:cs="宋体"/>
          <w:color w:val="auto"/>
          <w:highlight w:val="none"/>
        </w:rPr>
        <w:t>）的有关活动，并对此项目进行投标。为此：</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仿宋_GB2312"/>
          <w:color w:val="auto"/>
          <w:highlight w:val="none"/>
        </w:rPr>
        <w:t>我方承诺投标有效期从提交投标文件截止之日起</w:t>
      </w:r>
      <w:r>
        <w:rPr>
          <w:rFonts w:hint="eastAsia" w:ascii="宋体" w:hAnsi="宋体" w:eastAsia="宋体" w:cs="仿宋_GB2312"/>
          <w:color w:val="auto"/>
          <w:highlight w:val="none"/>
          <w:u w:val="single"/>
        </w:rPr>
        <w:t xml:space="preserve">     </w:t>
      </w:r>
      <w:r>
        <w:rPr>
          <w:rFonts w:hint="eastAsia" w:ascii="宋体" w:hAnsi="宋体" w:eastAsia="宋体" w:cs="仿宋_GB2312"/>
          <w:color w:val="auto"/>
          <w:highlight w:val="none"/>
        </w:rPr>
        <w:t>天</w:t>
      </w:r>
      <w:r>
        <w:rPr>
          <w:rFonts w:hint="eastAsia" w:ascii="宋体" w:hAnsi="宋体" w:eastAsia="宋体" w:cs="宋体"/>
          <w:color w:val="auto"/>
          <w:highlight w:val="none"/>
        </w:rPr>
        <w:t>（不少于90天），本投标文件中在投标有效期满之前均具有约束力。</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2、我方承诺已经具备《中华人民共和国政府采购法》中规定的参加政府采购活动的投标人应当具备的条件：</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（2）遵守国家法律、行政法规，具有良好的信誉和商业道德；</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（3）具有履行合同的能力和良好的履行合同记录；</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（4）良好的资金、财务状况；</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（5）没有违反政府采购法规、政策的记录；</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（6）没有发生重大经济纠纷和走私犯罪记录。</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3、提供编制和提交投标文件须知规定的全部投标文件，具体内容为：</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（1）资格响应文件、商务技术响应文件、报价响应文件；</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（2）编制和提交投标文件须知要求投标人提交的全部文件；</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（3）按采购文件要求提供和交付的货物和服务的投标报价详见开标一览表；</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（4）保证忠实地执行双方所签订的合同，并承担合同规定的责任和义务；</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（5）保证遵守采购文件中的其他有关规定。</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4、我方完全理解贵方不一定要接受最低价的投标。</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5、我方愿意向贵方提供任何与该项投标有关的数据、情况和技术资料。若贵方需要，我方愿意提供我方作出的一切承诺的证明材料。</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6、我方已详细审核全部采购文件，包括采购文件修改书（如果有）、参考资料及有关附件，确认无误。</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a）提供虚假材料谋取中标、成交的；</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b）采取不正当手段诋毁、排挤其他投标人的；</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c）与采购人、其他投标人或者采购代理机构恶意串通的；</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d）向采购人、采购代理机构行贿或者提供其他不正当利益的；</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e）在招标采购过程中与采购人进行协商谈判的；</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f）拒绝有关部门监督检查或提供虚假情况的。</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投标人有前款第a）至f）项情形之一的，中标、成交无效。</w:t>
      </w:r>
    </w:p>
    <w:p>
      <w:pPr>
        <w:pStyle w:val="15"/>
        <w:spacing w:line="420" w:lineRule="exact"/>
        <w:ind w:firstLine="420" w:firstLineChars="200"/>
        <w:rPr>
          <w:rFonts w:ascii="宋体" w:hAnsi="宋体" w:eastAsia="宋体" w:cs="宋体"/>
          <w:color w:val="auto"/>
          <w:highlight w:val="none"/>
        </w:rPr>
      </w:pPr>
    </w:p>
    <w:p>
      <w:pPr>
        <w:pStyle w:val="15"/>
        <w:spacing w:line="420" w:lineRule="exact"/>
        <w:ind w:firstLine="420" w:firstLineChars="200"/>
        <w:rPr>
          <w:rFonts w:ascii="宋体" w:hAnsi="宋体" w:eastAsia="宋体" w:cs="宋体"/>
          <w:color w:val="auto"/>
          <w:highlight w:val="none"/>
        </w:rPr>
      </w:pP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投标人（盖公章</w:t>
      </w:r>
      <w:r>
        <w:rPr>
          <w:rFonts w:hint="eastAsia" w:ascii="宋体" w:hAnsi="宋体" w:eastAsia="宋体" w:cs="宋体"/>
          <w:bCs/>
          <w:color w:val="auto"/>
          <w:highlight w:val="none"/>
        </w:rPr>
        <w:t>或电子签章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联系电话</w:t>
      </w:r>
      <w:r>
        <w:rPr>
          <w:rFonts w:hint="eastAsia" w:ascii="宋体" w:hAnsi="宋体" w:eastAsia="宋体" w:cs="宋体"/>
          <w:color w:val="auto"/>
          <w:highlight w:val="none"/>
          <w:u w:val="single"/>
        </w:rPr>
        <w:t xml:space="preserve">：                 </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联系地址：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传真号码</w:t>
      </w:r>
      <w:r>
        <w:rPr>
          <w:rFonts w:hint="eastAsia" w:ascii="宋体" w:hAnsi="宋体" w:eastAsia="宋体" w:cs="宋体"/>
          <w:color w:val="auto"/>
          <w:highlight w:val="none"/>
          <w:u w:val="single"/>
        </w:rPr>
        <w:t xml:space="preserve">：                     </w:t>
      </w:r>
    </w:p>
    <w:p>
      <w:pPr>
        <w:pStyle w:val="15"/>
        <w:spacing w:line="42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日 期：</w:t>
      </w:r>
    </w:p>
    <w:p>
      <w:pPr>
        <w:autoSpaceDE w:val="0"/>
        <w:autoSpaceDN w:val="0"/>
        <w:adjustRightInd w:val="0"/>
        <w:spacing w:line="360" w:lineRule="auto"/>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3.3投标响应一览表</w:t>
      </w:r>
    </w:p>
    <w:p>
      <w:pPr>
        <w:pStyle w:val="15"/>
        <w:snapToGrid w:val="0"/>
        <w:spacing w:line="360" w:lineRule="auto"/>
        <w:jc w:val="center"/>
        <w:rPr>
          <w:rFonts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投标响应一览表</w:t>
      </w:r>
    </w:p>
    <w:p>
      <w:pPr>
        <w:adjustRightInd w:val="0"/>
        <w:spacing w:line="360" w:lineRule="auto"/>
        <w:jc w:val="left"/>
        <w:rPr>
          <w:rFonts w:ascii="宋体" w:hAnsi="宋体" w:cs="宋体"/>
          <w:color w:val="auto"/>
          <w:szCs w:val="21"/>
          <w:highlight w:val="none"/>
        </w:rPr>
      </w:pP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服务期</w:t>
            </w:r>
          </w:p>
        </w:tc>
        <w:tc>
          <w:tcPr>
            <w:tcW w:w="5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项目负责人</w:t>
            </w:r>
          </w:p>
        </w:tc>
        <w:tc>
          <w:tcPr>
            <w:tcW w:w="52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snapToGrid w:val="0"/>
                <w:color w:val="auto"/>
                <w:kern w:val="0"/>
                <w:szCs w:val="21"/>
                <w:highlight w:val="none"/>
              </w:rPr>
            </w:pPr>
          </w:p>
        </w:tc>
      </w:tr>
    </w:tbl>
    <w:p>
      <w:pPr>
        <w:pStyle w:val="24"/>
        <w:spacing w:before="0" w:beforeAutospacing="0" w:after="0" w:afterAutospacing="0" w:line="480" w:lineRule="auto"/>
        <w:ind w:firstLine="422" w:firstLineChars="200"/>
        <w:rPr>
          <w:rFonts w:ascii="宋体" w:hAnsi="宋体" w:cs="宋体"/>
          <w:b/>
          <w:bCs/>
          <w:color w:val="auto"/>
          <w:sz w:val="21"/>
          <w:szCs w:val="21"/>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pStyle w:val="11"/>
        <w:rPr>
          <w:rFonts w:ascii="宋体" w:hAnsi="宋体" w:cs="宋体"/>
          <w:color w:val="auto"/>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3.4针对本项目的服务清单</w:t>
      </w:r>
    </w:p>
    <w:p>
      <w:pPr>
        <w:adjustRightInd w:val="0"/>
        <w:snapToGrid w:val="0"/>
        <w:spacing w:line="360" w:lineRule="auto"/>
        <w:ind w:firstLine="4515" w:firstLineChars="2150"/>
        <w:rPr>
          <w:rFonts w:ascii="宋体" w:hAnsi="宋体" w:cs="宋体"/>
          <w:snapToGrid w:val="0"/>
          <w:color w:val="auto"/>
          <w:kern w:val="0"/>
          <w:szCs w:val="21"/>
          <w:highlight w:val="none"/>
        </w:rPr>
      </w:pPr>
    </w:p>
    <w:p>
      <w:pPr>
        <w:pStyle w:val="15"/>
        <w:snapToGrid w:val="0"/>
        <w:spacing w:line="360" w:lineRule="auto"/>
        <w:jc w:val="center"/>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针对本项目的服务清单（不含价格）</w:t>
      </w:r>
    </w:p>
    <w:p>
      <w:pPr>
        <w:adjustRightInd w:val="0"/>
        <w:spacing w:line="360" w:lineRule="auto"/>
        <w:jc w:val="left"/>
        <w:rPr>
          <w:rFonts w:ascii="宋体" w:hAnsi="宋体" w:cs="宋体"/>
          <w:color w:val="auto"/>
          <w:szCs w:val="21"/>
          <w:highlight w:val="none"/>
        </w:rPr>
      </w:pP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49"/>
        <w:gridCol w:w="2349"/>
        <w:gridCol w:w="1247"/>
        <w:gridCol w:w="2693"/>
        <w:gridCol w:w="169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649" w:type="dxa"/>
            <w:tcBorders>
              <w:top w:val="single" w:color="auto" w:sz="8"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49"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247"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693"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主要服务指标</w:t>
            </w:r>
          </w:p>
        </w:tc>
        <w:tc>
          <w:tcPr>
            <w:tcW w:w="1699" w:type="dxa"/>
            <w:tcBorders>
              <w:top w:val="single" w:color="auto" w:sz="8"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49" w:type="dxa"/>
            <w:tcBorders>
              <w:top w:val="single" w:color="auto" w:sz="2" w:space="0"/>
              <w:left w:val="single" w:color="auto" w:sz="2" w:space="0"/>
              <w:bottom w:val="single" w:color="auto" w:sz="2"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8"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349" w:type="dxa"/>
            <w:tcBorders>
              <w:top w:val="single" w:color="auto" w:sz="2" w:space="0"/>
              <w:left w:val="single" w:color="auto" w:sz="2" w:space="0"/>
              <w:bottom w:val="single" w:color="auto" w:sz="8" w:space="0"/>
              <w:right w:val="single" w:color="auto" w:sz="2" w:space="0"/>
            </w:tcBorders>
            <w:noWrap w:val="0"/>
            <w:vAlign w:val="center"/>
          </w:tcPr>
          <w:p>
            <w:pPr>
              <w:tabs>
                <w:tab w:val="left" w:pos="1547"/>
              </w:tabs>
              <w:spacing w:line="360" w:lineRule="auto"/>
              <w:rPr>
                <w:rFonts w:ascii="宋体" w:hAnsi="宋体" w:cs="宋体"/>
                <w:snapToGrid w:val="0"/>
                <w:color w:val="auto"/>
                <w:szCs w:val="21"/>
                <w:highlight w:val="none"/>
              </w:rPr>
            </w:pPr>
          </w:p>
        </w:tc>
        <w:tc>
          <w:tcPr>
            <w:tcW w:w="1247" w:type="dxa"/>
            <w:tcBorders>
              <w:top w:val="single" w:color="auto" w:sz="2" w:space="0"/>
              <w:left w:val="single" w:color="auto" w:sz="2" w:space="0"/>
              <w:bottom w:val="single" w:color="auto" w:sz="8"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2693" w:type="dxa"/>
            <w:tcBorders>
              <w:top w:val="single" w:color="auto" w:sz="2" w:space="0"/>
              <w:left w:val="single" w:color="auto" w:sz="2" w:space="0"/>
              <w:bottom w:val="single" w:color="auto" w:sz="8"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699" w:type="dxa"/>
            <w:tcBorders>
              <w:top w:val="single" w:color="auto" w:sz="2" w:space="0"/>
              <w:left w:val="single" w:color="auto" w:sz="2" w:space="0"/>
              <w:bottom w:val="single" w:color="auto" w:sz="8" w:space="0"/>
              <w:right w:val="single" w:color="auto" w:sz="8" w:space="0"/>
            </w:tcBorders>
            <w:noWrap w:val="0"/>
            <w:vAlign w:val="center"/>
          </w:tcPr>
          <w:p>
            <w:pPr>
              <w:spacing w:line="460" w:lineRule="exact"/>
              <w:jc w:val="center"/>
              <w:rPr>
                <w:rFonts w:ascii="宋体" w:hAnsi="宋体" w:cs="宋体"/>
                <w:color w:val="auto"/>
                <w:szCs w:val="21"/>
                <w:highlight w:val="none"/>
              </w:rPr>
            </w:pPr>
          </w:p>
        </w:tc>
      </w:tr>
    </w:tbl>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注：1. 投标人根据实际情况可在表中报价明细的基础上进行扩展。</w:t>
      </w:r>
    </w:p>
    <w:p>
      <w:pPr>
        <w:autoSpaceDE w:val="0"/>
        <w:autoSpaceDN w:val="0"/>
        <w:adjustRightInd w:val="0"/>
        <w:spacing w:line="360" w:lineRule="auto"/>
        <w:rPr>
          <w:rFonts w:ascii="宋体" w:hAnsi="宋体" w:cs="宋体"/>
          <w:b/>
          <w:color w:val="auto"/>
          <w:szCs w:val="21"/>
          <w:highlight w:val="none"/>
        </w:rPr>
      </w:pPr>
    </w:p>
    <w:p>
      <w:pPr>
        <w:adjustRightInd w:val="0"/>
        <w:snapToGrid w:val="0"/>
        <w:spacing w:line="360" w:lineRule="auto"/>
        <w:ind w:firstLine="4515" w:firstLineChars="2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投标人（盖公章或电子签章）：</w:t>
      </w:r>
    </w:p>
    <w:p>
      <w:pPr>
        <w:adjustRightInd w:val="0"/>
        <w:snapToGrid w:val="0"/>
        <w:spacing w:line="360" w:lineRule="auto"/>
        <w:ind w:firstLine="4515" w:firstLineChars="21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日期：</w:t>
      </w:r>
    </w:p>
    <w:p>
      <w:pPr>
        <w:widowControl/>
        <w:jc w:val="left"/>
        <w:rPr>
          <w:rFonts w:ascii="宋体" w:hAnsi="宋体" w:cs="宋体"/>
          <w:b/>
          <w:color w:val="auto"/>
          <w:szCs w:val="21"/>
          <w:highlight w:val="none"/>
        </w:rPr>
        <w:sectPr>
          <w:pgSz w:w="11906" w:h="16838"/>
          <w:pgMar w:top="1247" w:right="1587" w:bottom="1089" w:left="1587" w:header="851" w:footer="992" w:gutter="0"/>
          <w:cols w:space="720" w:num="1"/>
          <w:formProt w:val="0"/>
        </w:sect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3.5投标人基本情况</w:t>
      </w:r>
    </w:p>
    <w:p>
      <w:pPr>
        <w:spacing w:line="240" w:lineRule="atLeast"/>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企业资质</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r>
              <w:rPr>
                <w:rFonts w:hint="eastAsia" w:ascii="宋体" w:hAnsi="宋体" w:cs="宋体"/>
                <w:color w:val="auto"/>
                <w:highlight w:val="none"/>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r>
              <w:rPr>
                <w:rFonts w:hint="eastAsia" w:ascii="宋体" w:hAnsi="宋体" w:cs="宋体"/>
                <w:color w:val="auto"/>
                <w:highlight w:val="none"/>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技术负责人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r>
              <w:rPr>
                <w:rFonts w:hint="eastAsia" w:ascii="宋体" w:hAnsi="宋体" w:cs="宋体"/>
                <w:color w:val="auto"/>
                <w:highlight w:val="none"/>
              </w:rPr>
              <w:t>地址</w:t>
            </w:r>
          </w:p>
          <w:p>
            <w:pPr>
              <w:widowControl/>
              <w:autoSpaceDE w:val="0"/>
              <w:autoSpaceDN w:val="0"/>
              <w:spacing w:line="440" w:lineRule="atLeast"/>
              <w:textAlignment w:val="bottom"/>
              <w:rPr>
                <w:rFonts w:hint="eastAsia" w:ascii="宋体" w:hAnsi="宋体" w:cs="宋体"/>
                <w:color w:val="auto"/>
                <w:highlight w:val="none"/>
              </w:rPr>
            </w:pPr>
            <w:r>
              <w:rPr>
                <w:rFonts w:hint="eastAsia" w:ascii="宋体" w:hAnsi="宋体" w:cs="宋体"/>
                <w:color w:val="auto"/>
                <w:highlight w:val="none"/>
              </w:rPr>
              <w:t>邮编：</w:t>
            </w:r>
          </w:p>
          <w:p>
            <w:pPr>
              <w:widowControl/>
              <w:autoSpaceDE w:val="0"/>
              <w:autoSpaceDN w:val="0"/>
              <w:spacing w:line="440" w:lineRule="atLeast"/>
              <w:textAlignment w:val="bottom"/>
              <w:rPr>
                <w:rFonts w:ascii="宋体" w:hAnsi="宋体" w:cs="宋体"/>
                <w:color w:val="auto"/>
                <w:highlight w:val="none"/>
              </w:rPr>
            </w:pPr>
            <w:r>
              <w:rPr>
                <w:rFonts w:hint="eastAsia" w:ascii="宋体" w:hAnsi="宋体" w:cs="宋体"/>
                <w:color w:val="auto"/>
                <w:highlight w:val="none"/>
              </w:rPr>
              <w:t xml:space="preserve">电话：  </w:t>
            </w:r>
          </w:p>
          <w:p>
            <w:pPr>
              <w:widowControl/>
              <w:autoSpaceDE w:val="0"/>
              <w:autoSpaceDN w:val="0"/>
              <w:spacing w:line="440" w:lineRule="atLeast"/>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开户银行</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r>
              <w:rPr>
                <w:rFonts w:hint="eastAsia" w:ascii="宋体" w:hAnsi="宋体" w:cs="宋体"/>
                <w:color w:val="auto"/>
                <w:highlight w:val="none"/>
              </w:rPr>
              <w:t xml:space="preserve">名称：                      账号：          </w:t>
            </w:r>
          </w:p>
        </w:tc>
      </w:tr>
      <w:tr>
        <w:tblPrEx>
          <w:tblCellMar>
            <w:top w:w="0" w:type="dxa"/>
            <w:left w:w="28" w:type="dxa"/>
            <w:bottom w:w="0" w:type="dxa"/>
            <w:right w:w="28" w:type="dxa"/>
          </w:tblCellMar>
        </w:tblPrEx>
        <w:trPr>
          <w:cantSplit/>
          <w:trHeight w:val="4102" w:hRule="atLeas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ascii="宋体" w:hAnsi="宋体" w:cs="宋体"/>
                <w:color w:val="auto"/>
                <w:highlight w:val="none"/>
              </w:rPr>
            </w:pPr>
          </w:p>
          <w:p>
            <w:pPr>
              <w:widowControl/>
              <w:autoSpaceDE w:val="0"/>
              <w:autoSpaceDN w:val="0"/>
              <w:spacing w:line="440" w:lineRule="atLeast"/>
              <w:ind w:left="105"/>
              <w:jc w:val="center"/>
              <w:textAlignment w:val="bottom"/>
              <w:rPr>
                <w:rFonts w:ascii="宋体" w:hAnsi="宋体" w:cs="宋体"/>
                <w:color w:val="auto"/>
                <w:highlight w:val="none"/>
              </w:rPr>
            </w:pPr>
          </w:p>
          <w:p>
            <w:pPr>
              <w:widowControl/>
              <w:autoSpaceDE w:val="0"/>
              <w:autoSpaceDN w:val="0"/>
              <w:spacing w:line="440" w:lineRule="atLeast"/>
              <w:ind w:left="105"/>
              <w:jc w:val="center"/>
              <w:textAlignment w:val="bottom"/>
              <w:rPr>
                <w:rFonts w:ascii="宋体" w:hAnsi="宋体" w:cs="宋体"/>
                <w:color w:val="auto"/>
                <w:highlight w:val="none"/>
              </w:rPr>
            </w:pPr>
          </w:p>
          <w:p>
            <w:pPr>
              <w:widowControl/>
              <w:autoSpaceDE w:val="0"/>
              <w:autoSpaceDN w:val="0"/>
              <w:spacing w:line="440" w:lineRule="atLeast"/>
              <w:textAlignment w:val="bottom"/>
              <w:rPr>
                <w:rFonts w:ascii="宋体" w:hAnsi="宋体" w:cs="宋体"/>
                <w:color w:val="auto"/>
                <w:highlight w:val="none"/>
              </w:rPr>
            </w:pPr>
          </w:p>
          <w:p>
            <w:pPr>
              <w:widowControl/>
              <w:autoSpaceDE w:val="0"/>
              <w:autoSpaceDN w:val="0"/>
              <w:spacing w:line="440" w:lineRule="atLeast"/>
              <w:ind w:left="105"/>
              <w:jc w:val="center"/>
              <w:textAlignment w:val="bottom"/>
              <w:rPr>
                <w:rFonts w:ascii="宋体" w:hAnsi="宋体" w:cs="宋体"/>
                <w:color w:val="auto"/>
                <w:highlight w:val="none"/>
              </w:rPr>
            </w:pPr>
          </w:p>
          <w:p>
            <w:pPr>
              <w:widowControl/>
              <w:autoSpaceDE w:val="0"/>
              <w:autoSpaceDN w:val="0"/>
              <w:spacing w:line="440" w:lineRule="atLeast"/>
              <w:ind w:left="105"/>
              <w:jc w:val="center"/>
              <w:textAlignment w:val="bottom"/>
              <w:rPr>
                <w:rFonts w:ascii="宋体" w:hAnsi="宋体" w:cs="宋体"/>
                <w:color w:val="auto"/>
                <w:highlight w:val="none"/>
              </w:rPr>
            </w:pPr>
          </w:p>
          <w:p>
            <w:pPr>
              <w:widowControl/>
              <w:autoSpaceDE w:val="0"/>
              <w:autoSpaceDN w:val="0"/>
              <w:spacing w:line="440" w:lineRule="atLeast"/>
              <w:ind w:left="105"/>
              <w:jc w:val="center"/>
              <w:textAlignment w:val="bottom"/>
              <w:rPr>
                <w:rFonts w:ascii="宋体" w:hAnsi="宋体" w:cs="宋体"/>
                <w:color w:val="auto"/>
                <w:highlight w:val="none"/>
              </w:rPr>
            </w:pPr>
            <w:r>
              <w:rPr>
                <w:rFonts w:hint="eastAsia" w:ascii="宋体" w:hAnsi="宋体" w:cs="宋体"/>
                <w:color w:val="auto"/>
                <w:highlight w:val="none"/>
              </w:rPr>
              <w:t>组织机构框图</w:t>
            </w:r>
          </w:p>
          <w:p>
            <w:pPr>
              <w:widowControl/>
              <w:autoSpaceDE w:val="0"/>
              <w:autoSpaceDN w:val="0"/>
              <w:spacing w:line="440" w:lineRule="atLeast"/>
              <w:ind w:left="105"/>
              <w:jc w:val="center"/>
              <w:textAlignment w:val="bottom"/>
              <w:rPr>
                <w:rFonts w:ascii="宋体" w:hAnsi="宋体" w:cs="宋体"/>
                <w:color w:val="auto"/>
                <w:highlight w:val="none"/>
              </w:rPr>
            </w:pPr>
          </w:p>
          <w:p>
            <w:pPr>
              <w:autoSpaceDE w:val="0"/>
              <w:autoSpaceDN w:val="0"/>
              <w:spacing w:line="440" w:lineRule="atLeast"/>
              <w:ind w:left="105"/>
              <w:textAlignment w:val="bottom"/>
              <w:rPr>
                <w:rFonts w:ascii="宋体" w:hAnsi="宋体" w:cs="宋体"/>
                <w:color w:val="auto"/>
                <w:highlight w:val="none"/>
              </w:rPr>
            </w:pP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ascii="宋体" w:hAnsi="宋体" w:cs="宋体"/>
                <w:color w:val="auto"/>
                <w:highlight w:val="none"/>
              </w:rPr>
            </w:pPr>
          </w:p>
        </w:tc>
      </w:tr>
    </w:tbl>
    <w:p>
      <w:pPr>
        <w:spacing w:line="360" w:lineRule="auto"/>
        <w:ind w:left="630" w:hanging="630" w:hangingChars="300"/>
        <w:rPr>
          <w:rFonts w:ascii="宋体" w:hAnsi="宋体" w:cs="宋体"/>
          <w:color w:val="auto"/>
          <w:highlight w:val="none"/>
        </w:rPr>
      </w:pPr>
    </w:p>
    <w:p>
      <w:pPr>
        <w:adjustRightInd w:val="0"/>
        <w:snapToGrid w:val="0"/>
        <w:spacing w:before="120" w:beforeLines="50" w:line="360" w:lineRule="auto"/>
        <w:rPr>
          <w:rFonts w:ascii="宋体" w:hAnsi="宋体" w:cs="宋体"/>
          <w:b/>
          <w:color w:val="auto"/>
          <w:highlight w:val="none"/>
        </w:rPr>
      </w:pPr>
      <w:r>
        <w:rPr>
          <w:rFonts w:hint="eastAsia" w:ascii="宋体" w:hAnsi="宋体" w:cs="宋体"/>
          <w:b/>
          <w:color w:val="auto"/>
          <w:sz w:val="24"/>
          <w:highlight w:val="none"/>
        </w:rPr>
        <w:br w:type="page"/>
      </w:r>
      <w:r>
        <w:rPr>
          <w:rFonts w:hint="eastAsia" w:ascii="宋体" w:hAnsi="宋体" w:cs="宋体"/>
          <w:b/>
          <w:color w:val="auto"/>
          <w:highlight w:val="none"/>
        </w:rPr>
        <w:t>3.6授权委托书</w:t>
      </w:r>
    </w:p>
    <w:p>
      <w:pPr>
        <w:adjustRightInd w:val="0"/>
        <w:spacing w:line="360" w:lineRule="auto"/>
        <w:jc w:val="center"/>
        <w:rPr>
          <w:rFonts w:ascii="宋体" w:hAnsi="宋体" w:cs="宋体"/>
          <w:b/>
          <w:snapToGrid w:val="0"/>
          <w:color w:val="auto"/>
          <w:kern w:val="0"/>
          <w:sz w:val="32"/>
          <w:szCs w:val="20"/>
          <w:highlight w:val="none"/>
        </w:rPr>
      </w:pPr>
      <w:r>
        <w:rPr>
          <w:rFonts w:hint="eastAsia" w:ascii="宋体" w:hAnsi="宋体" w:cs="宋体"/>
          <w:b/>
          <w:bCs/>
          <w:snapToGrid w:val="0"/>
          <w:color w:val="auto"/>
          <w:kern w:val="0"/>
          <w:sz w:val="32"/>
          <w:szCs w:val="32"/>
          <w:highlight w:val="none"/>
        </w:rPr>
        <w:t>授权委托书（</w:t>
      </w:r>
      <w:r>
        <w:rPr>
          <w:rFonts w:hint="eastAsia" w:ascii="宋体" w:hAnsi="宋体" w:cs="宋体"/>
          <w:b/>
          <w:bCs/>
          <w:snapToGrid w:val="0"/>
          <w:color w:val="auto"/>
          <w:kern w:val="0"/>
          <w:sz w:val="32"/>
          <w:szCs w:val="32"/>
          <w:highlight w:val="none"/>
          <w:lang w:val="zh-CN"/>
        </w:rPr>
        <w:t>适用于非联合体投标）</w:t>
      </w:r>
      <w:r>
        <w:rPr>
          <w:rFonts w:hint="eastAsia" w:ascii="宋体" w:hAnsi="宋体" w:cs="宋体"/>
          <w:b/>
          <w:bCs/>
          <w:snapToGrid w:val="0"/>
          <w:color w:val="auto"/>
          <w:kern w:val="0"/>
          <w:sz w:val="32"/>
          <w:szCs w:val="32"/>
          <w:highlight w:val="none"/>
        </w:rPr>
        <w:t xml:space="preserve">   </w:t>
      </w:r>
    </w:p>
    <w:p>
      <w:pPr>
        <w:adjustRightInd w:val="0"/>
        <w:spacing w:line="480" w:lineRule="auto"/>
        <w:rPr>
          <w:rFonts w:ascii="宋体" w:hAnsi="宋体" w:cs="宋体"/>
          <w:b/>
          <w:bCs/>
          <w:snapToGrid w:val="0"/>
          <w:color w:val="auto"/>
          <w:kern w:val="0"/>
          <w:szCs w:val="21"/>
          <w:highlight w:val="none"/>
          <w:u w:val="single"/>
        </w:rPr>
      </w:pPr>
      <w:r>
        <w:rPr>
          <w:rFonts w:hint="eastAsia" w:ascii="宋体" w:hAnsi="宋体" w:cs="宋体"/>
          <w:b/>
          <w:bCs/>
          <w:color w:val="auto"/>
          <w:szCs w:val="21"/>
          <w:highlight w:val="none"/>
          <w:u w:val="single"/>
          <w:lang w:eastAsia="zh-CN"/>
        </w:rPr>
        <w:t>浙江省统计局</w:t>
      </w:r>
      <w:r>
        <w:rPr>
          <w:rFonts w:hint="eastAsia" w:ascii="宋体" w:hAnsi="宋体" w:cs="宋体"/>
          <w:b/>
          <w:bCs/>
          <w:color w:val="auto"/>
          <w:szCs w:val="21"/>
          <w:highlight w:val="none"/>
          <w:u w:val="single"/>
        </w:rPr>
        <w:t>：</w:t>
      </w:r>
    </w:p>
    <w:p>
      <w:pPr>
        <w:adjustRightInd w:val="0"/>
        <w:spacing w:line="360" w:lineRule="auto"/>
        <w:ind w:left="4" w:firstLine="455" w:firstLineChars="21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我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（投标人名称），现授权委托</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（姓名、身份证号）为我方授权代表，以本方的名义参加</w:t>
      </w:r>
      <w:r>
        <w:rPr>
          <w:rFonts w:hint="eastAsia" w:ascii="宋体" w:hAnsi="宋体" w:cs="宋体"/>
          <w:color w:val="auto"/>
          <w:szCs w:val="21"/>
          <w:highlight w:val="none"/>
          <w:u w:val="single"/>
          <w:lang w:eastAsia="zh-CN"/>
        </w:rPr>
        <w:t>浙江省统计局</w:t>
      </w:r>
      <w:r>
        <w:rPr>
          <w:rFonts w:hint="eastAsia" w:ascii="宋体" w:hAnsi="宋体" w:cs="宋体"/>
          <w:snapToGrid w:val="0"/>
          <w:color w:val="auto"/>
          <w:kern w:val="0"/>
          <w:szCs w:val="21"/>
          <w:highlight w:val="none"/>
        </w:rPr>
        <w:t>的</w:t>
      </w:r>
      <w:r>
        <w:rPr>
          <w:rFonts w:hint="eastAsia" w:ascii="宋体" w:hAnsi="宋体" w:cs="宋体"/>
          <w:color w:val="auto"/>
          <w:szCs w:val="21"/>
          <w:highlight w:val="none"/>
          <w:u w:val="single"/>
          <w:lang w:eastAsia="zh-CN"/>
        </w:rPr>
        <w:t>浙江省统计局统计大脑项目</w:t>
      </w:r>
      <w:r>
        <w:rPr>
          <w:rFonts w:hint="eastAsia" w:ascii="宋体" w:hAnsi="宋体" w:cs="宋体"/>
          <w:snapToGrid w:val="0"/>
          <w:color w:val="auto"/>
          <w:kern w:val="0"/>
          <w:szCs w:val="21"/>
          <w:highlight w:val="none"/>
          <w:u w:val="single"/>
        </w:rPr>
        <w:t>（项目编号：</w:t>
      </w:r>
      <w:r>
        <w:rPr>
          <w:rFonts w:hint="eastAsia" w:ascii="宋体" w:hAnsi="宋体" w:cs="宋体"/>
          <w:color w:val="auto"/>
          <w:szCs w:val="21"/>
          <w:highlight w:val="none"/>
          <w:u w:val="single"/>
          <w:lang w:eastAsia="zh-CN"/>
        </w:rPr>
        <w:t>ZJ-2371103-09</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的投标活动。授权代表在开标、评标、合同谈判过程中所签署的一切文件和处理与之有关的一切事务，我方均予以承认。</w:t>
      </w:r>
    </w:p>
    <w:p>
      <w:pPr>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授权代表无权转委托，特此委托。</w:t>
      </w:r>
    </w:p>
    <w:p>
      <w:pPr>
        <w:spacing w:line="360" w:lineRule="auto"/>
        <w:ind w:right="99" w:rightChars="47" w:firstLine="3360" w:firstLineChars="16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投标人名称（盖公章或电子签章）：</w:t>
      </w:r>
    </w:p>
    <w:p>
      <w:pPr>
        <w:spacing w:line="360" w:lineRule="auto"/>
        <w:ind w:right="99" w:rightChars="47" w:firstLine="3360" w:firstLineChars="16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授权代表身份证号码：</w:t>
      </w:r>
    </w:p>
    <w:p>
      <w:pPr>
        <w:autoSpaceDE w:val="0"/>
        <w:autoSpaceDN w:val="0"/>
        <w:adjustRightInd w:val="0"/>
        <w:spacing w:line="360" w:lineRule="auto"/>
        <w:ind w:right="99" w:rightChars="47" w:firstLine="3360" w:firstLineChars="1600"/>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日期：</w:t>
      </w:r>
    </w:p>
    <w:p>
      <w:pPr>
        <w:autoSpaceDE w:val="0"/>
        <w:autoSpaceDN w:val="0"/>
        <w:adjustRightInd w:val="0"/>
        <w:snapToGrid w:val="0"/>
        <w:spacing w:line="360" w:lineRule="auto"/>
        <w:ind w:right="42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附：授权代表的身份证复印件（正反面）。</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auto"/>
                <w:highlight w:val="none"/>
              </w:rPr>
            </w:pPr>
          </w:p>
          <w:p>
            <w:pPr>
              <w:pStyle w:val="14"/>
              <w:rPr>
                <w:color w:val="auto"/>
                <w:highlight w:val="none"/>
              </w:rPr>
            </w:pPr>
          </w:p>
          <w:p>
            <w:pPr>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tc>
      </w:tr>
    </w:tbl>
    <w:p>
      <w:pPr>
        <w:autoSpaceDE w:val="0"/>
        <w:autoSpaceDN w:val="0"/>
        <w:adjustRightInd w:val="0"/>
        <w:snapToGrid w:val="0"/>
        <w:spacing w:line="360" w:lineRule="auto"/>
        <w:ind w:right="420"/>
        <w:jc w:val="center"/>
        <w:rPr>
          <w:rFonts w:ascii="宋体" w:hAnsi="宋体" w:cs="宋体"/>
          <w:b/>
          <w:snapToGrid w:val="0"/>
          <w:color w:val="auto"/>
          <w:kern w:val="0"/>
          <w:szCs w:val="21"/>
          <w:highlight w:val="none"/>
        </w:rPr>
      </w:pPr>
      <w:r>
        <w:rPr>
          <w:rFonts w:hint="eastAsia" w:ascii="宋体" w:hAnsi="宋体" w:cs="宋体"/>
          <w:b/>
          <w:bCs/>
          <w:snapToGrid w:val="0"/>
          <w:color w:val="auto"/>
          <w:kern w:val="0"/>
          <w:sz w:val="32"/>
          <w:szCs w:val="32"/>
          <w:highlight w:val="none"/>
        </w:rPr>
        <w:br w:type="page"/>
      </w:r>
      <w:r>
        <w:rPr>
          <w:rFonts w:hint="eastAsia" w:ascii="宋体" w:hAnsi="宋体" w:cs="宋体"/>
          <w:b/>
          <w:bCs/>
          <w:snapToGrid w:val="0"/>
          <w:color w:val="auto"/>
          <w:kern w:val="0"/>
          <w:sz w:val="32"/>
          <w:szCs w:val="32"/>
          <w:highlight w:val="none"/>
        </w:rPr>
        <w:t>授权委托书（</w:t>
      </w:r>
      <w:r>
        <w:rPr>
          <w:rFonts w:hint="eastAsia" w:ascii="宋体" w:hAnsi="宋体" w:cs="宋体"/>
          <w:b/>
          <w:bCs/>
          <w:snapToGrid w:val="0"/>
          <w:color w:val="auto"/>
          <w:kern w:val="0"/>
          <w:sz w:val="32"/>
          <w:szCs w:val="32"/>
          <w:highlight w:val="none"/>
          <w:lang w:val="zh-CN"/>
        </w:rPr>
        <w:t>适用于联合体投标）</w:t>
      </w:r>
    </w:p>
    <w:p>
      <w:pPr>
        <w:adjustRightInd w:val="0"/>
        <w:spacing w:line="480" w:lineRule="auto"/>
        <w:rPr>
          <w:rFonts w:ascii="宋体" w:hAnsi="宋体" w:cs="宋体"/>
          <w:b/>
          <w:bCs/>
          <w:snapToGrid w:val="0"/>
          <w:color w:val="auto"/>
          <w:kern w:val="0"/>
          <w:szCs w:val="21"/>
          <w:highlight w:val="none"/>
          <w:u w:val="single"/>
        </w:rPr>
      </w:pPr>
      <w:r>
        <w:rPr>
          <w:rFonts w:hint="eastAsia" w:ascii="宋体" w:hAnsi="宋体" w:cs="宋体"/>
          <w:b/>
          <w:bCs/>
          <w:color w:val="auto"/>
          <w:szCs w:val="21"/>
          <w:highlight w:val="none"/>
          <w:u w:val="single"/>
          <w:lang w:eastAsia="zh-CN"/>
        </w:rPr>
        <w:t>浙江省统计局</w:t>
      </w:r>
      <w:r>
        <w:rPr>
          <w:rFonts w:hint="eastAsia" w:ascii="宋体" w:hAnsi="宋体" w:cs="宋体"/>
          <w:b/>
          <w:bCs/>
          <w:color w:val="auto"/>
          <w:szCs w:val="21"/>
          <w:highlight w:val="none"/>
          <w:u w:val="single"/>
        </w:rPr>
        <w:t>：</w:t>
      </w:r>
    </w:p>
    <w:p>
      <w:pPr>
        <w:adjustRightInd w:val="0"/>
        <w:spacing w:line="360" w:lineRule="auto"/>
        <w:ind w:left="4" w:firstLine="455" w:firstLineChars="217"/>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我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（联合体各方名称），现授权委托</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（姓名、身份证号）为我方授权代表，以本方的名义参加</w:t>
      </w:r>
      <w:r>
        <w:rPr>
          <w:rFonts w:hint="eastAsia" w:ascii="宋体" w:hAnsi="宋体" w:cs="宋体"/>
          <w:color w:val="auto"/>
          <w:szCs w:val="21"/>
          <w:highlight w:val="none"/>
          <w:u w:val="single"/>
          <w:lang w:eastAsia="zh-CN"/>
        </w:rPr>
        <w:t>浙江省统计局</w:t>
      </w:r>
      <w:r>
        <w:rPr>
          <w:rFonts w:hint="eastAsia" w:ascii="宋体" w:hAnsi="宋体" w:cs="宋体"/>
          <w:snapToGrid w:val="0"/>
          <w:color w:val="auto"/>
          <w:kern w:val="0"/>
          <w:szCs w:val="21"/>
          <w:highlight w:val="none"/>
        </w:rPr>
        <w:t>的</w:t>
      </w:r>
      <w:r>
        <w:rPr>
          <w:rFonts w:hint="eastAsia" w:ascii="宋体" w:hAnsi="宋体" w:cs="宋体"/>
          <w:color w:val="auto"/>
          <w:szCs w:val="21"/>
          <w:highlight w:val="none"/>
          <w:u w:val="single"/>
          <w:lang w:eastAsia="zh-CN"/>
        </w:rPr>
        <w:t>浙江省统计局统计大脑项目</w:t>
      </w:r>
      <w:r>
        <w:rPr>
          <w:rFonts w:hint="eastAsia" w:ascii="宋体" w:hAnsi="宋体" w:cs="宋体"/>
          <w:snapToGrid w:val="0"/>
          <w:color w:val="auto"/>
          <w:kern w:val="0"/>
          <w:szCs w:val="21"/>
          <w:highlight w:val="none"/>
          <w:u w:val="single"/>
        </w:rPr>
        <w:t>（项目编号：</w:t>
      </w:r>
      <w:r>
        <w:rPr>
          <w:rFonts w:hint="eastAsia" w:ascii="宋体" w:hAnsi="宋体" w:cs="宋体"/>
          <w:color w:val="auto"/>
          <w:szCs w:val="21"/>
          <w:highlight w:val="none"/>
          <w:u w:val="single"/>
          <w:lang w:eastAsia="zh-CN"/>
        </w:rPr>
        <w:t>ZJ-2371103-09</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的投标活动。授权代表在开标、评标、合同谈判过程中所签署的一切文件和处理与之有关的一切事务，我方均予以承认。</w:t>
      </w:r>
    </w:p>
    <w:p>
      <w:pPr>
        <w:adjustRightIn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授权代表无权转委托，特此委托。</w:t>
      </w:r>
    </w:p>
    <w:p>
      <w:pPr>
        <w:spacing w:line="360" w:lineRule="auto"/>
        <w:ind w:right="128" w:rightChars="61" w:firstLine="3360" w:firstLineChars="16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联合体成员名称（盖公章或电子签章）：       </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联合体成员名称（盖公章或电子签章）： </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授权代表身份证号码：</w:t>
      </w:r>
    </w:p>
    <w:p>
      <w:pPr>
        <w:autoSpaceDE w:val="0"/>
        <w:autoSpaceDN w:val="0"/>
        <w:adjustRightInd w:val="0"/>
        <w:spacing w:line="360" w:lineRule="auto"/>
        <w:ind w:right="128" w:rightChars="61" w:firstLine="3360" w:firstLineChars="1600"/>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日期：</w:t>
      </w:r>
    </w:p>
    <w:p>
      <w:pPr>
        <w:autoSpaceDE w:val="0"/>
        <w:autoSpaceDN w:val="0"/>
        <w:adjustRightInd w:val="0"/>
        <w:snapToGrid w:val="0"/>
        <w:spacing w:line="360" w:lineRule="auto"/>
        <w:ind w:right="420"/>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附：授权代表的身份证复印件（正反面）。</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p>
            <w:pPr>
              <w:rPr>
                <w:color w:val="auto"/>
                <w:highlight w:val="none"/>
              </w:rPr>
            </w:pPr>
          </w:p>
          <w:p>
            <w:pPr>
              <w:pStyle w:val="14"/>
              <w:rPr>
                <w:color w:val="auto"/>
                <w:highlight w:val="none"/>
              </w:rPr>
            </w:pPr>
          </w:p>
        </w:tc>
      </w:tr>
    </w:tbl>
    <w:p>
      <w:pPr>
        <w:autoSpaceDE w:val="0"/>
        <w:autoSpaceDN w:val="0"/>
        <w:adjustRightInd w:val="0"/>
        <w:spacing w:line="360" w:lineRule="auto"/>
        <w:rPr>
          <w:rFonts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3.7 政府采购供应商廉洁自律承诺书</w:t>
      </w:r>
    </w:p>
    <w:p>
      <w:pPr>
        <w:autoSpaceDE w:val="0"/>
        <w:autoSpaceDN w:val="0"/>
        <w:adjustRightInd w:val="0"/>
        <w:spacing w:line="360" w:lineRule="auto"/>
        <w:rPr>
          <w:rFonts w:ascii="宋体" w:hAnsi="宋体" w:cs="宋体"/>
          <w:b/>
          <w:color w:val="auto"/>
          <w:highlight w:val="none"/>
        </w:rPr>
      </w:pPr>
    </w:p>
    <w:p>
      <w:pPr>
        <w:spacing w:line="360" w:lineRule="auto"/>
        <w:jc w:val="center"/>
        <w:rPr>
          <w:rFonts w:ascii="仿宋_GB2312" w:hAnsi="仿宋" w:eastAsia="仿宋_GB2312" w:cs="仿宋_GB2312"/>
          <w:color w:val="auto"/>
          <w:sz w:val="32"/>
          <w:szCs w:val="32"/>
          <w:highlight w:val="none"/>
        </w:rPr>
      </w:pPr>
      <w:r>
        <w:rPr>
          <w:rFonts w:hint="eastAsia" w:ascii="宋体" w:hAnsi="宋体" w:cs="宋体"/>
          <w:b/>
          <w:bCs/>
          <w:snapToGrid w:val="0"/>
          <w:color w:val="auto"/>
          <w:kern w:val="0"/>
          <w:sz w:val="32"/>
          <w:szCs w:val="32"/>
          <w:highlight w:val="none"/>
        </w:rPr>
        <w:t>政府采购供应商廉洁自律承诺书</w:t>
      </w:r>
    </w:p>
    <w:p>
      <w:pPr>
        <w:spacing w:line="360" w:lineRule="auto"/>
        <w:rPr>
          <w:rFonts w:hint="eastAsia" w:ascii="宋体" w:hAnsi="宋体" w:cs="宋体"/>
          <w:b/>
          <w:bCs/>
          <w:snapToGrid w:val="0"/>
          <w:color w:val="auto"/>
          <w:kern w:val="0"/>
          <w:highlight w:val="none"/>
          <w:u w:val="single"/>
        </w:rPr>
      </w:pPr>
    </w:p>
    <w:p>
      <w:pPr>
        <w:spacing w:line="360" w:lineRule="auto"/>
        <w:rPr>
          <w:rFonts w:ascii="宋体" w:hAnsi="宋体" w:cs="宋体"/>
          <w:b/>
          <w:bCs/>
          <w:color w:val="auto"/>
          <w:szCs w:val="21"/>
          <w:highlight w:val="none"/>
          <w:u w:val="single"/>
        </w:rPr>
      </w:pPr>
      <w:r>
        <w:rPr>
          <w:rFonts w:hint="eastAsia" w:ascii="宋体" w:hAnsi="宋体" w:cs="宋体"/>
          <w:b/>
          <w:bCs/>
          <w:snapToGrid w:val="0"/>
          <w:color w:val="auto"/>
          <w:kern w:val="0"/>
          <w:highlight w:val="none"/>
          <w:u w:val="single"/>
          <w:lang w:eastAsia="zh-CN"/>
        </w:rPr>
        <w:t>浙江省统计局</w:t>
      </w:r>
      <w:r>
        <w:rPr>
          <w:rFonts w:hint="eastAsia" w:ascii="宋体" w:hAnsi="宋体" w:cs="宋体"/>
          <w:b/>
          <w:bCs/>
          <w:color w:val="auto"/>
          <w:szCs w:val="21"/>
          <w:highlight w:val="none"/>
          <w:u w:val="single"/>
        </w:rPr>
        <w:t>：</w:t>
      </w:r>
    </w:p>
    <w:p>
      <w:pPr>
        <w:spacing w:line="360" w:lineRule="auto"/>
        <w:ind w:left="19" w:leftChars="9" w:firstLine="428" w:firstLineChars="204"/>
        <w:jc w:val="left"/>
        <w:rPr>
          <w:rFonts w:ascii="宋体" w:hAnsi="宋体" w:cs="宋体"/>
          <w:color w:val="auto"/>
          <w:szCs w:val="21"/>
          <w:highlight w:val="none"/>
        </w:rPr>
      </w:pPr>
      <w:r>
        <w:rPr>
          <w:rFonts w:hint="eastAsia" w:ascii="宋体" w:hAnsi="宋体" w:cs="宋体"/>
          <w:color w:val="auto"/>
          <w:szCs w:val="21"/>
          <w:highlight w:val="none"/>
        </w:rPr>
        <w:t>本单位合法参加</w:t>
      </w:r>
      <w:r>
        <w:rPr>
          <w:rFonts w:hint="eastAsia" w:ascii="宋体" w:hAnsi="宋体" w:cs="宋体"/>
          <w:color w:val="auto"/>
          <w:szCs w:val="21"/>
          <w:highlight w:val="none"/>
          <w:u w:val="single"/>
          <w:lang w:eastAsia="zh-CN"/>
        </w:rPr>
        <w:t>浙江省统计局统计大脑项目</w:t>
      </w: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r>
        <w:rPr>
          <w:rFonts w:hint="eastAsia" w:ascii="宋体" w:hAnsi="宋体" w:cs="宋体"/>
          <w:color w:val="auto"/>
          <w:szCs w:val="21"/>
          <w:highlight w:val="none"/>
        </w:rPr>
        <w:t>）政府采购活动，就有关廉洁自律和公平竞争事项郑重声明如下：</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一、本单位与采购人之间不存在利害关系，不存在行贿、串通等违法行为。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二、本单位与其他当事人之间不存在直接控股、管理关系等情况，不存在法定的不允许投标情形，不存在行贿、串通等违法行为。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三、本单位清楚知道并严格遵守政府采购法律法规、政策文件和相关纪律。</w:t>
      </w:r>
    </w:p>
    <w:p>
      <w:pPr>
        <w:autoSpaceDE w:val="0"/>
        <w:autoSpaceDN w:val="0"/>
        <w:spacing w:line="360" w:lineRule="auto"/>
        <w:ind w:firstLine="4410" w:firstLineChars="2100"/>
        <w:jc w:val="left"/>
        <w:rPr>
          <w:rFonts w:ascii="宋体" w:hAnsi="宋体" w:cs="宋体"/>
          <w:color w:val="auto"/>
          <w:kern w:val="0"/>
          <w:szCs w:val="21"/>
          <w:highlight w:val="none"/>
          <w:lang w:val="zh-CN"/>
        </w:rPr>
      </w:pPr>
    </w:p>
    <w:p>
      <w:pPr>
        <w:autoSpaceDE w:val="0"/>
        <w:autoSpaceDN w:val="0"/>
        <w:spacing w:line="360" w:lineRule="auto"/>
        <w:ind w:firstLine="4410" w:firstLineChars="2100"/>
        <w:jc w:val="left"/>
        <w:rPr>
          <w:rFonts w:ascii="宋体" w:hAnsi="宋体" w:cs="宋体"/>
          <w:color w:val="auto"/>
          <w:kern w:val="0"/>
          <w:szCs w:val="21"/>
          <w:highlight w:val="none"/>
          <w:lang w:val="zh-CN"/>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autoSpaceDE w:val="0"/>
        <w:autoSpaceDN w:val="0"/>
        <w:adjustRightInd w:val="0"/>
        <w:spacing w:line="360" w:lineRule="auto"/>
        <w:rPr>
          <w:rFonts w:ascii="宋体" w:hAnsi="宋体" w:cs="宋体"/>
          <w:b/>
          <w:color w:val="auto"/>
          <w:sz w:val="24"/>
          <w:highlight w:val="none"/>
        </w:rPr>
      </w:pPr>
      <w:r>
        <w:rPr>
          <w:rFonts w:hint="eastAsia" w:ascii="宋体" w:hAnsi="宋体" w:cs="宋体"/>
          <w:b/>
          <w:color w:val="auto"/>
          <w:szCs w:val="21"/>
          <w:highlight w:val="none"/>
        </w:rPr>
        <w:br w:type="page"/>
      </w:r>
      <w:r>
        <w:rPr>
          <w:rFonts w:hint="eastAsia" w:ascii="宋体" w:hAnsi="宋体" w:cs="宋体"/>
          <w:b/>
          <w:color w:val="auto"/>
          <w:highlight w:val="none"/>
        </w:rPr>
        <w:t>3.8 廉政承诺书</w:t>
      </w:r>
    </w:p>
    <w:p>
      <w:pPr>
        <w:autoSpaceDE w:val="0"/>
        <w:autoSpaceDN w:val="0"/>
        <w:adjustRightIn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廉 政 承 诺 书</w:t>
      </w:r>
    </w:p>
    <w:p>
      <w:pPr>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snapToGrid w:val="0"/>
          <w:color w:val="auto"/>
          <w:kern w:val="0"/>
          <w:highlight w:val="none"/>
          <w:u w:val="single"/>
          <w:lang w:eastAsia="zh-CN"/>
        </w:rPr>
        <w:t>浙江省统计局</w:t>
      </w:r>
      <w:r>
        <w:rPr>
          <w:rFonts w:hint="eastAsia" w:ascii="宋体" w:hAnsi="宋体" w:cs="宋体"/>
          <w:b/>
          <w:bCs/>
          <w:color w:val="auto"/>
          <w:szCs w:val="21"/>
          <w:highlight w:val="none"/>
        </w:rPr>
        <w:t>：</w:t>
      </w:r>
    </w:p>
    <w:p>
      <w:pPr>
        <w:autoSpaceDE w:val="0"/>
        <w:autoSpaceDN w:val="0"/>
        <w:adjustRightIn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我单位响应你单位项目招标要求参加投标。在这次投标过程中和中标后，我们将严格遵守国家法律法规规定要求，并郑重承诺：</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一、不向项目有关人员及部门赠送礼金礼物、有价证券、回扣以及中介费、介绍费、咨询费等好处费；</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二、不为项目有关人员及部门报销应由你方单位或个人支付的费用；</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三、不向项目有关人员及部门提供有可能影响公正执行公务的宴请和健身娱乐等活动；</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四、不为项目有关人员及部门出国（境）、旅游等提供方便；</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五、不为项目有关人员个人装修住房、婚丧嫁娶、配偶子女工作安排等提供好处； </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六、严格遵守政府采购法、民法典等法律，诚实守信，合法经营，坚决抵制各种违法违纪行为。</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如违反上述承诺，你单位有权立即取消我单位投标、中标或在建项目的资格，有权拒绝我单位在一定时期内参与你单位项目采购或其他经营活动，并通报监管部门。由此引起的相应损失均由我单位承担。</w:t>
      </w: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utoSpaceDE w:val="0"/>
        <w:autoSpaceDN w:val="0"/>
        <w:adjustRightInd w:val="0"/>
        <w:spacing w:line="360" w:lineRule="auto"/>
        <w:rPr>
          <w:rFonts w:ascii="宋体" w:hAnsi="宋体" w:cs="宋体"/>
          <w:bCs/>
          <w:color w:val="auto"/>
          <w:szCs w:val="21"/>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autoSpaceDE w:val="0"/>
        <w:autoSpaceDN w:val="0"/>
        <w:adjustRightInd w:val="0"/>
        <w:spacing w:line="360" w:lineRule="auto"/>
        <w:rPr>
          <w:rFonts w:ascii="宋体" w:hAnsi="宋体" w:cs="宋体"/>
          <w:b/>
          <w:bCs/>
          <w:color w:val="auto"/>
          <w:szCs w:val="21"/>
          <w:highlight w:val="none"/>
        </w:rPr>
      </w:pPr>
      <w:r>
        <w:rPr>
          <w:rFonts w:hint="eastAsia" w:ascii="宋体" w:hAnsi="宋体" w:cs="宋体"/>
          <w:b/>
          <w:color w:val="auto"/>
          <w:sz w:val="24"/>
          <w:highlight w:val="none"/>
        </w:rPr>
        <w:br w:type="page"/>
      </w:r>
      <w:r>
        <w:rPr>
          <w:rFonts w:hint="eastAsia" w:ascii="宋体" w:hAnsi="宋体" w:cs="宋体"/>
          <w:b/>
          <w:bCs/>
          <w:color w:val="auto"/>
          <w:szCs w:val="21"/>
          <w:highlight w:val="none"/>
        </w:rPr>
        <w:t>3.9投标人业绩一览表</w:t>
      </w:r>
    </w:p>
    <w:p>
      <w:pPr>
        <w:snapToGrid w:val="0"/>
        <w:spacing w:line="360" w:lineRule="auto"/>
        <w:jc w:val="center"/>
        <w:rPr>
          <w:rFonts w:ascii="宋体" w:hAnsi="宋体" w:cs="宋体"/>
          <w:b/>
          <w:snapToGrid w:val="0"/>
          <w:color w:val="auto"/>
          <w:kern w:val="0"/>
          <w:sz w:val="24"/>
          <w:highlight w:val="none"/>
        </w:rPr>
      </w:pPr>
    </w:p>
    <w:p>
      <w:pPr>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投标人业绩一览表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7"/>
        <w:gridCol w:w="1508"/>
        <w:gridCol w:w="1391"/>
        <w:gridCol w:w="1391"/>
        <w:gridCol w:w="853"/>
        <w:gridCol w:w="1575"/>
        <w:gridCol w:w="1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color w:val="auto"/>
                <w:szCs w:val="21"/>
                <w:highlight w:val="none"/>
              </w:rPr>
            </w:pPr>
            <w:r>
              <w:rPr>
                <w:rFonts w:hint="eastAsia" w:ascii="宋体" w:hAnsi="宋体" w:cs="宋体"/>
                <w:color w:val="auto"/>
                <w:spacing w:val="30"/>
                <w:highlight w:val="none"/>
              </w:rPr>
              <w:t>序号</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color w:val="auto"/>
                <w:szCs w:val="21"/>
                <w:highlight w:val="none"/>
              </w:rPr>
            </w:pPr>
            <w:r>
              <w:rPr>
                <w:rFonts w:hint="eastAsia" w:ascii="宋体" w:hAnsi="宋体" w:cs="宋体"/>
                <w:color w:val="auto"/>
                <w:spacing w:val="30"/>
                <w:highlight w:val="none"/>
              </w:rPr>
              <w:t>项目名称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pacing w:val="30"/>
                <w:highlight w:val="none"/>
              </w:rPr>
            </w:pPr>
            <w:r>
              <w:rPr>
                <w:rFonts w:hint="eastAsia" w:ascii="宋体" w:hAnsi="宋体" w:cs="宋体"/>
                <w:color w:val="auto"/>
                <w:spacing w:val="30"/>
                <w:highlight w:val="none"/>
              </w:rPr>
              <w:t>合同签订时间</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color w:val="auto"/>
                <w:spacing w:val="30"/>
                <w:highlight w:val="none"/>
              </w:rPr>
            </w:pPr>
            <w:r>
              <w:rPr>
                <w:rFonts w:hint="eastAsia" w:ascii="宋体" w:hAnsi="宋体" w:cs="宋体"/>
                <w:color w:val="auto"/>
                <w:spacing w:val="30"/>
                <w:highlight w:val="none"/>
              </w:rPr>
              <w:t>合同主要标的</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color w:val="auto"/>
                <w:szCs w:val="21"/>
                <w:highlight w:val="none"/>
              </w:rPr>
            </w:pPr>
            <w:r>
              <w:rPr>
                <w:rFonts w:hint="eastAsia" w:ascii="宋体" w:hAnsi="宋体" w:cs="宋体"/>
                <w:color w:val="auto"/>
                <w:spacing w:val="30"/>
                <w:highlight w:val="none"/>
              </w:rPr>
              <w:t>业主单位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ascii="宋体" w:hAnsi="宋体" w:cs="宋体"/>
                <w:bCs/>
                <w:color w:val="auto"/>
                <w:szCs w:val="21"/>
                <w:highlight w:val="none"/>
              </w:rPr>
            </w:pPr>
            <w:r>
              <w:rPr>
                <w:rFonts w:hint="eastAsia" w:ascii="宋体" w:hAnsi="宋体" w:cs="宋体"/>
                <w:bCs/>
                <w:color w:val="auto"/>
                <w:szCs w:val="21"/>
                <w:highlight w:val="none"/>
              </w:rPr>
              <w:t>业主联系人和联系方式</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color w:val="auto"/>
                <w:spacing w:val="3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beforeLines="50" w:after="50" w:line="460" w:lineRule="exact"/>
              <w:ind w:left="5250"/>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beforeLines="50" w:after="50" w:line="460" w:lineRule="exact"/>
              <w:ind w:left="5250"/>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20" w:beforeLines="50" w:after="50" w:line="460" w:lineRule="exact"/>
              <w:ind w:left="5250"/>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c>
          <w:tcPr>
            <w:tcW w:w="113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cs="宋体"/>
                <w:color w:val="auto"/>
                <w:szCs w:val="21"/>
                <w:highlight w:val="none"/>
              </w:rPr>
            </w:pPr>
          </w:p>
        </w:tc>
      </w:tr>
    </w:tbl>
    <w:p>
      <w:pPr>
        <w:tabs>
          <w:tab w:val="left" w:pos="744"/>
        </w:tabs>
        <w:spacing w:line="400" w:lineRule="exact"/>
        <w:ind w:firstLine="308" w:firstLineChars="147"/>
        <w:rPr>
          <w:rFonts w:ascii="宋体" w:hAnsi="宋体" w:cs="宋体"/>
          <w:color w:val="auto"/>
          <w:highlight w:val="none"/>
        </w:rPr>
      </w:pPr>
      <w:r>
        <w:rPr>
          <w:rFonts w:hint="eastAsia" w:ascii="宋体" w:hAnsi="宋体" w:cs="宋体"/>
          <w:color w:val="auto"/>
          <w:highlight w:val="none"/>
        </w:rPr>
        <w:t>注：1.表中所列业绩如与评分有关的，出具的证明材料需满足评审依据，否则不予得分。</w:t>
      </w:r>
    </w:p>
    <w:p>
      <w:pPr>
        <w:tabs>
          <w:tab w:val="left" w:pos="744"/>
        </w:tabs>
        <w:spacing w:line="400" w:lineRule="exact"/>
        <w:ind w:firstLine="308" w:firstLineChars="147"/>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rPr>
          <w:rFonts w:ascii="宋体" w:hAnsi="宋体" w:cs="宋体"/>
          <w:color w:val="auto"/>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autoSpaceDE w:val="0"/>
        <w:autoSpaceDN w:val="0"/>
        <w:adjustRightInd w:val="0"/>
        <w:spacing w:line="360" w:lineRule="auto"/>
        <w:rPr>
          <w:rFonts w:ascii="宋体" w:hAnsi="宋体" w:cs="宋体"/>
          <w:b/>
          <w:bCs/>
          <w:color w:val="auto"/>
          <w:szCs w:val="21"/>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Cs w:val="21"/>
          <w:highlight w:val="none"/>
        </w:rPr>
        <w:t>3.10 商务条款偏离表</w:t>
      </w:r>
    </w:p>
    <w:p>
      <w:pPr>
        <w:spacing w:line="360" w:lineRule="atLeast"/>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商务条款偏离表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条款内容描述</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ascii="宋体" w:hAnsi="宋体" w:cs="宋体"/>
                <w:color w:val="auto"/>
                <w:szCs w:val="21"/>
                <w:highlight w:val="none"/>
              </w:rPr>
            </w:pPr>
            <w:r>
              <w:rPr>
                <w:rFonts w:hint="eastAsia" w:ascii="宋体" w:hAnsi="宋体" w:cs="宋体"/>
                <w:color w:val="auto"/>
                <w:szCs w:val="21"/>
                <w:highlight w:val="none"/>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ascii="宋体" w:hAnsi="宋体" w:cs="宋体"/>
                <w:color w:val="auto"/>
                <w:szCs w:val="21"/>
                <w:highlight w:val="none"/>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ascii="宋体" w:hAnsi="宋体" w:cs="宋体"/>
                <w:color w:val="auto"/>
                <w:szCs w:val="21"/>
                <w:highlight w:val="none"/>
              </w:rPr>
            </w:pPr>
          </w:p>
        </w:tc>
      </w:tr>
    </w:tbl>
    <w:p>
      <w:pPr>
        <w:spacing w:line="360" w:lineRule="atLeast"/>
        <w:rPr>
          <w:rFonts w:ascii="宋体" w:hAnsi="宋体" w:cs="宋体"/>
          <w:color w:val="auto"/>
          <w:highlight w:val="none"/>
        </w:rPr>
      </w:pPr>
      <w:r>
        <w:rPr>
          <w:rFonts w:hint="eastAsia" w:ascii="宋体" w:hAnsi="宋体" w:cs="宋体"/>
          <w:color w:val="auto"/>
          <w:highlight w:val="none"/>
        </w:rPr>
        <w:t>注：若不填写或只填写“无”视作完全响应采购文件的要求。</w:t>
      </w:r>
    </w:p>
    <w:p>
      <w:pPr>
        <w:spacing w:line="360" w:lineRule="atLeast"/>
        <w:rPr>
          <w:rFonts w:ascii="宋体" w:hAnsi="宋体" w:cs="宋体"/>
          <w:color w:val="auto"/>
          <w:highlight w:val="none"/>
        </w:rPr>
      </w:pPr>
    </w:p>
    <w:p>
      <w:pPr>
        <w:spacing w:line="360" w:lineRule="atLeast"/>
        <w:rPr>
          <w:rFonts w:ascii="宋体" w:hAnsi="宋体" w:cs="宋体"/>
          <w:color w:val="auto"/>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adjustRightInd w:val="0"/>
        <w:spacing w:line="360" w:lineRule="auto"/>
        <w:rPr>
          <w:rFonts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rPr>
        <w:t>3.11技术响应表</w:t>
      </w:r>
    </w:p>
    <w:p>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技术响应表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tblInd w:w="0" w:type="dxa"/>
        <w:tblLayout w:type="fixed"/>
        <w:tblCellMar>
          <w:top w:w="0" w:type="dxa"/>
          <w:left w:w="108" w:type="dxa"/>
          <w:bottom w:w="0" w:type="dxa"/>
          <w:right w:w="108" w:type="dxa"/>
        </w:tblCellMar>
      </w:tblPr>
      <w:tblGrid>
        <w:gridCol w:w="648"/>
        <w:gridCol w:w="3374"/>
        <w:gridCol w:w="3670"/>
        <w:gridCol w:w="1393"/>
      </w:tblGrid>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序号</w:t>
            </w: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采购文件技术要求</w:t>
            </w:r>
          </w:p>
        </w:tc>
        <w:tc>
          <w:tcPr>
            <w:tcW w:w="3670" w:type="dxa"/>
            <w:tcBorders>
              <w:top w:val="single" w:color="auto" w:sz="4" w:space="0"/>
              <w:left w:val="nil"/>
              <w:bottom w:val="nil"/>
              <w:right w:val="single" w:color="auto" w:sz="4" w:space="0"/>
            </w:tcBorders>
            <w:noWrap w:val="0"/>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投标响应技术服务参数</w:t>
            </w:r>
          </w:p>
        </w:tc>
        <w:tc>
          <w:tcPr>
            <w:tcW w:w="1393" w:type="dxa"/>
            <w:tcBorders>
              <w:top w:val="single" w:color="auto" w:sz="4" w:space="0"/>
              <w:left w:val="nil"/>
              <w:bottom w:val="nil"/>
              <w:right w:val="single" w:color="auto" w:sz="4" w:space="0"/>
            </w:tcBorders>
            <w:noWrap w:val="0"/>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是否符合</w:t>
            </w: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highlight w:val="none"/>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 w:val="8"/>
                <w:szCs w:val="21"/>
                <w:highlight w:val="none"/>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highlight w:val="none"/>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ind w:firstLine="1890" w:firstLineChars="900"/>
              <w:rPr>
                <w:rFonts w:ascii="宋体" w:hAnsi="宋体" w:cs="宋体"/>
                <w:color w:val="auto"/>
                <w:szCs w:val="21"/>
                <w:highlight w:val="none"/>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374" w:type="dxa"/>
            <w:tcBorders>
              <w:top w:val="single" w:color="auto" w:sz="4" w:space="0"/>
              <w:left w:val="nil"/>
              <w:bottom w:val="single" w:color="auto" w:sz="4" w:space="0"/>
              <w:right w:val="single" w:color="auto" w:sz="4" w:space="0"/>
            </w:tcBorders>
            <w:noWrap w:val="0"/>
            <w:vAlign w:val="center"/>
          </w:tcPr>
          <w:p>
            <w:pPr>
              <w:adjustRightInd w:val="0"/>
              <w:jc w:val="center"/>
              <w:rPr>
                <w:rFonts w:ascii="宋体" w:hAnsi="宋体" w:cs="宋体"/>
                <w:color w:val="auto"/>
                <w:szCs w:val="21"/>
                <w:highlight w:val="none"/>
              </w:rPr>
            </w:pPr>
          </w:p>
        </w:tc>
        <w:tc>
          <w:tcPr>
            <w:tcW w:w="3670"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c>
          <w:tcPr>
            <w:tcW w:w="1393" w:type="dxa"/>
            <w:tcBorders>
              <w:top w:val="single" w:color="auto" w:sz="4" w:space="0"/>
              <w:left w:val="nil"/>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bl>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tLeast"/>
        <w:rPr>
          <w:rFonts w:ascii="宋体" w:hAnsi="宋体" w:cs="宋体"/>
          <w:color w:val="auto"/>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spacing w:line="360" w:lineRule="auto"/>
        <w:rPr>
          <w:rFonts w:ascii="宋体" w:hAnsi="宋体" w:cs="宋体"/>
          <w:b/>
          <w:bCs/>
          <w:color w:val="auto"/>
          <w:szCs w:val="21"/>
          <w:highlight w:val="none"/>
        </w:rPr>
      </w:pPr>
      <w:r>
        <w:rPr>
          <w:rFonts w:hint="eastAsia" w:ascii="宋体" w:hAnsi="宋体" w:cs="宋体"/>
          <w:color w:val="auto"/>
          <w:sz w:val="24"/>
          <w:highlight w:val="none"/>
        </w:rPr>
        <w:br w:type="page"/>
      </w:r>
      <w:r>
        <w:rPr>
          <w:rFonts w:hint="eastAsia" w:ascii="宋体" w:hAnsi="宋体" w:cs="宋体"/>
          <w:b/>
          <w:bCs/>
          <w:color w:val="auto"/>
          <w:szCs w:val="21"/>
          <w:highlight w:val="none"/>
        </w:rPr>
        <w:t>3.12</w:t>
      </w:r>
      <w:r>
        <w:rPr>
          <w:rFonts w:hint="eastAsia" w:ascii="宋体" w:hAnsi="宋体" w:cs="宋体"/>
          <w:b/>
          <w:snapToGrid w:val="0"/>
          <w:color w:val="auto"/>
          <w:kern w:val="0"/>
          <w:szCs w:val="21"/>
          <w:highlight w:val="none"/>
        </w:rPr>
        <w:t>项目服务人员配备情况表</w:t>
      </w:r>
    </w:p>
    <w:p>
      <w:pPr>
        <w:pStyle w:val="15"/>
        <w:snapToGrid w:val="0"/>
        <w:spacing w:line="360" w:lineRule="auto"/>
        <w:jc w:val="center"/>
        <w:rPr>
          <w:rFonts w:ascii="宋体" w:hAnsi="宋体" w:eastAsia="宋体" w:cs="宋体"/>
          <w:b/>
          <w:snapToGrid w:val="0"/>
          <w:color w:val="auto"/>
          <w:kern w:val="0"/>
          <w:sz w:val="32"/>
          <w:szCs w:val="32"/>
          <w:highlight w:val="none"/>
        </w:rPr>
      </w:pPr>
    </w:p>
    <w:p>
      <w:pPr>
        <w:pStyle w:val="15"/>
        <w:snapToGrid w:val="0"/>
        <w:spacing w:line="360" w:lineRule="auto"/>
        <w:jc w:val="center"/>
        <w:rPr>
          <w:rFonts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（1）拟派项目服务人员配备情况表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ascii="宋体" w:hAnsi="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hAnsi="宋体" w:cs="宋体"/>
                <w:color w:val="auto"/>
                <w:szCs w:val="21"/>
                <w:highlight w:val="none"/>
              </w:rPr>
            </w:pPr>
          </w:p>
        </w:tc>
      </w:tr>
    </w:tbl>
    <w:p>
      <w:pPr>
        <w:snapToGrid w:val="0"/>
        <w:spacing w:line="360" w:lineRule="auto"/>
        <w:rPr>
          <w:rFonts w:ascii="宋体" w:hAnsi="宋体" w:cs="宋体"/>
          <w:b/>
          <w:snapToGrid w:val="0"/>
          <w:color w:val="auto"/>
          <w:kern w:val="0"/>
          <w:szCs w:val="21"/>
          <w:highlight w:val="none"/>
        </w:rPr>
      </w:pPr>
      <w:r>
        <w:rPr>
          <w:rFonts w:hint="eastAsia" w:ascii="宋体" w:hAnsi="宋体" w:cs="宋体"/>
          <w:b/>
          <w:snapToGrid w:val="0"/>
          <w:color w:val="auto"/>
          <w:kern w:val="0"/>
          <w:szCs w:val="21"/>
          <w:highlight w:val="none"/>
        </w:rPr>
        <w:t>注：涉及评分项的其他证明材料附后。</w:t>
      </w:r>
    </w:p>
    <w:p>
      <w:pPr>
        <w:adjustRightInd w:val="0"/>
        <w:snapToGrid w:val="0"/>
        <w:spacing w:line="360" w:lineRule="auto"/>
        <w:ind w:firstLine="4158" w:firstLineChars="1980"/>
        <w:rPr>
          <w:rFonts w:ascii="宋体" w:hAnsi="宋体" w:cs="宋体"/>
          <w:snapToGrid w:val="0"/>
          <w:color w:val="auto"/>
          <w:kern w:val="0"/>
          <w:szCs w:val="21"/>
          <w:highlight w:val="none"/>
        </w:rPr>
      </w:pPr>
    </w:p>
    <w:p>
      <w:pPr>
        <w:adjustRightInd w:val="0"/>
        <w:snapToGrid w:val="0"/>
        <w:spacing w:line="360" w:lineRule="auto"/>
        <w:ind w:firstLine="4158" w:firstLineChars="1980"/>
        <w:rPr>
          <w:rFonts w:ascii="宋体" w:hAnsi="宋体" w:cs="宋体"/>
          <w:snapToGrid w:val="0"/>
          <w:color w:val="auto"/>
          <w:kern w:val="0"/>
          <w:szCs w:val="21"/>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br w:type="page"/>
      </w:r>
    </w:p>
    <w:p>
      <w:pPr>
        <w:pStyle w:val="15"/>
        <w:snapToGrid w:val="0"/>
        <w:spacing w:line="360" w:lineRule="auto"/>
        <w:jc w:val="center"/>
        <w:rPr>
          <w:rFonts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（2）主要人员简历表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74"/>
        <w:gridCol w:w="1389"/>
        <w:gridCol w:w="467"/>
        <w:gridCol w:w="688"/>
        <w:gridCol w:w="1056"/>
        <w:gridCol w:w="204"/>
        <w:gridCol w:w="1836"/>
        <w:gridCol w:w="256"/>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姓   名</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年   龄</w:t>
            </w:r>
          </w:p>
        </w:tc>
        <w:tc>
          <w:tcPr>
            <w:tcW w:w="126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专   业</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职   称</w:t>
            </w:r>
          </w:p>
        </w:tc>
        <w:tc>
          <w:tcPr>
            <w:tcW w:w="1389"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155"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职   务</w:t>
            </w:r>
          </w:p>
        </w:tc>
        <w:tc>
          <w:tcPr>
            <w:tcW w:w="126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209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拟在本项目</w:t>
            </w:r>
          </w:p>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担任职务</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毕业学校</w:t>
            </w:r>
          </w:p>
        </w:tc>
        <w:tc>
          <w:tcPr>
            <w:tcW w:w="7172" w:type="dxa"/>
            <w:gridSpan w:val="8"/>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月毕业于</w:t>
            </w:r>
            <w:r>
              <w:rPr>
                <w:rFonts w:hint="eastAsia" w:ascii="宋体" w:hAnsi="宋体" w:cs="宋体"/>
                <w:color w:val="auto"/>
                <w:highlight w:val="none"/>
                <w:u w:val="single"/>
              </w:rPr>
              <w:t xml:space="preserve">      </w:t>
            </w:r>
            <w:r>
              <w:rPr>
                <w:rFonts w:hint="eastAsia" w:ascii="宋体" w:hAnsi="宋体" w:cs="宋体"/>
                <w:color w:val="auto"/>
                <w:highlight w:val="none"/>
              </w:rPr>
              <w:t>学校</w:t>
            </w:r>
            <w:r>
              <w:rPr>
                <w:rFonts w:hint="eastAsia" w:ascii="宋体" w:hAnsi="宋体" w:cs="宋体"/>
                <w:color w:val="auto"/>
                <w:highlight w:val="none"/>
                <w:u w:val="single"/>
              </w:rPr>
              <w:t xml:space="preserve">    </w:t>
            </w:r>
            <w:r>
              <w:rPr>
                <w:rFonts w:hint="eastAsia" w:ascii="宋体" w:hAnsi="宋体" w:cs="宋体"/>
                <w:color w:val="auto"/>
                <w:highlight w:val="none"/>
              </w:rPr>
              <w:t>系（科），学制</w:t>
            </w:r>
            <w:r>
              <w:rPr>
                <w:rFonts w:hint="eastAsia" w:ascii="宋体" w:hAnsi="宋体" w:cs="宋体"/>
                <w:color w:val="auto"/>
                <w:highlight w:val="none"/>
                <w:u w:val="single"/>
              </w:rPr>
              <w:t xml:space="preserve">    </w:t>
            </w:r>
            <w:r>
              <w:rPr>
                <w:rFonts w:hint="eastAsia" w:ascii="宋体" w:hAnsi="宋体" w:cs="宋体"/>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6" w:type="dxa"/>
            <w:gridSpan w:val="9"/>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主要学习和工作经历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年   月</w:t>
            </w:r>
          </w:p>
        </w:tc>
        <w:tc>
          <w:tcPr>
            <w:tcW w:w="3600"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工作经历</w:t>
            </w: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担 任 何 职</w:t>
            </w: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tc>
        <w:tc>
          <w:tcPr>
            <w:tcW w:w="3600" w:type="dxa"/>
            <w:gridSpan w:val="4"/>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p>
            <w:pPr>
              <w:snapToGrid w:val="0"/>
              <w:spacing w:line="320" w:lineRule="atLeast"/>
              <w:jc w:val="center"/>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8646" w:type="dxa"/>
            <w:gridSpan w:val="9"/>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业绩/经验情况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序号</w:t>
            </w: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项目名称</w:t>
            </w: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项目内容</w:t>
            </w: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r>
              <w:rPr>
                <w:rFonts w:hint="eastAsia" w:ascii="宋体" w:hAnsi="宋体" w:cs="宋体"/>
                <w:color w:val="auto"/>
                <w:highlight w:val="none"/>
              </w:rPr>
              <w:t>合同签订时间</w:t>
            </w: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highlight w:val="none"/>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highlight w:val="none"/>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74"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856" w:type="dxa"/>
            <w:gridSpan w:val="2"/>
            <w:tcBorders>
              <w:top w:val="single" w:color="000000" w:sz="6" w:space="0"/>
              <w:left w:val="single" w:color="000000" w:sz="6" w:space="0"/>
              <w:bottom w:val="single" w:color="000000" w:sz="6" w:space="0"/>
              <w:right w:val="single" w:color="auto" w:sz="4" w:space="0"/>
            </w:tcBorders>
            <w:noWrap w:val="0"/>
            <w:vAlign w:val="center"/>
          </w:tcPr>
          <w:p>
            <w:pPr>
              <w:snapToGrid w:val="0"/>
              <w:spacing w:line="320" w:lineRule="atLeast"/>
              <w:jc w:val="center"/>
              <w:rPr>
                <w:rFonts w:ascii="宋体" w:hAnsi="宋体" w:cs="宋体"/>
                <w:color w:val="auto"/>
                <w:highlight w:val="none"/>
              </w:rPr>
            </w:pPr>
          </w:p>
        </w:tc>
        <w:tc>
          <w:tcPr>
            <w:tcW w:w="1744" w:type="dxa"/>
            <w:gridSpan w:val="2"/>
            <w:tcBorders>
              <w:top w:val="single" w:color="000000" w:sz="6" w:space="0"/>
              <w:left w:val="single" w:color="auto" w:sz="4"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2040"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c>
          <w:tcPr>
            <w:tcW w:w="1532" w:type="dxa"/>
            <w:gridSpan w:val="2"/>
            <w:tcBorders>
              <w:top w:val="single" w:color="000000" w:sz="6" w:space="0"/>
              <w:left w:val="single" w:color="000000" w:sz="6" w:space="0"/>
              <w:bottom w:val="single" w:color="000000" w:sz="6" w:space="0"/>
              <w:right w:val="single" w:color="000000" w:sz="6" w:space="0"/>
            </w:tcBorders>
            <w:noWrap w:val="0"/>
            <w:vAlign w:val="center"/>
          </w:tcPr>
          <w:p>
            <w:pPr>
              <w:snapToGrid w:val="0"/>
              <w:spacing w:line="320" w:lineRule="atLeast"/>
              <w:jc w:val="center"/>
              <w:rPr>
                <w:rFonts w:ascii="宋体" w:hAnsi="宋体" w:cs="宋体"/>
                <w:color w:val="auto"/>
                <w:highlight w:val="none"/>
              </w:rPr>
            </w:pPr>
          </w:p>
        </w:tc>
      </w:tr>
    </w:tbl>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 注：与评分有关的证明材料附后。</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spacing w:line="360" w:lineRule="atLeast"/>
        <w:rPr>
          <w:rFonts w:ascii="宋体" w:hAnsi="宋体" w:cs="宋体"/>
          <w:b/>
          <w:bCs/>
          <w:color w:val="auto"/>
          <w:szCs w:val="21"/>
          <w:highlight w:val="none"/>
        </w:rPr>
      </w:pPr>
      <w:r>
        <w:rPr>
          <w:rFonts w:hint="eastAsia" w:ascii="宋体" w:hAnsi="宋体" w:cs="宋体"/>
          <w:color w:val="auto"/>
          <w:highlight w:val="none"/>
        </w:rPr>
        <w:br w:type="page"/>
      </w:r>
      <w:bookmarkStart w:id="254" w:name="_Toc105141032"/>
      <w:bookmarkEnd w:id="254"/>
      <w:r>
        <w:rPr>
          <w:rFonts w:hint="eastAsia" w:ascii="宋体" w:hAnsi="宋体" w:cs="宋体"/>
          <w:b/>
          <w:bCs/>
          <w:color w:val="auto"/>
          <w:szCs w:val="21"/>
          <w:highlight w:val="none"/>
        </w:rPr>
        <w:t>3.13实施进度计划表</w:t>
      </w:r>
    </w:p>
    <w:p>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实施进度计划表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（以生效日算起） </w:t>
      </w:r>
    </w:p>
    <w:tbl>
      <w:tblPr>
        <w:tblStyle w:val="27"/>
        <w:tblW w:w="0" w:type="auto"/>
        <w:tblInd w:w="-252" w:type="dxa"/>
        <w:tblLayout w:type="fixed"/>
        <w:tblCellMar>
          <w:top w:w="0" w:type="dxa"/>
          <w:left w:w="108" w:type="dxa"/>
          <w:bottom w:w="0" w:type="dxa"/>
          <w:right w:w="108" w:type="dxa"/>
        </w:tblCellMar>
      </w:tblPr>
      <w:tblGrid>
        <w:gridCol w:w="2169"/>
        <w:gridCol w:w="987"/>
        <w:gridCol w:w="987"/>
        <w:gridCol w:w="987"/>
        <w:gridCol w:w="987"/>
        <w:gridCol w:w="987"/>
        <w:gridCol w:w="987"/>
        <w:gridCol w:w="990"/>
      </w:tblGrid>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时间进度</w:t>
            </w:r>
          </w:p>
        </w:tc>
        <w:tc>
          <w:tcPr>
            <w:tcW w:w="98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8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8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98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8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8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9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87"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c>
          <w:tcPr>
            <w:tcW w:w="990" w:type="dxa"/>
            <w:tcBorders>
              <w:top w:val="single" w:color="auto" w:sz="4" w:space="0"/>
              <w:left w:val="nil"/>
              <w:bottom w:val="single" w:color="auto" w:sz="4" w:space="0"/>
              <w:right w:val="single" w:color="auto" w:sz="4" w:space="0"/>
            </w:tcBorders>
            <w:noWrap w:val="0"/>
            <w:vAlign w:val="top"/>
          </w:tcPr>
          <w:p>
            <w:pPr>
              <w:spacing w:line="360" w:lineRule="auto"/>
              <w:rPr>
                <w:rFonts w:ascii="宋体" w:hAnsi="宋体" w:cs="宋体"/>
                <w:color w:val="auto"/>
                <w:szCs w:val="21"/>
                <w:highlight w:val="none"/>
              </w:rPr>
            </w:pPr>
          </w:p>
        </w:tc>
      </w:tr>
    </w:tbl>
    <w:p>
      <w:pPr>
        <w:adjustRightInd w:val="0"/>
        <w:spacing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注：上述时间表的格式仅供参考，采购人可自行编制切合实际的实施进度计划表模式。</w:t>
      </w:r>
    </w:p>
    <w:p>
      <w:pPr>
        <w:adjustRightInd w:val="0"/>
        <w:ind w:firstLine="4158" w:firstLineChars="1980"/>
        <w:rPr>
          <w:rFonts w:ascii="宋体" w:hAnsi="宋体" w:cs="宋体"/>
          <w:color w:val="auto"/>
          <w:szCs w:val="21"/>
          <w:highlight w:val="none"/>
        </w:rPr>
      </w:pPr>
    </w:p>
    <w:p>
      <w:pPr>
        <w:adjustRightInd w:val="0"/>
        <w:ind w:firstLine="4158" w:firstLineChars="1980"/>
        <w:rPr>
          <w:rFonts w:ascii="宋体" w:hAnsi="宋体" w:cs="宋体"/>
          <w:color w:val="auto"/>
          <w:szCs w:val="21"/>
          <w:highlight w:val="none"/>
        </w:rPr>
      </w:pPr>
    </w:p>
    <w:p>
      <w:pPr>
        <w:spacing w:line="360" w:lineRule="atLeast"/>
        <w:rPr>
          <w:rFonts w:ascii="宋体" w:hAnsi="宋体" w:cs="宋体"/>
          <w:color w:val="auto"/>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pStyle w:val="15"/>
        <w:spacing w:line="420" w:lineRule="exact"/>
        <w:rPr>
          <w:rFonts w:ascii="宋体" w:hAnsi="宋体" w:cs="宋体"/>
          <w:color w:val="auto"/>
          <w:sz w:val="24"/>
          <w:highlight w:val="none"/>
        </w:rPr>
      </w:pPr>
      <w:r>
        <w:rPr>
          <w:rFonts w:hint="eastAsia" w:ascii="宋体" w:hAnsi="宋体" w:cs="宋体"/>
          <w:b/>
          <w:bCs/>
          <w:color w:val="auto"/>
          <w:sz w:val="28"/>
          <w:szCs w:val="28"/>
          <w:highlight w:val="none"/>
        </w:rPr>
        <w:br w:type="page"/>
      </w:r>
      <w:bookmarkStart w:id="255" w:name="_Toc857"/>
      <w:bookmarkStart w:id="256" w:name="_Toc21852"/>
      <w:bookmarkStart w:id="257" w:name="_Toc28558"/>
      <w:bookmarkStart w:id="258" w:name="_Toc32525"/>
      <w:bookmarkStart w:id="259" w:name="_Toc18367"/>
      <w:bookmarkStart w:id="260" w:name="_Toc26981"/>
      <w:r>
        <w:rPr>
          <w:rStyle w:val="36"/>
          <w:rFonts w:hint="eastAsia" w:ascii="宋体" w:hAnsi="宋体" w:eastAsia="宋体"/>
          <w:color w:val="auto"/>
          <w:sz w:val="28"/>
          <w:szCs w:val="28"/>
          <w:highlight w:val="none"/>
        </w:rPr>
        <w:t>四、报价响应文件部分格式</w:t>
      </w:r>
      <w:bookmarkEnd w:id="255"/>
      <w:bookmarkEnd w:id="256"/>
      <w:bookmarkEnd w:id="257"/>
      <w:bookmarkEnd w:id="258"/>
      <w:bookmarkEnd w:id="259"/>
      <w:bookmarkEnd w:id="260"/>
    </w:p>
    <w:p>
      <w:pPr>
        <w:autoSpaceDE w:val="0"/>
        <w:autoSpaceDN w:val="0"/>
        <w:adjustRightInd w:val="0"/>
        <w:spacing w:line="360" w:lineRule="auto"/>
        <w:rPr>
          <w:rFonts w:ascii="宋体" w:hAnsi="宋体" w:cs="宋体"/>
          <w:b/>
          <w:bCs/>
          <w:color w:val="auto"/>
          <w:szCs w:val="21"/>
          <w:highlight w:val="none"/>
        </w:rPr>
      </w:pPr>
    </w:p>
    <w:p>
      <w:pPr>
        <w:autoSpaceDE w:val="0"/>
        <w:autoSpaceDN w:val="0"/>
        <w:adjustRightIn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4.1开标一览表</w:t>
      </w:r>
    </w:p>
    <w:p>
      <w:pPr>
        <w:pStyle w:val="14"/>
        <w:spacing w:line="600" w:lineRule="exact"/>
        <w:ind w:firstLine="0"/>
        <w:jc w:val="center"/>
        <w:rPr>
          <w:rFonts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t>开标一览表</w:t>
      </w:r>
    </w:p>
    <w:p>
      <w:pPr>
        <w:adjustRightInd w:val="0"/>
        <w:spacing w:line="360" w:lineRule="auto"/>
        <w:rPr>
          <w:rFonts w:ascii="宋体" w:hAnsi="宋体" w:cs="宋体"/>
          <w:color w:val="auto"/>
          <w:szCs w:val="21"/>
          <w:highlight w:val="none"/>
        </w:rPr>
      </w:pP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pStyle w:val="12"/>
              <w:ind w:firstLine="0"/>
              <w:rPr>
                <w:rFonts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highlight w:val="none"/>
              </w:rPr>
              <w:t>投标总价</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pStyle w:val="11"/>
              <w:jc w:val="left"/>
              <w:rPr>
                <w:rFonts w:ascii="宋体" w:hAnsi="宋体" w:cs="宋体"/>
                <w:color w:val="auto"/>
                <w:szCs w:val="21"/>
                <w:highlight w:val="none"/>
              </w:rPr>
            </w:pPr>
            <w:r>
              <w:rPr>
                <w:rFonts w:hint="eastAsia" w:ascii="宋体" w:hAnsi="宋体" w:cs="宋体"/>
                <w:color w:val="auto"/>
                <w:szCs w:val="21"/>
                <w:highlight w:val="none"/>
              </w:rPr>
              <w:t>小写：</w:t>
            </w:r>
          </w:p>
          <w:p>
            <w:pPr>
              <w:pStyle w:val="11"/>
              <w:jc w:val="left"/>
              <w:rPr>
                <w:rFonts w:ascii="宋体" w:hAnsi="宋体" w:cs="宋体"/>
                <w:color w:val="auto"/>
                <w:szCs w:val="21"/>
                <w:highlight w:val="none"/>
              </w:rPr>
            </w:pPr>
            <w:r>
              <w:rPr>
                <w:rFonts w:hint="eastAsia"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5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2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rPr>
                <w:rFonts w:ascii="宋体" w:hAnsi="宋体" w:cs="宋体"/>
                <w:color w:val="auto"/>
                <w:szCs w:val="21"/>
                <w:highlight w:val="none"/>
              </w:rPr>
            </w:pPr>
          </w:p>
        </w:tc>
      </w:tr>
    </w:tbl>
    <w:p>
      <w:pPr>
        <w:pStyle w:val="12"/>
        <w:ind w:firstLine="0"/>
        <w:rPr>
          <w:rFonts w:ascii="宋体" w:hAnsi="宋体" w:cs="宋体"/>
          <w:color w:val="auto"/>
          <w:szCs w:val="21"/>
          <w:highlight w:val="none"/>
        </w:rPr>
      </w:pPr>
    </w:p>
    <w:p>
      <w:pPr>
        <w:adjustRightInd w:val="0"/>
        <w:spacing w:line="360" w:lineRule="auto"/>
        <w:jc w:val="left"/>
        <w:rPr>
          <w:rFonts w:ascii="宋体" w:hAnsi="宋体" w:cs="宋体"/>
          <w:color w:val="auto"/>
          <w:szCs w:val="21"/>
          <w:highlight w:val="none"/>
        </w:rPr>
      </w:pPr>
    </w:p>
    <w:p>
      <w:pPr>
        <w:adjustRightInd w:val="0"/>
        <w:spacing w:line="360" w:lineRule="auto"/>
        <w:ind w:firstLine="420" w:firstLineChars="200"/>
        <w:rPr>
          <w:rFonts w:ascii="宋体" w:hAnsi="宋体" w:cs="宋体"/>
          <w:color w:val="auto"/>
          <w:szCs w:val="21"/>
          <w:highlight w:val="none"/>
        </w:rPr>
      </w:pPr>
    </w:p>
    <w:p>
      <w:pPr>
        <w:adjustRightInd w:val="0"/>
        <w:spacing w:line="360" w:lineRule="auto"/>
        <w:ind w:firstLine="420" w:firstLineChars="200"/>
        <w:rPr>
          <w:rFonts w:ascii="宋体" w:hAnsi="宋体" w:cs="宋体"/>
          <w:color w:val="auto"/>
          <w:szCs w:val="21"/>
          <w:highlight w:val="none"/>
        </w:rPr>
      </w:pP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snapToGrid w:val="0"/>
        <w:spacing w:line="360" w:lineRule="auto"/>
        <w:rPr>
          <w:rFonts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szCs w:val="21"/>
          <w:highlight w:val="none"/>
        </w:rPr>
        <w:t>4.2投标报价明细表</w:t>
      </w:r>
    </w:p>
    <w:p>
      <w:pPr>
        <w:pStyle w:val="14"/>
        <w:spacing w:line="600" w:lineRule="exact"/>
        <w:ind w:firstLine="0"/>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投标报价明细表</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浙江省统计局统计大脑项目</w:t>
      </w:r>
    </w:p>
    <w:p>
      <w:pPr>
        <w:adjustRightIn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ZJ-2371103-09</w:t>
      </w:r>
    </w:p>
    <w:p>
      <w:pPr>
        <w:jc w:val="right"/>
        <w:rPr>
          <w:rFonts w:ascii="宋体" w:hAnsi="宋体" w:cs="宋体"/>
          <w:color w:val="auto"/>
          <w:highlight w:val="none"/>
        </w:rPr>
      </w:pPr>
      <w:r>
        <w:rPr>
          <w:rFonts w:hint="eastAsia" w:ascii="宋体" w:hAnsi="宋体" w:cs="宋体"/>
          <w:color w:val="auto"/>
          <w:highlight w:val="none"/>
        </w:rPr>
        <w:t xml:space="preserve">                   元人民币</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8"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1"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费用名称</w:t>
            </w:r>
          </w:p>
        </w:tc>
        <w:tc>
          <w:tcPr>
            <w:tcW w:w="1659"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32"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746" w:type="dxa"/>
            <w:tcBorders>
              <w:top w:val="single" w:color="auto" w:sz="8"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总价</w:t>
            </w:r>
          </w:p>
        </w:tc>
        <w:tc>
          <w:tcPr>
            <w:tcW w:w="1127" w:type="dxa"/>
            <w:tcBorders>
              <w:top w:val="single" w:color="auto" w:sz="8"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center"/>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center"/>
          </w:tcPr>
          <w:p>
            <w:pPr>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adjustRightInd w:val="0"/>
              <w:snapToGrid w:val="0"/>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i/>
                <w:iCs/>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i/>
                <w:i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noWrap w:val="0"/>
            <w:vAlign w:val="top"/>
          </w:tcPr>
          <w:p>
            <w:pPr>
              <w:spacing w:line="460" w:lineRule="exact"/>
              <w:jc w:val="center"/>
              <w:rPr>
                <w:rFonts w:ascii="宋体" w:hAnsi="宋体" w:cs="宋体"/>
                <w:color w:val="auto"/>
                <w:szCs w:val="21"/>
                <w:highlight w:val="none"/>
              </w:rPr>
            </w:pPr>
          </w:p>
        </w:tc>
        <w:tc>
          <w:tcPr>
            <w:tcW w:w="2551" w:type="dxa"/>
            <w:tcBorders>
              <w:top w:val="single" w:color="auto" w:sz="2" w:space="0"/>
              <w:left w:val="single" w:color="auto" w:sz="2" w:space="0"/>
              <w:bottom w:val="single" w:color="auto" w:sz="2" w:space="0"/>
              <w:right w:val="single" w:color="auto" w:sz="2" w:space="0"/>
            </w:tcBorders>
            <w:noWrap w:val="0"/>
            <w:vAlign w:val="top"/>
          </w:tcPr>
          <w:p>
            <w:pPr>
              <w:spacing w:line="460" w:lineRule="exact"/>
              <w:rPr>
                <w:rFonts w:ascii="宋体" w:hAnsi="宋体" w:cs="宋体"/>
                <w:b/>
                <w:bCs/>
                <w:color w:val="auto"/>
                <w:szCs w:val="21"/>
                <w:highlight w:val="none"/>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32"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746" w:type="dxa"/>
            <w:tcBorders>
              <w:top w:val="single" w:color="auto" w:sz="2" w:space="0"/>
              <w:left w:val="single" w:color="auto" w:sz="2" w:space="0"/>
              <w:bottom w:val="single" w:color="auto" w:sz="2" w:space="0"/>
              <w:right w:val="single" w:color="auto" w:sz="2" w:space="0"/>
            </w:tcBorders>
            <w:noWrap w:val="0"/>
            <w:vAlign w:val="center"/>
          </w:tcPr>
          <w:p>
            <w:pPr>
              <w:spacing w:line="460" w:lineRule="exact"/>
              <w:jc w:val="center"/>
              <w:rPr>
                <w:rFonts w:ascii="宋体" w:hAnsi="宋体" w:cs="宋体"/>
                <w:color w:val="auto"/>
                <w:szCs w:val="21"/>
                <w:highlight w:val="none"/>
              </w:rPr>
            </w:pPr>
          </w:p>
        </w:tc>
        <w:tc>
          <w:tcPr>
            <w:tcW w:w="1127" w:type="dxa"/>
            <w:tcBorders>
              <w:top w:val="single" w:color="auto" w:sz="2" w:space="0"/>
              <w:left w:val="single" w:color="auto" w:sz="2" w:space="0"/>
              <w:bottom w:val="single" w:color="auto" w:sz="2" w:space="0"/>
              <w:right w:val="single" w:color="auto" w:sz="8" w:space="0"/>
            </w:tcBorders>
            <w:noWrap w:val="0"/>
            <w:vAlign w:val="center"/>
          </w:tcPr>
          <w:p>
            <w:pPr>
              <w:spacing w:line="460" w:lineRule="exact"/>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restart"/>
            <w:tcBorders>
              <w:top w:val="single" w:color="auto" w:sz="2" w:space="0"/>
              <w:left w:val="single" w:color="auto" w:sz="8" w:space="0"/>
              <w:bottom w:val="single" w:color="auto" w:sz="8" w:space="0"/>
              <w:right w:val="single" w:color="auto" w:sz="2" w:space="0"/>
            </w:tcBorders>
            <w:noWrap w:val="0"/>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5664" w:type="dxa"/>
            <w:gridSpan w:val="4"/>
            <w:tcBorders>
              <w:top w:val="single" w:color="auto" w:sz="2" w:space="0"/>
              <w:left w:val="single" w:color="auto" w:sz="2" w:space="0"/>
              <w:bottom w:val="single" w:color="auto" w:sz="2" w:space="0"/>
              <w:right w:val="single" w:color="auto" w:sz="8" w:space="0"/>
            </w:tcBorders>
            <w:noWrap w:val="0"/>
            <w:vAlign w:val="center"/>
          </w:tcPr>
          <w:p>
            <w:pPr>
              <w:spacing w:line="460" w:lineRule="exact"/>
              <w:jc w:val="left"/>
              <w:rPr>
                <w:rFonts w:ascii="宋体" w:hAnsi="宋体" w:cs="宋体"/>
                <w:color w:val="auto"/>
                <w:szCs w:val="21"/>
                <w:highlight w:val="none"/>
              </w:rPr>
            </w:pPr>
            <w:r>
              <w:rPr>
                <w:rFonts w:hint="eastAsia" w:ascii="宋体" w:hAnsi="宋体" w:cs="宋体"/>
                <w:color w:val="auto"/>
                <w:szCs w:val="21"/>
                <w:highlight w:val="none"/>
              </w:rPr>
              <w:t>小写：</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continue"/>
            <w:tcBorders>
              <w:top w:val="single" w:color="auto" w:sz="2" w:space="0"/>
              <w:left w:val="single" w:color="auto" w:sz="8" w:space="0"/>
              <w:bottom w:val="single" w:color="auto" w:sz="8" w:space="0"/>
              <w:right w:val="single" w:color="auto" w:sz="2" w:space="0"/>
            </w:tcBorders>
            <w:noWrap w:val="0"/>
            <w:vAlign w:val="center"/>
          </w:tcPr>
          <w:p>
            <w:pPr>
              <w:widowControl/>
              <w:jc w:val="left"/>
              <w:rPr>
                <w:rFonts w:ascii="宋体" w:hAnsi="宋体" w:cs="宋体"/>
                <w:color w:val="auto"/>
                <w:szCs w:val="21"/>
                <w:highlight w:val="none"/>
              </w:rPr>
            </w:pPr>
          </w:p>
        </w:tc>
        <w:tc>
          <w:tcPr>
            <w:tcW w:w="5664" w:type="dxa"/>
            <w:gridSpan w:val="4"/>
            <w:tcBorders>
              <w:top w:val="single" w:color="auto" w:sz="2" w:space="0"/>
              <w:left w:val="single" w:color="auto" w:sz="2" w:space="0"/>
              <w:bottom w:val="single" w:color="auto" w:sz="8" w:space="0"/>
              <w:right w:val="single" w:color="auto" w:sz="8" w:space="0"/>
            </w:tcBorders>
            <w:noWrap w:val="0"/>
            <w:vAlign w:val="center"/>
          </w:tcPr>
          <w:p>
            <w:pPr>
              <w:spacing w:line="460" w:lineRule="exact"/>
              <w:jc w:val="left"/>
              <w:rPr>
                <w:rFonts w:ascii="宋体" w:hAnsi="宋体" w:cs="宋体"/>
                <w:color w:val="auto"/>
                <w:szCs w:val="21"/>
                <w:highlight w:val="none"/>
              </w:rPr>
            </w:pPr>
            <w:r>
              <w:rPr>
                <w:rFonts w:hint="eastAsia" w:ascii="宋体" w:hAnsi="宋体" w:cs="宋体"/>
                <w:color w:val="auto"/>
                <w:szCs w:val="21"/>
                <w:highlight w:val="none"/>
              </w:rPr>
              <w:t>大写：</w:t>
            </w:r>
          </w:p>
        </w:tc>
      </w:tr>
    </w:tbl>
    <w:p>
      <w:pPr>
        <w:spacing w:line="360" w:lineRule="auto"/>
        <w:rPr>
          <w:rFonts w:ascii="宋体" w:hAnsi="宋体" w:cs="宋体"/>
          <w:color w:val="auto"/>
          <w:highlight w:val="none"/>
        </w:rPr>
      </w:pPr>
      <w:r>
        <w:rPr>
          <w:rFonts w:hint="eastAsia" w:ascii="宋体" w:hAnsi="宋体" w:cs="宋体"/>
          <w:color w:val="auto"/>
          <w:highlight w:val="none"/>
        </w:rPr>
        <w:t>注：1. 投标人根据实际情况可在表中报价明细的基础上进行扩展。</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2.上表所述“</w:t>
      </w:r>
      <w:r>
        <w:rPr>
          <w:rFonts w:hint="eastAsia" w:ascii="宋体" w:hAnsi="宋体" w:cs="宋体"/>
          <w:color w:val="auto"/>
          <w:szCs w:val="21"/>
          <w:highlight w:val="none"/>
        </w:rPr>
        <w:t>投标总价</w:t>
      </w:r>
      <w:r>
        <w:rPr>
          <w:rFonts w:hint="eastAsia" w:ascii="宋体" w:hAnsi="宋体" w:cs="宋体"/>
          <w:color w:val="auto"/>
          <w:highlight w:val="none"/>
        </w:rPr>
        <w:t>”应与“开标一览表”中的总报价一致，如有矛盾，以“开标一览表”中的为准。</w:t>
      </w:r>
    </w:p>
    <w:p>
      <w:pPr>
        <w:adjustRightIn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投标人（盖公章或电子签章）：</w:t>
      </w:r>
    </w:p>
    <w:p>
      <w:pPr>
        <w:pStyle w:val="15"/>
        <w:spacing w:line="420" w:lineRule="exact"/>
        <w:ind w:firstLine="4515" w:firstLineChars="2150"/>
        <w:rPr>
          <w:rFonts w:ascii="宋体" w:hAnsi="宋体" w:eastAsia="宋体" w:cs="宋体"/>
          <w:color w:val="auto"/>
          <w:highlight w:val="none"/>
        </w:rPr>
      </w:pPr>
      <w:r>
        <w:rPr>
          <w:rFonts w:hint="eastAsia" w:ascii="宋体" w:hAnsi="宋体" w:eastAsia="宋体" w:cs="宋体"/>
          <w:color w:val="auto"/>
          <w:highlight w:val="none"/>
        </w:rPr>
        <w:t>日期：</w:t>
      </w:r>
    </w:p>
    <w:p>
      <w:pPr>
        <w:pStyle w:val="24"/>
        <w:spacing w:before="0" w:beforeAutospacing="0" w:after="0" w:afterAutospacing="0" w:line="480" w:lineRule="auto"/>
        <w:ind w:firstLine="360" w:firstLineChars="200"/>
        <w:rPr>
          <w:rFonts w:ascii="宋体" w:hAnsi="宋体" w:cs="宋体"/>
          <w:color w:val="auto"/>
          <w:highlight w:val="none"/>
        </w:rPr>
      </w:pPr>
    </w:p>
    <w:p>
      <w:pPr>
        <w:pStyle w:val="15"/>
        <w:spacing w:line="420" w:lineRule="exact"/>
        <w:rPr>
          <w:rFonts w:ascii="宋体" w:hAnsi="宋体" w:cs="宋体"/>
          <w:b/>
          <w:bCs/>
          <w:color w:val="auto"/>
          <w:highlight w:val="none"/>
        </w:rPr>
      </w:pPr>
      <w:r>
        <w:rPr>
          <w:rFonts w:hint="eastAsia" w:ascii="宋体" w:hAnsi="宋体" w:cs="宋体"/>
          <w:color w:val="auto"/>
          <w:highlight w:val="none"/>
        </w:rPr>
        <w:br w:type="page"/>
      </w:r>
      <w:bookmarkStart w:id="261" w:name="_Toc31451"/>
      <w:bookmarkStart w:id="262" w:name="_Toc17675"/>
      <w:bookmarkStart w:id="263" w:name="_Toc18699"/>
      <w:bookmarkStart w:id="264" w:name="_Toc29263"/>
      <w:bookmarkStart w:id="265" w:name="_Toc1030"/>
      <w:r>
        <w:rPr>
          <w:rFonts w:hint="eastAsia" w:ascii="宋体" w:hAnsi="宋体" w:cs="宋体"/>
          <w:b/>
          <w:color w:val="auto"/>
          <w:szCs w:val="21"/>
          <w:highlight w:val="none"/>
        </w:rPr>
        <w:t>4.3</w:t>
      </w:r>
      <w:r>
        <w:rPr>
          <w:rFonts w:hint="eastAsia" w:ascii="宋体" w:hAnsi="宋体" w:eastAsia="宋体" w:cs="宋体"/>
          <w:b/>
          <w:bCs/>
          <w:color w:val="auto"/>
          <w:highlight w:val="none"/>
        </w:rPr>
        <w:t>分包意向协议</w:t>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hint="eastAsia" w:ascii="宋体" w:hAnsi="宋体" w:cs="宋体"/>
          <w:color w:val="auto"/>
          <w:kern w:val="0"/>
          <w:szCs w:val="21"/>
          <w:highlight w:val="none"/>
          <w:u w:val="single"/>
        </w:rPr>
      </w:pP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pPr>
        <w:ind w:firstLine="420" w:firstLineChars="200"/>
        <w:rPr>
          <w:color w:val="auto"/>
          <w:highlight w:val="none"/>
        </w:rPr>
      </w:pPr>
      <w:bookmarkStart w:id="266" w:name="_Toc12258"/>
      <w:bookmarkStart w:id="267" w:name="_Toc28615"/>
      <w:bookmarkStart w:id="268" w:name="_Toc7709"/>
      <w:bookmarkStart w:id="269" w:name="_Toc15798"/>
      <w:r>
        <w:rPr>
          <w:rFonts w:hint="eastAsia"/>
          <w:color w:val="auto"/>
          <w:highlight w:val="none"/>
        </w:rPr>
        <w:t>……</w:t>
      </w:r>
      <w:bookmarkEnd w:id="266"/>
      <w:bookmarkEnd w:id="267"/>
      <w:bookmarkEnd w:id="268"/>
      <w:bookmarkEnd w:id="269"/>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二、分包工作履行期限、地点、方式</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三、质量</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四、价款或者报酬</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五、违约责任</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六、争议解决的办法</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七、其他</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（分包供应商名称）提供的货物全部由小微企业制造，</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供应商提供的货物全部由小微企业制造，且其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pPr>
        <w:snapToGrid w:val="0"/>
        <w:spacing w:line="360" w:lineRule="auto"/>
        <w:ind w:firstLine="3360" w:firstLineChars="16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投标人（盖公章或电子签章）：</w:t>
      </w:r>
    </w:p>
    <w:p>
      <w:pPr>
        <w:snapToGrid w:val="0"/>
        <w:spacing w:line="360" w:lineRule="auto"/>
        <w:ind w:firstLine="3360" w:firstLineChars="16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pPr>
        <w:snapToGrid w:val="0"/>
        <w:spacing w:line="360" w:lineRule="auto"/>
        <w:ind w:firstLine="3360" w:firstLineChars="1600"/>
        <w:rPr>
          <w:rFonts w:ascii="宋体" w:hAnsi="宋体" w:cs="宋体"/>
          <w:color w:val="auto"/>
          <w:szCs w:val="21"/>
          <w:highlight w:val="none"/>
        </w:rPr>
      </w:pPr>
      <w:r>
        <w:rPr>
          <w:rFonts w:hint="eastAsia" w:ascii="宋体" w:hAnsi="宋体" w:cs="宋体"/>
          <w:color w:val="auto"/>
          <w:kern w:val="0"/>
          <w:szCs w:val="21"/>
          <w:highlight w:val="none"/>
          <w:lang w:val="zh-CN"/>
        </w:rPr>
        <w:t>日期：</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第七部分   其它</w:t>
      </w:r>
      <w:bookmarkEnd w:id="261"/>
      <w:bookmarkEnd w:id="262"/>
      <w:bookmarkEnd w:id="263"/>
      <w:bookmarkEnd w:id="264"/>
      <w:bookmarkEnd w:id="265"/>
    </w:p>
    <w:p>
      <w:pPr>
        <w:pStyle w:val="50"/>
        <w:widowControl w:val="0"/>
        <w:snapToGrid w:val="0"/>
        <w:spacing w:line="500" w:lineRule="exact"/>
        <w:jc w:val="center"/>
        <w:rPr>
          <w:rFonts w:hAnsi="宋体" w:cs="宋体"/>
          <w:b/>
          <w:color w:val="auto"/>
          <w:sz w:val="28"/>
          <w:szCs w:val="28"/>
          <w:highlight w:val="none"/>
        </w:rPr>
      </w:pPr>
      <w:r>
        <w:rPr>
          <w:rFonts w:hint="eastAsia" w:hAnsi="宋体" w:cs="宋体"/>
          <w:b/>
          <w:color w:val="auto"/>
          <w:sz w:val="28"/>
          <w:szCs w:val="28"/>
          <w:highlight w:val="none"/>
        </w:rPr>
        <w:t>政府采购活动现场确认声明书</w:t>
      </w:r>
    </w:p>
    <w:p>
      <w:pPr>
        <w:pStyle w:val="50"/>
        <w:widowControl w:val="0"/>
        <w:adjustRightInd w:val="0"/>
        <w:snapToGrid w:val="0"/>
        <w:spacing w:line="360" w:lineRule="auto"/>
        <w:jc w:val="both"/>
        <w:rPr>
          <w:rFonts w:hAnsi="宋体" w:cs="宋体"/>
          <w:color w:val="auto"/>
          <w:kern w:val="0"/>
          <w:szCs w:val="21"/>
          <w:highlight w:val="none"/>
          <w:u w:val="single"/>
        </w:rPr>
      </w:pPr>
    </w:p>
    <w:p>
      <w:pPr>
        <w:pStyle w:val="50"/>
        <w:widowControl w:val="0"/>
        <w:adjustRightInd w:val="0"/>
        <w:snapToGrid w:val="0"/>
        <w:spacing w:line="360" w:lineRule="auto"/>
        <w:jc w:val="both"/>
        <w:rPr>
          <w:rFonts w:hAnsi="宋体" w:cs="宋体"/>
          <w:b/>
          <w:color w:val="auto"/>
          <w:szCs w:val="21"/>
          <w:highlight w:val="none"/>
        </w:rPr>
      </w:pPr>
      <w:r>
        <w:rPr>
          <w:rFonts w:hint="eastAsia" w:hAnsi="宋体" w:cs="宋体"/>
          <w:color w:val="auto"/>
          <w:kern w:val="0"/>
          <w:szCs w:val="21"/>
          <w:highlight w:val="none"/>
          <w:u w:val="single"/>
        </w:rPr>
        <w:t>浙江国际招投标有限公司</w:t>
      </w:r>
      <w:r>
        <w:rPr>
          <w:rFonts w:hint="eastAsia" w:hAnsi="宋体" w:cs="宋体"/>
          <w:color w:val="auto"/>
          <w:kern w:val="0"/>
          <w:szCs w:val="21"/>
          <w:highlight w:val="none"/>
        </w:rPr>
        <w:t>：</w:t>
      </w:r>
    </w:p>
    <w:p>
      <w:pPr>
        <w:pStyle w:val="50"/>
        <w:widowControl w:val="0"/>
        <w:adjustRightInd w:val="0"/>
        <w:snapToGrid w:val="0"/>
        <w:spacing w:line="360" w:lineRule="auto"/>
        <w:ind w:firstLine="444" w:firstLineChars="200"/>
        <w:jc w:val="both"/>
        <w:rPr>
          <w:rFonts w:hAnsi="宋体" w:cs="宋体"/>
          <w:color w:val="auto"/>
          <w:spacing w:val="6"/>
          <w:szCs w:val="21"/>
          <w:highlight w:val="none"/>
        </w:rPr>
      </w:pPr>
      <w:r>
        <w:rPr>
          <w:rFonts w:hint="eastAsia" w:hAnsi="宋体" w:cs="宋体"/>
          <w:color w:val="auto"/>
          <w:spacing w:val="6"/>
          <w:szCs w:val="21"/>
          <w:highlight w:val="none"/>
        </w:rPr>
        <w:t>本人经由</w:t>
      </w:r>
      <w:r>
        <w:rPr>
          <w:rFonts w:hint="eastAsia" w:hAnsi="宋体" w:cs="宋体"/>
          <w:color w:val="auto"/>
          <w:spacing w:val="6"/>
          <w:szCs w:val="21"/>
          <w:highlight w:val="none"/>
          <w:u w:val="single"/>
        </w:rPr>
        <w:t xml:space="preserve">                    （单位）</w:t>
      </w:r>
      <w:r>
        <w:rPr>
          <w:rFonts w:hint="eastAsia" w:hAnsi="宋体" w:cs="宋体"/>
          <w:color w:val="auto"/>
          <w:spacing w:val="6"/>
          <w:szCs w:val="21"/>
          <w:highlight w:val="none"/>
        </w:rPr>
        <w:t>负责人</w:t>
      </w:r>
      <w:r>
        <w:rPr>
          <w:rFonts w:hint="eastAsia" w:hAnsi="宋体" w:cs="宋体"/>
          <w:color w:val="auto"/>
          <w:spacing w:val="6"/>
          <w:szCs w:val="21"/>
          <w:highlight w:val="none"/>
          <w:u w:val="single"/>
        </w:rPr>
        <w:t xml:space="preserve">        （姓名）</w:t>
      </w:r>
      <w:r>
        <w:rPr>
          <w:rFonts w:hint="eastAsia" w:hAnsi="宋体" w:cs="宋体"/>
          <w:color w:val="auto"/>
          <w:spacing w:val="6"/>
          <w:szCs w:val="21"/>
          <w:highlight w:val="none"/>
        </w:rPr>
        <w:t>合法授权参加</w:t>
      </w:r>
      <w:r>
        <w:rPr>
          <w:rFonts w:hint="eastAsia" w:hAnsi="宋体" w:cs="宋体"/>
          <w:color w:val="auto"/>
          <w:spacing w:val="6"/>
          <w:szCs w:val="21"/>
          <w:highlight w:val="none"/>
          <w:u w:val="single"/>
        </w:rPr>
        <w:t xml:space="preserve"> </w:t>
      </w:r>
      <w:r>
        <w:rPr>
          <w:rFonts w:hint="eastAsia" w:hAnsi="宋体" w:cs="宋体"/>
          <w:color w:val="auto"/>
          <w:spacing w:val="6"/>
          <w:szCs w:val="21"/>
          <w:highlight w:val="none"/>
          <w:u w:val="single"/>
          <w:lang w:eastAsia="zh-CN"/>
        </w:rPr>
        <w:t>浙江省统计局统计大脑项目</w:t>
      </w:r>
      <w:r>
        <w:rPr>
          <w:rFonts w:hint="eastAsia" w:hAnsi="宋体" w:cs="宋体"/>
          <w:color w:val="auto"/>
          <w:spacing w:val="6"/>
          <w:szCs w:val="21"/>
          <w:highlight w:val="none"/>
          <w:u w:val="single"/>
        </w:rPr>
        <w:t>（项目编号：</w:t>
      </w:r>
      <w:r>
        <w:rPr>
          <w:rFonts w:hint="eastAsia" w:hAnsi="宋体" w:cs="宋体"/>
          <w:color w:val="auto"/>
          <w:spacing w:val="6"/>
          <w:szCs w:val="21"/>
          <w:highlight w:val="none"/>
          <w:u w:val="single"/>
          <w:lang w:eastAsia="zh-CN"/>
        </w:rPr>
        <w:t>ZJ-2371103-09</w:t>
      </w:r>
      <w:r>
        <w:rPr>
          <w:rFonts w:hint="eastAsia" w:hAnsi="宋体" w:cs="宋体"/>
          <w:color w:val="auto"/>
          <w:spacing w:val="6"/>
          <w:szCs w:val="21"/>
          <w:highlight w:val="none"/>
          <w:u w:val="single"/>
        </w:rPr>
        <w:t>）</w:t>
      </w:r>
      <w:r>
        <w:rPr>
          <w:rFonts w:hint="eastAsia" w:hAnsi="宋体" w:cs="宋体"/>
          <w:color w:val="auto"/>
          <w:spacing w:val="6"/>
          <w:szCs w:val="21"/>
          <w:highlight w:val="none"/>
        </w:rPr>
        <w:t xml:space="preserve">政府采购活动，经与本单位法人代表（负责人）联系确认，现就有关公平竞争事项郑重声明如下： </w:t>
      </w:r>
    </w:p>
    <w:p>
      <w:pPr>
        <w:pStyle w:val="47"/>
        <w:widowControl/>
        <w:numPr>
          <w:ilvl w:val="0"/>
          <w:numId w:val="19"/>
        </w:numPr>
        <w:adjustRightInd w:val="0"/>
        <w:snapToGrid w:val="0"/>
        <w:spacing w:line="360" w:lineRule="auto"/>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47"/>
        <w:widowControl/>
        <w:adjustRightInd w:val="0"/>
        <w:snapToGrid w:val="0"/>
        <w:spacing w:line="360" w:lineRule="auto"/>
        <w:ind w:firstLine="200"/>
        <w:rPr>
          <w:rFonts w:ascii="宋体" w:hAnsi="宋体" w:cs="宋体"/>
          <w:color w:val="auto"/>
          <w:kern w:val="0"/>
          <w:szCs w:val="21"/>
          <w:highlight w:val="none"/>
        </w:rPr>
      </w:pPr>
      <w:r>
        <w:rPr>
          <w:rFonts w:hint="eastAsia" w:ascii="宋体" w:hAnsi="宋体" w:cs="宋体"/>
          <w:color w:val="auto"/>
          <w:kern w:val="0"/>
          <w:szCs w:val="21"/>
          <w:highlight w:val="none"/>
        </w:rPr>
        <w:t xml:space="preserve">  A.投资关系    B.行政隶属关系    C.业务指导关系</w:t>
      </w:r>
    </w:p>
    <w:p>
      <w:pPr>
        <w:pStyle w:val="47"/>
        <w:widowControl/>
        <w:adjustRightInd w:val="0"/>
        <w:snapToGrid w:val="0"/>
        <w:spacing w:line="360" w:lineRule="auto"/>
        <w:ind w:firstLine="200"/>
        <w:rPr>
          <w:rFonts w:ascii="宋体" w:hAnsi="宋体" w:cs="宋体"/>
          <w:color w:val="auto"/>
          <w:kern w:val="0"/>
          <w:szCs w:val="21"/>
          <w:highlight w:val="none"/>
        </w:rPr>
      </w:pPr>
      <w:r>
        <w:rPr>
          <w:rFonts w:hint="eastAsia" w:ascii="宋体" w:hAnsi="宋体" w:cs="宋体"/>
          <w:color w:val="auto"/>
          <w:kern w:val="0"/>
          <w:szCs w:val="21"/>
          <w:highlight w:val="none"/>
        </w:rPr>
        <w:t xml:space="preserve">  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 xml:space="preserve">（如有，请如实说明）                 </w:t>
      </w:r>
      <w:r>
        <w:rPr>
          <w:rFonts w:hint="eastAsia" w:ascii="宋体" w:hAnsi="宋体" w:cs="宋体"/>
          <w:color w:val="auto"/>
          <w:kern w:val="0"/>
          <w:szCs w:val="21"/>
          <w:highlight w:val="none"/>
        </w:rPr>
        <w:t>。</w:t>
      </w:r>
    </w:p>
    <w:p>
      <w:pPr>
        <w:pStyle w:val="47"/>
        <w:widowControl/>
        <w:adjustRightInd w:val="0"/>
        <w:snapToGrid w:val="0"/>
        <w:spacing w:line="360" w:lineRule="auto"/>
        <w:ind w:firstLine="200"/>
        <w:rPr>
          <w:rFonts w:ascii="宋体" w:hAnsi="宋体" w:cs="宋体"/>
          <w:color w:val="auto"/>
          <w:kern w:val="0"/>
          <w:szCs w:val="21"/>
          <w:highlight w:val="none"/>
        </w:rPr>
      </w:pPr>
      <w:r>
        <w:rPr>
          <w:rFonts w:hint="eastAsia" w:ascii="宋体" w:hAnsi="宋体" w:cs="宋体"/>
          <w:color w:val="auto"/>
          <w:spacing w:val="6"/>
          <w:szCs w:val="21"/>
          <w:highlight w:val="none"/>
        </w:rPr>
        <w:t xml:space="preserve">  二、</w:t>
      </w:r>
      <w:r>
        <w:rPr>
          <w:rFonts w:hint="eastAsia" w:ascii="宋体" w:hAnsi="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50"/>
        <w:widowControl w:val="0"/>
        <w:adjustRightInd w:val="0"/>
        <w:snapToGrid w:val="0"/>
        <w:spacing w:line="360" w:lineRule="auto"/>
        <w:ind w:firstLine="200"/>
        <w:jc w:val="both"/>
        <w:rPr>
          <w:rFonts w:hAnsi="宋体" w:cs="宋体"/>
          <w:color w:val="auto"/>
          <w:kern w:val="0"/>
          <w:szCs w:val="21"/>
          <w:highlight w:val="none"/>
        </w:rPr>
      </w:pPr>
      <w:r>
        <w:rPr>
          <w:rFonts w:hint="eastAsia" w:hAnsi="宋体" w:cs="宋体"/>
          <w:color w:val="auto"/>
          <w:kern w:val="0"/>
          <w:szCs w:val="21"/>
          <w:highlight w:val="none"/>
        </w:rPr>
        <w:t xml:space="preserve">  A.法定代表人或负责人或实际控制人是同一人</w:t>
      </w:r>
      <w:r>
        <w:rPr>
          <w:rFonts w:hint="eastAsia" w:hAnsi="宋体" w:cs="宋体"/>
          <w:snapToGrid w:val="0"/>
          <w:color w:val="auto"/>
          <w:kern w:val="0"/>
          <w:szCs w:val="21"/>
          <w:highlight w:val="none"/>
        </w:rPr>
        <w:t>；</w:t>
      </w:r>
    </w:p>
    <w:p>
      <w:pPr>
        <w:pStyle w:val="50"/>
        <w:widowControl w:val="0"/>
        <w:adjustRightInd w:val="0"/>
        <w:snapToGrid w:val="0"/>
        <w:spacing w:line="360" w:lineRule="auto"/>
        <w:ind w:firstLine="200"/>
        <w:jc w:val="both"/>
        <w:rPr>
          <w:rFonts w:hAnsi="宋体" w:cs="宋体"/>
          <w:color w:val="auto"/>
          <w:spacing w:val="6"/>
          <w:szCs w:val="21"/>
          <w:highlight w:val="none"/>
        </w:rPr>
      </w:pPr>
      <w:r>
        <w:rPr>
          <w:rFonts w:hint="eastAsia" w:hAnsi="宋体" w:cs="宋体"/>
          <w:color w:val="auto"/>
          <w:kern w:val="0"/>
          <w:szCs w:val="21"/>
          <w:highlight w:val="none"/>
        </w:rPr>
        <w:t xml:space="preserve">  B.法定代表人或负责人或实际控制人是夫妻关系；</w:t>
      </w:r>
    </w:p>
    <w:p>
      <w:pPr>
        <w:pStyle w:val="50"/>
        <w:widowControl w:val="0"/>
        <w:adjustRightInd w:val="0"/>
        <w:snapToGrid w:val="0"/>
        <w:spacing w:line="360" w:lineRule="auto"/>
        <w:ind w:firstLine="200"/>
        <w:jc w:val="both"/>
        <w:rPr>
          <w:rFonts w:hAnsi="宋体" w:cs="宋体"/>
          <w:color w:val="auto"/>
          <w:spacing w:val="6"/>
          <w:szCs w:val="21"/>
          <w:highlight w:val="none"/>
        </w:rPr>
      </w:pPr>
      <w:r>
        <w:rPr>
          <w:rFonts w:hint="eastAsia" w:hAnsi="宋体" w:cs="宋体"/>
          <w:color w:val="auto"/>
          <w:kern w:val="0"/>
          <w:szCs w:val="21"/>
          <w:highlight w:val="none"/>
        </w:rPr>
        <w:t xml:space="preserve">  C.法定代表人或负责人或实际控制人是直系血亲关系；</w:t>
      </w:r>
    </w:p>
    <w:p>
      <w:pPr>
        <w:pStyle w:val="50"/>
        <w:widowControl w:val="0"/>
        <w:adjustRightInd w:val="0"/>
        <w:snapToGrid w:val="0"/>
        <w:spacing w:line="360" w:lineRule="auto"/>
        <w:ind w:firstLine="200"/>
        <w:jc w:val="both"/>
        <w:rPr>
          <w:rFonts w:hAnsi="宋体" w:cs="宋体"/>
          <w:color w:val="auto"/>
          <w:spacing w:val="6"/>
          <w:szCs w:val="21"/>
          <w:highlight w:val="none"/>
        </w:rPr>
      </w:pPr>
      <w:r>
        <w:rPr>
          <w:rFonts w:hint="eastAsia" w:hAnsi="宋体" w:cs="宋体"/>
          <w:color w:val="auto"/>
          <w:kern w:val="0"/>
          <w:szCs w:val="21"/>
          <w:highlight w:val="none"/>
        </w:rPr>
        <w:t xml:space="preserve">  D.法定代表人或负责人或实际控制人存在三代以内旁系血亲关系；</w:t>
      </w:r>
    </w:p>
    <w:p>
      <w:pPr>
        <w:pStyle w:val="50"/>
        <w:widowControl w:val="0"/>
        <w:adjustRightInd w:val="0"/>
        <w:snapToGrid w:val="0"/>
        <w:spacing w:line="360" w:lineRule="auto"/>
        <w:ind w:firstLine="200"/>
        <w:jc w:val="both"/>
        <w:rPr>
          <w:rFonts w:hAnsi="宋体" w:cs="宋体"/>
          <w:color w:val="auto"/>
          <w:kern w:val="0"/>
          <w:szCs w:val="21"/>
          <w:highlight w:val="none"/>
        </w:rPr>
      </w:pPr>
      <w:r>
        <w:rPr>
          <w:rFonts w:hint="eastAsia" w:hAnsi="宋体" w:cs="宋体"/>
          <w:color w:val="auto"/>
          <w:kern w:val="0"/>
          <w:szCs w:val="21"/>
          <w:highlight w:val="none"/>
        </w:rPr>
        <w:t xml:space="preserve">  E.法定代表人或负责人或实际控制人存在近姻亲关系；</w:t>
      </w:r>
    </w:p>
    <w:p>
      <w:pPr>
        <w:pStyle w:val="50"/>
        <w:widowControl w:val="0"/>
        <w:adjustRightInd w:val="0"/>
        <w:snapToGrid w:val="0"/>
        <w:spacing w:line="360" w:lineRule="auto"/>
        <w:ind w:firstLine="200"/>
        <w:jc w:val="both"/>
        <w:rPr>
          <w:rFonts w:hAnsi="宋体" w:cs="宋体"/>
          <w:color w:val="auto"/>
          <w:kern w:val="0"/>
          <w:szCs w:val="21"/>
          <w:highlight w:val="none"/>
        </w:rPr>
      </w:pPr>
      <w:r>
        <w:rPr>
          <w:rFonts w:hint="eastAsia" w:hAnsi="宋体" w:cs="宋体"/>
          <w:color w:val="auto"/>
          <w:kern w:val="0"/>
          <w:szCs w:val="21"/>
          <w:highlight w:val="none"/>
        </w:rPr>
        <w:t xml:space="preserve">  F.法定代表人或负责人或实际控制人存在股份控制或实际控制关系；</w:t>
      </w:r>
    </w:p>
    <w:p>
      <w:pPr>
        <w:pStyle w:val="50"/>
        <w:widowControl w:val="0"/>
        <w:adjustRightInd w:val="0"/>
        <w:snapToGrid w:val="0"/>
        <w:spacing w:line="360" w:lineRule="auto"/>
        <w:ind w:firstLine="200"/>
        <w:jc w:val="both"/>
        <w:rPr>
          <w:rFonts w:hAnsi="宋体" w:cs="宋体"/>
          <w:color w:val="auto"/>
          <w:kern w:val="0"/>
          <w:szCs w:val="21"/>
          <w:highlight w:val="none"/>
        </w:rPr>
      </w:pPr>
      <w:r>
        <w:rPr>
          <w:rFonts w:hint="eastAsia" w:hAnsi="宋体" w:cs="宋体"/>
          <w:color w:val="auto"/>
          <w:kern w:val="0"/>
          <w:szCs w:val="21"/>
          <w:highlight w:val="none"/>
        </w:rPr>
        <w:t xml:space="preserve">  G.存在共同直接或间接投资设立子公司、联营企业和合营企业情况；</w:t>
      </w:r>
    </w:p>
    <w:p>
      <w:pPr>
        <w:pStyle w:val="50"/>
        <w:widowControl w:val="0"/>
        <w:adjustRightInd w:val="0"/>
        <w:snapToGrid w:val="0"/>
        <w:spacing w:line="360" w:lineRule="auto"/>
        <w:ind w:firstLine="200"/>
        <w:jc w:val="both"/>
        <w:rPr>
          <w:rFonts w:hAnsi="宋体" w:cs="宋体"/>
          <w:color w:val="auto"/>
          <w:szCs w:val="21"/>
          <w:highlight w:val="none"/>
        </w:rPr>
      </w:pPr>
      <w:r>
        <w:rPr>
          <w:rFonts w:hint="eastAsia" w:hAnsi="宋体" w:cs="宋体"/>
          <w:color w:val="auto"/>
          <w:kern w:val="0"/>
          <w:szCs w:val="21"/>
          <w:highlight w:val="none"/>
        </w:rPr>
        <w:t xml:space="preserve">  H.存在分级代理或代销关系、同一生产制造商关系、</w:t>
      </w:r>
      <w:r>
        <w:rPr>
          <w:rFonts w:hint="eastAsia" w:hAnsi="宋体" w:cs="宋体"/>
          <w:color w:val="auto"/>
          <w:szCs w:val="21"/>
          <w:highlight w:val="none"/>
        </w:rPr>
        <w:t>管理关系、重要业务（占主营业务收入50%以上）或重要财务往来关系（如融资）等其他实质性控制关系；</w:t>
      </w:r>
    </w:p>
    <w:p>
      <w:pPr>
        <w:pStyle w:val="50"/>
        <w:widowControl w:val="0"/>
        <w:adjustRightInd w:val="0"/>
        <w:snapToGrid w:val="0"/>
        <w:spacing w:line="360" w:lineRule="auto"/>
        <w:ind w:firstLine="200"/>
        <w:jc w:val="both"/>
        <w:rPr>
          <w:rFonts w:hAnsi="宋体" w:cs="宋体"/>
          <w:color w:val="auto"/>
          <w:spacing w:val="6"/>
          <w:szCs w:val="21"/>
          <w:highlight w:val="none"/>
        </w:rPr>
      </w:pPr>
      <w:r>
        <w:rPr>
          <w:rFonts w:hint="eastAsia" w:hAnsi="宋体" w:cs="宋体"/>
          <w:color w:val="auto"/>
          <w:szCs w:val="21"/>
          <w:highlight w:val="none"/>
        </w:rPr>
        <w:t xml:space="preserve">   I</w:t>
      </w:r>
      <w:r>
        <w:rPr>
          <w:rFonts w:hint="eastAsia" w:hAnsi="宋体" w:cs="宋体"/>
          <w:color w:val="auto"/>
          <w:kern w:val="0"/>
          <w:szCs w:val="21"/>
          <w:highlight w:val="none"/>
        </w:rPr>
        <w:t>.</w:t>
      </w:r>
      <w:r>
        <w:rPr>
          <w:rFonts w:hint="eastAsia" w:hAnsi="宋体" w:cs="宋体"/>
          <w:color w:val="auto"/>
          <w:szCs w:val="21"/>
          <w:highlight w:val="none"/>
        </w:rPr>
        <w:t>其他利害关系情况</w:t>
      </w:r>
      <w:r>
        <w:rPr>
          <w:rFonts w:hint="eastAsia" w:hAnsi="宋体" w:cs="宋体"/>
          <w:color w:val="auto"/>
          <w:szCs w:val="21"/>
          <w:highlight w:val="none"/>
          <w:u w:val="single"/>
        </w:rPr>
        <w:t xml:space="preserve">                              </w:t>
      </w:r>
      <w:r>
        <w:rPr>
          <w:rFonts w:hint="eastAsia" w:hAnsi="宋体" w:cs="宋体"/>
          <w:color w:val="auto"/>
          <w:kern w:val="0"/>
          <w:szCs w:val="21"/>
          <w:highlight w:val="none"/>
        </w:rPr>
        <w:t>。</w:t>
      </w:r>
    </w:p>
    <w:p>
      <w:pPr>
        <w:pStyle w:val="47"/>
        <w:widowControl/>
        <w:numPr>
          <w:ilvl w:val="0"/>
          <w:numId w:val="20"/>
        </w:numPr>
        <w:adjustRightInd w:val="0"/>
        <w:snapToGrid w:val="0"/>
        <w:spacing w:line="360" w:lineRule="auto"/>
        <w:ind w:firstLine="396" w:firstLineChars="189"/>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pPr>
        <w:pStyle w:val="47"/>
        <w:widowControl/>
        <w:numPr>
          <w:ilvl w:val="0"/>
          <w:numId w:val="20"/>
        </w:numPr>
        <w:adjustRightInd w:val="0"/>
        <w:snapToGrid w:val="0"/>
        <w:spacing w:line="360" w:lineRule="auto"/>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pPr>
        <w:pStyle w:val="47"/>
        <w:widowControl/>
        <w:adjustRightInd w:val="0"/>
        <w:snapToGrid w:val="0"/>
        <w:spacing w:line="360" w:lineRule="auto"/>
        <w:rPr>
          <w:rFonts w:ascii="宋体" w:hAnsi="宋体" w:cs="宋体"/>
          <w:color w:val="auto"/>
          <w:kern w:val="0"/>
          <w:szCs w:val="21"/>
          <w:highlight w:val="none"/>
        </w:rPr>
      </w:pPr>
    </w:p>
    <w:p>
      <w:pPr>
        <w:pStyle w:val="50"/>
        <w:widowControl w:val="0"/>
        <w:adjustRightInd w:val="0"/>
        <w:snapToGrid w:val="0"/>
        <w:spacing w:line="360" w:lineRule="auto"/>
        <w:ind w:firstLine="420" w:firstLineChars="200"/>
        <w:jc w:val="both"/>
        <w:rPr>
          <w:rFonts w:hAnsi="宋体" w:cs="宋体"/>
          <w:color w:val="auto"/>
          <w:szCs w:val="21"/>
          <w:highlight w:val="none"/>
        </w:rPr>
      </w:pPr>
      <w:r>
        <w:rPr>
          <w:rFonts w:hint="eastAsia" w:hAnsi="宋体" w:cs="宋体"/>
          <w:color w:val="auto"/>
          <w:szCs w:val="21"/>
          <w:highlight w:val="none"/>
        </w:rPr>
        <w:t xml:space="preserve">                                （供应商代表签名）</w:t>
      </w:r>
    </w:p>
    <w:p>
      <w:pPr>
        <w:adjustRightInd w:val="0"/>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2023年  月  日 </w:t>
      </w:r>
    </w:p>
    <w:p>
      <w:pPr>
        <w:spacing w:line="360" w:lineRule="exact"/>
        <w:rPr>
          <w:rFonts w:ascii="宋体" w:hAnsi="宋体" w:cs="宋体"/>
          <w:b/>
          <w:bCs/>
          <w:color w:val="auto"/>
          <w:highlight w:val="none"/>
        </w:rPr>
      </w:pPr>
      <w:r>
        <w:rPr>
          <w:rFonts w:hint="eastAsia" w:ascii="宋体" w:hAnsi="宋体" w:cs="宋体"/>
          <w:b/>
          <w:bCs/>
          <w:color w:val="auto"/>
          <w:highlight w:val="none"/>
        </w:rPr>
        <w:t>特别说明：</w:t>
      </w:r>
      <w:r>
        <w:rPr>
          <w:rFonts w:hint="eastAsia" w:ascii="宋体" w:hAnsi="宋体" w:cs="宋体"/>
          <w:b/>
          <w:bCs/>
          <w:color w:val="auto"/>
          <w:szCs w:val="21"/>
          <w:highlight w:val="none"/>
        </w:rPr>
        <w:t>《政府采购活动现场确认声明书》必须在收到政采云系统中包含投标人名单等相关信息的相关询标函后30分钟内在线提交或发送至zq017@163.com，本声明书作为符合性审查的依据。</w:t>
      </w:r>
    </w:p>
    <w:p>
      <w:pPr>
        <w:tabs>
          <w:tab w:val="left" w:pos="0"/>
        </w:tabs>
        <w:autoSpaceDE w:val="0"/>
        <w:autoSpaceDN w:val="0"/>
        <w:spacing w:line="360" w:lineRule="auto"/>
        <w:jc w:val="center"/>
        <w:rPr>
          <w:rFonts w:ascii="黑体" w:hAnsi="黑体" w:eastAsia="黑体" w:cs="黑体"/>
          <w:b/>
          <w:bCs/>
          <w:color w:val="auto"/>
          <w:sz w:val="30"/>
          <w:szCs w:val="30"/>
          <w:highlight w:val="none"/>
        </w:rPr>
      </w:pPr>
      <w:r>
        <w:rPr>
          <w:rFonts w:hint="eastAsia" w:ascii="宋体" w:hAnsi="宋体" w:cs="宋体"/>
          <w:color w:val="auto"/>
          <w:szCs w:val="21"/>
          <w:highlight w:val="none"/>
        </w:rPr>
        <w:br w:type="page"/>
      </w:r>
      <w:r>
        <w:rPr>
          <w:rFonts w:hint="eastAsia" w:ascii="宋体" w:hAnsi="宋体" w:cs="宋体"/>
          <w:b/>
          <w:color w:val="auto"/>
          <w:sz w:val="28"/>
          <w:szCs w:val="28"/>
          <w:highlight w:val="none"/>
        </w:rPr>
        <w:t>质疑函范本</w:t>
      </w:r>
    </w:p>
    <w:p>
      <w:pPr>
        <w:adjustRightInd w:val="0"/>
        <w:snapToGrid w:val="0"/>
        <w:spacing w:before="312" w:beforeLines="100"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pPr>
        <w:adjustRightInd w:val="0"/>
        <w:snapToGrid w:val="0"/>
        <w:spacing w:line="360" w:lineRule="auto"/>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质疑函制作说明：</w:t>
      </w:r>
    </w:p>
    <w:p>
      <w:pPr>
        <w:pStyle w:val="14"/>
        <w:rPr>
          <w:rFonts w:ascii="宋体" w:hAnsi="宋体" w:eastAsia="宋体" w:cs="宋体"/>
          <w:color w:val="auto"/>
          <w:sz w:val="21"/>
          <w:szCs w:val="21"/>
          <w:highlight w:val="none"/>
        </w:rPr>
      </w:pP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ascii="仿宋_GB2312" w:eastAsia="仿宋_GB2312"/>
          <w:color w:val="auto"/>
          <w:sz w:val="24"/>
          <w:highlight w:val="none"/>
        </w:rPr>
      </w:pPr>
    </w:p>
    <w:p>
      <w:pPr>
        <w:rPr>
          <w:color w:val="auto"/>
          <w:highlight w:val="none"/>
        </w:rPr>
      </w:pPr>
    </w:p>
    <w:p>
      <w:pPr>
        <w:rPr>
          <w:rFonts w:ascii="宋体" w:hAnsi="宋体"/>
          <w:b/>
          <w:color w:val="auto"/>
          <w:sz w:val="28"/>
          <w:szCs w:val="28"/>
          <w:highlight w:val="none"/>
        </w:rPr>
      </w:pPr>
      <w:r>
        <w:rPr>
          <w:color w:val="auto"/>
          <w:highlight w:val="none"/>
        </w:rPr>
        <w:br w:type="page"/>
      </w:r>
    </w:p>
    <w:p>
      <w:pPr>
        <w:tabs>
          <w:tab w:val="left" w:pos="0"/>
        </w:tabs>
        <w:autoSpaceDE w:val="0"/>
        <w:autoSpaceDN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投诉书范本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pPr>
        <w:spacing w:line="360" w:lineRule="auto"/>
        <w:ind w:firstLine="420" w:firstLineChars="200"/>
        <w:rPr>
          <w:rFonts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w:t>
      </w:r>
      <w:r>
        <w:rPr>
          <w:rFonts w:hint="eastAsia" w:ascii="宋体" w:hAnsi="宋体" w:cs="宋体"/>
          <w:color w:val="auto"/>
          <w:szCs w:val="21"/>
          <w:highlight w:val="none"/>
        </w:rPr>
        <w:t>理人的姓名或者名称、代理事项、具体权限、期限和相关事项。</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ascii="宋体" w:hAnsi="宋体" w:cs="宋体"/>
          <w:color w:val="auto"/>
          <w:sz w:val="30"/>
          <w:szCs w:val="30"/>
          <w:highlight w:val="none"/>
        </w:rPr>
      </w:pPr>
    </w:p>
    <w:p>
      <w:pPr>
        <w:rPr>
          <w:rFonts w:ascii="宋体" w:hAnsi="宋体"/>
          <w:color w:val="auto"/>
          <w:szCs w:val="21"/>
          <w:highlight w:val="none"/>
        </w:rPr>
      </w:pPr>
    </w:p>
    <w:p>
      <w:pPr>
        <w:adjustRightInd w:val="0"/>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w:t>
      </w:r>
    </w:p>
    <w:p>
      <w:pPr>
        <w:rPr>
          <w:rFonts w:ascii="宋体" w:hAnsi="宋体" w:cs="宋体"/>
          <w:color w:val="auto"/>
          <w:szCs w:val="21"/>
          <w:highlight w:val="none"/>
        </w:rPr>
      </w:pPr>
    </w:p>
    <w:p>
      <w:pPr>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p>
    <w:sectPr>
      <w:headerReference r:id="rId6" w:type="default"/>
      <w:footerReference r:id="rId7" w:type="default"/>
      <w:pgSz w:w="11906" w:h="16838"/>
      <w:pgMar w:top="1440" w:right="1800" w:bottom="1440" w:left="1800"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4aj184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qeUaKbQ8Mv3b5cf vy4/v5JplKexfo6onUVcaN+aFkMz3HtcRtZt6VT8BR8CP8Q9X8UVbSA8PppNZ7MxXBy+4QD87PG5 dT68E0aRaOTUoXtJVHba+tCFDiExmzabWsrUQalJk9Ob12/G6cHVA3CpY6xIs9DDREpd6dEK7b7t ee5NcQZNZ7o58ZZvapSyZT48MIfBQPlYnXCPTykNUpreoqQy7su/7mM8+gUvJQ0GLacae0WJfK/R RwCGwXCDsR8MfVR3BpM7wUpankw8cEEOZumM+ox9WsUccDHNkSmnYTDvQjfs2EcuVqsUdLSuPlTd A0yhZWGrd5bHNFEqb1fHAGmT4lGgThV0Kh4wh6ln/c7EQf/znKIe/yeWvwF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XhqPXzgCAABvBAAADgAAAAAAAAABACAAAAAfAQAAZHJzL2Uyb0RvYy54 bWxQSwUGAAAAAAYABgBZAQAAyQUAAAAA ">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upMyU4AgAAbwQAAA4AAABkcnMvZTJvRG9jLnhtbK1UzY7TMBC+I/EO lu80aRG7VdV0VbYqQqrYlRbE2XWcJpL/ZLtNygPAG3Diwp3n6nPw2Wm6aOGwBy7p2DP+Zr5vZjq/ 6ZQkB+F8Y3RBx6OcEqG5KRu9K+inj+tXU0p8YLpk0mhR0KPw9Gbx8sW8tTMxMbWRpXAEINrPWlvQ OgQ7yzLPa6GYHxkrNJyVcYoFHN0uKx1rga5kNsnzq6w1rrTOcOE9ble9k54R3XMATVU1XKwM3yuh Q4/qhGQBlHzdWE8XqdqqEjzcVZUXgciCgmlIXySBvY3fbDFns51jtm74uQT2nBKecFKs0Uh6gVqx wMjeNX9BqYY7400VRtyorCeSFAGLcf5Em4eaWZG4QGpvL6L7/wfLPxzuHWnKgl5ToplCw0/fv51+ /Dr9/Equozyt9TNEPVjEhe6t6TA0w73HZWTdVU7FX/Ah8EPc40Vc0QXC46PpZDrN4eLwDQfgZ4/P rfPhnTCKRKOgDt1LorLDxoc+dAiJ2bRZN1KmDkpN2oJevX6T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e6kzJTgCAABvBAAADgAAAAAAAAABACAAAAAfAQAAZHJzL2Uyb0RvYy54 bWxQSwUGAAAAAAYABgBZAQAAyQUAAAAA ">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hpm104AgAAbwQAAA4AAABkcnMvZTJvRG9jLnhtbK1UzY7TMBC+I/EO lu80aVcsVdV0VbYqQqrYlRbE2XWcJpL/ZLtNygPAG3Diwp3n6nPw2Wm6aOGwBy7p2DP+Zr5vZjq/ 6ZQkB+F8Y3RBx6OcEqG5KRu9K+inj+tXU0p8YLpk0mhR0KPw9Gbx8sW8tTMxMbWRpXAEINrPWlvQ OgQ7yzLPa6GYHxkrNJyVcYoFHN0uKx1rga5kNsnz66w1rrTOcOE9ble9k54R3XMATVU1XKwM3yuh Q4/qhGQBlHzdWE8XqdqqEjzcVZUXgciCgmlIXySBvY3fbDFns51jtm74uQT2nBKecFKs0Uh6gVqx wMjeNX9BqYY7400VRtyorCeSFAGLcf5Em4eaWZG4QGpvL6L7/wfLPxzuHWnKgl5RoplCw0/fv51+ /Dr9/EreRHla62eIerCIC91b02FohnuPy8i6q5yKv+BD4Ie4x4u4oguEx0fTyXSaw8XhGw7Azx6f W+fDO2EUiUZBHbqXRGWHjQ996BASs2mzbqRMHZSatAW9vnqdpwcXD8CljrEizcIZJlLqS49W6Lbd mefWlEfQdKafE2/5ukEpG+bDPXMYDJSP1Ql3+FTSIKU5W5TUxn35132MR7/gpaTFoBVUY68oke81 +gjAMBhuMLaDoffq1mByx1hJy5OJBy7IwaycUZ+xT8uYAy6mOTIVNAzmbeiHHfvIxXKZgvbWNbu6 f4AptCxs9IPlMU2UytvlPkDapHgUqFcFnYoHzGHq2Xln4qD/eU5Rj/8Ti9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GGmbXTgCAABvBAAADgAAAAAAAAABACAAAAAfAQAAZHJzL2Uyb0RvYy54 bWxQSwUGAAAAAAYABgBZAQAAyQUAAAAA ">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w:fldChar w:fldCharType="begin"/>
    </w:r>
    <w:r>
      <w:rPr>
        <w:rStyle w:val="31"/>
      </w:rPr>
      <w:instrText xml:space="preserve"> PAGE </w:instrText>
    </w:r>
    <w:r>
      <w:fldChar w:fldCharType="separate"/>
    </w:r>
    <w:r>
      <w:rPr>
        <w:rStyle w:val="31"/>
      </w:rPr>
      <w:t>80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3C1F7"/>
    <w:multiLevelType w:val="multilevel"/>
    <w:tmpl w:val="9443C1F7"/>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98C19939"/>
    <w:multiLevelType w:val="singleLevel"/>
    <w:tmpl w:val="98C19939"/>
    <w:lvl w:ilvl="0" w:tentative="0">
      <w:start w:val="1"/>
      <w:numFmt w:val="decimal"/>
      <w:suff w:val="nothing"/>
      <w:lvlText w:val="（%1）"/>
      <w:lvlJc w:val="left"/>
      <w:pPr>
        <w:ind w:left="0" w:firstLine="0"/>
      </w:pPr>
    </w:lvl>
  </w:abstractNum>
  <w:abstractNum w:abstractNumId="2">
    <w:nsid w:val="A748B2BA"/>
    <w:multiLevelType w:val="singleLevel"/>
    <w:tmpl w:val="A748B2BA"/>
    <w:lvl w:ilvl="0" w:tentative="0">
      <w:start w:val="1"/>
      <w:numFmt w:val="decimal"/>
      <w:lvlText w:val="%1."/>
      <w:lvlJc w:val="left"/>
      <w:pPr>
        <w:tabs>
          <w:tab w:val="left" w:pos="312"/>
        </w:tabs>
        <w:ind w:left="0" w:firstLine="0"/>
      </w:pPr>
    </w:lvl>
  </w:abstractNum>
  <w:abstractNum w:abstractNumId="3">
    <w:nsid w:val="AB92FBAC"/>
    <w:multiLevelType w:val="singleLevel"/>
    <w:tmpl w:val="AB92FBAC"/>
    <w:lvl w:ilvl="0" w:tentative="0">
      <w:start w:val="1"/>
      <w:numFmt w:val="decimalEnclosedCircleChinese"/>
      <w:suff w:val="nothing"/>
      <w:lvlText w:val="%1　"/>
      <w:lvlJc w:val="left"/>
      <w:pPr>
        <w:ind w:left="0" w:firstLine="400"/>
      </w:pPr>
    </w:lvl>
  </w:abstractNum>
  <w:abstractNum w:abstractNumId="4">
    <w:nsid w:val="AC57D785"/>
    <w:multiLevelType w:val="singleLevel"/>
    <w:tmpl w:val="AC57D785"/>
    <w:lvl w:ilvl="0" w:tentative="0">
      <w:start w:val="1"/>
      <w:numFmt w:val="decimal"/>
      <w:lvlText w:val="%1."/>
      <w:lvlJc w:val="left"/>
      <w:pPr>
        <w:tabs>
          <w:tab w:val="left" w:pos="312"/>
        </w:tabs>
      </w:pPr>
    </w:lvl>
  </w:abstractNum>
  <w:abstractNum w:abstractNumId="5">
    <w:nsid w:val="C8E4A651"/>
    <w:multiLevelType w:val="singleLevel"/>
    <w:tmpl w:val="C8E4A651"/>
    <w:lvl w:ilvl="0" w:tentative="0">
      <w:start w:val="1"/>
      <w:numFmt w:val="decimal"/>
      <w:lvlText w:val="(%1)"/>
      <w:lvlJc w:val="left"/>
      <w:pPr>
        <w:ind w:left="425" w:hanging="425"/>
      </w:pPr>
    </w:lvl>
  </w:abstractNum>
  <w:abstractNum w:abstractNumId="6">
    <w:nsid w:val="CD4AC3EE"/>
    <w:multiLevelType w:val="singleLevel"/>
    <w:tmpl w:val="CD4AC3EE"/>
    <w:lvl w:ilvl="0" w:tentative="0">
      <w:start w:val="1"/>
      <w:numFmt w:val="chineseCounting"/>
      <w:suff w:val="nothing"/>
      <w:lvlText w:val="%1、"/>
      <w:lvlJc w:val="left"/>
      <w:pPr>
        <w:ind w:left="0" w:firstLine="420"/>
      </w:pPr>
      <w:rPr>
        <w:rFonts w:hint="eastAsia"/>
      </w:rPr>
    </w:lvl>
  </w:abstractNum>
  <w:abstractNum w:abstractNumId="7">
    <w:nsid w:val="D5B14AB9"/>
    <w:multiLevelType w:val="multilevel"/>
    <w:tmpl w:val="D5B14AB9"/>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8">
    <w:nsid w:val="DF3EF7F0"/>
    <w:multiLevelType w:val="multilevel"/>
    <w:tmpl w:val="DF3EF7F0"/>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ascii="宋体" w:hAnsi="宋体" w:eastAsia="宋体" w:cs="宋体"/>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pStyle w:val="4"/>
      <w:isLgl/>
      <w:lvlText w:val="%1.%2.%3.%4.%5."/>
      <w:lvlJc w:val="left"/>
      <w:pPr>
        <w:ind w:left="1008" w:hanging="1008"/>
      </w:pPr>
      <w:rPr>
        <w:rFonts w:hint="eastAsia" w:ascii="宋体" w:hAnsi="宋体" w:eastAsia="宋体" w:cs="宋体"/>
      </w:rPr>
    </w:lvl>
    <w:lvl w:ilvl="5" w:tentative="0">
      <w:start w:val="1"/>
      <w:numFmt w:val="decimal"/>
      <w:pStyle w:val="5"/>
      <w:isLgl/>
      <w:lvlText w:val="%1.%2.%3.%4.%5.%6."/>
      <w:lvlJc w:val="left"/>
      <w:pPr>
        <w:ind w:left="1151" w:hanging="1151"/>
      </w:pPr>
      <w:rPr>
        <w:rFonts w:hint="eastAsia" w:ascii="宋体" w:hAnsi="宋体" w:eastAsia="宋体" w:cs="宋体"/>
      </w:rPr>
    </w:lvl>
    <w:lvl w:ilvl="6" w:tentative="0">
      <w:start w:val="1"/>
      <w:numFmt w:val="decimal"/>
      <w:pStyle w:val="6"/>
      <w:lvlText w:val="%1.%2.%3.%4.%5.%6.%7."/>
      <w:lvlJc w:val="left"/>
      <w:pPr>
        <w:ind w:left="1296" w:hanging="1296"/>
      </w:pPr>
      <w:rPr>
        <w:rFonts w:hint="eastAsia"/>
      </w:rPr>
    </w:lvl>
    <w:lvl w:ilvl="7" w:tentative="0">
      <w:start w:val="1"/>
      <w:numFmt w:val="decimal"/>
      <w:pStyle w:val="7"/>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9">
    <w:nsid w:val="F1D14BBD"/>
    <w:multiLevelType w:val="multilevel"/>
    <w:tmpl w:val="F1D14BBD"/>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F6CE8F93"/>
    <w:multiLevelType w:val="singleLevel"/>
    <w:tmpl w:val="F6CE8F93"/>
    <w:lvl w:ilvl="0" w:tentative="0">
      <w:start w:val="1"/>
      <w:numFmt w:val="decimalEnclosedCircleChinese"/>
      <w:suff w:val="nothing"/>
      <w:lvlText w:val="%1　"/>
      <w:lvlJc w:val="left"/>
      <w:pPr>
        <w:ind w:left="0" w:firstLine="400"/>
      </w:pPr>
    </w:lvl>
  </w:abstractNum>
  <w:abstractNum w:abstractNumId="11">
    <w:nsid w:val="FD3D5028"/>
    <w:multiLevelType w:val="singleLevel"/>
    <w:tmpl w:val="FD3D5028"/>
    <w:lvl w:ilvl="0" w:tentative="0">
      <w:start w:val="1"/>
      <w:numFmt w:val="decimal"/>
      <w:lvlText w:val="(%1)"/>
      <w:lvlJc w:val="left"/>
      <w:pPr>
        <w:ind w:left="425" w:hanging="425"/>
      </w:pPr>
    </w:lvl>
  </w:abstractNum>
  <w:abstractNum w:abstractNumId="12">
    <w:nsid w:val="00000003"/>
    <w:multiLevelType w:val="multilevel"/>
    <w:tmpl w:val="00000003"/>
    <w:lvl w:ilvl="0" w:tentative="0">
      <w:start w:val="1"/>
      <w:numFmt w:val="decimal"/>
      <w:lvlText w:val="（%1）"/>
      <w:lvlJc w:val="left"/>
      <w:pPr>
        <w:tabs>
          <w:tab w:val="left" w:pos="937"/>
        </w:tabs>
        <w:ind w:left="926" w:hanging="50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90C6B"/>
    <w:multiLevelType w:val="multilevel"/>
    <w:tmpl w:val="0AB90C6B"/>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4">
    <w:nsid w:val="54F403B5"/>
    <w:multiLevelType w:val="singleLevel"/>
    <w:tmpl w:val="54F403B5"/>
    <w:lvl w:ilvl="0" w:tentative="0">
      <w:start w:val="1"/>
      <w:numFmt w:val="chineseCounting"/>
      <w:suff w:val="nothing"/>
      <w:lvlText w:val="%1、"/>
      <w:lvlJc w:val="left"/>
      <w:pPr>
        <w:ind w:left="0" w:firstLine="0"/>
      </w:pPr>
    </w:lvl>
  </w:abstractNum>
  <w:abstractNum w:abstractNumId="15">
    <w:nsid w:val="557FD3DA"/>
    <w:multiLevelType w:val="singleLevel"/>
    <w:tmpl w:val="557FD3DA"/>
    <w:lvl w:ilvl="0" w:tentative="0">
      <w:start w:val="3"/>
      <w:numFmt w:val="chineseCounting"/>
      <w:suff w:val="nothing"/>
      <w:lvlText w:val="%1、"/>
      <w:lvlJc w:val="left"/>
      <w:pPr>
        <w:ind w:left="0" w:firstLine="0"/>
      </w:pPr>
    </w:lvl>
  </w:abstractNum>
  <w:abstractNum w:abstractNumId="16">
    <w:nsid w:val="5A3C02B2"/>
    <w:multiLevelType w:val="singleLevel"/>
    <w:tmpl w:val="5A3C02B2"/>
    <w:lvl w:ilvl="0" w:tentative="0">
      <w:start w:val="1"/>
      <w:numFmt w:val="lowerLetter"/>
      <w:lvlText w:val="%1."/>
      <w:lvlJc w:val="left"/>
      <w:pPr>
        <w:ind w:left="425" w:hanging="425"/>
      </w:pPr>
    </w:lvl>
  </w:abstractNum>
  <w:abstractNum w:abstractNumId="17">
    <w:nsid w:val="72BF1F91"/>
    <w:multiLevelType w:val="multilevel"/>
    <w:tmpl w:val="72BF1F91"/>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6881C88"/>
    <w:multiLevelType w:val="singleLevel"/>
    <w:tmpl w:val="76881C88"/>
    <w:lvl w:ilvl="0" w:tentative="0">
      <w:start w:val="5"/>
      <w:numFmt w:val="chineseCounting"/>
      <w:suff w:val="nothing"/>
      <w:lvlText w:val="%1、"/>
      <w:lvlJc w:val="left"/>
      <w:rPr>
        <w:rFonts w:hint="eastAsia"/>
      </w:rPr>
    </w:lvl>
  </w:abstractNum>
  <w:abstractNum w:abstractNumId="19">
    <w:nsid w:val="7D4C19BB"/>
    <w:multiLevelType w:val="multilevel"/>
    <w:tmpl w:val="7D4C19BB"/>
    <w:lvl w:ilvl="0" w:tentative="0">
      <w:start w:val="1"/>
      <w:numFmt w:val="decimal"/>
      <w:lvlText w:val="（%1）"/>
      <w:lvlJc w:val="left"/>
      <w:pPr>
        <w:ind w:left="1249" w:hanging="420"/>
      </w:pPr>
    </w:lvl>
    <w:lvl w:ilvl="1" w:tentative="0">
      <w:start w:val="1"/>
      <w:numFmt w:val="decimal"/>
      <w:lvlText w:val="（%2）"/>
      <w:lvlJc w:val="left"/>
      <w:pPr>
        <w:ind w:left="3398" w:hanging="420"/>
      </w:p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8"/>
  </w:num>
  <w:num w:numId="2">
    <w:abstractNumId w:val="4"/>
  </w:num>
  <w:num w:numId="3">
    <w:abstractNumId w:val="2"/>
    <w:lvlOverride w:ilvl="0">
      <w:startOverride w:val="1"/>
    </w:lvlOverride>
  </w:num>
  <w:num w:numId="4">
    <w:abstractNumId w:val="16"/>
    <w:lvlOverride w:ilvl="0">
      <w:startOverride w:val="1"/>
    </w:lvlOverride>
  </w:num>
  <w:num w:numId="5">
    <w:abstractNumId w:val="3"/>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lvlOverride w:ilvl="0">
      <w:startOverride w:val="1"/>
    </w:lvlOverride>
  </w:num>
  <w:num w:numId="19">
    <w:abstractNumId w:val="14"/>
    <w:lvlOverride w:ilvl="0">
      <w:startOverride w:val="1"/>
    </w:lvlOverride>
  </w:num>
  <w:num w:numId="20">
    <w:abstractNumId w:val="15"/>
    <w:lvlOverride w:ilvl="0">
      <w:startOverride w:val="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阮圣健:处理函件">
    <w15:presenceInfo w15:providerId="None" w15:userId="阮圣健:处理函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kxLFBCLnthc3w8A6DoBZvirwwns=" w:salt="2Lu5wymKOmdWXE1Nqu6CJw=="/>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ZjgxYmJjZDQxNjM4ZDNlNDMxYzQzZDRlZDkzZWIifQ=="/>
  </w:docVars>
  <w:rsids>
    <w:rsidRoot w:val="001D0A15"/>
    <w:rsid w:val="000A0302"/>
    <w:rsid w:val="000E6659"/>
    <w:rsid w:val="0011309C"/>
    <w:rsid w:val="001A74E6"/>
    <w:rsid w:val="001D0A15"/>
    <w:rsid w:val="00215BF2"/>
    <w:rsid w:val="003605F0"/>
    <w:rsid w:val="0042027F"/>
    <w:rsid w:val="004E70E4"/>
    <w:rsid w:val="004F4991"/>
    <w:rsid w:val="00514608"/>
    <w:rsid w:val="00531792"/>
    <w:rsid w:val="005E27E8"/>
    <w:rsid w:val="006533F7"/>
    <w:rsid w:val="006A2783"/>
    <w:rsid w:val="00706B58"/>
    <w:rsid w:val="00A22CBC"/>
    <w:rsid w:val="00AD6B3F"/>
    <w:rsid w:val="00B06668"/>
    <w:rsid w:val="00BC24D0"/>
    <w:rsid w:val="00BD137C"/>
    <w:rsid w:val="00C2140A"/>
    <w:rsid w:val="00D21677"/>
    <w:rsid w:val="00D81F33"/>
    <w:rsid w:val="00DA120C"/>
    <w:rsid w:val="00E76ACE"/>
    <w:rsid w:val="00F7370D"/>
    <w:rsid w:val="01074174"/>
    <w:rsid w:val="01515ACC"/>
    <w:rsid w:val="01720F64"/>
    <w:rsid w:val="01E87F29"/>
    <w:rsid w:val="04710534"/>
    <w:rsid w:val="05244833"/>
    <w:rsid w:val="07AE2C91"/>
    <w:rsid w:val="0B96424D"/>
    <w:rsid w:val="0BA220EC"/>
    <w:rsid w:val="0E852E03"/>
    <w:rsid w:val="0F007A8C"/>
    <w:rsid w:val="0F8A6E7E"/>
    <w:rsid w:val="0FF82040"/>
    <w:rsid w:val="12923DDC"/>
    <w:rsid w:val="14416486"/>
    <w:rsid w:val="15FF1DE2"/>
    <w:rsid w:val="16175048"/>
    <w:rsid w:val="17816174"/>
    <w:rsid w:val="1B273E8E"/>
    <w:rsid w:val="1B3A4D0B"/>
    <w:rsid w:val="1B456329"/>
    <w:rsid w:val="1B8357C4"/>
    <w:rsid w:val="1C7D0802"/>
    <w:rsid w:val="1D1C7EAC"/>
    <w:rsid w:val="1EFC316E"/>
    <w:rsid w:val="20E65AE9"/>
    <w:rsid w:val="219123BD"/>
    <w:rsid w:val="245F4990"/>
    <w:rsid w:val="248027E9"/>
    <w:rsid w:val="24B108C3"/>
    <w:rsid w:val="28021F53"/>
    <w:rsid w:val="2975251C"/>
    <w:rsid w:val="2A876041"/>
    <w:rsid w:val="2A9A0C7D"/>
    <w:rsid w:val="2D160707"/>
    <w:rsid w:val="2E4B0BA4"/>
    <w:rsid w:val="2FB634CE"/>
    <w:rsid w:val="32704B55"/>
    <w:rsid w:val="33FF8539"/>
    <w:rsid w:val="342B48EE"/>
    <w:rsid w:val="34347C68"/>
    <w:rsid w:val="34BF2642"/>
    <w:rsid w:val="39DE5A3F"/>
    <w:rsid w:val="3B531B88"/>
    <w:rsid w:val="3B716820"/>
    <w:rsid w:val="3D343F62"/>
    <w:rsid w:val="3F877329"/>
    <w:rsid w:val="401808C7"/>
    <w:rsid w:val="40657459"/>
    <w:rsid w:val="43115339"/>
    <w:rsid w:val="47CE6D91"/>
    <w:rsid w:val="488C3B6E"/>
    <w:rsid w:val="497B1161"/>
    <w:rsid w:val="4EBE5738"/>
    <w:rsid w:val="4EF457CD"/>
    <w:rsid w:val="4FE472FB"/>
    <w:rsid w:val="511C4250"/>
    <w:rsid w:val="521C7446"/>
    <w:rsid w:val="523F3213"/>
    <w:rsid w:val="52697948"/>
    <w:rsid w:val="534602B3"/>
    <w:rsid w:val="53E67D0C"/>
    <w:rsid w:val="55A40692"/>
    <w:rsid w:val="561C7E12"/>
    <w:rsid w:val="56902742"/>
    <w:rsid w:val="584B64E9"/>
    <w:rsid w:val="58AA62C3"/>
    <w:rsid w:val="5AA87C39"/>
    <w:rsid w:val="5AF533A6"/>
    <w:rsid w:val="5B8B6E62"/>
    <w:rsid w:val="5C7C0ED9"/>
    <w:rsid w:val="5CC2348E"/>
    <w:rsid w:val="5F0A7874"/>
    <w:rsid w:val="5FAAEF93"/>
    <w:rsid w:val="5FF91094"/>
    <w:rsid w:val="5FFFD62A"/>
    <w:rsid w:val="6076572F"/>
    <w:rsid w:val="615E4897"/>
    <w:rsid w:val="63295C16"/>
    <w:rsid w:val="64582A30"/>
    <w:rsid w:val="658A2923"/>
    <w:rsid w:val="680E70C7"/>
    <w:rsid w:val="6BE7E10A"/>
    <w:rsid w:val="6BF7C0CD"/>
    <w:rsid w:val="6C552781"/>
    <w:rsid w:val="6E56572C"/>
    <w:rsid w:val="6FF9EE71"/>
    <w:rsid w:val="707F3429"/>
    <w:rsid w:val="70A87A41"/>
    <w:rsid w:val="71170A3C"/>
    <w:rsid w:val="72316176"/>
    <w:rsid w:val="723C07CF"/>
    <w:rsid w:val="7282359D"/>
    <w:rsid w:val="75192723"/>
    <w:rsid w:val="767F037C"/>
    <w:rsid w:val="78FB3338"/>
    <w:rsid w:val="79743ABF"/>
    <w:rsid w:val="7B880FE0"/>
    <w:rsid w:val="7B9162E1"/>
    <w:rsid w:val="7B9F94DE"/>
    <w:rsid w:val="7BFF1E9A"/>
    <w:rsid w:val="7C4524BA"/>
    <w:rsid w:val="7D7950D0"/>
    <w:rsid w:val="7DDFF82E"/>
    <w:rsid w:val="7DFD13D7"/>
    <w:rsid w:val="7E7BEE1C"/>
    <w:rsid w:val="7EBFA1C2"/>
    <w:rsid w:val="7EC93B6C"/>
    <w:rsid w:val="7ED71EA7"/>
    <w:rsid w:val="7F11332A"/>
    <w:rsid w:val="7F8869F6"/>
    <w:rsid w:val="7FF3FADF"/>
    <w:rsid w:val="A7BF5E87"/>
    <w:rsid w:val="BABDB32A"/>
    <w:rsid w:val="BC7B5EBD"/>
    <w:rsid w:val="BEDD2348"/>
    <w:rsid w:val="BFFB1BCB"/>
    <w:rsid w:val="DDABE26C"/>
    <w:rsid w:val="DFFF17D0"/>
    <w:rsid w:val="F52EBD82"/>
    <w:rsid w:val="FADE5F75"/>
    <w:rsid w:val="FBFE852F"/>
    <w:rsid w:val="FEAB2F30"/>
    <w:rsid w:val="FEFBADA2"/>
    <w:rsid w:val="FF86A8C0"/>
    <w:rsid w:val="FF95A3EC"/>
    <w:rsid w:val="FFBDBE69"/>
    <w:rsid w:val="FFFA0E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qFormat="1" w:unhideWhenUsed="0" w:uiPriority="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2">
    <w:name w:val="heading 1"/>
    <w:basedOn w:val="1"/>
    <w:next w:val="1"/>
    <w:link w:val="41"/>
    <w:qFormat/>
    <w:uiPriority w:val="0"/>
    <w:pPr>
      <w:keepNext/>
      <w:keepLines/>
      <w:spacing w:before="340" w:after="330" w:line="576" w:lineRule="auto"/>
      <w:outlineLvl w:val="0"/>
    </w:pPr>
    <w:rPr>
      <w:rFonts w:eastAsia="Century Gothic" w:cs="宋体"/>
      <w:kern w:val="44"/>
      <w:sz w:val="44"/>
      <w:szCs w:val="44"/>
    </w:rPr>
  </w:style>
  <w:style w:type="paragraph" w:styleId="3">
    <w:name w:val="heading 2"/>
    <w:basedOn w:val="1"/>
    <w:next w:val="1"/>
    <w:link w:val="36"/>
    <w:qFormat/>
    <w:uiPriority w:val="0"/>
    <w:pPr>
      <w:keepNext/>
      <w:keepLines/>
      <w:adjustRightInd w:val="0"/>
      <w:spacing w:before="260" w:after="260" w:line="412" w:lineRule="auto"/>
      <w:jc w:val="left"/>
      <w:outlineLvl w:val="1"/>
    </w:pPr>
    <w:rPr>
      <w:rFonts w:ascii="黑体" w:hAnsi="黑体" w:eastAsia="楷体" w:cs="宋体"/>
      <w:b/>
      <w:bCs/>
      <w:kern w:val="0"/>
      <w:sz w:val="32"/>
      <w:szCs w:val="32"/>
    </w:rPr>
  </w:style>
  <w:style w:type="paragraph" w:styleId="4">
    <w:name w:val="heading 5"/>
    <w:basedOn w:val="5"/>
    <w:next w:val="1"/>
    <w:unhideWhenUsed/>
    <w:qFormat/>
    <w:uiPriority w:val="0"/>
    <w:pPr>
      <w:keepNext/>
      <w:numPr>
        <w:ilvl w:val="4"/>
        <w:numId w:val="1"/>
      </w:numPr>
      <w:spacing w:line="240" w:lineRule="auto"/>
      <w:ind w:left="1009" w:hanging="1009" w:firstLineChars="0"/>
      <w:outlineLvl w:val="4"/>
    </w:pPr>
    <w:rPr>
      <w:rFonts w:ascii="幼圆" w:hAnsi="幼圆" w:eastAsia="宋体" w:cs="幼圆"/>
      <w:sz w:val="21"/>
      <w:szCs w:val="28"/>
    </w:rPr>
  </w:style>
  <w:style w:type="paragraph" w:styleId="5">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6">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7">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27"/>
      <w:tblCellMar>
        <w:top w:w="0" w:type="dxa"/>
        <w:left w:w="108" w:type="dxa"/>
        <w:bottom w:w="0" w:type="dxa"/>
        <w:right w:w="108" w:type="dxa"/>
      </w:tblCellMar>
    </w:tblPr>
  </w:style>
  <w:style w:type="paragraph" w:styleId="8">
    <w:name w:val="Normal Indent"/>
    <w:basedOn w:val="1"/>
    <w:next w:val="9"/>
    <w:unhideWhenUsed/>
    <w:qFormat/>
    <w:uiPriority w:val="0"/>
    <w:pPr>
      <w:widowControl/>
      <w:ind w:firstLine="420"/>
      <w:jc w:val="left"/>
    </w:pPr>
    <w:rPr>
      <w:rFonts w:ascii="Arial" w:hAnsi="Arial" w:cs="Arial"/>
      <w:kern w:val="0"/>
      <w:sz w:val="20"/>
      <w:szCs w:val="20"/>
    </w:rPr>
  </w:style>
  <w:style w:type="paragraph" w:customStyle="1" w:styleId="9">
    <w:name w:val="仿宋_GB2312小四正文"/>
    <w:basedOn w:val="1"/>
    <w:qFormat/>
    <w:uiPriority w:val="0"/>
    <w:pPr>
      <w:ind w:firstLine="200"/>
    </w:pPr>
    <w:rPr>
      <w:kern w:val="0"/>
      <w:szCs w:val="30"/>
    </w:rPr>
  </w:style>
  <w:style w:type="paragraph" w:styleId="10">
    <w:name w:val="annotation text"/>
    <w:basedOn w:val="1"/>
    <w:link w:val="37"/>
    <w:uiPriority w:val="0"/>
    <w:pPr>
      <w:jc w:val="left"/>
    </w:pPr>
  </w:style>
  <w:style w:type="paragraph" w:styleId="11">
    <w:name w:val="Body Text"/>
    <w:basedOn w:val="1"/>
    <w:next w:val="12"/>
    <w:unhideWhenUsed/>
    <w:qFormat/>
    <w:uiPriority w:val="0"/>
    <w:pPr>
      <w:spacing w:after="120"/>
    </w:pPr>
  </w:style>
  <w:style w:type="paragraph" w:styleId="12">
    <w:name w:val="Body Text First Indent"/>
    <w:basedOn w:val="11"/>
    <w:next w:val="13"/>
    <w:unhideWhenUsed/>
    <w:qFormat/>
    <w:uiPriority w:val="0"/>
    <w:pPr>
      <w:ind w:firstLine="420"/>
    </w:pPr>
  </w:style>
  <w:style w:type="paragraph" w:styleId="13">
    <w:name w:val="toc 6"/>
    <w:basedOn w:val="1"/>
    <w:next w:val="1"/>
    <w:unhideWhenUsed/>
    <w:qFormat/>
    <w:uiPriority w:val="0"/>
    <w:pPr>
      <w:ind w:left="1050"/>
      <w:jc w:val="left"/>
    </w:pPr>
    <w:rPr>
      <w:sz w:val="18"/>
      <w:szCs w:val="18"/>
    </w:rPr>
  </w:style>
  <w:style w:type="paragraph" w:styleId="14">
    <w:name w:val="Body Text Indent"/>
    <w:basedOn w:val="1"/>
    <w:next w:val="8"/>
    <w:unhideWhenUsed/>
    <w:qFormat/>
    <w:uiPriority w:val="0"/>
    <w:pPr>
      <w:adjustRightInd w:val="0"/>
      <w:spacing w:line="360" w:lineRule="auto"/>
      <w:ind w:firstLine="490"/>
      <w:jc w:val="left"/>
    </w:pPr>
    <w:rPr>
      <w:rFonts w:ascii="Century Gothic" w:hAnsi="Century Gothic" w:eastAsia="Century Gothic"/>
      <w:sz w:val="24"/>
      <w:szCs w:val="20"/>
    </w:rPr>
  </w:style>
  <w:style w:type="paragraph" w:styleId="15">
    <w:name w:val="Plain Text"/>
    <w:basedOn w:val="1"/>
    <w:next w:val="1"/>
    <w:link w:val="38"/>
    <w:unhideWhenUsed/>
    <w:qFormat/>
    <w:uiPriority w:val="0"/>
    <w:rPr>
      <w:rFonts w:ascii="Century Gothic" w:hAnsi="楷体_GB2312" w:eastAsia="Century Gothic" w:cs="楷体_GB2312"/>
      <w:szCs w:val="21"/>
    </w:rPr>
  </w:style>
  <w:style w:type="paragraph" w:styleId="16">
    <w:name w:val="toc 8"/>
    <w:basedOn w:val="1"/>
    <w:next w:val="1"/>
    <w:semiHidden/>
    <w:qFormat/>
    <w:uiPriority w:val="0"/>
    <w:pPr>
      <w:ind w:left="1470"/>
      <w:jc w:val="left"/>
    </w:pPr>
    <w:rPr>
      <w:sz w:val="18"/>
      <w:szCs w:val="18"/>
    </w:rPr>
  </w:style>
  <w:style w:type="paragraph" w:styleId="17">
    <w:name w:val="Date"/>
    <w:basedOn w:val="1"/>
    <w:next w:val="1"/>
    <w:unhideWhenUsed/>
    <w:qFormat/>
    <w:uiPriority w:val="0"/>
    <w:pPr>
      <w:ind w:left="100" w:leftChars="2500"/>
    </w:pPr>
  </w:style>
  <w:style w:type="paragraph" w:styleId="18">
    <w:name w:val="footer"/>
    <w:basedOn w:val="1"/>
    <w:unhideWhenUsed/>
    <w:qFormat/>
    <w:uiPriority w:val="0"/>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39"/>
    <w:uiPriority w:val="0"/>
    <w:pP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720"/>
      </w:tabs>
      <w:spacing w:before="120" w:after="120"/>
      <w:jc w:val="left"/>
    </w:pPr>
    <w:rPr>
      <w:rFonts w:ascii="Century Gothic" w:hAnsi="Century Gothic"/>
      <w:bCs/>
      <w:caps/>
      <w:sz w:val="20"/>
      <w:szCs w:val="20"/>
    </w:rPr>
  </w:style>
  <w:style w:type="paragraph" w:styleId="22">
    <w:name w:val="Body Text Indent 3"/>
    <w:basedOn w:val="1"/>
    <w:unhideWhenUsed/>
    <w:qFormat/>
    <w:uiPriority w:val="0"/>
    <w:pPr>
      <w:spacing w:after="120"/>
      <w:ind w:left="420" w:leftChars="200"/>
    </w:pPr>
    <w:rPr>
      <w:sz w:val="16"/>
      <w:szCs w:val="16"/>
    </w:rPr>
  </w:style>
  <w:style w:type="paragraph" w:styleId="23">
    <w:name w:val="toc 2"/>
    <w:basedOn w:val="1"/>
    <w:next w:val="1"/>
    <w:unhideWhenUsed/>
    <w:qFormat/>
    <w:uiPriority w:val="39"/>
    <w:pPr>
      <w:tabs>
        <w:tab w:val="right" w:leader="dot" w:pos="8720"/>
      </w:tabs>
      <w:adjustRightInd w:val="0"/>
      <w:snapToGrid w:val="0"/>
      <w:jc w:val="left"/>
    </w:pPr>
    <w:rPr>
      <w:smallCaps/>
      <w:sz w:val="20"/>
      <w:szCs w:val="20"/>
    </w:rPr>
  </w:style>
  <w:style w:type="paragraph" w:styleId="24">
    <w:name w:val="Normal (Web)"/>
    <w:basedOn w:val="1"/>
    <w:unhideWhenUsed/>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5">
    <w:name w:val="annotation subject"/>
    <w:basedOn w:val="10"/>
    <w:next w:val="10"/>
    <w:link w:val="40"/>
    <w:uiPriority w:val="0"/>
    <w:rPr>
      <w:b/>
      <w:bCs/>
    </w:rPr>
  </w:style>
  <w:style w:type="paragraph" w:styleId="26">
    <w:name w:val="Body Text First Indent 2"/>
    <w:basedOn w:val="14"/>
    <w:next w:val="12"/>
    <w:unhideWhenUsed/>
    <w:qFormat/>
    <w:uiPriority w:val="99"/>
    <w:pPr>
      <w:widowControl w:val="0"/>
      <w:adjustRightInd w:val="0"/>
      <w:spacing w:line="360" w:lineRule="auto"/>
      <w:ind w:firstLine="420" w:firstLineChars="200"/>
    </w:pPr>
    <w:rPr>
      <w:rFonts w:ascii="Century Gothic" w:hAnsi="Century Gothic" w:eastAsia="Century Gothic"/>
      <w:kern w:val="2"/>
      <w:sz w:val="24"/>
      <w:szCs w:val="24"/>
      <w:lang w:val="en-US" w:eastAsia="zh-CN" w:bidi="ar-SA"/>
    </w:rPr>
  </w:style>
  <w:style w:type="table" w:styleId="28">
    <w:name w:val="Table Grid"/>
    <w:basedOn w:val="27"/>
    <w:qFormat/>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rPr>
  </w:style>
  <w:style w:type="character" w:styleId="31">
    <w:name w:val="page number"/>
    <w:qFormat/>
    <w:uiPriority w:val="0"/>
  </w:style>
  <w:style w:type="character" w:styleId="32">
    <w:name w:val="Hyperlink"/>
    <w:uiPriority w:val="0"/>
    <w:rPr>
      <w:color w:val="0000FF"/>
      <w:u w:val="single"/>
    </w:rPr>
  </w:style>
  <w:style w:type="character" w:styleId="33">
    <w:name w:val="annotation reference"/>
    <w:uiPriority w:val="0"/>
    <w:rPr>
      <w:sz w:val="21"/>
      <w:szCs w:val="21"/>
    </w:rPr>
  </w:style>
  <w:style w:type="character" w:styleId="34">
    <w:name w:val="HTML Sample"/>
    <w:uiPriority w:val="0"/>
    <w:rPr>
      <w:rFonts w:ascii="Courier New" w:hAnsi="Courier New"/>
    </w:rPr>
  </w:style>
  <w:style w:type="character" w:customStyle="1" w:styleId="35">
    <w:name w:val="标题 1 字符"/>
    <w:link w:val="2"/>
    <w:qFormat/>
    <w:uiPriority w:val="0"/>
    <w:rPr>
      <w:rFonts w:eastAsia="Century Gothic"/>
      <w:b/>
      <w:bCs/>
      <w:kern w:val="44"/>
      <w:sz w:val="44"/>
      <w:szCs w:val="44"/>
      <w:lang w:val="en-US" w:eastAsia="zh-CN" w:bidi="ar-SA"/>
    </w:rPr>
  </w:style>
  <w:style w:type="character" w:customStyle="1" w:styleId="36">
    <w:name w:val="标题 2 字符"/>
    <w:link w:val="3"/>
    <w:qFormat/>
    <w:uiPriority w:val="0"/>
    <w:rPr>
      <w:rFonts w:ascii="黑体" w:hAnsi="黑体" w:eastAsia="楷体" w:cs="宋体"/>
      <w:b/>
      <w:bCs/>
      <w:kern w:val="0"/>
      <w:sz w:val="32"/>
      <w:szCs w:val="32"/>
    </w:rPr>
  </w:style>
  <w:style w:type="character" w:customStyle="1" w:styleId="37">
    <w:name w:val="批注文字 字符"/>
    <w:link w:val="10"/>
    <w:uiPriority w:val="0"/>
    <w:rPr>
      <w:rFonts w:ascii="Calibri" w:hAnsi="Calibri"/>
      <w:kern w:val="2"/>
      <w:sz w:val="21"/>
      <w:szCs w:val="24"/>
    </w:rPr>
  </w:style>
  <w:style w:type="character" w:customStyle="1" w:styleId="38">
    <w:name w:val="纯文本 字符"/>
    <w:link w:val="15"/>
    <w:qFormat/>
    <w:uiPriority w:val="0"/>
    <w:rPr>
      <w:rFonts w:ascii="Century Gothic" w:hAnsi="楷体_GB2312" w:eastAsia="Century Gothic" w:cs="楷体_GB2312"/>
      <w:kern w:val="2"/>
      <w:sz w:val="21"/>
      <w:szCs w:val="21"/>
    </w:rPr>
  </w:style>
  <w:style w:type="character" w:customStyle="1" w:styleId="39">
    <w:name w:val="页眉 字符"/>
    <w:link w:val="20"/>
    <w:uiPriority w:val="0"/>
    <w:rPr>
      <w:rFonts w:ascii="Calibri" w:hAnsi="Calibri"/>
      <w:kern w:val="2"/>
      <w:sz w:val="18"/>
      <w:szCs w:val="18"/>
    </w:rPr>
  </w:style>
  <w:style w:type="character" w:customStyle="1" w:styleId="40">
    <w:name w:val="批注主题 字符"/>
    <w:link w:val="25"/>
    <w:uiPriority w:val="0"/>
    <w:rPr>
      <w:rFonts w:ascii="Calibri" w:hAnsi="Calibri"/>
      <w:b/>
      <w:bCs/>
      <w:kern w:val="2"/>
      <w:sz w:val="21"/>
      <w:szCs w:val="24"/>
    </w:rPr>
  </w:style>
  <w:style w:type="character" w:customStyle="1" w:styleId="41">
    <w:name w:val="标题 1 字符1"/>
    <w:link w:val="2"/>
    <w:qFormat/>
    <w:uiPriority w:val="0"/>
    <w:rPr>
      <w:rFonts w:eastAsia="Century Gothic" w:cs="宋体"/>
      <w:kern w:val="44"/>
      <w:sz w:val="44"/>
      <w:szCs w:val="44"/>
    </w:rPr>
  </w:style>
  <w:style w:type="character" w:customStyle="1" w:styleId="42">
    <w:name w:val="fontstyle01"/>
    <w:qFormat/>
    <w:uiPriority w:val="0"/>
    <w:rPr>
      <w:rFonts w:hint="eastAsia" w:ascii="宋体" w:hAnsi="宋体" w:eastAsia="宋体"/>
      <w:color w:val="000000"/>
      <w:sz w:val="22"/>
      <w:szCs w:val="22"/>
    </w:rPr>
  </w:style>
  <w:style w:type="paragraph" w:customStyle="1" w:styleId="43">
    <w:name w:val="首行缩进"/>
    <w:basedOn w:val="1"/>
    <w:qFormat/>
    <w:uiPriority w:val="0"/>
    <w:pPr>
      <w:spacing w:line="360" w:lineRule="auto"/>
      <w:ind w:firstLine="480" w:firstLineChars="200"/>
    </w:pPr>
    <w:rPr>
      <w:rFonts w:ascii="Calibri" w:hAnsi="Calibri" w:eastAsia="宋体" w:cs="Times New Roman"/>
      <w:sz w:val="24"/>
      <w:szCs w:val="22"/>
      <w:lang w:val="zh-CN"/>
    </w:rPr>
  </w:style>
  <w:style w:type="paragraph" w:customStyle="1" w:styleId="44">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styleId="45">
    <w:name w:val="List Paragraph"/>
    <w:basedOn w:val="1"/>
    <w:qFormat/>
    <w:uiPriority w:val="34"/>
    <w:pPr>
      <w:ind w:firstLine="420" w:firstLineChars="200"/>
    </w:pPr>
    <w:rPr>
      <w:rFonts w:ascii="Times New Roman" w:hAnsi="Times New Roman" w:cs="Times New Roman"/>
    </w:rPr>
  </w:style>
  <w:style w:type="paragraph" w:customStyle="1" w:styleId="46">
    <w:name w:val="章标题"/>
    <w:next w:val="1"/>
    <w:qFormat/>
    <w:uiPriority w:val="0"/>
    <w:pPr>
      <w:spacing w:line="360" w:lineRule="auto"/>
      <w:jc w:val="both"/>
      <w:outlineLvl w:val="1"/>
    </w:pPr>
    <w:rPr>
      <w:rFonts w:ascii="黑体" w:eastAsia="黑体"/>
      <w:sz w:val="21"/>
      <w:szCs w:val="22"/>
      <w:lang w:val="en-US" w:eastAsia="zh-CN" w:bidi="ar-SA"/>
    </w:rPr>
  </w:style>
  <w:style w:type="paragraph" w:customStyle="1" w:styleId="47">
    <w:name w:val="正文3"/>
    <w:qFormat/>
    <w:uiPriority w:val="0"/>
    <w:pPr>
      <w:widowControl w:val="0"/>
      <w:jc w:val="both"/>
    </w:pPr>
    <w:rPr>
      <w:rFonts w:ascii="Calibri" w:hAnsi="Calibri"/>
      <w:kern w:val="2"/>
      <w:sz w:val="21"/>
      <w:lang w:val="en-US" w:eastAsia="zh-CN" w:bidi="ar-SA"/>
    </w:rPr>
  </w:style>
  <w:style w:type="paragraph" w:styleId="48">
    <w:name w:val="No Spacing"/>
    <w:qFormat/>
    <w:uiPriority w:val="1"/>
    <w:pPr>
      <w:widowControl w:val="0"/>
      <w:ind w:firstLine="200" w:firstLineChars="200"/>
      <w:jc w:val="both"/>
    </w:pPr>
    <w:rPr>
      <w:rFonts w:ascii="Calibri" w:hAnsi="Calibri" w:eastAsia="微软雅黑"/>
      <w:kern w:val="2"/>
      <w:sz w:val="21"/>
      <w:szCs w:val="24"/>
      <w:lang w:val="en-US" w:eastAsia="zh-CN" w:bidi="ar-SA"/>
    </w:rPr>
  </w:style>
  <w:style w:type="paragraph" w:customStyle="1" w:styleId="49">
    <w:name w:val="List Paragraph"/>
    <w:basedOn w:val="1"/>
    <w:qFormat/>
    <w:uiPriority w:val="99"/>
    <w:pPr>
      <w:ind w:firstLine="420" w:firstLineChars="200"/>
    </w:pPr>
  </w:style>
  <w:style w:type="paragraph" w:customStyle="1" w:styleId="50">
    <w:name w:val="纯文本1"/>
    <w:basedOn w:val="47"/>
    <w:qFormat/>
    <w:uiPriority w:val="0"/>
    <w:pPr>
      <w:widowControl/>
      <w:jc w:val="left"/>
    </w:pPr>
    <w:rPr>
      <w:rFonts w:ascii="宋体" w:hAnsi="Courier New"/>
    </w:rPr>
  </w:style>
  <w:style w:type="paragraph" w:customStyle="1" w:styleId="51">
    <w:name w:val="列表段落1"/>
    <w:basedOn w:val="1"/>
    <w:qFormat/>
    <w:uiPriority w:val="0"/>
    <w:pPr>
      <w:ind w:firstLine="420" w:firstLineChars="200"/>
    </w:pPr>
    <w:rPr>
      <w:szCs w:val="24"/>
    </w:rPr>
  </w:style>
  <w:style w:type="paragraph" w:customStyle="1" w:styleId="52">
    <w:name w:val="正文-目录"/>
    <w:qFormat/>
    <w:uiPriority w:val="0"/>
    <w:pPr>
      <w:widowControl w:val="0"/>
      <w:spacing w:line="360" w:lineRule="auto"/>
      <w:jc w:val="both"/>
    </w:pPr>
    <w:rPr>
      <w:rFonts w:eastAsia="仿宋"/>
      <w:kern w:val="2"/>
      <w:sz w:val="28"/>
      <w:szCs w:val="28"/>
      <w:lang w:val="en-US" w:eastAsia="zh-CN" w:bidi="ar-SA"/>
    </w:rPr>
  </w:style>
  <w:style w:type="paragraph" w:customStyle="1" w:styleId="53">
    <w:name w:val="一级条标题"/>
    <w:basedOn w:val="46"/>
    <w:next w:val="54"/>
    <w:qFormat/>
    <w:uiPriority w:val="0"/>
    <w:pPr>
      <w:spacing w:line="240" w:lineRule="auto"/>
      <w:ind w:left="420"/>
      <w:outlineLvl w:val="2"/>
    </w:pPr>
  </w:style>
  <w:style w:type="paragraph" w:customStyle="1" w:styleId="54">
    <w:name w:val="段"/>
    <w:next w:val="1"/>
    <w:qFormat/>
    <w:uiPriority w:val="0"/>
    <w:pPr>
      <w:autoSpaceDE w:val="0"/>
      <w:autoSpaceDN w:val="0"/>
      <w:ind w:firstLine="200" w:firstLineChars="200"/>
      <w:jc w:val="both"/>
    </w:pPr>
    <w:rPr>
      <w:rFonts w:ascii="宋体"/>
      <w:sz w:val="21"/>
      <w:szCs w:val="22"/>
      <w:lang w:val="en-US" w:eastAsia="zh-CN" w:bidi="ar-SA"/>
    </w:rPr>
  </w:style>
  <w:style w:type="paragraph" w:customStyle="1" w:styleId="55">
    <w:name w:val="样式  + 首行缩进:  2 字符"/>
    <w:basedOn w:val="1"/>
    <w:qFormat/>
    <w:uiPriority w:val="0"/>
    <w:pPr>
      <w:spacing w:before="60" w:after="60" w:line="360" w:lineRule="auto"/>
      <w:ind w:firstLine="480" w:firstLineChars="200"/>
    </w:pPr>
    <w:rPr>
      <w:rFonts w:ascii="Times New Roman" w:hAnsi="Times New Roman" w:eastAsia="宋体" w:cs="Times New Roman"/>
      <w:sz w:val="24"/>
      <w:szCs w:val="20"/>
      <w:lang w:val="zh-CN"/>
    </w:rPr>
  </w:style>
  <w:style w:type="paragraph" w:customStyle="1" w:styleId="56">
    <w:name w:val="_正文段落"/>
    <w:basedOn w:val="1"/>
    <w:qFormat/>
    <w:uiPriority w:val="0"/>
    <w:pPr>
      <w:widowControl w:val="0"/>
      <w:spacing w:before="46" w:beforeLines="15" w:after="46" w:afterLines="15" w:line="360" w:lineRule="auto"/>
      <w:ind w:firstLine="480" w:firstLineChars="200"/>
    </w:pPr>
    <w:rPr>
      <w:rFonts w:ascii="宋体" w:hAnsi="宋体"/>
      <w:sz w:val="24"/>
      <w:szCs w:val="24"/>
    </w:rPr>
  </w:style>
  <w:style w:type="paragraph" w:customStyle="1" w:styleId="57">
    <w:name w:val="正文缩进1"/>
    <w:basedOn w:val="1"/>
    <w:uiPriority w:val="0"/>
    <w:pPr>
      <w:widowControl/>
      <w:spacing w:before="120" w:after="120"/>
      <w:ind w:left="992"/>
    </w:pPr>
    <w:rPr>
      <w:rFonts w:ascii="Verdana" w:hAnsi="Verdana"/>
      <w:kern w:val="0"/>
      <w:sz w:val="20"/>
      <w:szCs w:val="20"/>
      <w:lang w:eastAsia="en-US"/>
    </w:rPr>
  </w:style>
  <w:style w:type="paragraph" w:customStyle="1" w:styleId="58">
    <w:name w:val="List Paragraph21"/>
    <w:basedOn w:val="1"/>
    <w:qFormat/>
    <w:uiPriority w:val="0"/>
    <w:pPr>
      <w:ind w:firstLine="420" w:firstLineChars="200"/>
    </w:pPr>
  </w:style>
  <w:style w:type="paragraph" w:customStyle="1" w:styleId="59">
    <w:name w:val="可研正文"/>
    <w:basedOn w:val="1"/>
    <w:qFormat/>
    <w:uiPriority w:val="0"/>
    <w:pPr>
      <w:spacing w:line="240" w:lineRule="auto"/>
      <w:ind w:firstLine="200" w:firstLineChars="200"/>
    </w:pPr>
    <w:rPr>
      <w:rFonts w:ascii="仿宋" w:hAnsi="仿宋" w:eastAsia="仿宋_GB2312"/>
      <w:kern w:val="0"/>
      <w:sz w:val="21"/>
      <w:szCs w:val="28"/>
    </w:rPr>
  </w:style>
  <w:style w:type="paragraph" w:styleId="60">
    <w:name w:val=""/>
    <w:unhideWhenUsed/>
    <w:uiPriority w:val="99"/>
    <w:rPr>
      <w:rFonts w:ascii="Calibri" w:hAnsi="Calibri"/>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13" Target="people.xml" Type="http://schemas.microsoft.com/office/2011/relationships/peop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header1.xml" Type="http://schemas.openxmlformats.org/officeDocument/2006/relationships/header"/><Relationship Id="rId7" Target="footer4.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122</Pages>
  <Words>12377</Words>
  <Characters>70554</Characters>
  <Lines>587</Lines>
  <Paragraphs>165</Paragraphs>
  <TotalTime>26</TotalTime>
  <ScaleCrop>false</ScaleCrop>
  <LinksUpToDate>false</LinksUpToDate>
  <CharactersWithSpaces>82766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2023-10-01T14:24:00Z</dcterms:created>
  <dc:creator>Lidan</dc:creator>
  <cp:lastModifiedBy>WPS_1701756769</cp:lastModifiedBy>
  <dcterms:modified xsi:type="dcterms:W3CDTF">2024-02-23T07:01:34Z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DC95E7157D184B39B50DCC6012582935_13</vt:lpwstr>
  </property>
</Properties>
</file>