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rFonts w:ascii="宋体" w:hAnsi="宋体" w:eastAsia="宋体"/>
        </w:rPr>
      </w:pPr>
      <w:r>
        <w:rPr>
          <w:rFonts w:hint="eastAsia" w:ascii="宋体" w:hAnsi="宋体" w:eastAsia="宋体"/>
        </w:rPr>
        <w:t>第一部分  商务需求</w:t>
      </w:r>
    </w:p>
    <w:p>
      <w:pPr>
        <w:pStyle w:val="3"/>
        <w:spacing w:line="240" w:lineRule="auto"/>
        <w:rPr>
          <w:rFonts w:asciiTheme="minorEastAsia" w:hAnsiTheme="minorEastAsia" w:eastAsiaTheme="minorEastAsia"/>
          <w:b/>
          <w:sz w:val="24"/>
        </w:rPr>
      </w:pPr>
      <w:r>
        <w:rPr>
          <w:rFonts w:hint="eastAsia" w:asciiTheme="minorEastAsia" w:hAnsiTheme="minorEastAsia" w:eastAsiaTheme="minorEastAsia"/>
          <w:b/>
          <w:sz w:val="24"/>
        </w:rPr>
        <w:t>一、合格投标人的资格要求</w:t>
      </w:r>
    </w:p>
    <w:p>
      <w:pPr>
        <w:adjustRightInd w:val="0"/>
        <w:snapToGrid w:val="0"/>
        <w:spacing w:line="360" w:lineRule="auto"/>
        <w:ind w:firstLine="480" w:firstLineChars="200"/>
        <w:rPr>
          <w:rFonts w:ascii="宋体" w:hAnsi="宋体"/>
          <w:sz w:val="24"/>
        </w:rPr>
      </w:pPr>
      <w:r>
        <w:rPr>
          <w:rFonts w:hint="eastAsia" w:ascii="宋体" w:hAnsi="宋体"/>
          <w:sz w:val="24"/>
        </w:rPr>
        <w:t>1、符合《中华人民共和国政府采购法》第二十二条供应商应当具备的条件和浙财采监【</w:t>
      </w:r>
      <w:r>
        <w:rPr>
          <w:rFonts w:ascii="宋体" w:hAnsi="宋体"/>
          <w:sz w:val="24"/>
        </w:rPr>
        <w:t>2013】24号《关于规范政府采购供应商资格设定及资格审查的通知》第六条规定。</w:t>
      </w:r>
    </w:p>
    <w:p>
      <w:pPr>
        <w:adjustRightInd w:val="0"/>
        <w:snapToGrid w:val="0"/>
        <w:spacing w:line="360" w:lineRule="auto"/>
        <w:ind w:firstLine="480" w:firstLineChars="200"/>
        <w:rPr>
          <w:rFonts w:ascii="宋体" w:hAnsi="宋体"/>
          <w:sz w:val="24"/>
        </w:rPr>
      </w:pPr>
      <w:r>
        <w:rPr>
          <w:rFonts w:hint="eastAsia" w:ascii="宋体" w:hAnsi="宋体"/>
          <w:sz w:val="24"/>
        </w:rPr>
        <w:t>2、具有建设主管部门颁发的电子与智能化工程专业承包贰级及以上资质；</w:t>
      </w:r>
    </w:p>
    <w:p>
      <w:pPr>
        <w:adjustRightInd w:val="0"/>
        <w:snapToGrid w:val="0"/>
        <w:spacing w:line="360" w:lineRule="auto"/>
        <w:ind w:firstLine="480" w:firstLineChars="200"/>
        <w:rPr>
          <w:rFonts w:ascii="宋体" w:hAnsi="宋体"/>
          <w:sz w:val="24"/>
        </w:rPr>
      </w:pPr>
      <w:r>
        <w:rPr>
          <w:rFonts w:hint="eastAsia" w:ascii="宋体" w:hAnsi="宋体"/>
          <w:sz w:val="24"/>
        </w:rPr>
        <w:t>3、具有中国演艺协会颁发的专业音响工程综合能力等级壹级资质（含）及以上资质。</w:t>
      </w:r>
    </w:p>
    <w:p>
      <w:pPr>
        <w:adjustRightInd w:val="0"/>
        <w:snapToGrid w:val="0"/>
        <w:spacing w:line="360" w:lineRule="auto"/>
        <w:ind w:firstLine="480" w:firstLineChars="200"/>
        <w:rPr>
          <w:rFonts w:ascii="宋体" w:hAnsi="宋体"/>
          <w:sz w:val="24"/>
        </w:rPr>
      </w:pPr>
      <w:r>
        <w:rPr>
          <w:rFonts w:hint="eastAsia" w:ascii="宋体" w:hAnsi="宋体"/>
          <w:sz w:val="24"/>
        </w:rPr>
        <w:t>4、具有中国演艺协会颁发的专业灯光工程综合能力等级贰级资质（含）及以上资质。</w:t>
      </w:r>
    </w:p>
    <w:p>
      <w:pPr>
        <w:adjustRightInd w:val="0"/>
        <w:snapToGrid w:val="0"/>
        <w:spacing w:line="360" w:lineRule="auto"/>
        <w:ind w:firstLine="480" w:firstLineChars="200"/>
        <w:rPr>
          <w:rFonts w:ascii="宋体" w:hAnsi="宋体"/>
          <w:sz w:val="24"/>
        </w:rPr>
      </w:pPr>
      <w:r>
        <w:rPr>
          <w:rFonts w:hint="eastAsia" w:ascii="宋体" w:hAnsi="宋体"/>
          <w:sz w:val="24"/>
        </w:rPr>
        <w:t>5、谢绝联合体投标。</w:t>
      </w:r>
    </w:p>
    <w:p>
      <w:pPr>
        <w:pStyle w:val="3"/>
        <w:spacing w:line="240" w:lineRule="auto"/>
        <w:rPr>
          <w:rFonts w:asciiTheme="minorEastAsia" w:hAnsiTheme="minorEastAsia" w:eastAsiaTheme="minorEastAsia"/>
          <w:b/>
          <w:sz w:val="24"/>
        </w:rPr>
      </w:pPr>
      <w:r>
        <w:rPr>
          <w:rFonts w:hint="eastAsia" w:asciiTheme="minorEastAsia" w:hAnsiTheme="minorEastAsia" w:eastAsiaTheme="minorEastAsia"/>
          <w:b/>
          <w:sz w:val="24"/>
        </w:rPr>
        <w:t>二、资信商务要求</w:t>
      </w:r>
    </w:p>
    <w:tbl>
      <w:tblPr>
        <w:tblStyle w:val="7"/>
        <w:tblW w:w="875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0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vAlign w:val="center"/>
          </w:tcPr>
          <w:p>
            <w:pPr>
              <w:adjustRightInd w:val="0"/>
              <w:snapToGrid w:val="0"/>
              <w:spacing w:line="340" w:lineRule="exact"/>
              <w:jc w:val="center"/>
              <w:rPr>
                <w:rFonts w:ascii="宋体"/>
                <w:szCs w:val="21"/>
              </w:rPr>
            </w:pPr>
            <w:r>
              <w:rPr>
                <w:rFonts w:hint="eastAsia" w:ascii="宋体" w:hAnsi="宋体" w:cs="宋体"/>
                <w:szCs w:val="21"/>
              </w:rPr>
              <w:t>售</w:t>
            </w:r>
          </w:p>
          <w:p>
            <w:pPr>
              <w:adjustRightInd w:val="0"/>
              <w:snapToGrid w:val="0"/>
              <w:spacing w:line="340" w:lineRule="exact"/>
              <w:jc w:val="center"/>
              <w:rPr>
                <w:rFonts w:ascii="宋体"/>
                <w:szCs w:val="21"/>
              </w:rPr>
            </w:pPr>
            <w:r>
              <w:rPr>
                <w:rFonts w:hint="eastAsia" w:ascii="宋体" w:hAnsi="宋体" w:cs="宋体"/>
                <w:szCs w:val="21"/>
              </w:rPr>
              <w:t>后</w:t>
            </w:r>
          </w:p>
          <w:p>
            <w:pPr>
              <w:adjustRightInd w:val="0"/>
              <w:snapToGrid w:val="0"/>
              <w:spacing w:line="340" w:lineRule="exact"/>
              <w:jc w:val="center"/>
              <w:rPr>
                <w:rFonts w:ascii="宋体"/>
                <w:szCs w:val="21"/>
              </w:rPr>
            </w:pPr>
            <w:r>
              <w:rPr>
                <w:rFonts w:hint="eastAsia" w:ascii="宋体" w:hAnsi="宋体" w:cs="宋体"/>
                <w:szCs w:val="21"/>
              </w:rPr>
              <w:t>服</w:t>
            </w:r>
          </w:p>
          <w:p>
            <w:pPr>
              <w:adjustRightInd w:val="0"/>
              <w:snapToGrid w:val="0"/>
              <w:spacing w:line="340" w:lineRule="exact"/>
              <w:jc w:val="center"/>
              <w:rPr>
                <w:rFonts w:ascii="宋体"/>
                <w:szCs w:val="21"/>
              </w:rPr>
            </w:pPr>
            <w:r>
              <w:rPr>
                <w:rFonts w:hint="eastAsia" w:ascii="宋体" w:hAnsi="宋体" w:cs="宋体"/>
                <w:szCs w:val="21"/>
              </w:rPr>
              <w:t>务</w:t>
            </w:r>
          </w:p>
        </w:tc>
        <w:tc>
          <w:tcPr>
            <w:tcW w:w="1009" w:type="dxa"/>
            <w:vAlign w:val="center"/>
          </w:tcPr>
          <w:p>
            <w:pPr>
              <w:adjustRightInd w:val="0"/>
              <w:snapToGrid w:val="0"/>
              <w:spacing w:line="340" w:lineRule="exact"/>
              <w:jc w:val="center"/>
              <w:rPr>
                <w:rFonts w:ascii="宋体"/>
                <w:szCs w:val="21"/>
              </w:rPr>
            </w:pPr>
            <w:r>
              <w:rPr>
                <w:rFonts w:hint="eastAsia" w:ascii="宋体" w:hAnsi="宋体" w:cs="宋体"/>
                <w:szCs w:val="21"/>
              </w:rPr>
              <w:t>具体实施响应要求</w:t>
            </w:r>
          </w:p>
        </w:tc>
        <w:tc>
          <w:tcPr>
            <w:tcW w:w="7212" w:type="dxa"/>
            <w:vAlign w:val="center"/>
          </w:tcPr>
          <w:p>
            <w:pPr>
              <w:numPr>
                <w:ilvl w:val="0"/>
                <w:numId w:val="1"/>
              </w:numPr>
              <w:adjustRightInd w:val="0"/>
              <w:snapToGrid w:val="0"/>
              <w:spacing w:line="340" w:lineRule="exact"/>
              <w:jc w:val="left"/>
              <w:rPr>
                <w:rFonts w:ascii="宋体"/>
                <w:szCs w:val="21"/>
              </w:rPr>
            </w:pPr>
            <w:r>
              <w:rPr>
                <w:rFonts w:hint="eastAsia" w:cs="宋体"/>
                <w:szCs w:val="21"/>
              </w:rPr>
              <w:t>自项目验收交付之日起</w:t>
            </w:r>
            <w:r>
              <w:rPr>
                <w:rFonts w:hint="eastAsia" w:ascii="宋体" w:hAnsi="宋体" w:cs="宋体"/>
                <w:szCs w:val="21"/>
              </w:rPr>
              <w:t>所有设备质保期不少于2年。</w:t>
            </w:r>
          </w:p>
          <w:p>
            <w:pPr>
              <w:numPr>
                <w:ilvl w:val="0"/>
                <w:numId w:val="1"/>
              </w:numPr>
              <w:adjustRightInd w:val="0"/>
              <w:snapToGrid w:val="0"/>
              <w:spacing w:line="340" w:lineRule="exact"/>
              <w:jc w:val="left"/>
              <w:rPr>
                <w:rFonts w:ascii="宋体"/>
                <w:szCs w:val="21"/>
              </w:rPr>
            </w:pPr>
            <w:r>
              <w:rPr>
                <w:rFonts w:hint="eastAsia" w:ascii="宋体" w:hAnsi="宋体" w:cs="宋体"/>
                <w:szCs w:val="21"/>
              </w:rPr>
              <w:t>质量保证期内发生的质量问题（包括设备</w:t>
            </w:r>
            <w:r>
              <w:rPr>
                <w:rFonts w:hint="eastAsia" w:cs="宋体"/>
                <w:szCs w:val="21"/>
              </w:rPr>
              <w:t>缺陷）</w:t>
            </w:r>
            <w:r>
              <w:rPr>
                <w:rFonts w:hint="eastAsia" w:ascii="宋体" w:hAnsi="宋体" w:cs="宋体"/>
                <w:szCs w:val="21"/>
              </w:rPr>
              <w:t>，由中标人负责免费解决（因采购人使用不当或其他人为因素造成的故障除外）；</w:t>
            </w:r>
          </w:p>
          <w:p>
            <w:pPr>
              <w:numPr>
                <w:ilvl w:val="0"/>
                <w:numId w:val="1"/>
              </w:numPr>
              <w:adjustRightInd w:val="0"/>
              <w:snapToGrid w:val="0"/>
              <w:spacing w:line="340" w:lineRule="exact"/>
              <w:jc w:val="left"/>
              <w:rPr>
                <w:rFonts w:ascii="宋体"/>
                <w:szCs w:val="21"/>
              </w:rPr>
            </w:pPr>
            <w:r>
              <w:rPr>
                <w:rFonts w:hint="eastAsia" w:ascii="宋体" w:hAnsi="宋体" w:cs="宋体"/>
                <w:szCs w:val="21"/>
              </w:rPr>
              <w:t>在质保期内提供</w:t>
            </w:r>
            <w:r>
              <w:rPr>
                <w:rFonts w:ascii="宋体" w:hAnsi="宋体" w:cs="宋体"/>
                <w:szCs w:val="21"/>
              </w:rPr>
              <w:t>7*24</w:t>
            </w:r>
            <w:r>
              <w:rPr>
                <w:rFonts w:hint="eastAsia" w:ascii="宋体" w:hAnsi="宋体" w:cs="宋体"/>
                <w:szCs w:val="21"/>
              </w:rPr>
              <w:t>小时（不分节假日）技术支持热线电话（固话、手机）服务。如电话响应无法解决，则</w:t>
            </w:r>
            <w:r>
              <w:rPr>
                <w:rFonts w:ascii="宋体" w:hAnsi="宋体" w:cs="宋体"/>
                <w:szCs w:val="21"/>
              </w:rPr>
              <w:t>24</w:t>
            </w:r>
            <w:r>
              <w:rPr>
                <w:rFonts w:hint="eastAsia" w:ascii="宋体" w:hAnsi="宋体" w:cs="宋体"/>
                <w:szCs w:val="21"/>
              </w:rPr>
              <w:t>小时内响应、</w:t>
            </w:r>
            <w:r>
              <w:rPr>
                <w:rFonts w:ascii="宋体" w:hAnsi="宋体" w:cs="宋体"/>
                <w:szCs w:val="21"/>
              </w:rPr>
              <w:t>48</w:t>
            </w:r>
            <w:r>
              <w:rPr>
                <w:rFonts w:hint="eastAsia" w:ascii="宋体" w:hAnsi="宋体" w:cs="宋体"/>
                <w:szCs w:val="21"/>
              </w:rPr>
              <w:t>小时内修复。</w:t>
            </w:r>
          </w:p>
          <w:p>
            <w:pPr>
              <w:numPr>
                <w:ilvl w:val="0"/>
                <w:numId w:val="1"/>
              </w:numPr>
              <w:adjustRightInd w:val="0"/>
              <w:snapToGrid w:val="0"/>
              <w:spacing w:line="340" w:lineRule="exact"/>
              <w:jc w:val="left"/>
              <w:rPr>
                <w:rFonts w:ascii="宋体"/>
                <w:szCs w:val="21"/>
              </w:rPr>
            </w:pPr>
            <w:r>
              <w:rPr>
                <w:rFonts w:hint="eastAsia" w:ascii="宋体" w:hAnsi="宋体" w:cs="宋体"/>
                <w:szCs w:val="21"/>
              </w:rPr>
              <w:t>在质保期内如有部件损坏，中标人应立即予以更换、维修，如不能立即修复的，必须提供相同型号的配件给采购人使用，以确保采购人的日常工作不受影响。</w:t>
            </w:r>
          </w:p>
          <w:p>
            <w:pPr>
              <w:numPr>
                <w:ilvl w:val="0"/>
                <w:numId w:val="1"/>
              </w:numPr>
              <w:adjustRightInd w:val="0"/>
              <w:snapToGrid w:val="0"/>
              <w:spacing w:line="340" w:lineRule="exact"/>
              <w:jc w:val="left"/>
              <w:rPr>
                <w:rFonts w:ascii="宋体"/>
                <w:szCs w:val="21"/>
              </w:rPr>
            </w:pPr>
            <w:r>
              <w:rPr>
                <w:rFonts w:hint="eastAsia" w:ascii="宋体" w:hAnsi="宋体" w:cs="宋体"/>
                <w:szCs w:val="21"/>
              </w:rPr>
              <w:t>质保期满后，提供免费技术咨询及维护，如须更换故障零部件，则只收取的零件费。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widowControl/>
              <w:adjustRightInd w:val="0"/>
              <w:snapToGrid w:val="0"/>
              <w:spacing w:line="340" w:lineRule="exact"/>
              <w:jc w:val="left"/>
              <w:rPr>
                <w:rFonts w:ascii="宋体"/>
                <w:szCs w:val="21"/>
              </w:rPr>
            </w:pPr>
          </w:p>
        </w:tc>
        <w:tc>
          <w:tcPr>
            <w:tcW w:w="1009" w:type="dxa"/>
            <w:vAlign w:val="center"/>
          </w:tcPr>
          <w:p>
            <w:pPr>
              <w:adjustRightInd w:val="0"/>
              <w:snapToGrid w:val="0"/>
              <w:spacing w:line="340" w:lineRule="exact"/>
              <w:jc w:val="center"/>
              <w:rPr>
                <w:rFonts w:ascii="宋体"/>
                <w:szCs w:val="21"/>
              </w:rPr>
            </w:pPr>
            <w:r>
              <w:rPr>
                <w:rFonts w:hint="eastAsia" w:ascii="宋体" w:hAnsi="宋体" w:cs="宋体"/>
                <w:szCs w:val="21"/>
              </w:rPr>
              <w:t>本地化服务要求</w:t>
            </w:r>
          </w:p>
        </w:tc>
        <w:tc>
          <w:tcPr>
            <w:tcW w:w="7212" w:type="dxa"/>
            <w:vAlign w:val="center"/>
          </w:tcPr>
          <w:p>
            <w:pPr>
              <w:adjustRightInd w:val="0"/>
              <w:snapToGrid w:val="0"/>
              <w:spacing w:line="340" w:lineRule="exact"/>
              <w:jc w:val="left"/>
              <w:rPr>
                <w:rFonts w:eastAsia="Times New Roman"/>
                <w:kern w:val="0"/>
                <w:sz w:val="24"/>
              </w:rPr>
            </w:pPr>
            <w:r>
              <w:rPr>
                <w:rFonts w:hint="eastAsia" w:ascii="宋体" w:hAnsi="宋体" w:cs="宋体"/>
                <w:szCs w:val="21"/>
              </w:rPr>
              <w:t>具有较强的本地化服务能力，在杭州地区设有售后服务机构，配有较强的技术队伍，能提供快速的售后服务响应或者保证到达现场服务响应时间不超过</w:t>
            </w:r>
            <w:r>
              <w:rPr>
                <w:rFonts w:ascii="宋体" w:hAnsi="宋体" w:cs="宋体"/>
                <w:szCs w:val="21"/>
              </w:rPr>
              <w:t>4</w:t>
            </w:r>
            <w:r>
              <w:rPr>
                <w:rFonts w:hint="eastAsia" w:ascii="宋体" w:hAnsi="宋体" w:cs="宋体"/>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3" w:type="dxa"/>
            <w:gridSpan w:val="2"/>
            <w:vAlign w:val="center"/>
          </w:tcPr>
          <w:p>
            <w:pPr>
              <w:adjustRightInd w:val="0"/>
              <w:snapToGrid w:val="0"/>
              <w:spacing w:line="340" w:lineRule="exact"/>
              <w:jc w:val="center"/>
              <w:rPr>
                <w:rFonts w:ascii="宋体"/>
                <w:szCs w:val="21"/>
              </w:rPr>
            </w:pPr>
            <w:r>
              <w:rPr>
                <w:rFonts w:hint="eastAsia" w:ascii="宋体" w:hAnsi="宋体" w:cs="宋体"/>
                <w:szCs w:val="21"/>
              </w:rPr>
              <w:t>培训</w:t>
            </w:r>
          </w:p>
        </w:tc>
        <w:tc>
          <w:tcPr>
            <w:tcW w:w="7212" w:type="dxa"/>
            <w:vAlign w:val="center"/>
          </w:tcPr>
          <w:p>
            <w:pPr>
              <w:adjustRightInd w:val="0"/>
              <w:snapToGrid w:val="0"/>
              <w:spacing w:line="340" w:lineRule="exact"/>
              <w:ind w:firstLine="435"/>
              <w:jc w:val="left"/>
              <w:rPr>
                <w:rFonts w:ascii="宋体"/>
                <w:szCs w:val="21"/>
              </w:rPr>
            </w:pPr>
            <w:r>
              <w:rPr>
                <w:rFonts w:hint="eastAsia" w:ascii="宋体" w:hAnsi="宋体" w:cs="宋体"/>
                <w:szCs w:val="21"/>
              </w:rPr>
              <w:t>中标人须派遣有经验的工程师到采购人对采购人进行优质的培训服务，具体要求如下：</w:t>
            </w:r>
          </w:p>
          <w:p>
            <w:pPr>
              <w:numPr>
                <w:ilvl w:val="0"/>
                <w:numId w:val="2"/>
              </w:numPr>
              <w:adjustRightInd w:val="0"/>
              <w:snapToGrid w:val="0"/>
              <w:spacing w:line="340" w:lineRule="exact"/>
              <w:jc w:val="left"/>
              <w:rPr>
                <w:rFonts w:ascii="宋体"/>
                <w:szCs w:val="21"/>
              </w:rPr>
            </w:pPr>
            <w:r>
              <w:rPr>
                <w:rFonts w:hint="eastAsia" w:ascii="宋体" w:hAnsi="宋体" w:cs="宋体"/>
                <w:szCs w:val="21"/>
              </w:rPr>
              <w:t>对设备的使用、操作、维修进行免费培训，并提供安装使用维护说明书，培训所需一切资料由中标人免费提供。</w:t>
            </w:r>
          </w:p>
          <w:p>
            <w:pPr>
              <w:numPr>
                <w:ilvl w:val="0"/>
                <w:numId w:val="2"/>
              </w:numPr>
              <w:adjustRightInd w:val="0"/>
              <w:snapToGrid w:val="0"/>
              <w:spacing w:line="340" w:lineRule="exact"/>
              <w:jc w:val="left"/>
              <w:rPr>
                <w:rFonts w:ascii="宋体"/>
                <w:szCs w:val="21"/>
              </w:rPr>
            </w:pPr>
            <w:r>
              <w:rPr>
                <w:rFonts w:hint="eastAsia" w:ascii="宋体" w:hAnsi="宋体" w:cs="宋体"/>
                <w:szCs w:val="21"/>
              </w:rPr>
              <w:t>负责免费提供操作人员培训，培训人数不少于两人。</w:t>
            </w:r>
          </w:p>
          <w:p>
            <w:pPr>
              <w:numPr>
                <w:ilvl w:val="0"/>
                <w:numId w:val="2"/>
              </w:numPr>
              <w:adjustRightInd w:val="0"/>
              <w:snapToGrid w:val="0"/>
              <w:spacing w:line="340" w:lineRule="exact"/>
              <w:jc w:val="left"/>
              <w:rPr>
                <w:rFonts w:ascii="宋体"/>
                <w:szCs w:val="21"/>
              </w:rPr>
            </w:pPr>
            <w:r>
              <w:rPr>
                <w:rFonts w:hint="eastAsia" w:ascii="宋体" w:hAnsi="宋体" w:cs="宋体"/>
                <w:szCs w:val="21"/>
              </w:rPr>
              <w:t>培训内容：确保用户能够对设备、系统有足够的了解和熟悉，能够独立进行设备、系统的日常运营、管理和维护，培训所需一切资料由卖方免费提供。</w:t>
            </w:r>
          </w:p>
          <w:p>
            <w:pPr>
              <w:numPr>
                <w:ilvl w:val="0"/>
                <w:numId w:val="2"/>
              </w:numPr>
              <w:adjustRightInd w:val="0"/>
              <w:snapToGrid w:val="0"/>
              <w:spacing w:line="340" w:lineRule="exact"/>
              <w:jc w:val="left"/>
              <w:rPr>
                <w:rFonts w:ascii="宋体"/>
                <w:szCs w:val="21"/>
              </w:rPr>
            </w:pPr>
            <w:r>
              <w:rPr>
                <w:rFonts w:hint="eastAsia" w:ascii="宋体" w:hAnsi="宋体" w:cs="宋体"/>
                <w:szCs w:val="21"/>
              </w:rPr>
              <w:t>培训地点：在使用单位内。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3" w:type="dxa"/>
            <w:gridSpan w:val="2"/>
            <w:vAlign w:val="center"/>
          </w:tcPr>
          <w:p>
            <w:pPr>
              <w:tabs>
                <w:tab w:val="left" w:pos="1440"/>
              </w:tabs>
              <w:adjustRightInd w:val="0"/>
              <w:snapToGrid w:val="0"/>
              <w:spacing w:line="340" w:lineRule="exact"/>
              <w:jc w:val="center"/>
              <w:rPr>
                <w:rFonts w:ascii="宋体"/>
                <w:szCs w:val="21"/>
              </w:rPr>
            </w:pPr>
            <w:r>
              <w:rPr>
                <w:rFonts w:hint="eastAsia" w:ascii="宋体" w:hAnsi="宋体" w:cs="宋体"/>
                <w:szCs w:val="21"/>
              </w:rPr>
              <w:t>备品备件及耗材等要求</w:t>
            </w:r>
          </w:p>
        </w:tc>
        <w:tc>
          <w:tcPr>
            <w:tcW w:w="7212" w:type="dxa"/>
            <w:vAlign w:val="center"/>
          </w:tcPr>
          <w:p>
            <w:pPr>
              <w:adjustRightInd w:val="0"/>
              <w:snapToGrid w:val="0"/>
              <w:spacing w:line="340" w:lineRule="exact"/>
              <w:rPr>
                <w:rFonts w:ascii="宋体"/>
                <w:szCs w:val="21"/>
              </w:rPr>
            </w:pPr>
            <w:r>
              <w:rPr>
                <w:rFonts w:hint="eastAsia" w:ascii="宋体" w:hAnsi="宋体" w:cs="宋体"/>
                <w:szCs w:val="21"/>
              </w:rPr>
              <w:t>投标时标明常用备品备件及耗材的投标价。投标人还应具有</w:t>
            </w:r>
            <w:r>
              <w:rPr>
                <w:rFonts w:ascii="宋体" w:hAnsi="宋体" w:cs="宋体"/>
                <w:szCs w:val="21"/>
              </w:rPr>
              <w:t>4</w:t>
            </w:r>
            <w:r>
              <w:rPr>
                <w:rFonts w:hint="eastAsia" w:ascii="宋体" w:hAnsi="宋体" w:cs="宋体"/>
                <w:szCs w:val="21"/>
              </w:rPr>
              <w:t>小时内在本地提供备品备件的服务能力。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3" w:type="dxa"/>
            <w:gridSpan w:val="2"/>
            <w:vAlign w:val="center"/>
          </w:tcPr>
          <w:p>
            <w:pPr>
              <w:tabs>
                <w:tab w:val="left" w:pos="1440"/>
              </w:tabs>
              <w:adjustRightInd w:val="0"/>
              <w:snapToGrid w:val="0"/>
              <w:spacing w:line="340" w:lineRule="exact"/>
              <w:jc w:val="center"/>
              <w:rPr>
                <w:rFonts w:ascii="宋体"/>
                <w:szCs w:val="21"/>
              </w:rPr>
            </w:pPr>
            <w:r>
              <w:rPr>
                <w:rFonts w:hint="eastAsia" w:ascii="宋体" w:hAnsi="宋体" w:cs="宋体"/>
                <w:szCs w:val="21"/>
              </w:rPr>
              <w:t>交货时间及地点</w:t>
            </w:r>
          </w:p>
        </w:tc>
        <w:tc>
          <w:tcPr>
            <w:tcW w:w="7212" w:type="dxa"/>
            <w:vAlign w:val="center"/>
          </w:tcPr>
          <w:p>
            <w:pPr>
              <w:adjustRightInd w:val="0"/>
              <w:snapToGrid w:val="0"/>
              <w:spacing w:line="340" w:lineRule="exact"/>
              <w:rPr>
                <w:rFonts w:ascii="宋体"/>
                <w:szCs w:val="21"/>
              </w:rPr>
            </w:pPr>
            <w:r>
              <w:rPr>
                <w:rFonts w:hint="eastAsia" w:ascii="宋体" w:hAnsi="宋体" w:cs="宋体"/>
                <w:color w:val="000000"/>
                <w:kern w:val="0"/>
                <w:szCs w:val="21"/>
                <w:highlight w:val="red"/>
                <w:lang w:val="zh-TW"/>
              </w:rPr>
              <w:t>完工时间：</w:t>
            </w:r>
            <w:r>
              <w:rPr>
                <w:rFonts w:ascii="宋体" w:hAnsi="宋体" w:cs="宋体"/>
                <w:color w:val="000000"/>
                <w:kern w:val="0"/>
                <w:szCs w:val="21"/>
                <w:highlight w:val="red"/>
                <w:lang w:val="zh-TW"/>
              </w:rPr>
              <w:t>2019年</w:t>
            </w:r>
            <w:r>
              <w:rPr>
                <w:rFonts w:hint="eastAsia" w:ascii="宋体" w:hAnsi="宋体" w:cs="宋体"/>
                <w:color w:val="000000"/>
                <w:kern w:val="0"/>
                <w:szCs w:val="21"/>
                <w:highlight w:val="red"/>
                <w:lang w:val="zh-TW"/>
              </w:rPr>
              <w:t xml:space="preserve"> </w:t>
            </w:r>
            <w:r>
              <w:rPr>
                <w:rFonts w:ascii="宋体" w:hAnsi="宋体" w:cs="宋体"/>
                <w:color w:val="000000"/>
                <w:kern w:val="0"/>
                <w:szCs w:val="21"/>
                <w:highlight w:val="red"/>
                <w:lang w:val="zh-TW"/>
              </w:rPr>
              <w:t>月</w:t>
            </w:r>
            <w:r>
              <w:rPr>
                <w:rFonts w:hint="eastAsia" w:ascii="宋体" w:hAnsi="宋体" w:cs="宋体"/>
                <w:color w:val="000000"/>
                <w:kern w:val="0"/>
                <w:szCs w:val="21"/>
                <w:highlight w:val="red"/>
                <w:lang w:val="zh-TW"/>
              </w:rPr>
              <w:t xml:space="preserve"> </w:t>
            </w:r>
            <w:r>
              <w:rPr>
                <w:rFonts w:ascii="宋体" w:hAnsi="宋体" w:cs="宋体"/>
                <w:color w:val="000000"/>
                <w:kern w:val="0"/>
                <w:szCs w:val="21"/>
                <w:highlight w:val="red"/>
                <w:lang w:val="zh-TW"/>
              </w:rPr>
              <w:t>日</w:t>
            </w:r>
            <w:r>
              <w:rPr>
                <w:rFonts w:hint="eastAsia" w:ascii="宋体" w:hAnsi="宋体" w:cs="宋体"/>
                <w:color w:val="000000"/>
                <w:kern w:val="0"/>
                <w:szCs w:val="21"/>
                <w:highlight w:val="red"/>
                <w:lang w:val="zh-TW"/>
              </w:rPr>
              <w:t>前</w:t>
            </w:r>
            <w:r>
              <w:rPr>
                <w:rFonts w:ascii="宋体" w:hAnsi="宋体" w:cs="宋体"/>
                <w:kern w:val="0"/>
                <w:szCs w:val="21"/>
                <w:lang w:val="zh-TW"/>
              </w:rPr>
              <w:t>完成系统设备的供货</w:t>
            </w:r>
            <w:r>
              <w:rPr>
                <w:rFonts w:hint="eastAsia" w:ascii="宋体" w:hAnsi="宋体" w:cs="宋体"/>
                <w:kern w:val="0"/>
                <w:szCs w:val="21"/>
                <w:lang w:val="zh-TW"/>
              </w:rPr>
              <w:t>、</w:t>
            </w:r>
            <w:r>
              <w:rPr>
                <w:rFonts w:ascii="宋体" w:hAnsi="宋体" w:cs="宋体"/>
                <w:kern w:val="0"/>
                <w:szCs w:val="21"/>
                <w:lang w:val="zh-TW"/>
              </w:rPr>
              <w:t>安装</w:t>
            </w:r>
            <w:r>
              <w:rPr>
                <w:rFonts w:hint="eastAsia" w:ascii="宋体" w:hAnsi="宋体" w:cs="宋体"/>
                <w:kern w:val="0"/>
                <w:szCs w:val="21"/>
                <w:lang w:val="zh-TW"/>
              </w:rPr>
              <w:t>、</w:t>
            </w:r>
            <w:r>
              <w:rPr>
                <w:rFonts w:ascii="宋体" w:hAnsi="宋体" w:cs="宋体"/>
                <w:kern w:val="0"/>
                <w:szCs w:val="21"/>
                <w:lang w:val="zh-TW"/>
              </w:rPr>
              <w:t>调试</w:t>
            </w:r>
            <w:r>
              <w:rPr>
                <w:rFonts w:hint="eastAsia" w:ascii="宋体" w:hAnsi="宋体" w:cs="宋体"/>
                <w:kern w:val="0"/>
                <w:szCs w:val="21"/>
                <w:lang w:val="zh-TW"/>
              </w:rPr>
              <w:t>、</w:t>
            </w:r>
            <w:r>
              <w:rPr>
                <w:rFonts w:ascii="宋体" w:hAnsi="宋体" w:cs="宋体"/>
                <w:kern w:val="0"/>
                <w:szCs w:val="21"/>
                <w:lang w:val="zh-TW"/>
              </w:rPr>
              <w:t>验收并移交给使用方</w:t>
            </w:r>
            <w:r>
              <w:rPr>
                <w:rFonts w:hint="eastAsia" w:ascii="宋体" w:hAnsi="宋体" w:cs="宋体"/>
                <w:kern w:val="0"/>
                <w:szCs w:val="21"/>
                <w:lang w:val="zh-TW"/>
              </w:rPr>
              <w:t>；施工地点：</w:t>
            </w:r>
            <w:r>
              <w:rPr>
                <w:rFonts w:hint="eastAsia" w:ascii="宋体" w:hAnsi="宋体" w:cs="宋体"/>
                <w:kern w:val="0"/>
                <w:szCs w:val="21"/>
                <w:lang w:val="zh-TW" w:eastAsia="zh-TW"/>
              </w:rPr>
              <w:t>杭州富阳越剧艺术传习院剧场</w:t>
            </w:r>
            <w:r>
              <w:rPr>
                <w:rFonts w:hint="eastAsia" w:ascii="宋体" w:hAnsi="宋体" w:cs="宋体"/>
                <w:kern w:val="0"/>
                <w:szCs w:val="21"/>
                <w:lang w:val="zh-TW"/>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3" w:type="dxa"/>
            <w:gridSpan w:val="2"/>
            <w:vAlign w:val="center"/>
          </w:tcPr>
          <w:p>
            <w:pPr>
              <w:tabs>
                <w:tab w:val="left" w:pos="1440"/>
              </w:tabs>
              <w:adjustRightInd w:val="0"/>
              <w:snapToGrid w:val="0"/>
              <w:spacing w:line="340" w:lineRule="exact"/>
              <w:jc w:val="center"/>
              <w:rPr>
                <w:rFonts w:ascii="宋体" w:hAnsi="宋体" w:cs="宋体"/>
                <w:szCs w:val="21"/>
              </w:rPr>
            </w:pPr>
            <w:r>
              <w:rPr>
                <w:rFonts w:hint="eastAsia" w:ascii="宋体" w:hAnsi="宋体" w:cs="宋体"/>
                <w:szCs w:val="21"/>
              </w:rPr>
              <w:t>履约保证金</w:t>
            </w:r>
          </w:p>
        </w:tc>
        <w:tc>
          <w:tcPr>
            <w:tcW w:w="7212" w:type="dxa"/>
            <w:vAlign w:val="center"/>
          </w:tcPr>
          <w:p>
            <w:pPr>
              <w:adjustRightInd w:val="0"/>
              <w:snapToGrid w:val="0"/>
              <w:spacing w:line="340" w:lineRule="exact"/>
              <w:rPr>
                <w:rFonts w:ascii="宋体" w:hAnsi="宋体" w:cs="宋体"/>
                <w:kern w:val="0"/>
                <w:szCs w:val="21"/>
                <w:lang w:val="zh-TW" w:eastAsia="zh-TW"/>
              </w:rPr>
            </w:pPr>
            <w:r>
              <w:rPr>
                <w:rFonts w:hint="eastAsia" w:ascii="宋体"/>
                <w:szCs w:val="21"/>
              </w:rPr>
              <w:t>签订合同前由乙方支付合同总价的5</w:t>
            </w:r>
            <w:r>
              <w:rPr>
                <w:rFonts w:ascii="宋体"/>
                <w:szCs w:val="21"/>
              </w:rPr>
              <w:t>%作为履约保证金。项目实施完毕，验收合格后履约保证金转为质量保证金，在没有发生质量索赔的情况下，质量保证金在质保期满一年后无息退还。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3" w:type="dxa"/>
            <w:gridSpan w:val="2"/>
            <w:vAlign w:val="center"/>
          </w:tcPr>
          <w:p>
            <w:pPr>
              <w:tabs>
                <w:tab w:val="left" w:pos="1440"/>
              </w:tabs>
              <w:adjustRightInd w:val="0"/>
              <w:snapToGrid w:val="0"/>
              <w:spacing w:line="340" w:lineRule="exact"/>
              <w:jc w:val="center"/>
              <w:rPr>
                <w:rFonts w:ascii="宋体"/>
                <w:szCs w:val="21"/>
              </w:rPr>
            </w:pPr>
            <w:r>
              <w:rPr>
                <w:rFonts w:hint="eastAsia" w:ascii="宋体" w:hAnsi="宋体" w:cs="宋体"/>
                <w:szCs w:val="21"/>
              </w:rPr>
              <w:t>付款条件</w:t>
            </w:r>
          </w:p>
        </w:tc>
        <w:tc>
          <w:tcPr>
            <w:tcW w:w="7212" w:type="dxa"/>
            <w:vAlign w:val="center"/>
          </w:tcPr>
          <w:p>
            <w:pPr>
              <w:adjustRightInd w:val="0"/>
              <w:snapToGrid w:val="0"/>
              <w:spacing w:line="340" w:lineRule="exact"/>
              <w:rPr>
                <w:rFonts w:ascii="宋体"/>
                <w:szCs w:val="21"/>
              </w:rPr>
            </w:pPr>
            <w:r>
              <w:rPr>
                <w:rFonts w:ascii="宋体"/>
                <w:color w:val="FF0000"/>
                <w:szCs w:val="21"/>
              </w:rPr>
              <w:t>合同鉴定生效后</w:t>
            </w:r>
            <w:r>
              <w:rPr>
                <w:rFonts w:hint="eastAsia" w:ascii="宋体"/>
                <w:color w:val="FF0000"/>
                <w:szCs w:val="21"/>
              </w:rPr>
              <w:t>，</w:t>
            </w:r>
            <w:r>
              <w:rPr>
                <w:rFonts w:ascii="宋体"/>
                <w:color w:val="FF0000"/>
                <w:szCs w:val="21"/>
              </w:rPr>
              <w:t>采购人支付合同总价的</w:t>
            </w:r>
            <w:r>
              <w:rPr>
                <w:rFonts w:hint="eastAsia" w:ascii="宋体"/>
                <w:color w:val="FF0000"/>
                <w:szCs w:val="21"/>
              </w:rPr>
              <w:t>30%，所有设备到现场，经采购人清点合格，项目完成经验收合格后，采购人支付至合同总价的10</w:t>
            </w:r>
            <w:r>
              <w:rPr>
                <w:rFonts w:ascii="宋体"/>
                <w:color w:val="FF0000"/>
                <w:szCs w:val="21"/>
              </w:rPr>
              <w:t>0%</w:t>
            </w:r>
            <w:r>
              <w:rPr>
                <w:rFonts w:hint="eastAsia" w:ascii="宋体"/>
                <w:color w:val="FF0000"/>
                <w:szCs w:val="21"/>
              </w:rPr>
              <w:t>。</w:t>
            </w:r>
          </w:p>
        </w:tc>
      </w:tr>
    </w:tbl>
    <w:p>
      <w:pPr>
        <w:pStyle w:val="3"/>
        <w:spacing w:line="240" w:lineRule="auto"/>
        <w:rPr>
          <w:rFonts w:asciiTheme="minorEastAsia" w:hAnsiTheme="minorEastAsia" w:eastAsiaTheme="minorEastAsia"/>
          <w:b/>
          <w:sz w:val="24"/>
        </w:rPr>
      </w:pPr>
      <w:r>
        <w:rPr>
          <w:rFonts w:hint="eastAsia" w:asciiTheme="minorEastAsia" w:hAnsiTheme="minorEastAsia" w:eastAsiaTheme="minorEastAsia"/>
          <w:b/>
          <w:sz w:val="24"/>
        </w:rPr>
        <w:t>三、评标办法及评分标准</w:t>
      </w:r>
    </w:p>
    <w:p>
      <w:pPr>
        <w:keepNext/>
        <w:keepLines/>
        <w:tabs>
          <w:tab w:val="left" w:pos="1080"/>
        </w:tabs>
        <w:spacing w:line="415" w:lineRule="auto"/>
        <w:ind w:left="723" w:hanging="723" w:hangingChars="300"/>
        <w:outlineLvl w:val="2"/>
        <w:rPr>
          <w:rFonts w:ascii="宋体" w:hAnsi="宋体"/>
          <w:b/>
          <w:sz w:val="24"/>
          <w:szCs w:val="32"/>
        </w:rPr>
      </w:pPr>
      <w:r>
        <w:rPr>
          <w:rFonts w:hint="eastAsia" w:ascii="宋体" w:hAnsi="宋体"/>
          <w:b/>
          <w:sz w:val="24"/>
          <w:szCs w:val="32"/>
        </w:rPr>
        <w:t>1、总则</w:t>
      </w:r>
    </w:p>
    <w:p>
      <w:pPr>
        <w:spacing w:line="440" w:lineRule="exact"/>
        <w:ind w:firstLine="602" w:firstLineChars="250"/>
        <w:rPr>
          <w:rFonts w:ascii="宋体" w:hAnsi="宋体"/>
          <w:sz w:val="24"/>
          <w:szCs w:val="20"/>
        </w:rPr>
      </w:pPr>
      <w:r>
        <w:rPr>
          <w:rFonts w:hint="eastAsia" w:ascii="宋体" w:hAnsi="宋体"/>
          <w:b/>
          <w:sz w:val="24"/>
          <w:szCs w:val="20"/>
        </w:rPr>
        <w:t>本次评标采用</w:t>
      </w:r>
      <w:bookmarkStart w:id="0" w:name="ruleMainCatName2"/>
      <w:r>
        <w:rPr>
          <w:rFonts w:hint="eastAsia" w:ascii="宋体" w:hAnsi="宋体"/>
          <w:b/>
          <w:sz w:val="24"/>
          <w:szCs w:val="20"/>
        </w:rPr>
        <w:t>综合评分法</w:t>
      </w:r>
      <w:bookmarkEnd w:id="0"/>
      <w:r>
        <w:rPr>
          <w:rFonts w:hint="eastAsia" w:ascii="宋体" w:hAnsi="宋体"/>
          <w:b/>
          <w:sz w:val="24"/>
          <w:szCs w:val="20"/>
        </w:rPr>
        <w:t>，总分为100分。</w:t>
      </w:r>
      <w:r>
        <w:rPr>
          <w:rFonts w:hint="eastAsia" w:ascii="宋体" w:hAnsi="宋体"/>
          <w:sz w:val="24"/>
          <w:szCs w:val="20"/>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spacing w:line="440" w:lineRule="exact"/>
        <w:ind w:firstLine="600" w:firstLineChars="250"/>
        <w:rPr>
          <w:rFonts w:ascii="宋体" w:hAnsi="宋体"/>
          <w:sz w:val="24"/>
          <w:szCs w:val="20"/>
        </w:rPr>
      </w:pPr>
      <w:r>
        <w:rPr>
          <w:rFonts w:hint="eastAsia" w:ascii="宋体" w:hAnsi="宋体"/>
          <w:sz w:val="24"/>
          <w:szCs w:val="20"/>
        </w:rPr>
        <w:t>投标人评标综合得分=价格分+(技术、商务分)</w:t>
      </w:r>
    </w:p>
    <w:p>
      <w:pPr>
        <w:keepNext/>
        <w:keepLines/>
        <w:tabs>
          <w:tab w:val="left" w:pos="1080"/>
        </w:tabs>
        <w:spacing w:line="415" w:lineRule="auto"/>
        <w:ind w:left="723" w:hanging="723" w:hangingChars="300"/>
        <w:outlineLvl w:val="2"/>
        <w:rPr>
          <w:rFonts w:ascii="宋体" w:hAnsi="宋体"/>
          <w:b/>
          <w:sz w:val="24"/>
          <w:szCs w:val="32"/>
        </w:rPr>
      </w:pPr>
      <w:r>
        <w:rPr>
          <w:rFonts w:hint="eastAsia" w:ascii="宋体" w:hAnsi="宋体"/>
          <w:b/>
          <w:sz w:val="24"/>
          <w:szCs w:val="32"/>
        </w:rPr>
        <w:t>2、评标内容及标准</w:t>
      </w:r>
    </w:p>
    <w:p>
      <w:pPr>
        <w:pStyle w:val="4"/>
        <w:spacing w:before="0" w:after="0" w:line="377" w:lineRule="auto"/>
        <w:ind w:left="865" w:hanging="865" w:hangingChars="359"/>
        <w:rPr>
          <w:rFonts w:ascii="宋体" w:hAnsi="宋体" w:eastAsia="宋体"/>
          <w:sz w:val="24"/>
          <w:szCs w:val="24"/>
        </w:rPr>
      </w:pPr>
      <w:r>
        <w:rPr>
          <w:rFonts w:hint="eastAsia" w:ascii="宋体" w:hAnsi="宋体" w:eastAsia="宋体"/>
          <w:sz w:val="24"/>
          <w:szCs w:val="24"/>
        </w:rPr>
        <w:t>2.1、价格分（30分）</w:t>
      </w:r>
    </w:p>
    <w:p>
      <w:pPr>
        <w:spacing w:line="440" w:lineRule="exact"/>
        <w:ind w:firstLine="600" w:firstLineChars="250"/>
        <w:rPr>
          <w:rFonts w:ascii="宋体" w:hAnsi="宋体"/>
          <w:sz w:val="24"/>
          <w:szCs w:val="20"/>
        </w:rPr>
      </w:pPr>
      <w:r>
        <w:rPr>
          <w:rFonts w:hint="eastAsia" w:ascii="宋体" w:hAnsi="宋体"/>
          <w:sz w:val="24"/>
          <w:szCs w:val="20"/>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pPr>
        <w:pStyle w:val="4"/>
        <w:spacing w:before="0" w:after="0" w:line="377" w:lineRule="auto"/>
        <w:ind w:left="865" w:hanging="865" w:hangingChars="359"/>
        <w:rPr>
          <w:rFonts w:ascii="宋体" w:hAnsi="宋体" w:eastAsia="宋体"/>
          <w:sz w:val="24"/>
          <w:szCs w:val="24"/>
        </w:rPr>
      </w:pPr>
      <w:r>
        <w:rPr>
          <w:rFonts w:hint="eastAsia" w:ascii="宋体" w:hAnsi="宋体" w:eastAsia="宋体"/>
          <w:sz w:val="24"/>
          <w:szCs w:val="24"/>
        </w:rPr>
        <w:t>2.2、技术、商务分（70分）</w:t>
      </w:r>
    </w:p>
    <w:p>
      <w:pPr>
        <w:spacing w:line="440" w:lineRule="exact"/>
        <w:ind w:firstLine="600" w:firstLineChars="250"/>
        <w:rPr>
          <w:rFonts w:ascii="宋体" w:hAnsi="宋体"/>
          <w:sz w:val="24"/>
          <w:szCs w:val="20"/>
        </w:rPr>
      </w:pPr>
      <w:r>
        <w:rPr>
          <w:rFonts w:hint="eastAsia" w:ascii="宋体" w:hAnsi="宋体"/>
          <w:sz w:val="24"/>
          <w:szCs w:val="20"/>
        </w:rPr>
        <w:t>（1）、技术、商务分的计算：</w:t>
      </w:r>
    </w:p>
    <w:p>
      <w:pPr>
        <w:spacing w:line="440" w:lineRule="exact"/>
        <w:ind w:firstLine="600" w:firstLineChars="250"/>
        <w:rPr>
          <w:rFonts w:ascii="宋体" w:hAnsi="宋体"/>
          <w:sz w:val="24"/>
          <w:szCs w:val="20"/>
        </w:rPr>
      </w:pPr>
      <w:r>
        <w:rPr>
          <w:rFonts w:hint="eastAsia" w:ascii="宋体" w:hAnsi="宋体"/>
          <w:sz w:val="24"/>
          <w:szCs w:val="20"/>
        </w:rPr>
        <w:t>技术、商务分按照评标委员会成员的独立评分结果汇总数的算术平均分计算，计算公式为：</w:t>
      </w:r>
    </w:p>
    <w:p>
      <w:pPr>
        <w:spacing w:line="440" w:lineRule="exact"/>
        <w:ind w:firstLine="600" w:firstLineChars="250"/>
        <w:rPr>
          <w:rFonts w:ascii="宋体" w:hAnsi="宋体"/>
          <w:sz w:val="24"/>
          <w:szCs w:val="20"/>
        </w:rPr>
      </w:pPr>
      <w:r>
        <w:rPr>
          <w:rFonts w:hint="eastAsia" w:ascii="宋体" w:hAnsi="宋体"/>
          <w:sz w:val="24"/>
          <w:szCs w:val="20"/>
        </w:rPr>
        <w:t>技术、商务分=评标委员会所有成员评分合计数/评标委员会组成人员数</w:t>
      </w:r>
    </w:p>
    <w:p>
      <w:pPr>
        <w:spacing w:line="440" w:lineRule="exact"/>
        <w:ind w:firstLine="600" w:firstLineChars="250"/>
        <w:rPr>
          <w:rFonts w:ascii="宋体" w:hAnsi="宋体"/>
          <w:sz w:val="24"/>
          <w:szCs w:val="20"/>
        </w:rPr>
      </w:pPr>
      <w:r>
        <w:rPr>
          <w:rFonts w:hint="eastAsia" w:ascii="宋体" w:hAnsi="宋体"/>
          <w:sz w:val="24"/>
          <w:szCs w:val="20"/>
        </w:rPr>
        <w:t>（2）、评分细则如下：</w:t>
      </w:r>
    </w:p>
    <w:tbl>
      <w:tblPr>
        <w:tblStyle w:val="7"/>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6015"/>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b/>
                <w:color w:val="000000"/>
                <w:sz w:val="24"/>
                <w:szCs w:val="20"/>
              </w:rPr>
            </w:pPr>
            <w:bookmarkStart w:id="1" w:name="scoringRules2"/>
            <w:r>
              <w:rPr>
                <w:rFonts w:hint="eastAsia" w:ascii="宋体" w:hAnsi="宋体"/>
                <w:b/>
                <w:color w:val="000000"/>
                <w:sz w:val="24"/>
                <w:szCs w:val="20"/>
              </w:rPr>
              <w:t>评分细则</w:t>
            </w: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b/>
                <w:color w:val="000000"/>
                <w:sz w:val="24"/>
                <w:szCs w:val="20"/>
              </w:rPr>
            </w:pPr>
            <w:r>
              <w:rPr>
                <w:rFonts w:hint="eastAsia" w:ascii="宋体" w:hAnsi="宋体"/>
                <w:b/>
                <w:color w:val="000000"/>
                <w:sz w:val="24"/>
                <w:szCs w:val="20"/>
              </w:rPr>
              <w:t>评分细则内容</w:t>
            </w:r>
          </w:p>
        </w:tc>
        <w:tc>
          <w:tcPr>
            <w:tcW w:w="1419"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b/>
                <w:color w:val="000000"/>
                <w:sz w:val="24"/>
                <w:szCs w:val="20"/>
              </w:rPr>
            </w:pPr>
            <w:r>
              <w:rPr>
                <w:rFonts w:hint="eastAsia" w:ascii="宋体" w:hAnsi="宋体"/>
                <w:b/>
                <w:color w:val="000000"/>
                <w:sz w:val="24"/>
                <w:szCs w:val="20"/>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1780" w:type="dxa"/>
            <w:vMerge w:val="restart"/>
            <w:tcBorders>
              <w:top w:val="single" w:color="000000" w:sz="4" w:space="0"/>
              <w:left w:val="single" w:color="000000" w:sz="4" w:space="0"/>
              <w:right w:val="single" w:color="000000" w:sz="4" w:space="0"/>
            </w:tcBorders>
            <w:vAlign w:val="center"/>
          </w:tcPr>
          <w:p>
            <w:pPr>
              <w:spacing w:before="156" w:line="440" w:lineRule="exact"/>
              <w:rPr>
                <w:rFonts w:ascii="宋体" w:hAnsi="宋体"/>
                <w:color w:val="000000"/>
                <w:sz w:val="24"/>
                <w:szCs w:val="20"/>
              </w:rPr>
            </w:pPr>
            <w:r>
              <w:rPr>
                <w:rFonts w:hint="eastAsia" w:ascii="宋体" w:hAnsi="宋体"/>
                <w:color w:val="000000"/>
                <w:sz w:val="24"/>
                <w:szCs w:val="21"/>
              </w:rPr>
              <w:t>技术分（52分）</w:t>
            </w: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rPr>
            </w:pPr>
            <w:r>
              <w:rPr>
                <w:rFonts w:ascii="宋体" w:hAnsi="宋体"/>
                <w:color w:val="000000"/>
                <w:sz w:val="24"/>
                <w:szCs w:val="20"/>
              </w:rPr>
              <w:t>所投产品具体配置、技术参数及偏离情况： （1)所投产品满足招标文件规定的技术指标要求的得基准分</w:t>
            </w:r>
            <w:r>
              <w:rPr>
                <w:rFonts w:hint="eastAsia" w:ascii="宋体" w:hAnsi="宋体"/>
                <w:color w:val="000000"/>
                <w:sz w:val="24"/>
                <w:szCs w:val="20"/>
              </w:rPr>
              <w:t>26</w:t>
            </w:r>
            <w:r>
              <w:rPr>
                <w:rFonts w:ascii="宋体" w:hAnsi="宋体"/>
                <w:color w:val="000000"/>
                <w:sz w:val="24"/>
                <w:szCs w:val="20"/>
              </w:rPr>
              <w:t xml:space="preserve">分； </w:t>
            </w:r>
            <w:r>
              <w:rPr>
                <w:rFonts w:ascii="宋体" w:hAnsi="宋体"/>
                <w:color w:val="000000"/>
                <w:sz w:val="24"/>
              </w:rPr>
              <w:t>（2）所投产品带★项参数有负偏离的，每项扣</w:t>
            </w:r>
            <w:r>
              <w:rPr>
                <w:rFonts w:hint="eastAsia" w:ascii="宋体" w:hAnsi="宋体"/>
                <w:color w:val="000000"/>
                <w:sz w:val="24"/>
              </w:rPr>
              <w:t>3</w:t>
            </w:r>
            <w:r>
              <w:rPr>
                <w:rFonts w:ascii="宋体" w:hAnsi="宋体"/>
                <w:color w:val="000000"/>
                <w:sz w:val="24"/>
              </w:rPr>
              <w:t>分，其余项低于采购需求技术指标要求的，每一项扣0-1分，扣完为止 。</w:t>
            </w:r>
          </w:p>
          <w:p>
            <w:pPr>
              <w:spacing w:line="440" w:lineRule="exact"/>
              <w:rPr>
                <w:rFonts w:ascii="宋体" w:hAnsi="宋体"/>
                <w:color w:val="000000"/>
                <w:sz w:val="24"/>
                <w:szCs w:val="20"/>
              </w:rPr>
            </w:pPr>
            <w:r>
              <w:rPr>
                <w:rFonts w:hint="eastAsia" w:ascii="宋体" w:hAnsi="宋体"/>
                <w:color w:val="000000"/>
                <w:sz w:val="24"/>
              </w:rPr>
              <w:t>（3）</w:t>
            </w:r>
            <w:r>
              <w:rPr>
                <w:rFonts w:hint="eastAsia" w:ascii="Calibri" w:hAnsi="宋体"/>
                <w:color w:val="000000"/>
                <w:sz w:val="24"/>
                <w:szCs w:val="21"/>
              </w:rPr>
              <w:t>对性能指标、技术参数属正偏或高配的、有先进程度的正偏离每项加0.5分（最高分为2分），无实质性意义的正偏离不加分。</w:t>
            </w:r>
            <w:r>
              <w:rPr>
                <w:rFonts w:ascii="Calibri" w:hAnsi="宋体"/>
                <w:color w:val="000000"/>
                <w:sz w:val="24"/>
                <w:szCs w:val="21"/>
              </w:rPr>
              <w:t>0-</w:t>
            </w:r>
            <w:r>
              <w:rPr>
                <w:rFonts w:hint="eastAsia" w:ascii="Calibri" w:hAnsi="宋体"/>
                <w:color w:val="000000"/>
                <w:sz w:val="24"/>
                <w:szCs w:val="21"/>
              </w:rPr>
              <w:t>2</w:t>
            </w:r>
            <w:r>
              <w:rPr>
                <w:rFonts w:ascii="Calibri" w:hAnsi="宋体"/>
                <w:color w:val="000000"/>
                <w:sz w:val="24"/>
                <w:szCs w:val="21"/>
              </w:rPr>
              <w:t>分</w:t>
            </w:r>
            <w:r>
              <w:rPr>
                <w:rFonts w:hint="eastAsia" w:ascii="Calibri" w:hAnsi="宋体"/>
                <w:color w:val="000000"/>
                <w:sz w:val="24"/>
                <w:szCs w:val="21"/>
              </w:rPr>
              <w:t>。</w:t>
            </w:r>
            <w:bookmarkStart w:id="21" w:name="_GoBack"/>
            <w:bookmarkEnd w:id="21"/>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FF0000"/>
                <w:sz w:val="24"/>
                <w:szCs w:val="20"/>
              </w:rPr>
              <w:t>28</w:t>
            </w:r>
            <w:r>
              <w:rPr>
                <w:rFonts w:ascii="宋体" w:hAnsi="宋体"/>
                <w:color w:val="FF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ascii="宋体" w:hAnsi="宋体"/>
                <w:color w:val="000000"/>
                <w:sz w:val="24"/>
                <w:szCs w:val="20"/>
              </w:rPr>
              <w:t>对系统功能及其技术要点是否有完整和全面的响应和说明，系统的技术水平、应用程度、系统结构和产品实际布局设计的先进性、科学性和合理性描述；对类似项目是否有深刻理解，0-</w:t>
            </w:r>
            <w:r>
              <w:rPr>
                <w:rFonts w:hint="eastAsia" w:ascii="宋体" w:hAnsi="宋体"/>
                <w:color w:val="000000"/>
                <w:sz w:val="24"/>
                <w:szCs w:val="20"/>
              </w:rPr>
              <w:t>5</w:t>
            </w:r>
            <w:r>
              <w:rPr>
                <w:rFonts w:ascii="宋体" w:hAnsi="宋体"/>
                <w:color w:val="000000"/>
                <w:sz w:val="24"/>
                <w:szCs w:val="20"/>
              </w:rPr>
              <w:t>分，酌情给分。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5</w:t>
            </w:r>
            <w:r>
              <w:rPr>
                <w:rFonts w:ascii="宋体" w:hAnsi="宋体"/>
                <w:color w:val="00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ascii="宋体" w:hAnsi="宋体"/>
                <w:color w:val="000000"/>
                <w:sz w:val="24"/>
                <w:szCs w:val="20"/>
              </w:rPr>
              <w:t>所投产品技术资料的完整性，依据投标人技术文件中所附主要设备的配置、性能的详细说明，相关的技术文档等情况评分，0-</w:t>
            </w:r>
            <w:r>
              <w:rPr>
                <w:rFonts w:hint="eastAsia" w:ascii="宋体" w:hAnsi="宋体"/>
                <w:color w:val="000000"/>
                <w:sz w:val="24"/>
                <w:szCs w:val="20"/>
              </w:rPr>
              <w:t>5</w:t>
            </w:r>
            <w:r>
              <w:rPr>
                <w:rFonts w:ascii="宋体" w:hAnsi="宋体"/>
                <w:color w:val="000000"/>
                <w:sz w:val="24"/>
                <w:szCs w:val="20"/>
              </w:rPr>
              <w:t>分，酌情给分。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5</w:t>
            </w:r>
            <w:r>
              <w:rPr>
                <w:rFonts w:ascii="宋体" w:hAnsi="宋体"/>
                <w:color w:val="00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8" w:hRule="atLeast"/>
        </w:trPr>
        <w:tc>
          <w:tcPr>
            <w:tcW w:w="1780" w:type="dxa"/>
            <w:vMerge w:val="continue"/>
            <w:tcBorders>
              <w:left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p>
        </w:tc>
        <w:tc>
          <w:tcPr>
            <w:tcW w:w="6015" w:type="dxa"/>
            <w:tcBorders>
              <w:top w:val="single" w:color="000000" w:sz="4" w:space="0"/>
              <w:left w:val="single" w:color="000000" w:sz="4" w:space="0"/>
              <w:right w:val="single" w:color="000000" w:sz="4" w:space="0"/>
            </w:tcBorders>
          </w:tcPr>
          <w:p>
            <w:pPr>
              <w:spacing w:line="440" w:lineRule="exact"/>
              <w:rPr>
                <w:rFonts w:ascii="宋体" w:hAnsi="宋体"/>
                <w:color w:val="000000"/>
                <w:sz w:val="24"/>
              </w:rPr>
            </w:pPr>
            <w:r>
              <w:rPr>
                <w:rFonts w:ascii="宋体" w:hAnsi="宋体"/>
                <w:color w:val="000000"/>
                <w:sz w:val="24"/>
              </w:rPr>
              <w:t>确保工程工期、质量的措施： 依据供货、安装及调试进度控制、工期保障及其相关内容进行评审，0-</w:t>
            </w:r>
            <w:r>
              <w:rPr>
                <w:rFonts w:hint="eastAsia" w:ascii="宋体" w:hAnsi="宋体"/>
                <w:color w:val="000000"/>
                <w:sz w:val="24"/>
              </w:rPr>
              <w:t>2</w:t>
            </w:r>
            <w:r>
              <w:rPr>
                <w:rFonts w:ascii="宋体" w:hAnsi="宋体"/>
                <w:color w:val="000000"/>
                <w:sz w:val="24"/>
              </w:rPr>
              <w:t>分，酌情给分。</w:t>
            </w:r>
          </w:p>
        </w:tc>
        <w:tc>
          <w:tcPr>
            <w:tcW w:w="1419" w:type="dxa"/>
            <w:tcBorders>
              <w:top w:val="single" w:color="000000" w:sz="4" w:space="0"/>
              <w:left w:val="single" w:color="000000" w:sz="4" w:space="0"/>
              <w:right w:val="single" w:color="000000" w:sz="4" w:space="0"/>
            </w:tcBorders>
            <w:vAlign w:val="center"/>
          </w:tcPr>
          <w:p>
            <w:pPr>
              <w:spacing w:line="440" w:lineRule="exact"/>
              <w:jc w:val="center"/>
              <w:rPr>
                <w:rFonts w:ascii="宋体" w:hAnsi="宋体"/>
                <w:color w:val="000000"/>
                <w:sz w:val="24"/>
              </w:rPr>
            </w:pPr>
            <w:r>
              <w:rPr>
                <w:rFonts w:hint="eastAsia" w:ascii="宋体" w:hAnsi="宋体"/>
                <w:color w:val="000000"/>
                <w:sz w:val="24"/>
              </w:rPr>
              <w:t>2</w:t>
            </w:r>
            <w:r>
              <w:rPr>
                <w:rFonts w:ascii="宋体" w:hAnsi="宋体"/>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hint="eastAsia" w:ascii="宋体" w:hAnsi="宋体"/>
                <w:color w:val="000000"/>
                <w:sz w:val="24"/>
                <w:szCs w:val="20"/>
              </w:rPr>
              <w:t>7、人员资质情况，0-7分：</w:t>
            </w:r>
          </w:p>
          <w:p>
            <w:pPr>
              <w:spacing w:line="440" w:lineRule="exact"/>
              <w:rPr>
                <w:rFonts w:ascii="宋体" w:hAnsi="宋体"/>
                <w:color w:val="000000"/>
                <w:sz w:val="24"/>
                <w:szCs w:val="20"/>
              </w:rPr>
            </w:pPr>
            <w:r>
              <w:rPr>
                <w:rFonts w:hint="eastAsia" w:ascii="宋体" w:hAnsi="宋体"/>
                <w:color w:val="000000"/>
                <w:sz w:val="24"/>
                <w:szCs w:val="20"/>
              </w:rPr>
              <w:t>（1）项目技术负责人具有国家行政主管部门核发的高级工程师职称的，得2分；工程师职称的，得1分；最高</w:t>
            </w:r>
            <w:r>
              <w:rPr>
                <w:rFonts w:hint="eastAsia" w:ascii="宋体" w:hAnsi="宋体"/>
                <w:color w:val="FF0000"/>
                <w:sz w:val="24"/>
                <w:szCs w:val="20"/>
              </w:rPr>
              <w:t>得2分</w:t>
            </w:r>
            <w:r>
              <w:rPr>
                <w:rFonts w:hint="eastAsia" w:ascii="宋体" w:hAnsi="宋体"/>
                <w:color w:val="000000"/>
                <w:sz w:val="24"/>
                <w:szCs w:val="20"/>
              </w:rPr>
              <w:t>。</w:t>
            </w:r>
          </w:p>
          <w:p>
            <w:pPr>
              <w:spacing w:line="440" w:lineRule="exact"/>
              <w:rPr>
                <w:rFonts w:ascii="宋体" w:hAnsi="宋体"/>
                <w:color w:val="000000"/>
                <w:sz w:val="24"/>
                <w:szCs w:val="20"/>
              </w:rPr>
            </w:pPr>
            <w:r>
              <w:rPr>
                <w:rFonts w:hint="eastAsia" w:ascii="宋体" w:hAnsi="宋体"/>
                <w:color w:val="000000"/>
                <w:sz w:val="24"/>
                <w:szCs w:val="20"/>
              </w:rPr>
              <w:t>（2）项目负责人具有国家行政主管部门核发的</w:t>
            </w:r>
            <w:r>
              <w:rPr>
                <w:rFonts w:hint="eastAsia" w:ascii="宋体" w:hAnsi="宋体"/>
                <w:color w:val="FF0000"/>
                <w:sz w:val="24"/>
                <w:szCs w:val="20"/>
              </w:rPr>
              <w:t>机电类国家注册壹级建造师资</w:t>
            </w:r>
            <w:r>
              <w:rPr>
                <w:rFonts w:hint="eastAsia" w:ascii="宋体" w:hAnsi="宋体"/>
                <w:color w:val="000000"/>
                <w:sz w:val="24"/>
                <w:szCs w:val="20"/>
              </w:rPr>
              <w:t>格的且具备有效的安全生产考核（B类）合格证书，得1分。最高得1分。</w:t>
            </w:r>
          </w:p>
          <w:p>
            <w:pPr>
              <w:spacing w:line="440" w:lineRule="exact"/>
              <w:rPr>
                <w:rFonts w:ascii="宋体" w:hAnsi="宋体"/>
                <w:color w:val="000000"/>
                <w:sz w:val="24"/>
                <w:szCs w:val="20"/>
              </w:rPr>
            </w:pPr>
            <w:r>
              <w:rPr>
                <w:rFonts w:hint="eastAsia" w:ascii="宋体" w:hAnsi="宋体"/>
                <w:color w:val="000000"/>
                <w:sz w:val="24"/>
                <w:szCs w:val="20"/>
              </w:rPr>
              <w:t>（3）项目负责人具有国家行政主管部门颁发的</w:t>
            </w:r>
            <w:r>
              <w:rPr>
                <w:rFonts w:hint="eastAsia" w:ascii="宋体" w:hAnsi="宋体"/>
                <w:color w:val="FF0000"/>
                <w:sz w:val="24"/>
                <w:szCs w:val="20"/>
              </w:rPr>
              <w:t>国家职业资格三级及以上的舞台音响调音职业资格证书</w:t>
            </w:r>
            <w:r>
              <w:rPr>
                <w:rFonts w:hint="eastAsia" w:ascii="宋体" w:hAnsi="宋体"/>
                <w:color w:val="000000"/>
                <w:sz w:val="24"/>
                <w:szCs w:val="20"/>
              </w:rPr>
              <w:t>，得1分。最高得1分。</w:t>
            </w:r>
          </w:p>
          <w:p>
            <w:pPr>
              <w:spacing w:line="440" w:lineRule="exact"/>
              <w:rPr>
                <w:rFonts w:ascii="宋体" w:hAnsi="宋体"/>
                <w:color w:val="000000"/>
                <w:sz w:val="24"/>
                <w:szCs w:val="20"/>
              </w:rPr>
            </w:pPr>
            <w:r>
              <w:rPr>
                <w:rFonts w:hint="eastAsia" w:ascii="宋体" w:hAnsi="宋体"/>
                <w:color w:val="000000"/>
                <w:sz w:val="24"/>
                <w:szCs w:val="20"/>
              </w:rPr>
              <w:t>（3）</w:t>
            </w:r>
            <w:r>
              <w:rPr>
                <w:rFonts w:hint="eastAsia" w:ascii="宋体" w:hAnsi="宋体"/>
                <w:color w:val="FF0000"/>
                <w:sz w:val="24"/>
                <w:szCs w:val="20"/>
              </w:rPr>
              <w:t>舞台音响、灯光安装调试人员具有人力资源和社会保障局发的灯光音响中级职称及以上</w:t>
            </w:r>
            <w:r>
              <w:rPr>
                <w:rFonts w:hint="eastAsia" w:ascii="宋体" w:hAnsi="宋体"/>
                <w:color w:val="000000"/>
                <w:sz w:val="24"/>
                <w:szCs w:val="20"/>
              </w:rPr>
              <w:t>职称证书一个得 1 分，最高得2分。</w:t>
            </w:r>
          </w:p>
          <w:p>
            <w:pPr>
              <w:spacing w:line="440" w:lineRule="exact"/>
              <w:rPr>
                <w:rFonts w:ascii="宋体" w:hAnsi="宋体"/>
                <w:color w:val="4F81BD" w:themeColor="accent1"/>
                <w:sz w:val="24"/>
                <w:szCs w:val="20"/>
                <w14:textFill>
                  <w14:solidFill>
                    <w14:schemeClr w14:val="accent1"/>
                  </w14:solidFill>
                </w14:textFill>
              </w:rPr>
            </w:pPr>
            <w:r>
              <w:rPr>
                <w:rFonts w:hint="eastAsia" w:ascii="宋体" w:hAnsi="宋体"/>
                <w:color w:val="000000"/>
                <w:sz w:val="24"/>
                <w:szCs w:val="20"/>
              </w:rPr>
              <w:t>（4）</w:t>
            </w:r>
            <w:r>
              <w:rPr>
                <w:rFonts w:hint="eastAsia" w:ascii="宋体" w:hAnsi="宋体"/>
                <w:color w:val="4F81BD" w:themeColor="accent1"/>
                <w:sz w:val="24"/>
                <w:szCs w:val="20"/>
                <w14:textFill>
                  <w14:solidFill>
                    <w14:schemeClr w14:val="accent1"/>
                  </w14:solidFill>
                </w14:textFill>
              </w:rPr>
              <w:t>人员稳定性，项目负责人、技术负责人、安装调试、售后服务人员均就职于本公司近一年及以上得1分。（以社保机构出具的社保证明为准，提供近一年的养老保险缴纳证明复印件）。</w:t>
            </w:r>
          </w:p>
          <w:p>
            <w:pPr>
              <w:spacing w:line="440" w:lineRule="exact"/>
              <w:rPr>
                <w:rFonts w:ascii="宋体" w:hAnsi="宋体"/>
                <w:color w:val="000000"/>
                <w:sz w:val="24"/>
                <w:szCs w:val="20"/>
              </w:rPr>
            </w:pPr>
            <w:r>
              <w:rPr>
                <w:rFonts w:hint="eastAsia" w:ascii="宋体" w:hAnsi="宋体"/>
                <w:color w:val="FF0000"/>
                <w:sz w:val="24"/>
                <w:szCs w:val="20"/>
              </w:rPr>
              <w:t>以上材料提供复印件，开标时</w:t>
            </w:r>
            <w:r>
              <w:rPr>
                <w:rFonts w:hint="eastAsia" w:ascii="宋体" w:hAnsi="宋体"/>
                <w:color w:val="000000"/>
                <w:sz w:val="24"/>
                <w:szCs w:val="20"/>
              </w:rPr>
              <w:t>提供原件备查，未提供原件或原件与复印件不一致，不得分。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FF0000"/>
                <w:sz w:val="24"/>
                <w:szCs w:val="20"/>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ascii="宋体" w:hAnsi="宋体"/>
                <w:color w:val="000000"/>
                <w:sz w:val="24"/>
                <w:szCs w:val="20"/>
              </w:rPr>
              <w:t>培训</w:t>
            </w:r>
            <w:r>
              <w:rPr>
                <w:rFonts w:hint="eastAsia" w:ascii="宋体" w:hAnsi="宋体"/>
                <w:color w:val="000000"/>
                <w:sz w:val="24"/>
                <w:szCs w:val="20"/>
              </w:rPr>
              <w:t>方案的优劣和可行性</w:t>
            </w:r>
            <w:r>
              <w:rPr>
                <w:rFonts w:ascii="宋体" w:hAnsi="宋体"/>
                <w:color w:val="000000"/>
                <w:sz w:val="24"/>
                <w:szCs w:val="20"/>
              </w:rPr>
              <w:t>；横向比较，酌情给分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hint="eastAsia" w:ascii="宋体" w:hAnsi="宋体"/>
                <w:color w:val="000000"/>
                <w:sz w:val="24"/>
                <w:szCs w:val="20"/>
              </w:rPr>
              <w:t>售后服务方案的优劣和可行性及本地化</w:t>
            </w:r>
            <w:r>
              <w:rPr>
                <w:rFonts w:ascii="宋体" w:hAnsi="宋体"/>
                <w:color w:val="000000"/>
                <w:sz w:val="24"/>
                <w:szCs w:val="20"/>
              </w:rPr>
              <w:t>服务能力</w:t>
            </w:r>
            <w:r>
              <w:rPr>
                <w:rFonts w:hint="eastAsia" w:ascii="宋体" w:hAnsi="宋体"/>
                <w:color w:val="000000"/>
                <w:sz w:val="24"/>
                <w:szCs w:val="20"/>
              </w:rPr>
              <w:t>、</w:t>
            </w:r>
            <w:r>
              <w:rPr>
                <w:rFonts w:ascii="宋体" w:hAnsi="宋体"/>
                <w:color w:val="000000"/>
                <w:sz w:val="24"/>
                <w:szCs w:val="20"/>
              </w:rPr>
              <w:t>售后服务响应时间</w:t>
            </w:r>
            <w:r>
              <w:rPr>
                <w:rFonts w:hint="eastAsia" w:ascii="宋体" w:hAnsi="宋体"/>
                <w:color w:val="000000"/>
                <w:sz w:val="24"/>
                <w:szCs w:val="20"/>
              </w:rPr>
              <w:t>、</w:t>
            </w:r>
            <w:r>
              <w:rPr>
                <w:rFonts w:ascii="宋体" w:hAnsi="宋体"/>
                <w:color w:val="000000"/>
                <w:sz w:val="24"/>
                <w:szCs w:val="20"/>
              </w:rPr>
              <w:t>出现质量问题的处理和培训</w:t>
            </w:r>
            <w:r>
              <w:rPr>
                <w:rFonts w:hint="eastAsia" w:ascii="宋体" w:hAnsi="宋体"/>
                <w:color w:val="000000"/>
                <w:sz w:val="24"/>
                <w:szCs w:val="20"/>
              </w:rPr>
              <w:t>、</w:t>
            </w:r>
            <w:r>
              <w:rPr>
                <w:rFonts w:ascii="宋体" w:hAnsi="宋体"/>
                <w:color w:val="000000"/>
                <w:sz w:val="24"/>
                <w:szCs w:val="20"/>
              </w:rPr>
              <w:t>日常检测及保养</w:t>
            </w:r>
            <w:r>
              <w:rPr>
                <w:rFonts w:hint="eastAsia" w:ascii="宋体" w:hAnsi="宋体"/>
                <w:color w:val="000000"/>
                <w:sz w:val="24"/>
                <w:szCs w:val="20"/>
              </w:rPr>
              <w:t>、</w:t>
            </w:r>
            <w:r>
              <w:rPr>
                <w:rFonts w:ascii="宋体" w:hAnsi="宋体"/>
                <w:color w:val="000000"/>
                <w:sz w:val="24"/>
                <w:szCs w:val="20"/>
              </w:rPr>
              <w:t>故障处理效率</w:t>
            </w:r>
            <w:r>
              <w:rPr>
                <w:rFonts w:hint="eastAsia" w:ascii="宋体" w:hAnsi="宋体"/>
                <w:color w:val="000000"/>
                <w:sz w:val="24"/>
                <w:szCs w:val="20"/>
              </w:rPr>
              <w:t>、</w:t>
            </w:r>
            <w:r>
              <w:rPr>
                <w:rFonts w:ascii="宋体" w:hAnsi="宋体"/>
                <w:color w:val="000000"/>
                <w:sz w:val="24"/>
                <w:szCs w:val="20"/>
              </w:rPr>
              <w:t>应急维修承诺等的具体方案</w:t>
            </w:r>
            <w:r>
              <w:rPr>
                <w:rFonts w:hint="eastAsia" w:ascii="宋体" w:hAnsi="宋体"/>
                <w:color w:val="000000"/>
                <w:sz w:val="24"/>
                <w:szCs w:val="20"/>
              </w:rPr>
              <w:t>、备品备件及存放地等</w:t>
            </w:r>
            <w:r>
              <w:rPr>
                <w:rFonts w:ascii="宋体" w:hAnsi="宋体"/>
                <w:color w:val="000000"/>
                <w:sz w:val="24"/>
                <w:szCs w:val="20"/>
              </w:rPr>
              <w:t>0-</w:t>
            </w:r>
            <w:r>
              <w:rPr>
                <w:rFonts w:hint="eastAsia" w:ascii="宋体" w:hAnsi="宋体"/>
                <w:color w:val="000000"/>
                <w:sz w:val="24"/>
                <w:szCs w:val="20"/>
              </w:rPr>
              <w:t>3</w:t>
            </w:r>
            <w:r>
              <w:rPr>
                <w:rFonts w:ascii="宋体" w:hAnsi="宋体"/>
                <w:color w:val="000000"/>
                <w:sz w:val="24"/>
                <w:szCs w:val="20"/>
              </w:rPr>
              <w:t>分，横向比较，酌情给分。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3</w:t>
            </w:r>
            <w:r>
              <w:rPr>
                <w:rFonts w:ascii="宋体" w:hAnsi="宋体"/>
                <w:color w:val="00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restart"/>
            <w:tcBorders>
              <w:left w:val="single" w:color="000000" w:sz="4" w:space="0"/>
              <w:right w:val="single" w:color="000000" w:sz="4" w:space="0"/>
            </w:tcBorders>
            <w:vAlign w:val="center"/>
          </w:tcPr>
          <w:p>
            <w:pPr>
              <w:spacing w:before="156" w:line="440" w:lineRule="exact"/>
              <w:rPr>
                <w:rFonts w:ascii="宋体" w:hAnsi="宋体"/>
                <w:color w:val="000000"/>
                <w:sz w:val="20"/>
                <w:szCs w:val="20"/>
              </w:rPr>
            </w:pPr>
            <w:r>
              <w:rPr>
                <w:rFonts w:hint="eastAsia" w:ascii="宋体" w:hAnsi="宋体"/>
                <w:color w:val="000000"/>
                <w:sz w:val="24"/>
                <w:szCs w:val="21"/>
              </w:rPr>
              <w:t>商务分（18分）</w:t>
            </w: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ascii="宋体" w:hAnsi="宋体"/>
                <w:color w:val="000000"/>
                <w:sz w:val="24"/>
                <w:szCs w:val="20"/>
              </w:rPr>
              <w:t>投标人具有</w:t>
            </w:r>
            <w:r>
              <w:rPr>
                <w:rFonts w:ascii="宋体" w:hAnsi="宋体"/>
                <w:color w:val="FF0000"/>
                <w:sz w:val="24"/>
                <w:szCs w:val="20"/>
              </w:rPr>
              <w:t>质量体系认证、环境体系认证、职业健康体系认证证书</w:t>
            </w:r>
            <w:r>
              <w:rPr>
                <w:rFonts w:ascii="宋体" w:hAnsi="宋体"/>
                <w:color w:val="000000"/>
                <w:sz w:val="24"/>
                <w:szCs w:val="20"/>
              </w:rPr>
              <w:t>，</w:t>
            </w:r>
            <w:r>
              <w:rPr>
                <w:rFonts w:hint="eastAsia" w:ascii="宋体" w:hAnsi="宋体"/>
                <w:color w:val="000000"/>
                <w:sz w:val="24"/>
                <w:szCs w:val="20"/>
              </w:rPr>
              <w:t>且所有证书的认证覆盖范围必须包含舞台灯光、舞台音响，</w:t>
            </w:r>
            <w:r>
              <w:rPr>
                <w:rFonts w:ascii="宋体" w:hAnsi="宋体"/>
                <w:color w:val="000000"/>
                <w:sz w:val="24"/>
                <w:szCs w:val="20"/>
              </w:rPr>
              <w:t>每个</w:t>
            </w:r>
            <w:r>
              <w:rPr>
                <w:rFonts w:hint="eastAsia" w:ascii="宋体" w:hAnsi="宋体"/>
                <w:color w:val="000000"/>
                <w:sz w:val="24"/>
                <w:szCs w:val="20"/>
              </w:rPr>
              <w:t>0.5分。</w:t>
            </w:r>
            <w:r>
              <w:rPr>
                <w:rFonts w:ascii="宋体" w:hAnsi="宋体"/>
                <w:color w:val="000000"/>
                <w:sz w:val="24"/>
                <w:szCs w:val="20"/>
              </w:rPr>
              <w:t>（0-</w:t>
            </w:r>
            <w:r>
              <w:rPr>
                <w:rFonts w:hint="eastAsia" w:ascii="宋体" w:hAnsi="宋体"/>
                <w:color w:val="000000"/>
                <w:sz w:val="24"/>
                <w:szCs w:val="20"/>
              </w:rPr>
              <w:t>1.5</w:t>
            </w:r>
            <w:r>
              <w:rPr>
                <w:rFonts w:ascii="宋体" w:hAnsi="宋体"/>
                <w:color w:val="000000"/>
                <w:sz w:val="24"/>
                <w:szCs w:val="20"/>
              </w:rPr>
              <w:t>分）。</w:t>
            </w:r>
          </w:p>
          <w:p>
            <w:pPr>
              <w:spacing w:line="440" w:lineRule="exact"/>
              <w:rPr>
                <w:rFonts w:ascii="宋体" w:hAnsi="宋体"/>
                <w:color w:val="000000"/>
                <w:sz w:val="24"/>
                <w:szCs w:val="20"/>
              </w:rPr>
            </w:pPr>
            <w:r>
              <w:rPr>
                <w:rFonts w:hint="eastAsia" w:ascii="宋体" w:hAnsi="宋体"/>
                <w:b/>
                <w:bCs/>
                <w:sz w:val="24"/>
                <w:szCs w:val="20"/>
              </w:rPr>
              <w:t>开标时提供原件核查，未提供原件或原件与复印件不一致，不得分。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1</w:t>
            </w:r>
            <w:r>
              <w:rPr>
                <w:rFonts w:ascii="宋体" w:hAnsi="宋体"/>
                <w:color w:val="000000"/>
                <w:sz w:val="24"/>
                <w:szCs w:val="20"/>
              </w:rPr>
              <w:t>.</w:t>
            </w:r>
            <w:r>
              <w:rPr>
                <w:rFonts w:hint="eastAsia" w:ascii="宋体" w:hAnsi="宋体"/>
                <w:color w:val="000000"/>
                <w:sz w:val="24"/>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line="440" w:lineRule="exact"/>
              <w:ind w:left="720"/>
              <w:jc w:val="left"/>
              <w:rPr>
                <w:rFonts w:ascii="宋体" w:hAnsi="宋体"/>
                <w:color w:val="000000"/>
                <w:sz w:val="20"/>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r>
              <w:rPr>
                <w:rFonts w:ascii="宋体" w:hAnsi="宋体"/>
                <w:color w:val="000000"/>
                <w:sz w:val="24"/>
                <w:szCs w:val="20"/>
              </w:rPr>
              <w:t>投标人</w:t>
            </w:r>
            <w:r>
              <w:rPr>
                <w:rFonts w:hint="eastAsia" w:ascii="宋体" w:hAnsi="宋体"/>
                <w:color w:val="000000"/>
                <w:sz w:val="24"/>
                <w:szCs w:val="20"/>
              </w:rPr>
              <w:t>提供主管政府部门认定的工商企业信用证书“AA”级或以上的1分。（</w:t>
            </w:r>
            <w:r>
              <w:rPr>
                <w:rFonts w:hint="eastAsia" w:ascii="宋体" w:hAnsi="宋体"/>
                <w:b/>
                <w:bCs/>
                <w:color w:val="000000"/>
                <w:sz w:val="24"/>
                <w:szCs w:val="20"/>
              </w:rPr>
              <w:t>开标时提供原件核查，未提供原件或原件与复印件不一致，不得分。）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line="440" w:lineRule="exact"/>
              <w:ind w:left="720"/>
              <w:jc w:val="left"/>
              <w:rPr>
                <w:rFonts w:ascii="宋体" w:hAnsi="宋体"/>
                <w:color w:val="000000"/>
                <w:sz w:val="20"/>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FF0000"/>
                <w:sz w:val="24"/>
              </w:rPr>
            </w:pPr>
            <w:r>
              <w:rPr>
                <w:rFonts w:hint="eastAsia" w:ascii="宋体" w:hAnsi="宋体"/>
                <w:color w:val="FF0000"/>
                <w:sz w:val="24"/>
              </w:rPr>
              <w:t>具有机电设备安装专业承包资质的得1分，</w:t>
            </w:r>
          </w:p>
          <w:p>
            <w:pPr>
              <w:spacing w:line="440" w:lineRule="exact"/>
              <w:rPr>
                <w:rFonts w:ascii="宋体" w:hAnsi="宋体"/>
                <w:color w:val="FF0000"/>
                <w:sz w:val="24"/>
              </w:rPr>
            </w:pPr>
            <w:r>
              <w:rPr>
                <w:rFonts w:hint="eastAsia" w:ascii="宋体" w:hAnsi="宋体"/>
                <w:color w:val="FF0000"/>
                <w:sz w:val="24"/>
              </w:rPr>
              <w:t>具有建筑智能化系统设计专项甲级资质的得1分。</w:t>
            </w:r>
          </w:p>
          <w:p>
            <w:pPr>
              <w:spacing w:line="440" w:lineRule="exact"/>
              <w:rPr>
                <w:rFonts w:ascii="宋体" w:hAnsi="宋体"/>
                <w:color w:val="000000"/>
                <w:sz w:val="24"/>
              </w:rPr>
            </w:pPr>
            <w:r>
              <w:rPr>
                <w:rFonts w:hint="eastAsia" w:ascii="宋体" w:hAnsi="宋体"/>
                <w:color w:val="000000"/>
                <w:sz w:val="24"/>
                <w:szCs w:val="20"/>
              </w:rPr>
              <w:t>（</w:t>
            </w:r>
            <w:r>
              <w:rPr>
                <w:rFonts w:hint="eastAsia" w:ascii="宋体" w:hAnsi="宋体"/>
                <w:b/>
                <w:bCs/>
                <w:color w:val="000000"/>
                <w:sz w:val="24"/>
                <w:szCs w:val="20"/>
              </w:rPr>
              <w:t>开标时提供原件核查，未提供原件或原件与复印件不一致，不得分。）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line="440" w:lineRule="exact"/>
              <w:ind w:left="720"/>
              <w:jc w:val="left"/>
              <w:rPr>
                <w:rFonts w:ascii="宋体" w:hAnsi="宋体"/>
                <w:color w:val="000000"/>
                <w:sz w:val="20"/>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before="156" w:line="440" w:lineRule="exact"/>
              <w:ind w:firstLine="480" w:firstLineChars="200"/>
              <w:rPr>
                <w:rFonts w:ascii="宋体" w:hAnsi="宋体"/>
                <w:color w:val="000000"/>
                <w:sz w:val="24"/>
                <w:szCs w:val="20"/>
              </w:rPr>
            </w:pPr>
            <w:r>
              <w:rPr>
                <w:rFonts w:hint="eastAsia" w:ascii="宋体" w:hAnsi="宋体"/>
                <w:color w:val="000000"/>
                <w:sz w:val="24"/>
                <w:szCs w:val="20"/>
              </w:rPr>
              <w:t>投标人</w:t>
            </w:r>
            <w:r>
              <w:rPr>
                <w:rFonts w:ascii="宋体" w:hAnsi="宋体"/>
                <w:color w:val="000000"/>
                <w:sz w:val="24"/>
                <w:szCs w:val="20"/>
              </w:rPr>
              <w:t>201</w:t>
            </w:r>
            <w:r>
              <w:rPr>
                <w:rFonts w:hint="eastAsia" w:ascii="宋体" w:hAnsi="宋体"/>
                <w:color w:val="000000"/>
                <w:sz w:val="24"/>
                <w:szCs w:val="20"/>
              </w:rPr>
              <w:t>6</w:t>
            </w:r>
            <w:r>
              <w:rPr>
                <w:rFonts w:ascii="宋体" w:hAnsi="宋体"/>
                <w:color w:val="000000"/>
                <w:sz w:val="24"/>
                <w:szCs w:val="20"/>
              </w:rPr>
              <w:t>年</w:t>
            </w:r>
            <w:r>
              <w:rPr>
                <w:rFonts w:hint="eastAsia" w:ascii="宋体" w:hAnsi="宋体"/>
                <w:color w:val="000000"/>
                <w:sz w:val="24"/>
                <w:szCs w:val="20"/>
              </w:rPr>
              <w:t>1</w:t>
            </w:r>
            <w:r>
              <w:rPr>
                <w:rFonts w:ascii="宋体" w:hAnsi="宋体"/>
                <w:color w:val="000000"/>
                <w:sz w:val="24"/>
                <w:szCs w:val="20"/>
              </w:rPr>
              <w:t>月1日以来具有类似项目业绩单项合同金额</w:t>
            </w:r>
            <w:r>
              <w:rPr>
                <w:rFonts w:hint="eastAsia" w:ascii="宋体" w:hAnsi="宋体"/>
                <w:color w:val="000000"/>
                <w:sz w:val="24"/>
                <w:szCs w:val="20"/>
              </w:rPr>
              <w:t>20</w:t>
            </w:r>
            <w:r>
              <w:rPr>
                <w:rFonts w:ascii="宋体" w:hAnsi="宋体"/>
                <w:color w:val="000000"/>
                <w:sz w:val="24"/>
                <w:szCs w:val="20"/>
              </w:rPr>
              <w:t>0万元及以上的，每提供1个得</w:t>
            </w:r>
            <w:r>
              <w:rPr>
                <w:rFonts w:hint="eastAsia" w:ascii="宋体" w:hAnsi="宋体"/>
                <w:color w:val="000000"/>
                <w:sz w:val="24"/>
                <w:szCs w:val="20"/>
              </w:rPr>
              <w:t>0.5</w:t>
            </w:r>
            <w:r>
              <w:rPr>
                <w:rFonts w:ascii="宋体" w:hAnsi="宋体"/>
                <w:color w:val="000000"/>
                <w:sz w:val="24"/>
                <w:szCs w:val="20"/>
              </w:rPr>
              <w:t>分，最多得</w:t>
            </w:r>
            <w:r>
              <w:rPr>
                <w:rFonts w:hint="eastAsia" w:ascii="宋体" w:hAnsi="宋体"/>
                <w:color w:val="000000"/>
                <w:sz w:val="24"/>
                <w:szCs w:val="20"/>
              </w:rPr>
              <w:t>6</w:t>
            </w:r>
            <w:r>
              <w:rPr>
                <w:rFonts w:ascii="宋体" w:hAnsi="宋体"/>
                <w:color w:val="000000"/>
                <w:sz w:val="24"/>
                <w:szCs w:val="20"/>
              </w:rPr>
              <w:t>分；【</w:t>
            </w:r>
            <w:r>
              <w:rPr>
                <w:rFonts w:ascii="宋体" w:hAnsi="宋体"/>
                <w:color w:val="FF0000"/>
                <w:sz w:val="24"/>
                <w:szCs w:val="20"/>
              </w:rPr>
              <w:t>类似项目指剧院、</w:t>
            </w:r>
            <w:r>
              <w:rPr>
                <w:rFonts w:hint="eastAsia" w:ascii="宋体" w:hAnsi="宋体"/>
                <w:color w:val="FF0000"/>
                <w:sz w:val="24"/>
                <w:szCs w:val="20"/>
              </w:rPr>
              <w:t>演播厅</w:t>
            </w:r>
            <w:r>
              <w:rPr>
                <w:rFonts w:ascii="宋体" w:hAnsi="宋体"/>
                <w:color w:val="FF0000"/>
                <w:sz w:val="24"/>
                <w:szCs w:val="20"/>
              </w:rPr>
              <w:t>、体艺馆、报告厅等用于演出的室内专业舞台设备的供货、安装（合同内容须同时包含舞台音响和</w:t>
            </w:r>
            <w:r>
              <w:rPr>
                <w:rFonts w:hint="eastAsia" w:ascii="宋体" w:hAnsi="宋体"/>
                <w:color w:val="FF0000"/>
                <w:sz w:val="24"/>
                <w:szCs w:val="20"/>
              </w:rPr>
              <w:t>舞台</w:t>
            </w:r>
            <w:r>
              <w:rPr>
                <w:rFonts w:ascii="宋体" w:hAnsi="宋体"/>
                <w:color w:val="FF0000"/>
                <w:sz w:val="24"/>
                <w:szCs w:val="20"/>
              </w:rPr>
              <w:t>灯光系统</w:t>
            </w:r>
            <w:r>
              <w:rPr>
                <w:rFonts w:hint="eastAsia" w:ascii="宋体" w:hAnsi="宋体"/>
                <w:color w:val="FF0000"/>
                <w:sz w:val="24"/>
                <w:szCs w:val="20"/>
              </w:rPr>
              <w:t>，含多个子系统的综合性项目中要求舞台音响和舞台灯光系统总额不少于200万（含）</w:t>
            </w:r>
            <w:r>
              <w:rPr>
                <w:rFonts w:hint="eastAsia" w:ascii="宋体" w:hAnsi="宋体"/>
                <w:color w:val="000000"/>
                <w:sz w:val="24"/>
                <w:szCs w:val="20"/>
              </w:rPr>
              <w:t>，出具甲方相应文字证明，否则不得分</w:t>
            </w:r>
            <w:r>
              <w:rPr>
                <w:rFonts w:ascii="宋体" w:hAnsi="宋体"/>
                <w:color w:val="000000"/>
                <w:sz w:val="24"/>
                <w:szCs w:val="20"/>
              </w:rPr>
              <w:t>）；证明材料须同时提供合同</w:t>
            </w:r>
            <w:r>
              <w:rPr>
                <w:rFonts w:hint="eastAsia" w:ascii="宋体" w:hAnsi="宋体"/>
                <w:color w:val="000000"/>
                <w:sz w:val="24"/>
                <w:szCs w:val="20"/>
              </w:rPr>
              <w:t>复印件</w:t>
            </w:r>
            <w:r>
              <w:rPr>
                <w:rFonts w:ascii="宋体" w:hAnsi="宋体"/>
                <w:color w:val="000000"/>
                <w:sz w:val="24"/>
                <w:szCs w:val="20"/>
              </w:rPr>
              <w:t>和验收报告</w:t>
            </w:r>
            <w:r>
              <w:rPr>
                <w:rFonts w:hint="eastAsia" w:ascii="宋体" w:hAnsi="宋体"/>
                <w:color w:val="000000"/>
                <w:sz w:val="24"/>
                <w:szCs w:val="20"/>
              </w:rPr>
              <w:t>复印件</w:t>
            </w:r>
            <w:r>
              <w:rPr>
                <w:rFonts w:ascii="宋体" w:hAnsi="宋体"/>
                <w:color w:val="000000"/>
                <w:sz w:val="24"/>
                <w:szCs w:val="20"/>
              </w:rPr>
              <w:t>，未同时提供的均不得分，时间以合同签订的时间为准。</w:t>
            </w:r>
            <w:r>
              <w:rPr>
                <w:rFonts w:hint="eastAsia" w:ascii="宋体" w:hAnsi="宋体"/>
                <w:color w:val="000000"/>
                <w:sz w:val="24"/>
                <w:szCs w:val="20"/>
              </w:rPr>
              <w:t>（</w:t>
            </w:r>
            <w:r>
              <w:rPr>
                <w:rFonts w:hint="eastAsia" w:ascii="宋体" w:hAnsi="宋体"/>
                <w:b/>
                <w:bCs/>
                <w:color w:val="000000"/>
                <w:sz w:val="24"/>
                <w:szCs w:val="20"/>
              </w:rPr>
              <w:t>开标时提供原件核查，未提供原件或原件与复印件不一致，不得分。）</w:t>
            </w:r>
            <w:r>
              <w:rPr>
                <w:rFonts w:ascii="宋体" w:hAnsi="宋体"/>
                <w:color w:val="000000"/>
                <w:sz w:val="24"/>
                <w:szCs w:val="20"/>
              </w:rPr>
              <w:t>】</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6</w:t>
            </w:r>
            <w:r>
              <w:rPr>
                <w:rFonts w:ascii="宋体" w:hAnsi="宋体"/>
                <w:color w:val="00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line="440" w:lineRule="exact"/>
              <w:ind w:left="720"/>
              <w:jc w:val="left"/>
              <w:rPr>
                <w:rFonts w:ascii="宋体" w:hAnsi="宋体"/>
                <w:color w:val="000000"/>
                <w:sz w:val="20"/>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hint="eastAsia" w:ascii="宋体" w:hAnsi="宋体"/>
                <w:color w:val="000000"/>
                <w:sz w:val="24"/>
                <w:szCs w:val="20"/>
              </w:rPr>
              <w:t>2015年1月1日以来投标人获得省级（含）以上建筑类行业协会颁发的同类舞台工程</w:t>
            </w:r>
            <w:r>
              <w:rPr>
                <w:rFonts w:hint="eastAsia" w:ascii="宋体" w:hAnsi="宋体"/>
                <w:color w:val="FF0000"/>
                <w:sz w:val="24"/>
                <w:szCs w:val="20"/>
              </w:rPr>
              <w:t>“优秀工程奖”或“文明标化科技示范奖”</w:t>
            </w:r>
            <w:r>
              <w:rPr>
                <w:rFonts w:hint="eastAsia" w:ascii="宋体" w:hAnsi="宋体"/>
                <w:color w:val="000000"/>
                <w:sz w:val="24"/>
                <w:szCs w:val="20"/>
              </w:rPr>
              <w:t>每个得1分（以获奖时间为准，所获奖项需直接针对施工单位颁发，同类业绩是指单个合同业绩中必须同时包含舞台音响、灯光二个子项，否则不得分），最高得5分(证明材料须同时提供合同复印件、验收报告复印件和获奖证书，未同时提供的均不得分，时间以获奖证书上的时间为准。开标时提供原件核查，未提供原件或原件与复印件不一致，不得分）。</w:t>
            </w:r>
          </w:p>
          <w:p>
            <w:pPr>
              <w:spacing w:line="440" w:lineRule="exact"/>
              <w:rPr>
                <w:rFonts w:ascii="宋体" w:hAnsi="宋体"/>
                <w:color w:val="000000"/>
                <w:sz w:val="24"/>
                <w:szCs w:val="20"/>
              </w:rPr>
            </w:pPr>
            <w:r>
              <w:rPr>
                <w:rFonts w:hint="eastAsia" w:ascii="宋体" w:hAnsi="宋体"/>
                <w:color w:val="000000"/>
                <w:sz w:val="24"/>
                <w:szCs w:val="20"/>
              </w:rPr>
              <w:t>建筑类行业协会包括：建筑、建筑装饰、机电安装协会</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hint="eastAsia" w:ascii="宋体" w:hAnsi="宋体"/>
                <w:color w:val="000000"/>
                <w:sz w:val="24"/>
                <w:szCs w:val="20"/>
              </w:rPr>
              <w:t>5</w:t>
            </w:r>
            <w:r>
              <w:rPr>
                <w:rFonts w:ascii="宋体" w:hAnsi="宋体"/>
                <w:color w:val="000000"/>
                <w:sz w:val="24"/>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80" w:type="dxa"/>
            <w:vMerge w:val="continue"/>
            <w:tcBorders>
              <w:left w:val="single" w:color="000000" w:sz="4" w:space="0"/>
              <w:right w:val="single" w:color="000000" w:sz="4" w:space="0"/>
            </w:tcBorders>
          </w:tcPr>
          <w:p>
            <w:pPr>
              <w:spacing w:line="440" w:lineRule="exact"/>
              <w:ind w:left="720"/>
              <w:jc w:val="left"/>
              <w:rPr>
                <w:rFonts w:ascii="宋体" w:hAnsi="宋体"/>
                <w:color w:val="000000"/>
                <w:sz w:val="20"/>
                <w:szCs w:val="20"/>
              </w:rPr>
            </w:pPr>
          </w:p>
        </w:tc>
        <w:tc>
          <w:tcPr>
            <w:tcW w:w="6015" w:type="dxa"/>
            <w:tcBorders>
              <w:top w:val="single" w:color="000000" w:sz="4" w:space="0"/>
              <w:left w:val="single" w:color="000000" w:sz="4" w:space="0"/>
              <w:bottom w:val="single" w:color="000000" w:sz="4" w:space="0"/>
              <w:right w:val="single" w:color="000000" w:sz="4" w:space="0"/>
            </w:tcBorders>
          </w:tcPr>
          <w:p>
            <w:pPr>
              <w:spacing w:line="440" w:lineRule="exact"/>
              <w:rPr>
                <w:rFonts w:ascii="宋体" w:hAnsi="宋体"/>
                <w:color w:val="000000"/>
                <w:sz w:val="24"/>
                <w:szCs w:val="20"/>
              </w:rPr>
            </w:pPr>
            <w:r>
              <w:rPr>
                <w:rFonts w:ascii="宋体" w:hAnsi="宋体"/>
                <w:color w:val="000000"/>
                <w:sz w:val="24"/>
                <w:szCs w:val="20"/>
              </w:rPr>
              <w:t>投标文件制作情况：投标文件内容完整规范、装订无差错、内容无修改得1</w:t>
            </w:r>
            <w:r>
              <w:rPr>
                <w:rFonts w:hint="eastAsia" w:ascii="宋体" w:hAnsi="宋体"/>
                <w:color w:val="000000"/>
                <w:sz w:val="24"/>
                <w:szCs w:val="20"/>
              </w:rPr>
              <w:t>.5</w:t>
            </w:r>
            <w:r>
              <w:rPr>
                <w:rFonts w:ascii="宋体" w:hAnsi="宋体"/>
                <w:color w:val="000000"/>
                <w:sz w:val="24"/>
                <w:szCs w:val="20"/>
              </w:rPr>
              <w:t>分。内容不完整规范、装订有差错、内容前后不一致者每涉及一项扣0.5分。</w:t>
            </w:r>
          </w:p>
        </w:tc>
        <w:tc>
          <w:tcPr>
            <w:tcW w:w="14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olor w:val="000000"/>
                <w:sz w:val="24"/>
                <w:szCs w:val="20"/>
              </w:rPr>
            </w:pPr>
            <w:r>
              <w:rPr>
                <w:rFonts w:ascii="宋体" w:hAnsi="宋体"/>
                <w:color w:val="000000"/>
                <w:sz w:val="24"/>
                <w:szCs w:val="20"/>
              </w:rPr>
              <w:t>1.</w:t>
            </w:r>
            <w:r>
              <w:rPr>
                <w:rFonts w:hint="eastAsia" w:ascii="宋体" w:hAnsi="宋体"/>
                <w:color w:val="000000"/>
                <w:sz w:val="24"/>
                <w:szCs w:val="20"/>
              </w:rPr>
              <w:t>5</w:t>
            </w:r>
          </w:p>
        </w:tc>
      </w:tr>
      <w:bookmarkEnd w:id="1"/>
    </w:tbl>
    <w:p/>
    <w:p/>
    <w:p>
      <w:pPr>
        <w:widowControl/>
        <w:jc w:val="left"/>
      </w:pPr>
      <w:r>
        <w:br w:type="page"/>
      </w:r>
    </w:p>
    <w:p>
      <w:pPr>
        <w:pStyle w:val="13"/>
        <w:spacing w:line="360" w:lineRule="auto"/>
        <w:rPr>
          <w:rFonts w:ascii="宋体" w:hAnsi="宋体" w:eastAsia="宋体"/>
        </w:rPr>
      </w:pPr>
      <w:bookmarkStart w:id="2" w:name="_Toc17293"/>
      <w:r>
        <w:rPr>
          <w:rFonts w:hint="eastAsia" w:ascii="宋体" w:hAnsi="宋体" w:eastAsia="宋体"/>
        </w:rPr>
        <w:t>第二部分 采购技术需求</w:t>
      </w:r>
      <w:bookmarkEnd w:id="2"/>
    </w:p>
    <w:p>
      <w:pPr>
        <w:jc w:val="left"/>
        <w:rPr>
          <w:rFonts w:ascii="宋体" w:hAnsi="宋体" w:cs="仿宋_GB2312"/>
          <w:kern w:val="0"/>
          <w:sz w:val="24"/>
          <w:highlight w:val="yellow"/>
          <w:lang w:val="zh-CN"/>
        </w:rPr>
      </w:pPr>
    </w:p>
    <w:p>
      <w:pPr>
        <w:pStyle w:val="3"/>
        <w:spacing w:line="240" w:lineRule="auto"/>
        <w:rPr>
          <w:rFonts w:asciiTheme="minorEastAsia" w:hAnsiTheme="minorEastAsia" w:eastAsiaTheme="minorEastAsia"/>
          <w:b/>
          <w:sz w:val="24"/>
        </w:rPr>
      </w:pPr>
      <w:r>
        <w:rPr>
          <w:rFonts w:hint="eastAsia" w:asciiTheme="minorEastAsia" w:hAnsiTheme="minorEastAsia" w:eastAsiaTheme="minorEastAsia"/>
          <w:b/>
          <w:sz w:val="24"/>
        </w:rPr>
        <w:t>一、项目概述：</w:t>
      </w:r>
    </w:p>
    <w:p>
      <w:pPr>
        <w:widowControl/>
        <w:spacing w:line="360" w:lineRule="auto"/>
        <w:ind w:firstLine="424" w:firstLineChars="177"/>
        <w:jc w:val="left"/>
        <w:rPr>
          <w:rFonts w:ascii="宋体" w:hAnsi="宋体"/>
          <w:bCs/>
          <w:color w:val="000000"/>
          <w:sz w:val="24"/>
        </w:rPr>
      </w:pPr>
      <w:r>
        <w:rPr>
          <w:rFonts w:hint="eastAsia" w:ascii="宋体" w:hAnsi="宋体"/>
          <w:bCs/>
          <w:color w:val="000000"/>
          <w:sz w:val="24"/>
        </w:rPr>
        <w:t>本项目为“交钥匙”项目，采购内容包括采购清单中货物供货、安装调试、货物验收、培训、质保期内的售后服务等。采购需求清单中未提到，但在实际采购和安装过程中需要配置的各种设备、材料和其他费用等均计入本次报价中。</w:t>
      </w:r>
    </w:p>
    <w:p>
      <w:pPr>
        <w:widowControl/>
        <w:spacing w:line="360" w:lineRule="auto"/>
        <w:ind w:firstLine="424" w:firstLineChars="177"/>
        <w:jc w:val="left"/>
        <w:rPr>
          <w:rFonts w:ascii="宋体" w:hAnsi="宋体"/>
          <w:bCs/>
          <w:color w:val="000000"/>
          <w:sz w:val="24"/>
        </w:rPr>
      </w:pPr>
      <w:r>
        <w:rPr>
          <w:rFonts w:hint="eastAsia" w:ascii="宋体" w:hAnsi="宋体"/>
          <w:bCs/>
          <w:color w:val="000000"/>
          <w:sz w:val="24"/>
        </w:rPr>
        <w:t>项目实施地点：杭州富阳越剧艺术传习院剧场内</w:t>
      </w:r>
    </w:p>
    <w:p>
      <w:pPr>
        <w:widowControl/>
        <w:spacing w:line="360" w:lineRule="auto"/>
        <w:ind w:firstLine="480" w:firstLineChars="200"/>
        <w:jc w:val="left"/>
        <w:rPr>
          <w:rFonts w:ascii="新宋体" w:hAnsi="新宋体" w:eastAsia="新宋体" w:cs="宋体"/>
          <w:kern w:val="0"/>
          <w:sz w:val="24"/>
        </w:rPr>
      </w:pPr>
      <w:r>
        <w:rPr>
          <w:rFonts w:hint="eastAsia" w:ascii="新宋体" w:hAnsi="新宋体" w:eastAsia="新宋体" w:cs="宋体"/>
          <w:kern w:val="0"/>
          <w:sz w:val="24"/>
        </w:rPr>
        <w:t>舞台工程的内容：</w:t>
      </w:r>
    </w:p>
    <w:p>
      <w:pPr>
        <w:widowControl/>
        <w:spacing w:line="360" w:lineRule="auto"/>
        <w:ind w:firstLine="480" w:firstLineChars="200"/>
        <w:jc w:val="left"/>
        <w:rPr>
          <w:rFonts w:ascii="新宋体" w:hAnsi="新宋体" w:eastAsia="新宋体" w:cs="宋体"/>
          <w:kern w:val="0"/>
          <w:sz w:val="24"/>
        </w:rPr>
      </w:pPr>
      <w:r>
        <w:rPr>
          <w:rFonts w:hint="eastAsia" w:ascii="新宋体" w:hAnsi="新宋体" w:eastAsia="新宋体" w:cs="宋体"/>
          <w:kern w:val="0"/>
          <w:sz w:val="24"/>
        </w:rPr>
        <w:t>（1）、舞台音响系统；</w:t>
      </w:r>
    </w:p>
    <w:p>
      <w:pPr>
        <w:widowControl/>
        <w:spacing w:line="360" w:lineRule="auto"/>
        <w:ind w:firstLine="480" w:firstLineChars="200"/>
        <w:jc w:val="left"/>
        <w:rPr>
          <w:rFonts w:ascii="新宋体" w:hAnsi="新宋体" w:eastAsia="新宋体" w:cs="宋体"/>
          <w:kern w:val="0"/>
          <w:sz w:val="24"/>
        </w:rPr>
      </w:pPr>
      <w:r>
        <w:rPr>
          <w:rFonts w:hint="eastAsia" w:ascii="新宋体" w:hAnsi="新宋体" w:eastAsia="新宋体" w:cs="宋体"/>
          <w:kern w:val="0"/>
          <w:sz w:val="24"/>
        </w:rPr>
        <w:t>（2）、舞台灯光系统是灯具采购安装调试，且与原系统无缝对接；</w:t>
      </w:r>
    </w:p>
    <w:p>
      <w:pPr>
        <w:pStyle w:val="3"/>
        <w:spacing w:line="240" w:lineRule="auto"/>
        <w:rPr>
          <w:rFonts w:asciiTheme="minorEastAsia" w:hAnsiTheme="minorEastAsia" w:eastAsiaTheme="minorEastAsia"/>
          <w:b/>
          <w:sz w:val="24"/>
        </w:rPr>
      </w:pPr>
      <w:r>
        <w:rPr>
          <w:rFonts w:hint="eastAsia" w:asciiTheme="minorEastAsia" w:hAnsiTheme="minorEastAsia" w:eastAsiaTheme="minorEastAsia"/>
          <w:b/>
          <w:sz w:val="24"/>
        </w:rPr>
        <w:t>二、舞台音响系统</w:t>
      </w:r>
    </w:p>
    <w:p>
      <w:pPr>
        <w:keepNext/>
        <w:keepLines/>
        <w:spacing w:before="120" w:line="415" w:lineRule="auto"/>
        <w:ind w:left="720" w:hanging="720"/>
        <w:outlineLvl w:val="2"/>
        <w:rPr>
          <w:rFonts w:ascii="宋体" w:hAnsi="宋体"/>
          <w:b/>
          <w:bCs/>
          <w:sz w:val="24"/>
          <w:szCs w:val="32"/>
        </w:rPr>
      </w:pPr>
      <w:bookmarkStart w:id="3" w:name="_Toc479246364"/>
      <w:r>
        <w:rPr>
          <w:rFonts w:hint="eastAsia" w:ascii="宋体" w:hAnsi="宋体"/>
          <w:b/>
          <w:bCs/>
          <w:sz w:val="24"/>
          <w:szCs w:val="32"/>
        </w:rPr>
        <w:t>1.</w:t>
      </w:r>
      <w:r>
        <w:rPr>
          <w:rFonts w:ascii="宋体" w:hAnsi="宋体"/>
          <w:b/>
          <w:bCs/>
          <w:sz w:val="24"/>
          <w:szCs w:val="32"/>
        </w:rPr>
        <w:t>扩声系统功能</w:t>
      </w:r>
      <w:bookmarkEnd w:id="3"/>
    </w:p>
    <w:p>
      <w:pPr>
        <w:spacing w:line="360" w:lineRule="auto"/>
        <w:ind w:firstLine="480" w:firstLineChars="200"/>
        <w:rPr>
          <w:rFonts w:ascii="Arial" w:hAnsi="Arial" w:cs="Arial"/>
          <w:sz w:val="24"/>
        </w:rPr>
      </w:pPr>
      <w:r>
        <w:rPr>
          <w:rFonts w:hint="eastAsia"/>
          <w:sz w:val="24"/>
        </w:rPr>
        <w:t>舞台</w:t>
      </w:r>
      <w:r>
        <w:rPr>
          <w:rFonts w:ascii="Arial" w:cs="Arial"/>
          <w:sz w:val="24"/>
        </w:rPr>
        <w:t>音响应重点满足</w:t>
      </w:r>
      <w:r>
        <w:rPr>
          <w:rFonts w:hint="eastAsia" w:ascii="Arial" w:cs="Arial"/>
          <w:sz w:val="24"/>
        </w:rPr>
        <w:t>文艺演出、</w:t>
      </w:r>
      <w:r>
        <w:rPr>
          <w:rFonts w:ascii="Arial" w:cs="Arial"/>
          <w:sz w:val="24"/>
        </w:rPr>
        <w:t>各种会议</w:t>
      </w:r>
      <w:r>
        <w:rPr>
          <w:rFonts w:hint="eastAsia" w:ascii="Arial" w:cs="Arial"/>
          <w:sz w:val="24"/>
        </w:rPr>
        <w:t>要求，</w:t>
      </w:r>
      <w:r>
        <w:rPr>
          <w:rFonts w:ascii="Arial" w:cs="Arial"/>
          <w:sz w:val="24"/>
        </w:rPr>
        <w:t>并能兼顾电台、电视台的现场直播和录播</w:t>
      </w:r>
      <w:r>
        <w:rPr>
          <w:rFonts w:hint="eastAsia" w:ascii="Arial" w:cs="Arial"/>
          <w:sz w:val="24"/>
        </w:rPr>
        <w:t>，</w:t>
      </w:r>
      <w:r>
        <w:rPr>
          <w:rFonts w:ascii="Arial" w:cs="Arial"/>
          <w:sz w:val="24"/>
        </w:rPr>
        <w:t>同时能</w:t>
      </w:r>
      <w:r>
        <w:rPr>
          <w:rFonts w:hint="eastAsia" w:ascii="Arial" w:cs="Arial"/>
          <w:sz w:val="24"/>
        </w:rPr>
        <w:t>满足的</w:t>
      </w:r>
      <w:r>
        <w:rPr>
          <w:rFonts w:ascii="Arial" w:cs="Arial"/>
          <w:sz w:val="24"/>
        </w:rPr>
        <w:t>流动演出</w:t>
      </w:r>
      <w:r>
        <w:rPr>
          <w:rFonts w:hint="eastAsia" w:cs="Arial" w:asciiTheme="minorEastAsia" w:hAnsiTheme="minorEastAsia" w:eastAsiaTheme="minorEastAsia"/>
          <w:sz w:val="24"/>
        </w:rPr>
        <w:t>1000</w:t>
      </w:r>
      <w:r>
        <w:rPr>
          <w:rFonts w:hint="eastAsia" w:ascii="Arial" w:cs="Arial"/>
          <w:sz w:val="24"/>
        </w:rPr>
        <w:t>观众观看</w:t>
      </w:r>
      <w:r>
        <w:rPr>
          <w:rFonts w:ascii="Arial" w:cs="Arial"/>
          <w:sz w:val="24"/>
        </w:rPr>
        <w:t>的需要。</w:t>
      </w:r>
    </w:p>
    <w:p>
      <w:pPr>
        <w:keepNext/>
        <w:keepLines/>
        <w:spacing w:before="120" w:line="415" w:lineRule="auto"/>
        <w:ind w:left="720" w:hanging="720"/>
        <w:outlineLvl w:val="2"/>
        <w:rPr>
          <w:rFonts w:ascii="宋体" w:hAnsi="宋体"/>
          <w:b/>
          <w:bCs/>
          <w:sz w:val="24"/>
          <w:szCs w:val="32"/>
        </w:rPr>
      </w:pPr>
      <w:bookmarkStart w:id="4" w:name="_Toc479246365"/>
      <w:r>
        <w:rPr>
          <w:rFonts w:hint="eastAsia" w:ascii="宋体" w:hAnsi="宋体"/>
          <w:b/>
          <w:bCs/>
          <w:sz w:val="24"/>
          <w:szCs w:val="32"/>
        </w:rPr>
        <w:t>2.</w:t>
      </w:r>
      <w:r>
        <w:rPr>
          <w:rFonts w:ascii="宋体" w:hAnsi="宋体"/>
          <w:b/>
          <w:bCs/>
          <w:sz w:val="24"/>
          <w:szCs w:val="32"/>
        </w:rPr>
        <w:t>扩声系统声学特性指标</w:t>
      </w:r>
      <w:bookmarkEnd w:id="4"/>
    </w:p>
    <w:p>
      <w:pPr>
        <w:spacing w:line="360" w:lineRule="auto"/>
        <w:ind w:firstLine="480" w:firstLineChars="200"/>
        <w:jc w:val="left"/>
        <w:rPr>
          <w:rFonts w:ascii="新宋体" w:hAnsi="新宋体" w:eastAsia="新宋体" w:cs="Arial"/>
          <w:sz w:val="24"/>
        </w:rPr>
      </w:pPr>
      <w:r>
        <w:rPr>
          <w:rFonts w:ascii="新宋体" w:hAnsi="新宋体" w:eastAsia="新宋体" w:cs="Arial"/>
          <w:sz w:val="24"/>
        </w:rPr>
        <w:t>为适应不同节目的演出，</w:t>
      </w:r>
      <w:r>
        <w:rPr>
          <w:rFonts w:hint="eastAsia" w:ascii="新宋体" w:hAnsi="新宋体" w:eastAsia="新宋体" w:cs="Arial"/>
          <w:sz w:val="24"/>
        </w:rPr>
        <w:t>杭州富阳越剧艺术传习院</w:t>
      </w:r>
      <w:r>
        <w:rPr>
          <w:rFonts w:ascii="新宋体" w:hAnsi="新宋体" w:eastAsia="新宋体" w:cs="Arial"/>
          <w:sz w:val="24"/>
        </w:rPr>
        <w:t>的扩声系统声学特性指标</w:t>
      </w:r>
      <w:r>
        <w:rPr>
          <w:rFonts w:hint="eastAsia" w:ascii="新宋体" w:hAnsi="新宋体" w:eastAsia="新宋体" w:cs="Arial"/>
          <w:sz w:val="24"/>
        </w:rPr>
        <w:t>按</w:t>
      </w:r>
      <w:r>
        <w:rPr>
          <w:rFonts w:ascii="新宋体" w:hAnsi="新宋体" w:eastAsia="新宋体" w:cs="Arial"/>
          <w:sz w:val="24"/>
        </w:rPr>
        <w:t>GB/T50371-2006《厅堂扩声系统设计规范》中规定的文艺演出类扩声一级指标为标准。</w:t>
      </w:r>
    </w:p>
    <w:p>
      <w:pPr>
        <w:spacing w:line="360" w:lineRule="auto"/>
        <w:ind w:left="420"/>
        <w:rPr>
          <w:rFonts w:ascii="新宋体" w:hAnsi="新宋体" w:eastAsia="新宋体" w:cs="Arial"/>
          <w:sz w:val="24"/>
        </w:rPr>
      </w:pPr>
      <w:r>
        <w:rPr>
          <w:rFonts w:ascii="新宋体" w:hAnsi="新宋体" w:eastAsia="新宋体" w:cs="Arial"/>
          <w:sz w:val="24"/>
        </w:rPr>
        <w:t>扩声系统声学特性指标按照以下要求：</w:t>
      </w:r>
    </w:p>
    <w:tbl>
      <w:tblPr>
        <w:tblStyle w:val="7"/>
        <w:tblW w:w="8223"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tabs>
                <w:tab w:val="left" w:pos="1395"/>
              </w:tabs>
              <w:spacing w:line="360" w:lineRule="auto"/>
              <w:ind w:left="-27"/>
              <w:jc w:val="center"/>
              <w:rPr>
                <w:rFonts w:ascii="新宋体" w:hAnsi="新宋体" w:eastAsia="新宋体" w:cs="Arial"/>
                <w:sz w:val="24"/>
              </w:rPr>
            </w:pPr>
            <w:r>
              <w:rPr>
                <w:rFonts w:ascii="新宋体" w:hAnsi="新宋体" w:eastAsia="新宋体" w:cs="Arial"/>
                <w:sz w:val="24"/>
              </w:rPr>
              <w:t>项目</w:t>
            </w:r>
          </w:p>
        </w:tc>
        <w:tc>
          <w:tcPr>
            <w:tcW w:w="5550" w:type="dxa"/>
          </w:tcPr>
          <w:p>
            <w:pPr>
              <w:tabs>
                <w:tab w:val="left" w:pos="1395"/>
              </w:tabs>
              <w:spacing w:line="360" w:lineRule="auto"/>
              <w:ind w:left="-27" w:leftChars="-13" w:firstLine="1920" w:firstLineChars="800"/>
              <w:rPr>
                <w:rFonts w:ascii="新宋体" w:hAnsi="新宋体" w:eastAsia="新宋体" w:cs="Arial"/>
                <w:sz w:val="24"/>
              </w:rPr>
            </w:pPr>
            <w:r>
              <w:rPr>
                <w:rFonts w:ascii="新宋体" w:hAnsi="新宋体" w:eastAsia="新宋体" w:cs="Arial"/>
                <w:sz w:val="24"/>
              </w:rPr>
              <w:t>设计指标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tabs>
                <w:tab w:val="left" w:pos="225"/>
              </w:tabs>
              <w:spacing w:line="360" w:lineRule="auto"/>
              <w:ind w:left="-27" w:right="693" w:rightChars="330"/>
              <w:rPr>
                <w:rFonts w:ascii="新宋体" w:hAnsi="新宋体" w:eastAsia="新宋体" w:cs="Arial"/>
                <w:sz w:val="24"/>
              </w:rPr>
            </w:pPr>
            <w:r>
              <w:rPr>
                <w:rFonts w:ascii="新宋体" w:hAnsi="新宋体" w:eastAsia="新宋体" w:cs="Arial"/>
                <w:sz w:val="24"/>
              </w:rPr>
              <w:t>最大声压级</w:t>
            </w:r>
          </w:p>
        </w:tc>
        <w:tc>
          <w:tcPr>
            <w:tcW w:w="5550" w:type="dxa"/>
          </w:tcPr>
          <w:p>
            <w:pPr>
              <w:tabs>
                <w:tab w:val="left" w:pos="1395"/>
              </w:tabs>
              <w:spacing w:line="360" w:lineRule="auto"/>
              <w:ind w:left="-27" w:firstLine="38" w:firstLineChars="16"/>
              <w:rPr>
                <w:rFonts w:ascii="新宋体" w:hAnsi="新宋体" w:eastAsia="新宋体" w:cs="Arial"/>
                <w:sz w:val="24"/>
              </w:rPr>
            </w:pPr>
            <w:r>
              <w:rPr>
                <w:rFonts w:ascii="新宋体" w:hAnsi="新宋体" w:eastAsia="新宋体" w:cs="Arial"/>
                <w:sz w:val="24"/>
              </w:rPr>
              <w:t>80－8000 Hz</w:t>
            </w:r>
            <w:r>
              <w:rPr>
                <w:rFonts w:ascii="新宋体" w:hAnsi="新宋体" w:eastAsia="新宋体"/>
                <w:sz w:val="24"/>
              </w:rPr>
              <w:t>范围内</w:t>
            </w:r>
            <w:r>
              <w:rPr>
                <w:rFonts w:ascii="新宋体" w:hAnsi="新宋体" w:eastAsia="新宋体" w:cs="Arial"/>
                <w:sz w:val="24"/>
              </w:rPr>
              <w:t>平均≥106dB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tabs>
                <w:tab w:val="left" w:pos="225"/>
              </w:tabs>
              <w:spacing w:line="360" w:lineRule="auto"/>
              <w:ind w:right="693" w:rightChars="330"/>
              <w:rPr>
                <w:rFonts w:ascii="新宋体" w:hAnsi="新宋体" w:eastAsia="新宋体" w:cs="Arial"/>
                <w:sz w:val="24"/>
              </w:rPr>
            </w:pPr>
            <w:r>
              <w:rPr>
                <w:rFonts w:ascii="新宋体" w:hAnsi="新宋体" w:eastAsia="新宋体" w:cs="Arial"/>
                <w:sz w:val="24"/>
              </w:rPr>
              <w:t>传输频率特性</w:t>
            </w:r>
          </w:p>
        </w:tc>
        <w:tc>
          <w:tcPr>
            <w:tcW w:w="5550" w:type="dxa"/>
            <w:vAlign w:val="center"/>
          </w:tcPr>
          <w:p>
            <w:pPr>
              <w:tabs>
                <w:tab w:val="left" w:pos="1395"/>
              </w:tabs>
              <w:spacing w:line="360" w:lineRule="auto"/>
              <w:ind w:left="-27" w:firstLine="38" w:firstLineChars="16"/>
              <w:rPr>
                <w:rFonts w:ascii="新宋体" w:hAnsi="新宋体" w:eastAsia="新宋体" w:cs="Arial"/>
                <w:sz w:val="24"/>
              </w:rPr>
            </w:pPr>
            <w:r>
              <w:rPr>
                <w:rFonts w:ascii="新宋体" w:hAnsi="新宋体" w:eastAsia="新宋体" w:cs="Arial"/>
                <w:sz w:val="24"/>
              </w:rPr>
              <w:t>80～8000Hz的平均声压级为0dB，</w:t>
            </w:r>
            <w:r>
              <w:rPr>
                <w:rFonts w:ascii="新宋体" w:hAnsi="新宋体" w:eastAsia="新宋体"/>
                <w:sz w:val="24"/>
              </w:rPr>
              <w:t>在此频带内</w:t>
            </w:r>
            <w:r>
              <w:rPr>
                <w:rFonts w:ascii="新宋体" w:hAnsi="新宋体" w:eastAsia="新宋体" w:cs="Arial"/>
                <w:sz w:val="24"/>
              </w:rPr>
              <w:t>允许＋4～－4dB，且在40Hz～80Hz内允许80Hz从＋4dB起</w:t>
            </w:r>
            <w:r>
              <w:rPr>
                <w:rFonts w:hint="eastAsia" w:ascii="新宋体" w:hAnsi="新宋体" w:eastAsia="新宋体" w:cs="Arial"/>
                <w:sz w:val="24"/>
              </w:rPr>
              <w:t>不</w:t>
            </w:r>
            <w:r>
              <w:rPr>
                <w:rFonts w:ascii="新宋体" w:hAnsi="新宋体" w:eastAsia="新宋体" w:cs="Arial"/>
                <w:sz w:val="24"/>
              </w:rPr>
              <w:t>衰减和从－4 dB起按－</w:t>
            </w:r>
            <w:r>
              <w:rPr>
                <w:rFonts w:hint="eastAsia" w:ascii="新宋体" w:hAnsi="新宋体" w:eastAsia="新宋体" w:cs="Arial"/>
                <w:sz w:val="24"/>
              </w:rPr>
              <w:t>6</w:t>
            </w:r>
            <w:r>
              <w:rPr>
                <w:rFonts w:ascii="新宋体" w:hAnsi="新宋体" w:eastAsia="新宋体" w:cs="Arial"/>
                <w:sz w:val="24"/>
              </w:rPr>
              <w:t>dB/倍频程衰减间，8000～16000Hz内允许8000Hz从＋4dB起</w:t>
            </w:r>
            <w:r>
              <w:rPr>
                <w:rFonts w:hint="eastAsia" w:ascii="新宋体" w:hAnsi="新宋体" w:eastAsia="新宋体" w:cs="Arial"/>
                <w:sz w:val="24"/>
              </w:rPr>
              <w:t>不</w:t>
            </w:r>
            <w:r>
              <w:rPr>
                <w:rFonts w:ascii="新宋体" w:hAnsi="新宋体" w:eastAsia="新宋体" w:cs="Arial"/>
                <w:sz w:val="24"/>
              </w:rPr>
              <w:t xml:space="preserve">衰减和从－4 dB起按－ </w:t>
            </w:r>
            <w:r>
              <w:rPr>
                <w:rFonts w:hint="eastAsia" w:ascii="新宋体" w:hAnsi="新宋体" w:eastAsia="新宋体" w:cs="Arial"/>
                <w:sz w:val="24"/>
              </w:rPr>
              <w:t>6</w:t>
            </w:r>
            <w:r>
              <w:rPr>
                <w:rFonts w:ascii="新宋体" w:hAnsi="新宋体" w:eastAsia="新宋体" w:cs="Arial"/>
                <w:sz w:val="24"/>
              </w:rPr>
              <w:t xml:space="preserve"> dB/倍频程衰减间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tabs>
                <w:tab w:val="left" w:pos="225"/>
              </w:tabs>
              <w:spacing w:line="360" w:lineRule="auto"/>
              <w:ind w:left="-27" w:right="693" w:rightChars="330"/>
              <w:jc w:val="left"/>
              <w:rPr>
                <w:rFonts w:ascii="新宋体" w:hAnsi="新宋体" w:eastAsia="新宋体" w:cs="Arial"/>
                <w:sz w:val="24"/>
              </w:rPr>
            </w:pPr>
            <w:r>
              <w:rPr>
                <w:rFonts w:ascii="新宋体" w:hAnsi="新宋体" w:eastAsia="新宋体" w:cs="Arial"/>
                <w:sz w:val="24"/>
              </w:rPr>
              <w:t>传声增益</w:t>
            </w:r>
          </w:p>
        </w:tc>
        <w:tc>
          <w:tcPr>
            <w:tcW w:w="5550" w:type="dxa"/>
          </w:tcPr>
          <w:p>
            <w:pPr>
              <w:tabs>
                <w:tab w:val="left" w:pos="1395"/>
              </w:tabs>
              <w:spacing w:line="360" w:lineRule="auto"/>
              <w:ind w:left="-27" w:firstLine="38" w:firstLineChars="16"/>
              <w:jc w:val="left"/>
              <w:rPr>
                <w:rFonts w:ascii="新宋体" w:hAnsi="新宋体" w:eastAsia="新宋体" w:cs="Arial"/>
                <w:sz w:val="24"/>
              </w:rPr>
            </w:pPr>
            <w:r>
              <w:rPr>
                <w:rFonts w:ascii="新宋体" w:hAnsi="新宋体" w:eastAsia="新宋体" w:cs="Arial"/>
                <w:sz w:val="24"/>
              </w:rPr>
              <w:t>100～8000 Hz的平均值≥-8dB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tabs>
                <w:tab w:val="left" w:pos="225"/>
              </w:tabs>
              <w:spacing w:line="360" w:lineRule="auto"/>
              <w:ind w:right="693" w:rightChars="330"/>
              <w:rPr>
                <w:rFonts w:ascii="新宋体" w:hAnsi="新宋体" w:eastAsia="新宋体" w:cs="Arial"/>
                <w:sz w:val="24"/>
              </w:rPr>
            </w:pPr>
            <w:r>
              <w:rPr>
                <w:rFonts w:ascii="新宋体" w:hAnsi="新宋体" w:eastAsia="新宋体" w:cs="Arial"/>
                <w:sz w:val="24"/>
              </w:rPr>
              <w:t>声场不均匀度</w:t>
            </w:r>
          </w:p>
        </w:tc>
        <w:tc>
          <w:tcPr>
            <w:tcW w:w="5550" w:type="dxa"/>
            <w:vAlign w:val="center"/>
          </w:tcPr>
          <w:p>
            <w:pPr>
              <w:tabs>
                <w:tab w:val="left" w:pos="1395"/>
              </w:tabs>
              <w:spacing w:line="360" w:lineRule="auto"/>
              <w:ind w:left="-27" w:firstLine="38" w:firstLineChars="16"/>
              <w:rPr>
                <w:rFonts w:ascii="新宋体" w:hAnsi="新宋体" w:eastAsia="新宋体" w:cs="Arial"/>
                <w:sz w:val="24"/>
              </w:rPr>
            </w:pPr>
            <w:r>
              <w:rPr>
                <w:rFonts w:hint="eastAsia" w:ascii="新宋体" w:hAnsi="新宋体" w:eastAsia="新宋体"/>
                <w:sz w:val="24"/>
              </w:rPr>
              <w:t>10</w:t>
            </w:r>
            <w:r>
              <w:rPr>
                <w:rFonts w:ascii="新宋体" w:hAnsi="新宋体" w:eastAsia="新宋体"/>
                <w:sz w:val="24"/>
              </w:rPr>
              <w:t>0Hz≤10d</w:t>
            </w:r>
            <w:r>
              <w:rPr>
                <w:rFonts w:hint="eastAsia" w:ascii="新宋体" w:hAnsi="新宋体" w:eastAsia="新宋体"/>
                <w:sz w:val="24"/>
              </w:rPr>
              <w:t>b</w:t>
            </w:r>
            <w:r>
              <w:rPr>
                <w:rFonts w:ascii="新宋体" w:hAnsi="新宋体" w:eastAsia="新宋体"/>
                <w:sz w:val="24"/>
              </w:rPr>
              <w:t>； 1000Hz≤6d</w:t>
            </w:r>
            <w:r>
              <w:rPr>
                <w:rFonts w:hint="eastAsia" w:ascii="新宋体" w:hAnsi="新宋体" w:eastAsia="新宋体"/>
                <w:sz w:val="24"/>
              </w:rPr>
              <w:t>b</w:t>
            </w:r>
            <w:r>
              <w:rPr>
                <w:rFonts w:ascii="新宋体" w:hAnsi="新宋体" w:eastAsia="新宋体"/>
                <w:sz w:val="24"/>
              </w:rPr>
              <w:t>；</w:t>
            </w:r>
            <w:r>
              <w:rPr>
                <w:rFonts w:hint="eastAsia" w:ascii="新宋体" w:hAnsi="新宋体" w:eastAsia="新宋体"/>
                <w:sz w:val="24"/>
              </w:rPr>
              <w:t>80</w:t>
            </w:r>
            <w:r>
              <w:rPr>
                <w:rFonts w:ascii="新宋体" w:hAnsi="新宋体" w:eastAsia="新宋体"/>
                <w:sz w:val="24"/>
              </w:rPr>
              <w:t>00Hz≤8d</w:t>
            </w:r>
            <w:r>
              <w:rPr>
                <w:rFonts w:hint="eastAsia" w:ascii="新宋体" w:hAnsi="新宋体" w:eastAsia="新宋体"/>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tabs>
                <w:tab w:val="left" w:pos="225"/>
              </w:tabs>
              <w:spacing w:line="360" w:lineRule="auto"/>
              <w:ind w:right="693" w:rightChars="330"/>
              <w:rPr>
                <w:rFonts w:ascii="新宋体" w:hAnsi="新宋体" w:eastAsia="新宋体" w:cs="Arial"/>
                <w:sz w:val="24"/>
              </w:rPr>
            </w:pPr>
            <w:r>
              <w:rPr>
                <w:rFonts w:ascii="新宋体" w:hAnsi="新宋体" w:eastAsia="新宋体"/>
                <w:sz w:val="24"/>
              </w:rPr>
              <w:t>系统噪声</w:t>
            </w:r>
          </w:p>
        </w:tc>
        <w:tc>
          <w:tcPr>
            <w:tcW w:w="5550" w:type="dxa"/>
            <w:vAlign w:val="center"/>
          </w:tcPr>
          <w:p>
            <w:pPr>
              <w:tabs>
                <w:tab w:val="left" w:pos="1395"/>
              </w:tabs>
              <w:spacing w:line="360" w:lineRule="auto"/>
              <w:ind w:left="-27" w:firstLine="38" w:firstLineChars="16"/>
              <w:rPr>
                <w:rFonts w:ascii="新宋体" w:hAnsi="新宋体" w:eastAsia="新宋体" w:cs="Arial"/>
                <w:sz w:val="24"/>
              </w:rPr>
            </w:pPr>
            <w:r>
              <w:rPr>
                <w:rFonts w:ascii="新宋体" w:hAnsi="新宋体" w:eastAsia="新宋体" w:cs="Arial"/>
                <w:sz w:val="24"/>
              </w:rPr>
              <w:t>≤</w:t>
            </w:r>
            <w:r>
              <w:rPr>
                <w:rFonts w:ascii="新宋体" w:hAnsi="新宋体" w:eastAsia="新宋体"/>
                <w:sz w:val="24"/>
              </w:rPr>
              <w:t>NR20噪声评价曲线</w:t>
            </w:r>
          </w:p>
        </w:tc>
      </w:tr>
    </w:tbl>
    <w:p>
      <w:pPr>
        <w:rPr>
          <w:rFonts w:ascii="Arial" w:hAnsi="Arial" w:cs="Arial"/>
          <w:szCs w:val="21"/>
        </w:rPr>
      </w:pPr>
    </w:p>
    <w:p>
      <w:pPr>
        <w:keepNext/>
        <w:keepLines/>
        <w:spacing w:before="120" w:line="415" w:lineRule="auto"/>
        <w:ind w:left="720" w:hanging="720"/>
        <w:outlineLvl w:val="2"/>
        <w:rPr>
          <w:rFonts w:ascii="宋体" w:hAnsi="宋体"/>
          <w:b/>
          <w:bCs/>
          <w:sz w:val="24"/>
          <w:szCs w:val="32"/>
        </w:rPr>
      </w:pPr>
      <w:bookmarkStart w:id="5" w:name="_Toc479246366"/>
      <w:bookmarkStart w:id="6" w:name="_Toc288514845"/>
      <w:bookmarkStart w:id="7" w:name="_Toc191037538"/>
      <w:r>
        <w:rPr>
          <w:rFonts w:hint="eastAsia" w:ascii="宋体" w:hAnsi="宋体"/>
          <w:b/>
          <w:bCs/>
          <w:sz w:val="24"/>
          <w:szCs w:val="32"/>
        </w:rPr>
        <w:t>3.</w:t>
      </w:r>
      <w:r>
        <w:rPr>
          <w:rFonts w:ascii="宋体" w:hAnsi="宋体"/>
          <w:b/>
          <w:bCs/>
          <w:sz w:val="24"/>
          <w:szCs w:val="32"/>
        </w:rPr>
        <w:t>音响系统施工依据</w:t>
      </w:r>
      <w:bookmarkEnd w:id="5"/>
      <w:bookmarkEnd w:id="6"/>
      <w:bookmarkEnd w:id="7"/>
    </w:p>
    <w:p>
      <w:pPr>
        <w:spacing w:line="360" w:lineRule="auto"/>
        <w:ind w:firstLine="480" w:firstLineChars="200"/>
        <w:rPr>
          <w:rFonts w:ascii="新宋体" w:hAnsi="新宋体" w:eastAsia="新宋体" w:cs="Arial"/>
          <w:sz w:val="24"/>
        </w:rPr>
      </w:pPr>
      <w:r>
        <w:rPr>
          <w:rFonts w:ascii="新宋体" w:hAnsi="新宋体" w:eastAsia="新宋体" w:cs="Arial"/>
          <w:sz w:val="24"/>
        </w:rPr>
        <w:t>根据</w:t>
      </w:r>
      <w:r>
        <w:rPr>
          <w:rFonts w:hint="eastAsia" w:ascii="新宋体" w:hAnsi="新宋体" w:eastAsia="新宋体"/>
          <w:sz w:val="24"/>
        </w:rPr>
        <w:t>舞台</w:t>
      </w:r>
      <w:r>
        <w:rPr>
          <w:rFonts w:ascii="新宋体" w:hAnsi="新宋体" w:eastAsia="新宋体" w:cs="Arial"/>
          <w:sz w:val="24"/>
        </w:rPr>
        <w:t>的基本使用功能和定位并参照国家相关的标准和规范：</w:t>
      </w:r>
    </w:p>
    <w:p>
      <w:pPr>
        <w:numPr>
          <w:ilvl w:val="0"/>
          <w:numId w:val="3"/>
        </w:numPr>
        <w:spacing w:line="360" w:lineRule="auto"/>
        <w:rPr>
          <w:rFonts w:ascii="新宋体" w:hAnsi="新宋体" w:eastAsia="新宋体" w:cs="Arial"/>
          <w:sz w:val="24"/>
        </w:rPr>
      </w:pPr>
      <w:r>
        <w:rPr>
          <w:rFonts w:ascii="新宋体" w:hAnsi="新宋体" w:eastAsia="新宋体" w:cs="Arial"/>
          <w:sz w:val="24"/>
        </w:rPr>
        <w:t>GB/T50371-2006《厅堂扩声系统设计规范》；</w:t>
      </w:r>
    </w:p>
    <w:p>
      <w:pPr>
        <w:numPr>
          <w:ilvl w:val="0"/>
          <w:numId w:val="3"/>
        </w:numPr>
        <w:spacing w:line="360" w:lineRule="auto"/>
        <w:rPr>
          <w:rFonts w:ascii="新宋体" w:hAnsi="新宋体" w:eastAsia="新宋体" w:cs="Arial"/>
          <w:sz w:val="24"/>
        </w:rPr>
      </w:pPr>
      <w:r>
        <w:rPr>
          <w:rFonts w:hint="eastAsia" w:ascii="新宋体" w:hAnsi="新宋体" w:eastAsia="新宋体" w:cs="Arial"/>
          <w:kern w:val="0"/>
          <w:sz w:val="24"/>
        </w:rPr>
        <w:t>GB/T15508-1995</w:t>
      </w:r>
      <w:r>
        <w:rPr>
          <w:rFonts w:ascii="新宋体" w:hAnsi="新宋体" w:eastAsia="新宋体" w:cs="Arial"/>
          <w:sz w:val="24"/>
        </w:rPr>
        <w:t xml:space="preserve"> 《声学语言清晰度测试方法》；</w:t>
      </w:r>
    </w:p>
    <w:p>
      <w:pPr>
        <w:numPr>
          <w:ilvl w:val="0"/>
          <w:numId w:val="3"/>
        </w:numPr>
        <w:spacing w:line="360" w:lineRule="auto"/>
        <w:rPr>
          <w:rFonts w:ascii="新宋体" w:hAnsi="新宋体" w:eastAsia="新宋体" w:cs="Arial"/>
          <w:sz w:val="24"/>
        </w:rPr>
      </w:pPr>
      <w:r>
        <w:rPr>
          <w:rFonts w:ascii="新宋体" w:hAnsi="新宋体" w:eastAsia="新宋体" w:cs="Arial"/>
          <w:sz w:val="24"/>
        </w:rPr>
        <w:t>GB 4959-</w:t>
      </w:r>
      <w:r>
        <w:rPr>
          <w:rFonts w:hint="eastAsia" w:ascii="新宋体" w:hAnsi="新宋体" w:eastAsia="新宋体" w:cs="Arial"/>
          <w:sz w:val="24"/>
        </w:rPr>
        <w:t>2011</w:t>
      </w:r>
      <w:r>
        <w:rPr>
          <w:rFonts w:ascii="新宋体" w:hAnsi="新宋体" w:eastAsia="新宋体" w:cs="Arial"/>
          <w:sz w:val="24"/>
        </w:rPr>
        <w:t>《厅堂扩声特性测量方法》</w:t>
      </w:r>
      <w:r>
        <w:rPr>
          <w:rFonts w:hint="eastAsia" w:ascii="新宋体" w:hAnsi="新宋体" w:eastAsia="新宋体" w:cs="Arial"/>
          <w:sz w:val="24"/>
        </w:rPr>
        <w:t>；</w:t>
      </w:r>
    </w:p>
    <w:p>
      <w:pPr>
        <w:numPr>
          <w:ilvl w:val="0"/>
          <w:numId w:val="3"/>
        </w:numPr>
        <w:spacing w:line="360" w:lineRule="auto"/>
        <w:rPr>
          <w:rFonts w:ascii="新宋体" w:hAnsi="新宋体" w:eastAsia="新宋体" w:cs="Arial"/>
          <w:sz w:val="24"/>
        </w:rPr>
      </w:pPr>
      <w:r>
        <w:rPr>
          <w:rFonts w:ascii="新宋体" w:hAnsi="新宋体" w:eastAsia="新宋体" w:cs="Arial"/>
          <w:sz w:val="24"/>
        </w:rPr>
        <w:t>JGJ 16-</w:t>
      </w:r>
      <w:r>
        <w:rPr>
          <w:rFonts w:hint="eastAsia" w:ascii="新宋体" w:hAnsi="新宋体" w:eastAsia="新宋体" w:cs="Arial"/>
          <w:sz w:val="24"/>
        </w:rPr>
        <w:t>2008</w:t>
      </w:r>
      <w:r>
        <w:rPr>
          <w:rFonts w:ascii="新宋体" w:hAnsi="新宋体" w:eastAsia="新宋体" w:cs="Arial"/>
          <w:sz w:val="24"/>
        </w:rPr>
        <w:t xml:space="preserve"> 《民用建筑电气设计规范》；</w:t>
      </w:r>
    </w:p>
    <w:p>
      <w:pPr>
        <w:numPr>
          <w:ilvl w:val="0"/>
          <w:numId w:val="3"/>
        </w:numPr>
        <w:spacing w:line="360" w:lineRule="auto"/>
        <w:rPr>
          <w:rFonts w:ascii="新宋体" w:hAnsi="新宋体" w:eastAsia="新宋体" w:cs="Arial"/>
          <w:sz w:val="24"/>
        </w:rPr>
      </w:pPr>
      <w:r>
        <w:rPr>
          <w:rFonts w:ascii="新宋体" w:hAnsi="新宋体" w:eastAsia="新宋体" w:cs="Arial"/>
          <w:sz w:val="24"/>
        </w:rPr>
        <w:t>GB/T50356-2005《剧场、电影院和多用途厅堂建筑声学设计规范》</w:t>
      </w:r>
    </w:p>
    <w:p>
      <w:pPr>
        <w:numPr>
          <w:ilvl w:val="0"/>
          <w:numId w:val="3"/>
        </w:numPr>
        <w:spacing w:line="360" w:lineRule="auto"/>
        <w:rPr>
          <w:rFonts w:ascii="新宋体" w:hAnsi="新宋体" w:eastAsia="新宋体" w:cs="Arial"/>
          <w:sz w:val="24"/>
        </w:rPr>
      </w:pPr>
      <w:r>
        <w:rPr>
          <w:rFonts w:ascii="新宋体" w:hAnsi="新宋体" w:eastAsia="新宋体" w:cs="Arial"/>
          <w:sz w:val="24"/>
        </w:rPr>
        <w:t>GB/T 14197-</w:t>
      </w:r>
      <w:r>
        <w:rPr>
          <w:rFonts w:hint="eastAsia" w:ascii="新宋体" w:hAnsi="新宋体" w:eastAsia="新宋体" w:cs="Arial"/>
          <w:sz w:val="24"/>
        </w:rPr>
        <w:t>2012</w:t>
      </w:r>
      <w:r>
        <w:rPr>
          <w:rFonts w:ascii="新宋体" w:hAnsi="新宋体" w:eastAsia="新宋体" w:cs="Arial"/>
          <w:sz w:val="24"/>
        </w:rPr>
        <w:t xml:space="preserve"> 《声系统设备互连的优选配接值》；</w:t>
      </w:r>
    </w:p>
    <w:p>
      <w:pPr>
        <w:numPr>
          <w:ilvl w:val="0"/>
          <w:numId w:val="3"/>
        </w:numPr>
        <w:spacing w:line="360" w:lineRule="auto"/>
        <w:rPr>
          <w:rFonts w:ascii="新宋体" w:hAnsi="新宋体" w:eastAsia="新宋体" w:cs="Arial"/>
          <w:sz w:val="24"/>
        </w:rPr>
      </w:pPr>
      <w:r>
        <w:rPr>
          <w:rFonts w:ascii="新宋体" w:hAnsi="新宋体" w:eastAsia="新宋体" w:cs="Arial"/>
          <w:sz w:val="24"/>
        </w:rPr>
        <w:t>GB/14947-94《声系统设备互连用连接器的应用》；</w:t>
      </w:r>
    </w:p>
    <w:p>
      <w:pPr>
        <w:numPr>
          <w:ilvl w:val="0"/>
          <w:numId w:val="3"/>
        </w:numPr>
        <w:spacing w:line="360" w:lineRule="auto"/>
        <w:rPr>
          <w:rFonts w:ascii="新宋体" w:hAnsi="新宋体" w:eastAsia="新宋体" w:cs="Arial"/>
          <w:sz w:val="24"/>
        </w:rPr>
      </w:pPr>
      <w:r>
        <w:rPr>
          <w:rFonts w:ascii="新宋体" w:hAnsi="新宋体" w:eastAsia="新宋体" w:cs="Arial"/>
          <w:kern w:val="0"/>
          <w:sz w:val="24"/>
        </w:rPr>
        <w:t>国家关于电气设备使用的其他有关标准。</w:t>
      </w:r>
    </w:p>
    <w:p>
      <w:pPr>
        <w:spacing w:line="360" w:lineRule="auto"/>
        <w:rPr>
          <w:rFonts w:ascii="新宋体" w:hAnsi="新宋体" w:eastAsia="新宋体" w:cs="Arial"/>
          <w:sz w:val="24"/>
        </w:rPr>
      </w:pPr>
      <w:r>
        <w:rPr>
          <w:rFonts w:ascii="新宋体" w:hAnsi="新宋体" w:eastAsia="新宋体" w:cs="Arial"/>
          <w:sz w:val="24"/>
        </w:rPr>
        <w:t>通用的规范和标准：</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JGJ57-2016《剧场建筑设计规范》</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GB50016-20</w:t>
      </w:r>
      <w:r>
        <w:rPr>
          <w:rFonts w:hint="eastAsia" w:ascii="新宋体" w:hAnsi="新宋体" w:eastAsia="新宋体" w:cs="Arial"/>
          <w:kern w:val="0"/>
          <w:sz w:val="24"/>
        </w:rPr>
        <w:t>14</w:t>
      </w:r>
      <w:r>
        <w:rPr>
          <w:rFonts w:ascii="新宋体" w:hAnsi="新宋体" w:eastAsia="新宋体" w:cs="Arial"/>
          <w:kern w:val="0"/>
          <w:sz w:val="24"/>
        </w:rPr>
        <w:t>《建筑设计防火规范》</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GB/T50314-20</w:t>
      </w:r>
      <w:r>
        <w:rPr>
          <w:rFonts w:hint="eastAsia" w:ascii="新宋体" w:hAnsi="新宋体" w:eastAsia="新宋体" w:cs="Arial"/>
          <w:kern w:val="0"/>
          <w:sz w:val="24"/>
        </w:rPr>
        <w:t>15</w:t>
      </w:r>
      <w:r>
        <w:rPr>
          <w:rFonts w:ascii="新宋体" w:hAnsi="新宋体" w:eastAsia="新宋体" w:cs="Arial"/>
          <w:kern w:val="0"/>
          <w:sz w:val="24"/>
        </w:rPr>
        <w:t>《智能建筑设计标准》</w:t>
      </w:r>
    </w:p>
    <w:p>
      <w:pPr>
        <w:numPr>
          <w:ilvl w:val="0"/>
          <w:numId w:val="3"/>
        </w:numPr>
        <w:spacing w:line="360" w:lineRule="auto"/>
        <w:rPr>
          <w:rFonts w:ascii="新宋体" w:hAnsi="新宋体" w:eastAsia="新宋体"/>
          <w:sz w:val="24"/>
        </w:rPr>
      </w:pPr>
      <w:r>
        <w:rPr>
          <w:rFonts w:hint="eastAsia" w:ascii="新宋体" w:hAnsi="新宋体" w:eastAsia="新宋体"/>
          <w:sz w:val="24"/>
        </w:rPr>
        <w:t>GB/T50311-2016《</w:t>
      </w:r>
      <w:r>
        <w:rPr>
          <w:rFonts w:ascii="新宋体" w:hAnsi="新宋体" w:eastAsia="新宋体"/>
          <w:sz w:val="24"/>
        </w:rPr>
        <w:t>综合布线系统工程设计规范</w:t>
      </w:r>
      <w:r>
        <w:rPr>
          <w:rFonts w:hint="eastAsia" w:ascii="新宋体" w:hAnsi="新宋体" w:eastAsia="新宋体"/>
          <w:sz w:val="24"/>
        </w:rPr>
        <w:t>》</w:t>
      </w:r>
    </w:p>
    <w:p>
      <w:pPr>
        <w:numPr>
          <w:ilvl w:val="0"/>
          <w:numId w:val="3"/>
        </w:numPr>
        <w:spacing w:line="360" w:lineRule="auto"/>
        <w:rPr>
          <w:rFonts w:ascii="新宋体" w:hAnsi="新宋体" w:eastAsia="新宋体"/>
          <w:sz w:val="24"/>
        </w:rPr>
      </w:pPr>
      <w:r>
        <w:rPr>
          <w:rFonts w:hint="eastAsia" w:ascii="新宋体" w:hAnsi="新宋体" w:eastAsia="新宋体"/>
          <w:sz w:val="24"/>
        </w:rPr>
        <w:t>GB/T50312-2016《</w:t>
      </w:r>
      <w:r>
        <w:rPr>
          <w:rFonts w:ascii="新宋体" w:hAnsi="新宋体" w:eastAsia="新宋体"/>
          <w:sz w:val="24"/>
        </w:rPr>
        <w:t>综合布线系统工程验收规范</w:t>
      </w:r>
      <w:r>
        <w:rPr>
          <w:rFonts w:hint="eastAsia" w:ascii="新宋体" w:hAnsi="新宋体" w:eastAsia="新宋体"/>
          <w:sz w:val="24"/>
        </w:rPr>
        <w:t>》</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GB50169-20</w:t>
      </w:r>
      <w:r>
        <w:rPr>
          <w:rFonts w:hint="eastAsia" w:ascii="新宋体" w:hAnsi="新宋体" w:eastAsia="新宋体" w:cs="Arial"/>
          <w:kern w:val="0"/>
          <w:sz w:val="24"/>
        </w:rPr>
        <w:t>1</w:t>
      </w:r>
      <w:r>
        <w:rPr>
          <w:rFonts w:ascii="新宋体" w:hAnsi="新宋体" w:eastAsia="新宋体" w:cs="Arial"/>
          <w:kern w:val="0"/>
          <w:sz w:val="24"/>
        </w:rPr>
        <w:t>6《电气安装工程接地装置施工及验收规范》</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GB 50300-20</w:t>
      </w:r>
      <w:r>
        <w:rPr>
          <w:rFonts w:hint="eastAsia" w:ascii="新宋体" w:hAnsi="新宋体" w:eastAsia="新宋体" w:cs="Arial"/>
          <w:kern w:val="0"/>
          <w:sz w:val="24"/>
        </w:rPr>
        <w:t>13</w:t>
      </w:r>
      <w:r>
        <w:rPr>
          <w:rFonts w:ascii="新宋体" w:hAnsi="新宋体" w:eastAsia="新宋体" w:cs="Arial"/>
          <w:kern w:val="0"/>
          <w:sz w:val="24"/>
        </w:rPr>
        <w:t>《建筑工程施工质量验收统一标准》</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GB 50303-20</w:t>
      </w:r>
      <w:r>
        <w:rPr>
          <w:rFonts w:hint="eastAsia" w:ascii="新宋体" w:hAnsi="新宋体" w:eastAsia="新宋体" w:cs="Arial"/>
          <w:kern w:val="0"/>
          <w:sz w:val="24"/>
        </w:rPr>
        <w:t>15</w:t>
      </w:r>
      <w:r>
        <w:rPr>
          <w:rFonts w:ascii="新宋体" w:hAnsi="新宋体" w:eastAsia="新宋体" w:cs="Arial"/>
          <w:kern w:val="0"/>
          <w:sz w:val="24"/>
        </w:rPr>
        <w:t>《建筑电气工程施工质量验收规范》</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GB/T12666-</w:t>
      </w:r>
      <w:r>
        <w:rPr>
          <w:rFonts w:hint="eastAsia" w:ascii="新宋体" w:hAnsi="新宋体" w:eastAsia="新宋体" w:cs="Arial"/>
          <w:kern w:val="0"/>
          <w:sz w:val="24"/>
        </w:rPr>
        <w:t>2008</w:t>
      </w:r>
      <w:r>
        <w:rPr>
          <w:rFonts w:ascii="新宋体" w:hAnsi="新宋体" w:eastAsia="新宋体" w:cs="Arial"/>
          <w:kern w:val="0"/>
          <w:sz w:val="24"/>
        </w:rPr>
        <w:t>《电线电缆燃烧试验方法》</w:t>
      </w:r>
    </w:p>
    <w:p>
      <w:pPr>
        <w:numPr>
          <w:ilvl w:val="0"/>
          <w:numId w:val="3"/>
        </w:numPr>
        <w:spacing w:line="360" w:lineRule="auto"/>
        <w:rPr>
          <w:rFonts w:ascii="新宋体" w:hAnsi="新宋体" w:eastAsia="新宋体" w:cs="Arial"/>
          <w:kern w:val="0"/>
          <w:sz w:val="24"/>
        </w:rPr>
      </w:pPr>
      <w:r>
        <w:rPr>
          <w:rFonts w:ascii="新宋体" w:hAnsi="新宋体" w:eastAsia="新宋体" w:cs="Arial"/>
          <w:kern w:val="0"/>
          <w:sz w:val="24"/>
        </w:rPr>
        <w:t>GB/T3048.1</w:t>
      </w:r>
      <w:r>
        <w:rPr>
          <w:rFonts w:hint="eastAsia" w:ascii="新宋体" w:hAnsi="新宋体" w:eastAsia="新宋体" w:cs="Arial"/>
          <w:kern w:val="0"/>
          <w:sz w:val="24"/>
        </w:rPr>
        <w:t>3</w:t>
      </w:r>
      <w:r>
        <w:rPr>
          <w:rFonts w:ascii="新宋体" w:hAnsi="新宋体" w:eastAsia="新宋体" w:cs="Arial"/>
          <w:kern w:val="0"/>
          <w:sz w:val="24"/>
        </w:rPr>
        <w:t>/</w:t>
      </w:r>
      <w:r>
        <w:rPr>
          <w:rFonts w:hint="eastAsia" w:ascii="新宋体" w:hAnsi="新宋体" w:eastAsia="新宋体" w:cs="Arial"/>
          <w:kern w:val="0"/>
          <w:sz w:val="24"/>
        </w:rPr>
        <w:t>2007</w:t>
      </w:r>
      <w:r>
        <w:rPr>
          <w:rFonts w:ascii="新宋体" w:hAnsi="新宋体" w:eastAsia="新宋体" w:cs="Arial"/>
          <w:kern w:val="0"/>
          <w:sz w:val="24"/>
        </w:rPr>
        <w:t>《电线电缆电性能试验方法》</w:t>
      </w:r>
    </w:p>
    <w:p>
      <w:pPr>
        <w:keepNext/>
        <w:keepLines/>
        <w:spacing w:before="120" w:line="415" w:lineRule="auto"/>
        <w:ind w:left="720" w:hanging="720"/>
        <w:outlineLvl w:val="2"/>
        <w:rPr>
          <w:rFonts w:ascii="宋体" w:hAnsi="宋体"/>
          <w:b/>
          <w:bCs/>
          <w:sz w:val="24"/>
          <w:szCs w:val="32"/>
        </w:rPr>
      </w:pPr>
      <w:bookmarkStart w:id="8" w:name="_Toc191037536"/>
      <w:bookmarkStart w:id="9" w:name="_Toc479246367"/>
      <w:bookmarkStart w:id="10" w:name="_Toc288514846"/>
      <w:r>
        <w:rPr>
          <w:rFonts w:hint="eastAsia" w:ascii="宋体" w:hAnsi="宋体"/>
          <w:b/>
          <w:bCs/>
          <w:sz w:val="24"/>
          <w:szCs w:val="32"/>
        </w:rPr>
        <w:t>4.系统组成原则</w:t>
      </w:r>
      <w:bookmarkEnd w:id="8"/>
      <w:bookmarkEnd w:id="9"/>
      <w:bookmarkEnd w:id="10"/>
    </w:p>
    <w:p>
      <w:pPr>
        <w:spacing w:line="360" w:lineRule="auto"/>
        <w:ind w:firstLine="480" w:firstLineChars="200"/>
        <w:rPr>
          <w:rFonts w:ascii="新宋体" w:hAnsi="新宋体" w:eastAsia="新宋体" w:cs="Arial"/>
          <w:sz w:val="24"/>
        </w:rPr>
      </w:pPr>
      <w:r>
        <w:rPr>
          <w:rFonts w:ascii="新宋体" w:hAnsi="新宋体" w:eastAsia="新宋体" w:cs="Arial"/>
          <w:sz w:val="24"/>
        </w:rPr>
        <w:t>(1)音响系统主要控制设备采用</w:t>
      </w:r>
      <w:r>
        <w:rPr>
          <w:rFonts w:hint="eastAsia" w:ascii="新宋体" w:hAnsi="新宋体" w:eastAsia="新宋体" w:cs="Arial"/>
          <w:sz w:val="24"/>
        </w:rPr>
        <w:t>数字</w:t>
      </w:r>
      <w:r>
        <w:rPr>
          <w:rFonts w:ascii="新宋体" w:hAnsi="新宋体" w:eastAsia="新宋体" w:cs="Arial"/>
          <w:sz w:val="24"/>
        </w:rPr>
        <w:t>调音台。</w:t>
      </w:r>
    </w:p>
    <w:p>
      <w:pPr>
        <w:spacing w:line="360" w:lineRule="auto"/>
        <w:ind w:firstLine="480" w:firstLineChars="200"/>
        <w:rPr>
          <w:rFonts w:ascii="新宋体" w:hAnsi="新宋体" w:eastAsia="新宋体" w:cs="Arial"/>
          <w:sz w:val="24"/>
        </w:rPr>
      </w:pPr>
      <w:r>
        <w:rPr>
          <w:rFonts w:ascii="新宋体" w:hAnsi="新宋体" w:eastAsia="新宋体" w:cs="Arial"/>
          <w:sz w:val="24"/>
        </w:rPr>
        <w:t>(2)观众厅主扩声采用左、右立体声方式，</w:t>
      </w:r>
      <w:r>
        <w:rPr>
          <w:rFonts w:hint="eastAsia" w:ascii="新宋体" w:hAnsi="新宋体" w:eastAsia="新宋体" w:cs="Arial"/>
          <w:sz w:val="24"/>
        </w:rPr>
        <w:t>二</w:t>
      </w:r>
      <w:r>
        <w:rPr>
          <w:rFonts w:ascii="新宋体" w:hAnsi="新宋体" w:eastAsia="新宋体" w:cs="Arial"/>
          <w:sz w:val="24"/>
        </w:rPr>
        <w:t>个通道分别均匀覆盖全场，并设有独立的次低频和超低频通道的扩声系统方案。</w:t>
      </w:r>
    </w:p>
    <w:p>
      <w:pPr>
        <w:spacing w:line="360" w:lineRule="auto"/>
        <w:ind w:firstLine="480" w:firstLineChars="200"/>
        <w:rPr>
          <w:rFonts w:ascii="新宋体" w:hAnsi="新宋体" w:eastAsia="新宋体" w:cs="Arial"/>
          <w:sz w:val="24"/>
        </w:rPr>
      </w:pPr>
      <w:r>
        <w:rPr>
          <w:rFonts w:ascii="新宋体" w:hAnsi="新宋体" w:eastAsia="新宋体" w:cs="Arial"/>
          <w:sz w:val="24"/>
        </w:rPr>
        <w:t>(3)舞台返送监听系统采用流动方式相的方案。</w:t>
      </w:r>
    </w:p>
    <w:p>
      <w:pPr>
        <w:spacing w:line="360" w:lineRule="auto"/>
        <w:ind w:firstLine="360" w:firstLineChars="150"/>
        <w:rPr>
          <w:rFonts w:ascii="新宋体" w:hAnsi="新宋体" w:eastAsia="新宋体" w:cs="Arial"/>
          <w:sz w:val="24"/>
        </w:rPr>
      </w:pPr>
      <w:r>
        <w:rPr>
          <w:rFonts w:ascii="新宋体" w:hAnsi="新宋体" w:eastAsia="新宋体" w:cs="Arial"/>
          <w:sz w:val="24"/>
        </w:rPr>
        <w:t xml:space="preserve"> (</w:t>
      </w:r>
      <w:r>
        <w:rPr>
          <w:rFonts w:hint="eastAsia" w:ascii="新宋体" w:hAnsi="新宋体" w:eastAsia="新宋体" w:cs="Arial"/>
          <w:sz w:val="24"/>
        </w:rPr>
        <w:t>4</w:t>
      </w:r>
      <w:r>
        <w:rPr>
          <w:rFonts w:ascii="新宋体" w:hAnsi="新宋体" w:eastAsia="新宋体" w:cs="Arial"/>
          <w:sz w:val="24"/>
        </w:rPr>
        <w:t>) 系统具有通用性和开放性。</w:t>
      </w:r>
    </w:p>
    <w:p>
      <w:pPr>
        <w:keepNext/>
        <w:keepLines/>
        <w:spacing w:before="120" w:line="415" w:lineRule="auto"/>
        <w:ind w:left="720" w:hanging="720"/>
        <w:outlineLvl w:val="2"/>
        <w:rPr>
          <w:rFonts w:ascii="宋体" w:hAnsi="宋体"/>
          <w:b/>
          <w:bCs/>
          <w:sz w:val="24"/>
          <w:szCs w:val="32"/>
        </w:rPr>
      </w:pPr>
      <w:bookmarkStart w:id="11" w:name="_Toc191037539"/>
      <w:bookmarkStart w:id="12" w:name="_Toc288514847"/>
      <w:bookmarkStart w:id="13" w:name="_Toc479246368"/>
      <w:r>
        <w:rPr>
          <w:rFonts w:hint="eastAsia" w:ascii="宋体" w:hAnsi="宋体"/>
          <w:b/>
          <w:bCs/>
          <w:sz w:val="24"/>
          <w:szCs w:val="32"/>
        </w:rPr>
        <w:t>5.</w:t>
      </w:r>
      <w:r>
        <w:rPr>
          <w:rFonts w:ascii="宋体" w:hAnsi="宋体"/>
          <w:b/>
          <w:bCs/>
          <w:sz w:val="24"/>
          <w:szCs w:val="32"/>
        </w:rPr>
        <w:t>音响系统构成及配置</w:t>
      </w:r>
      <w:bookmarkEnd w:id="11"/>
      <w:bookmarkEnd w:id="12"/>
      <w:bookmarkEnd w:id="13"/>
    </w:p>
    <w:p>
      <w:pPr>
        <w:keepNext/>
        <w:keepLines/>
        <w:spacing w:line="377" w:lineRule="auto"/>
        <w:outlineLvl w:val="3"/>
        <w:rPr>
          <w:rFonts w:ascii="新宋体" w:hAnsi="新宋体" w:eastAsia="新宋体"/>
          <w:b/>
          <w:bCs/>
          <w:sz w:val="24"/>
        </w:rPr>
      </w:pPr>
      <w:bookmarkStart w:id="14" w:name="_Toc479246369"/>
      <w:r>
        <w:rPr>
          <w:rFonts w:hint="eastAsia" w:ascii="新宋体" w:hAnsi="新宋体" w:eastAsia="新宋体"/>
          <w:b/>
          <w:bCs/>
          <w:sz w:val="24"/>
        </w:rPr>
        <w:t>5.1扬声器系统</w:t>
      </w:r>
      <w:r>
        <w:rPr>
          <w:rFonts w:ascii="新宋体" w:hAnsi="新宋体" w:eastAsia="新宋体"/>
          <w:b/>
          <w:bCs/>
          <w:sz w:val="24"/>
        </w:rPr>
        <w:t>部分</w:t>
      </w:r>
      <w:bookmarkEnd w:id="14"/>
    </w:p>
    <w:p>
      <w:pPr>
        <w:spacing w:line="360" w:lineRule="auto"/>
        <w:ind w:firstLine="480" w:firstLineChars="200"/>
        <w:rPr>
          <w:rFonts w:ascii="新宋体" w:hAnsi="新宋体" w:eastAsia="新宋体" w:cs="Arial"/>
          <w:sz w:val="24"/>
        </w:rPr>
      </w:pPr>
      <w:r>
        <w:rPr>
          <w:rFonts w:ascii="新宋体" w:hAnsi="新宋体" w:eastAsia="新宋体" w:cs="Arial"/>
          <w:sz w:val="24"/>
        </w:rPr>
        <w:t>主扩声音箱系统采用左、右立体声扩声方式，</w:t>
      </w:r>
      <w:r>
        <w:rPr>
          <w:rFonts w:hint="eastAsia" w:ascii="新宋体" w:hAnsi="新宋体" w:eastAsia="新宋体" w:cs="Arial"/>
          <w:sz w:val="24"/>
        </w:rPr>
        <w:t>达到文艺演出一级</w:t>
      </w:r>
      <w:r>
        <w:rPr>
          <w:rFonts w:ascii="新宋体" w:hAnsi="新宋体" w:eastAsia="新宋体" w:cs="Arial"/>
          <w:sz w:val="24"/>
        </w:rPr>
        <w:t>声学特性的技术指标要求。</w:t>
      </w:r>
    </w:p>
    <w:p>
      <w:pPr>
        <w:spacing w:line="360" w:lineRule="auto"/>
        <w:ind w:firstLine="200"/>
        <w:rPr>
          <w:rFonts w:ascii="新宋体" w:hAnsi="新宋体" w:eastAsia="新宋体" w:cs="Arial"/>
          <w:sz w:val="24"/>
        </w:rPr>
      </w:pPr>
      <w:r>
        <w:rPr>
          <w:rFonts w:ascii="新宋体" w:hAnsi="新宋体" w:eastAsia="新宋体" w:cs="Arial"/>
          <w:sz w:val="24"/>
        </w:rPr>
        <w:t xml:space="preserve"> (1)</w:t>
      </w:r>
      <w:r>
        <w:rPr>
          <w:rFonts w:hint="eastAsia" w:ascii="新宋体" w:hAnsi="新宋体" w:eastAsia="新宋体" w:cs="Arial"/>
          <w:sz w:val="24"/>
        </w:rPr>
        <w:t xml:space="preserve"> </w:t>
      </w:r>
      <w:r>
        <w:rPr>
          <w:rFonts w:ascii="新宋体" w:hAnsi="新宋体" w:eastAsia="新宋体" w:cs="Arial"/>
          <w:sz w:val="24"/>
        </w:rPr>
        <w:t>主扩声</w:t>
      </w:r>
      <w:r>
        <w:rPr>
          <w:rFonts w:hint="eastAsia" w:ascii="新宋体" w:hAnsi="新宋体" w:eastAsia="新宋体" w:cs="Arial"/>
          <w:sz w:val="24"/>
        </w:rPr>
        <w:t>扬声器</w:t>
      </w:r>
      <w:r>
        <w:rPr>
          <w:rFonts w:ascii="新宋体" w:hAnsi="新宋体" w:eastAsia="新宋体" w:cs="Arial"/>
          <w:sz w:val="24"/>
        </w:rPr>
        <w:t>系统</w:t>
      </w:r>
    </w:p>
    <w:p>
      <w:pPr>
        <w:spacing w:line="360" w:lineRule="auto"/>
        <w:ind w:firstLine="556" w:firstLineChars="232"/>
        <w:rPr>
          <w:rFonts w:ascii="新宋体" w:hAnsi="新宋体" w:eastAsia="新宋体" w:cs="Arial"/>
          <w:sz w:val="24"/>
        </w:rPr>
      </w:pPr>
      <w:r>
        <w:rPr>
          <w:rFonts w:ascii="新宋体" w:hAnsi="新宋体" w:eastAsia="新宋体" w:cs="Arial"/>
          <w:sz w:val="24"/>
        </w:rPr>
        <w:t>左、右声道主扩</w:t>
      </w:r>
      <w:r>
        <w:rPr>
          <w:rFonts w:hint="eastAsia" w:ascii="新宋体" w:hAnsi="新宋体" w:eastAsia="新宋体" w:cs="Arial"/>
          <w:sz w:val="24"/>
        </w:rPr>
        <w:t>声</w:t>
      </w:r>
      <w:r>
        <w:rPr>
          <w:rFonts w:ascii="新宋体" w:hAnsi="新宋体" w:eastAsia="新宋体" w:cs="Arial"/>
          <w:sz w:val="24"/>
        </w:rPr>
        <w:t>各配置一组</w:t>
      </w:r>
      <w:r>
        <w:rPr>
          <w:rFonts w:hint="eastAsia" w:ascii="新宋体" w:hAnsi="新宋体" w:eastAsia="新宋体"/>
          <w:sz w:val="24"/>
        </w:rPr>
        <w:t>远投型扬声器组和近投型扬声器组，采用非同轴号角式全频设计</w:t>
      </w:r>
      <w:r>
        <w:rPr>
          <w:rFonts w:ascii="新宋体" w:hAnsi="新宋体" w:eastAsia="新宋体" w:cs="Arial"/>
          <w:sz w:val="24"/>
        </w:rPr>
        <w:t>。</w:t>
      </w:r>
    </w:p>
    <w:p>
      <w:pPr>
        <w:spacing w:line="360" w:lineRule="auto"/>
        <w:ind w:firstLine="556" w:firstLineChars="232"/>
        <w:rPr>
          <w:rFonts w:ascii="新宋体" w:hAnsi="新宋体" w:eastAsia="新宋体" w:cs="Arial"/>
          <w:sz w:val="24"/>
        </w:rPr>
      </w:pPr>
      <w:r>
        <w:rPr>
          <w:rFonts w:ascii="新宋体" w:hAnsi="新宋体" w:eastAsia="新宋体" w:cs="Arial"/>
          <w:sz w:val="24"/>
        </w:rPr>
        <w:t>左、右声道次低频各配置一</w:t>
      </w:r>
      <w:r>
        <w:rPr>
          <w:rFonts w:hint="eastAsia" w:ascii="新宋体" w:hAnsi="新宋体" w:eastAsia="新宋体" w:cs="Arial"/>
          <w:sz w:val="24"/>
        </w:rPr>
        <w:t>只</w:t>
      </w:r>
      <w:r>
        <w:rPr>
          <w:rFonts w:hint="eastAsia" w:ascii="新宋体" w:hAnsi="新宋体" w:eastAsia="新宋体"/>
          <w:sz w:val="24"/>
        </w:rPr>
        <w:t>扬声器。</w:t>
      </w:r>
    </w:p>
    <w:p>
      <w:pPr>
        <w:spacing w:line="360" w:lineRule="auto"/>
        <w:ind w:firstLine="436" w:firstLineChars="182"/>
        <w:rPr>
          <w:rFonts w:ascii="新宋体" w:hAnsi="新宋体" w:eastAsia="新宋体"/>
          <w:color w:val="000000"/>
          <w:sz w:val="24"/>
        </w:rPr>
      </w:pPr>
      <w:r>
        <w:rPr>
          <w:rFonts w:hint="eastAsia" w:ascii="新宋体" w:hAnsi="新宋体" w:eastAsia="新宋体"/>
          <w:color w:val="000000"/>
          <w:sz w:val="24"/>
        </w:rPr>
        <w:t>主扩声</w:t>
      </w:r>
      <w:r>
        <w:rPr>
          <w:rFonts w:ascii="新宋体" w:hAnsi="新宋体" w:eastAsia="新宋体"/>
          <w:color w:val="000000"/>
          <w:sz w:val="24"/>
        </w:rPr>
        <w:t>超低频扬声器</w:t>
      </w:r>
      <w:r>
        <w:rPr>
          <w:rFonts w:hint="eastAsia" w:ascii="新宋体" w:hAnsi="新宋体" w:eastAsia="新宋体"/>
          <w:color w:val="000000"/>
          <w:sz w:val="24"/>
        </w:rPr>
        <w:t>系统由左右各1组</w:t>
      </w:r>
      <w:r>
        <w:rPr>
          <w:rFonts w:ascii="新宋体" w:hAnsi="新宋体" w:eastAsia="新宋体"/>
          <w:color w:val="000000"/>
          <w:sz w:val="24"/>
        </w:rPr>
        <w:t>超低频</w:t>
      </w:r>
      <w:r>
        <w:rPr>
          <w:rFonts w:hint="eastAsia" w:ascii="新宋体" w:hAnsi="新宋体" w:eastAsia="新宋体"/>
          <w:color w:val="000000"/>
          <w:sz w:val="24"/>
        </w:rPr>
        <w:t>扬声器系统组成，每组18寸</w:t>
      </w:r>
      <w:r>
        <w:rPr>
          <w:rFonts w:ascii="新宋体" w:hAnsi="新宋体" w:eastAsia="新宋体"/>
          <w:color w:val="000000"/>
          <w:sz w:val="24"/>
        </w:rPr>
        <w:t>超低频</w:t>
      </w:r>
      <w:r>
        <w:rPr>
          <w:rFonts w:hint="eastAsia" w:ascii="新宋体" w:hAnsi="新宋体" w:eastAsia="新宋体"/>
          <w:color w:val="000000"/>
          <w:sz w:val="24"/>
        </w:rPr>
        <w:t>扬声器每组二只。</w:t>
      </w:r>
    </w:p>
    <w:p>
      <w:pPr>
        <w:spacing w:line="360" w:lineRule="auto"/>
        <w:ind w:firstLine="120" w:firstLineChars="50"/>
        <w:rPr>
          <w:rFonts w:ascii="新宋体" w:hAnsi="新宋体" w:eastAsia="新宋体" w:cs="Arial"/>
          <w:sz w:val="24"/>
        </w:rPr>
      </w:pPr>
      <w:r>
        <w:rPr>
          <w:rFonts w:ascii="新宋体" w:hAnsi="新宋体" w:eastAsia="新宋体" w:cs="Arial"/>
          <w:sz w:val="24"/>
        </w:rPr>
        <w:t>(2) 舞台返送监听</w:t>
      </w:r>
      <w:r>
        <w:rPr>
          <w:rFonts w:hint="eastAsia" w:ascii="新宋体" w:hAnsi="新宋体" w:eastAsia="新宋体" w:cs="Arial"/>
          <w:sz w:val="24"/>
        </w:rPr>
        <w:t>扬声器系统</w:t>
      </w:r>
      <w:r>
        <w:rPr>
          <w:rFonts w:ascii="新宋体" w:hAnsi="新宋体" w:eastAsia="新宋体" w:cs="Arial"/>
          <w:sz w:val="24"/>
        </w:rPr>
        <w:t>：</w:t>
      </w:r>
    </w:p>
    <w:p>
      <w:pPr>
        <w:spacing w:line="360" w:lineRule="auto"/>
        <w:ind w:firstLine="436" w:firstLineChars="182"/>
        <w:rPr>
          <w:rFonts w:ascii="新宋体" w:hAnsi="新宋体" w:eastAsia="新宋体"/>
          <w:sz w:val="24"/>
        </w:rPr>
      </w:pPr>
      <w:r>
        <w:rPr>
          <w:rFonts w:ascii="新宋体" w:hAnsi="新宋体" w:eastAsia="新宋体"/>
          <w:sz w:val="24"/>
        </w:rPr>
        <w:t>为满足演出形式的多元化要求，在主舞台以灵活的流动方式配置舞台多通道返送监听</w:t>
      </w:r>
      <w:r>
        <w:rPr>
          <w:rFonts w:hint="eastAsia" w:ascii="新宋体" w:hAnsi="新宋体" w:eastAsia="新宋体"/>
          <w:sz w:val="24"/>
        </w:rPr>
        <w:t>监听全频扬声器4只。</w:t>
      </w:r>
    </w:p>
    <w:p>
      <w:pPr>
        <w:spacing w:line="360" w:lineRule="auto"/>
        <w:ind w:firstLine="120" w:firstLineChars="50"/>
        <w:rPr>
          <w:rFonts w:ascii="新宋体" w:hAnsi="新宋体" w:eastAsia="新宋体" w:cs="Arial"/>
          <w:sz w:val="24"/>
        </w:rPr>
      </w:pPr>
      <w:r>
        <w:rPr>
          <w:rFonts w:hint="eastAsia" w:ascii="新宋体" w:hAnsi="新宋体" w:eastAsia="新宋体" w:cs="Arial"/>
          <w:sz w:val="24"/>
        </w:rPr>
        <w:t>（3）</w:t>
      </w:r>
      <w:r>
        <w:rPr>
          <w:rFonts w:ascii="新宋体" w:hAnsi="新宋体" w:eastAsia="新宋体" w:cs="Arial"/>
          <w:sz w:val="24"/>
        </w:rPr>
        <w:t>功率放大器</w:t>
      </w:r>
    </w:p>
    <w:p>
      <w:pPr>
        <w:spacing w:line="360" w:lineRule="auto"/>
        <w:ind w:firstLine="480" w:firstLineChars="200"/>
        <w:rPr>
          <w:rFonts w:ascii="新宋体" w:hAnsi="新宋体" w:eastAsia="新宋体" w:cs="Arial"/>
          <w:sz w:val="24"/>
        </w:rPr>
      </w:pPr>
      <w:r>
        <w:rPr>
          <w:rFonts w:hint="eastAsia" w:ascii="新宋体" w:hAnsi="新宋体" w:eastAsia="新宋体" w:cs="Arial"/>
          <w:sz w:val="24"/>
        </w:rPr>
        <w:t>必须与扬声器同品牌，采用高效功放，按扬声器数量、功率匹配配置，每只扬声器必须有单独独立的功放通道，功放功率配置需根据厂家推荐且满足扬声器厂家最大声压级要求配置。</w:t>
      </w:r>
    </w:p>
    <w:p>
      <w:pPr>
        <w:keepNext/>
        <w:keepLines/>
        <w:spacing w:line="377" w:lineRule="auto"/>
        <w:outlineLvl w:val="3"/>
        <w:rPr>
          <w:rFonts w:ascii="新宋体" w:hAnsi="新宋体" w:eastAsia="新宋体"/>
          <w:b/>
          <w:bCs/>
          <w:sz w:val="24"/>
        </w:rPr>
      </w:pPr>
      <w:bookmarkStart w:id="15" w:name="_Toc191037542"/>
      <w:bookmarkStart w:id="16" w:name="_Toc479246370"/>
      <w:r>
        <w:rPr>
          <w:rFonts w:hint="eastAsia" w:ascii="新宋体" w:hAnsi="新宋体" w:eastAsia="新宋体"/>
          <w:b/>
          <w:bCs/>
          <w:sz w:val="24"/>
        </w:rPr>
        <w:t>5.2</w:t>
      </w:r>
      <w:r>
        <w:rPr>
          <w:rFonts w:ascii="新宋体" w:hAnsi="新宋体" w:eastAsia="新宋体"/>
          <w:b/>
          <w:bCs/>
          <w:sz w:val="24"/>
        </w:rPr>
        <w:t>调音台</w:t>
      </w:r>
      <w:r>
        <w:rPr>
          <w:rFonts w:hint="eastAsia" w:ascii="新宋体" w:hAnsi="新宋体" w:eastAsia="新宋体"/>
          <w:b/>
          <w:bCs/>
          <w:sz w:val="24"/>
        </w:rPr>
        <w:t>和信号处理</w:t>
      </w:r>
      <w:r>
        <w:rPr>
          <w:rFonts w:ascii="新宋体" w:hAnsi="新宋体" w:eastAsia="新宋体"/>
          <w:b/>
          <w:bCs/>
          <w:sz w:val="24"/>
        </w:rPr>
        <w:t>部分</w:t>
      </w:r>
      <w:bookmarkEnd w:id="15"/>
      <w:bookmarkEnd w:id="16"/>
    </w:p>
    <w:p>
      <w:pPr>
        <w:spacing w:line="360" w:lineRule="auto"/>
        <w:ind w:firstLine="555"/>
        <w:rPr>
          <w:rFonts w:ascii="Arial" w:hAnsi="Arial" w:cs="Arial"/>
          <w:sz w:val="24"/>
        </w:rPr>
      </w:pPr>
      <w:r>
        <w:rPr>
          <w:rFonts w:ascii="Arial" w:cs="Arial"/>
          <w:sz w:val="24"/>
        </w:rPr>
        <w:t>调音台是整个系统的控制核心，其音质、性能、可靠性对整个扩声系统工作有着重要作用。</w:t>
      </w:r>
    </w:p>
    <w:p>
      <w:pPr>
        <w:autoSpaceDE w:val="0"/>
        <w:autoSpaceDN w:val="0"/>
        <w:adjustRightInd w:val="0"/>
        <w:spacing w:line="360" w:lineRule="auto"/>
        <w:rPr>
          <w:rFonts w:ascii="宋体" w:hAnsi="宋体" w:cs="Arial"/>
          <w:kern w:val="0"/>
          <w:sz w:val="24"/>
        </w:rPr>
      </w:pPr>
      <w:r>
        <w:rPr>
          <w:rFonts w:ascii="宋体" w:hAnsi="宋体" w:cs="Arial"/>
          <w:kern w:val="0"/>
          <w:sz w:val="24"/>
        </w:rPr>
        <w:t>1)</w:t>
      </w:r>
      <w:r>
        <w:rPr>
          <w:rFonts w:hint="eastAsia" w:ascii="宋体" w:hAnsi="宋体" w:cs="Arial"/>
          <w:kern w:val="0"/>
          <w:sz w:val="24"/>
        </w:rPr>
        <w:t xml:space="preserve"> </w:t>
      </w:r>
      <w:r>
        <w:rPr>
          <w:rFonts w:ascii="宋体" w:hAnsi="宋体" w:cs="Arial"/>
          <w:kern w:val="0"/>
          <w:sz w:val="24"/>
        </w:rPr>
        <w:t>调音台</w:t>
      </w:r>
    </w:p>
    <w:p>
      <w:pPr>
        <w:widowControl/>
        <w:overflowPunct w:val="0"/>
        <w:autoSpaceDE w:val="0"/>
        <w:autoSpaceDN w:val="0"/>
        <w:adjustRightInd w:val="0"/>
        <w:spacing w:line="360" w:lineRule="auto"/>
        <w:ind w:firstLine="420"/>
        <w:jc w:val="left"/>
        <w:textAlignment w:val="baseline"/>
        <w:rPr>
          <w:rFonts w:ascii="Arial" w:hAnsi="Arial" w:cs="Arial"/>
          <w:kern w:val="0"/>
          <w:sz w:val="24"/>
        </w:rPr>
      </w:pPr>
      <w:r>
        <w:rPr>
          <w:rFonts w:ascii="Arial" w:hAnsi="宋体" w:cs="Arial"/>
          <w:kern w:val="0"/>
          <w:sz w:val="24"/>
        </w:rPr>
        <w:t>调音台具有强大的处理能力和输入、输出矩阵，使用方便，能够满足演出的需要。</w:t>
      </w:r>
    </w:p>
    <w:p>
      <w:pPr>
        <w:widowControl/>
        <w:overflowPunct w:val="0"/>
        <w:autoSpaceDE w:val="0"/>
        <w:autoSpaceDN w:val="0"/>
        <w:adjustRightInd w:val="0"/>
        <w:spacing w:line="360" w:lineRule="auto"/>
        <w:jc w:val="left"/>
        <w:textAlignment w:val="baseline"/>
        <w:rPr>
          <w:rFonts w:ascii="宋体" w:hAnsi="宋体" w:cs="Arial"/>
          <w:kern w:val="0"/>
          <w:sz w:val="24"/>
        </w:rPr>
      </w:pPr>
      <w:r>
        <w:rPr>
          <w:rFonts w:hint="eastAsia" w:ascii="宋体" w:hAnsi="宋体" w:cs="Arial"/>
          <w:kern w:val="0"/>
          <w:sz w:val="24"/>
        </w:rPr>
        <w:t>2</w:t>
      </w:r>
      <w:r>
        <w:rPr>
          <w:rFonts w:ascii="宋体" w:hAnsi="宋体" w:cs="Arial"/>
          <w:kern w:val="0"/>
          <w:sz w:val="24"/>
        </w:rPr>
        <w:t>）</w:t>
      </w:r>
      <w:r>
        <w:rPr>
          <w:rFonts w:hint="eastAsia" w:ascii="宋体" w:hAnsi="宋体" w:cs="宋体"/>
          <w:kern w:val="0"/>
          <w:sz w:val="24"/>
        </w:rPr>
        <w:t>数字音频矩阵处理器</w:t>
      </w:r>
    </w:p>
    <w:p>
      <w:pPr>
        <w:widowControl/>
        <w:overflowPunct w:val="0"/>
        <w:autoSpaceDE w:val="0"/>
        <w:autoSpaceDN w:val="0"/>
        <w:adjustRightInd w:val="0"/>
        <w:spacing w:line="360" w:lineRule="auto"/>
        <w:ind w:firstLine="420"/>
        <w:jc w:val="left"/>
        <w:textAlignment w:val="baseline"/>
        <w:rPr>
          <w:rFonts w:ascii="宋体" w:hAnsi="宋体" w:cs="Arial"/>
          <w:kern w:val="0"/>
          <w:sz w:val="24"/>
        </w:rPr>
      </w:pPr>
      <w:r>
        <w:rPr>
          <w:rFonts w:ascii="宋体" w:hAnsi="宋体" w:cs="Arial"/>
          <w:kern w:val="0"/>
          <w:sz w:val="24"/>
        </w:rPr>
        <w:t>数字</w:t>
      </w:r>
      <w:r>
        <w:rPr>
          <w:rFonts w:hint="eastAsia" w:ascii="宋体" w:hAnsi="宋体" w:cs="Arial"/>
          <w:kern w:val="0"/>
          <w:sz w:val="24"/>
        </w:rPr>
        <w:t>音频</w:t>
      </w:r>
      <w:r>
        <w:rPr>
          <w:rFonts w:ascii="宋体" w:hAnsi="宋体" w:cs="Arial"/>
          <w:kern w:val="0"/>
          <w:sz w:val="24"/>
        </w:rPr>
        <w:t>处理器</w:t>
      </w:r>
      <w:r>
        <w:rPr>
          <w:rFonts w:hint="eastAsia" w:ascii="宋体" w:hAnsi="宋体" w:cs="Arial"/>
          <w:kern w:val="0"/>
          <w:sz w:val="24"/>
        </w:rPr>
        <w:t>需要不少于4</w:t>
      </w:r>
      <w:r>
        <w:rPr>
          <w:rFonts w:ascii="宋体" w:hAnsi="宋体" w:cs="Arial"/>
          <w:kern w:val="0"/>
          <w:sz w:val="24"/>
        </w:rPr>
        <w:t>路线路/话筒输入，不少于8路线路输出，</w:t>
      </w:r>
      <w:r>
        <w:rPr>
          <w:rFonts w:hint="eastAsia" w:ascii="宋体" w:hAnsi="宋体" w:cs="Arial"/>
          <w:kern w:val="0"/>
          <w:sz w:val="24"/>
        </w:rPr>
        <w:t>包含延时器、分频、限幅多种功能数码音频处理功能</w:t>
      </w:r>
      <w:r>
        <w:rPr>
          <w:rFonts w:ascii="宋体" w:hAnsi="宋体" w:cs="Arial"/>
          <w:kern w:val="0"/>
          <w:sz w:val="24"/>
        </w:rPr>
        <w:t>。</w:t>
      </w:r>
    </w:p>
    <w:p>
      <w:pPr>
        <w:keepNext/>
        <w:keepLines/>
        <w:spacing w:line="377" w:lineRule="auto"/>
        <w:outlineLvl w:val="3"/>
        <w:rPr>
          <w:rFonts w:ascii="新宋体" w:hAnsi="新宋体" w:eastAsia="新宋体"/>
          <w:b/>
          <w:bCs/>
          <w:sz w:val="24"/>
        </w:rPr>
      </w:pPr>
      <w:bookmarkStart w:id="17" w:name="_Toc191037544"/>
      <w:bookmarkStart w:id="18" w:name="_Toc479246371"/>
      <w:r>
        <w:rPr>
          <w:rFonts w:hint="eastAsia" w:ascii="新宋体" w:hAnsi="新宋体" w:eastAsia="新宋体"/>
          <w:b/>
          <w:bCs/>
          <w:sz w:val="24"/>
        </w:rPr>
        <w:t>5.3</w:t>
      </w:r>
      <w:r>
        <w:rPr>
          <w:rFonts w:ascii="新宋体" w:hAnsi="新宋体" w:eastAsia="新宋体"/>
          <w:b/>
          <w:bCs/>
          <w:sz w:val="24"/>
        </w:rPr>
        <w:t>录音重放设备</w:t>
      </w:r>
      <w:bookmarkEnd w:id="17"/>
      <w:bookmarkEnd w:id="18"/>
    </w:p>
    <w:p>
      <w:pPr>
        <w:spacing w:line="360" w:lineRule="auto"/>
        <w:ind w:firstLine="555"/>
        <w:rPr>
          <w:rFonts w:ascii="新宋体" w:hAnsi="新宋体" w:eastAsia="新宋体" w:cs="Arial"/>
          <w:sz w:val="24"/>
        </w:rPr>
      </w:pPr>
      <w:r>
        <w:rPr>
          <w:rFonts w:hint="eastAsia" w:ascii="新宋体" w:hAnsi="新宋体" w:eastAsia="新宋体" w:cs="Arial"/>
          <w:sz w:val="24"/>
        </w:rPr>
        <w:t>配笔记本电脑配专业声卡各1</w:t>
      </w:r>
      <w:r>
        <w:rPr>
          <w:rFonts w:ascii="新宋体" w:hAnsi="新宋体" w:eastAsia="新宋体" w:cs="Arial"/>
          <w:sz w:val="24"/>
        </w:rPr>
        <w:t>台</w:t>
      </w:r>
      <w:r>
        <w:rPr>
          <w:rFonts w:hint="eastAsia" w:ascii="新宋体" w:hAnsi="新宋体" w:eastAsia="新宋体" w:cs="Arial"/>
          <w:sz w:val="24"/>
        </w:rPr>
        <w:t>。</w:t>
      </w:r>
    </w:p>
    <w:p>
      <w:pPr>
        <w:keepNext/>
        <w:keepLines/>
        <w:spacing w:line="377" w:lineRule="auto"/>
        <w:outlineLvl w:val="3"/>
        <w:rPr>
          <w:rFonts w:ascii="新宋体" w:hAnsi="新宋体" w:eastAsia="新宋体"/>
          <w:b/>
          <w:bCs/>
          <w:sz w:val="24"/>
        </w:rPr>
      </w:pPr>
      <w:bookmarkStart w:id="19" w:name="_Toc191037547"/>
      <w:bookmarkStart w:id="20" w:name="_Toc479246372"/>
      <w:r>
        <w:rPr>
          <w:rFonts w:hint="eastAsia" w:ascii="新宋体" w:hAnsi="新宋体" w:eastAsia="新宋体"/>
          <w:b/>
          <w:bCs/>
          <w:sz w:val="24"/>
        </w:rPr>
        <w:t>5.4</w:t>
      </w:r>
      <w:r>
        <w:rPr>
          <w:rFonts w:ascii="新宋体" w:hAnsi="新宋体" w:eastAsia="新宋体"/>
          <w:b/>
          <w:bCs/>
          <w:sz w:val="24"/>
        </w:rPr>
        <w:t>话筒</w:t>
      </w:r>
      <w:bookmarkEnd w:id="19"/>
      <w:bookmarkEnd w:id="20"/>
    </w:p>
    <w:p>
      <w:pPr>
        <w:spacing w:line="360" w:lineRule="auto"/>
        <w:ind w:firstLine="555"/>
        <w:rPr>
          <w:rFonts w:ascii="新宋体" w:hAnsi="新宋体" w:eastAsia="新宋体" w:cs="Arial"/>
          <w:sz w:val="24"/>
        </w:rPr>
      </w:pPr>
      <w:r>
        <w:rPr>
          <w:rFonts w:ascii="新宋体" w:hAnsi="新宋体" w:eastAsia="新宋体" w:cs="Arial"/>
          <w:sz w:val="24"/>
        </w:rPr>
        <w:t>（1）有线话筒</w:t>
      </w:r>
    </w:p>
    <w:p>
      <w:pPr>
        <w:spacing w:line="360" w:lineRule="auto"/>
        <w:ind w:firstLine="555"/>
        <w:rPr>
          <w:rFonts w:ascii="新宋体" w:hAnsi="新宋体" w:eastAsia="新宋体" w:cs="Arial"/>
          <w:sz w:val="24"/>
        </w:rPr>
      </w:pPr>
      <w:r>
        <w:rPr>
          <w:rFonts w:hint="eastAsia" w:ascii="新宋体" w:hAnsi="新宋体" w:eastAsia="新宋体" w:cs="Arial"/>
          <w:sz w:val="24"/>
        </w:rPr>
        <w:t>音响系统的传声器部分配电容话筒12支，测试话筒2支</w:t>
      </w:r>
      <w:r>
        <w:rPr>
          <w:rFonts w:ascii="新宋体" w:hAnsi="新宋体" w:eastAsia="新宋体" w:cs="Arial"/>
          <w:sz w:val="24"/>
        </w:rPr>
        <w:t>。</w:t>
      </w:r>
    </w:p>
    <w:p>
      <w:pPr>
        <w:spacing w:line="360" w:lineRule="auto"/>
        <w:ind w:firstLine="555"/>
        <w:rPr>
          <w:rFonts w:ascii="新宋体" w:hAnsi="新宋体" w:eastAsia="新宋体" w:cs="Arial"/>
          <w:sz w:val="24"/>
        </w:rPr>
      </w:pPr>
      <w:r>
        <w:rPr>
          <w:rFonts w:ascii="新宋体" w:hAnsi="新宋体" w:eastAsia="新宋体" w:cs="Arial"/>
          <w:sz w:val="24"/>
        </w:rPr>
        <w:t>（2）无线话筒</w:t>
      </w:r>
    </w:p>
    <w:p>
      <w:pPr>
        <w:spacing w:line="360" w:lineRule="auto"/>
        <w:ind w:firstLine="555"/>
        <w:rPr>
          <w:rFonts w:ascii="新宋体" w:hAnsi="新宋体" w:eastAsia="新宋体" w:cs="Arial"/>
          <w:sz w:val="24"/>
        </w:rPr>
      </w:pPr>
      <w:r>
        <w:rPr>
          <w:rFonts w:ascii="新宋体" w:hAnsi="新宋体" w:eastAsia="新宋体" w:cs="Arial"/>
          <w:sz w:val="24"/>
        </w:rPr>
        <w:t>无线话筒要求配置专业话筒，并配有天线接收及放大分配系统。其中手持无线话筒</w:t>
      </w:r>
      <w:r>
        <w:rPr>
          <w:rFonts w:hint="eastAsia" w:ascii="新宋体" w:hAnsi="新宋体" w:eastAsia="新宋体" w:cs="Arial"/>
          <w:sz w:val="24"/>
        </w:rPr>
        <w:t>2</w:t>
      </w:r>
      <w:r>
        <w:rPr>
          <w:rFonts w:ascii="新宋体" w:hAnsi="新宋体" w:eastAsia="新宋体" w:cs="Arial"/>
          <w:sz w:val="24"/>
        </w:rPr>
        <w:t>套，腰包领夹无线话筒</w:t>
      </w:r>
      <w:r>
        <w:rPr>
          <w:rFonts w:hint="eastAsia" w:ascii="新宋体" w:hAnsi="新宋体" w:eastAsia="新宋体" w:cs="Arial"/>
          <w:sz w:val="24"/>
        </w:rPr>
        <w:t>10</w:t>
      </w:r>
      <w:r>
        <w:rPr>
          <w:rFonts w:ascii="新宋体" w:hAnsi="新宋体" w:eastAsia="新宋体" w:cs="Arial"/>
          <w:sz w:val="24"/>
        </w:rPr>
        <w:t>通道，头戴话筒</w:t>
      </w:r>
      <w:r>
        <w:rPr>
          <w:rFonts w:hint="eastAsia" w:ascii="新宋体" w:hAnsi="新宋体" w:eastAsia="新宋体" w:cs="Arial"/>
          <w:sz w:val="24"/>
        </w:rPr>
        <w:t>头14</w:t>
      </w:r>
      <w:r>
        <w:rPr>
          <w:rFonts w:ascii="新宋体" w:hAnsi="新宋体" w:eastAsia="新宋体" w:cs="Arial"/>
          <w:sz w:val="24"/>
        </w:rPr>
        <w:t>套，</w:t>
      </w:r>
      <w:r>
        <w:rPr>
          <w:rFonts w:hint="eastAsia" w:ascii="新宋体" w:hAnsi="新宋体" w:eastAsia="新宋体" w:cs="Arial"/>
          <w:sz w:val="24"/>
        </w:rPr>
        <w:t>可以和</w:t>
      </w:r>
      <w:r>
        <w:rPr>
          <w:rFonts w:ascii="新宋体" w:hAnsi="新宋体" w:eastAsia="新宋体" w:cs="Arial"/>
          <w:sz w:val="24"/>
        </w:rPr>
        <w:t>领夹型话筒</w:t>
      </w:r>
      <w:r>
        <w:rPr>
          <w:rFonts w:hint="eastAsia" w:ascii="新宋体" w:hAnsi="新宋体" w:eastAsia="新宋体" w:cs="Arial"/>
          <w:sz w:val="24"/>
        </w:rPr>
        <w:t>头互换</w:t>
      </w:r>
      <w:r>
        <w:rPr>
          <w:rFonts w:ascii="新宋体" w:hAnsi="新宋体" w:eastAsia="新宋体" w:cs="Arial"/>
          <w:sz w:val="24"/>
        </w:rPr>
        <w:t>。</w:t>
      </w:r>
    </w:p>
    <w:p>
      <w:pPr>
        <w:pStyle w:val="3"/>
        <w:spacing w:line="240" w:lineRule="auto"/>
        <w:rPr>
          <w:rFonts w:asciiTheme="minorEastAsia" w:hAnsiTheme="minorEastAsia" w:eastAsiaTheme="minorEastAsia"/>
          <w:b/>
          <w:sz w:val="24"/>
        </w:rPr>
      </w:pPr>
      <w:r>
        <w:rPr>
          <w:rFonts w:hint="eastAsia" w:asciiTheme="minorEastAsia" w:hAnsiTheme="minorEastAsia" w:eastAsiaTheme="minorEastAsia"/>
          <w:b/>
          <w:sz w:val="24"/>
        </w:rPr>
        <w:t>三、舞台灯光系统</w:t>
      </w:r>
    </w:p>
    <w:p>
      <w:pPr>
        <w:keepNext/>
        <w:keepLines/>
        <w:spacing w:before="120" w:line="415" w:lineRule="auto"/>
        <w:ind w:left="720" w:hanging="720"/>
        <w:outlineLvl w:val="2"/>
        <w:rPr>
          <w:rFonts w:ascii="宋体" w:hAnsi="宋体"/>
          <w:b/>
          <w:bCs/>
          <w:sz w:val="24"/>
          <w:szCs w:val="32"/>
        </w:rPr>
      </w:pPr>
      <w:r>
        <w:rPr>
          <w:rFonts w:hint="eastAsia" w:ascii="宋体" w:hAnsi="宋体"/>
          <w:b/>
          <w:bCs/>
          <w:sz w:val="24"/>
          <w:szCs w:val="32"/>
        </w:rPr>
        <w:t>1.灯光</w:t>
      </w:r>
      <w:r>
        <w:rPr>
          <w:rFonts w:ascii="宋体" w:hAnsi="宋体"/>
          <w:b/>
          <w:bCs/>
          <w:sz w:val="24"/>
          <w:szCs w:val="32"/>
        </w:rPr>
        <w:t>系统功能及要求</w:t>
      </w:r>
    </w:p>
    <w:p>
      <w:pPr>
        <w:numPr>
          <w:ilvl w:val="2"/>
          <w:numId w:val="4"/>
        </w:numPr>
        <w:spacing w:line="360" w:lineRule="auto"/>
        <w:ind w:left="817" w:hanging="397"/>
        <w:rPr>
          <w:rFonts w:ascii="新宋体" w:hAnsi="新宋体" w:eastAsia="新宋体"/>
          <w:sz w:val="24"/>
        </w:rPr>
      </w:pPr>
      <w:r>
        <w:rPr>
          <w:rFonts w:hint="eastAsia" w:ascii="新宋体" w:hAnsi="新宋体" w:eastAsia="新宋体"/>
          <w:sz w:val="24"/>
        </w:rPr>
        <w:t>舞台灯光系统以</w:t>
      </w:r>
      <w:r>
        <w:rPr>
          <w:rFonts w:hint="eastAsia" w:ascii="新宋体" w:hAnsi="新宋体" w:eastAsia="新宋体"/>
          <w:kern w:val="0"/>
          <w:sz w:val="24"/>
        </w:rPr>
        <w:t>满足各类中型歌舞剧、话剧、戏剧、文艺、会议等演出要求；舞台灯光系统还需满足电视转播和电视节目制作的要求</w:t>
      </w:r>
      <w:r>
        <w:rPr>
          <w:rFonts w:hint="eastAsia" w:ascii="新宋体" w:hAnsi="新宋体" w:eastAsia="新宋体"/>
          <w:sz w:val="24"/>
        </w:rPr>
        <w:t>。</w:t>
      </w:r>
    </w:p>
    <w:p>
      <w:pPr>
        <w:numPr>
          <w:ilvl w:val="2"/>
          <w:numId w:val="4"/>
        </w:numPr>
        <w:spacing w:line="360" w:lineRule="auto"/>
        <w:ind w:left="817" w:hanging="397"/>
        <w:rPr>
          <w:rFonts w:ascii="新宋体" w:hAnsi="新宋体" w:eastAsia="新宋体"/>
          <w:sz w:val="24"/>
        </w:rPr>
      </w:pPr>
      <w:r>
        <w:rPr>
          <w:rFonts w:hint="eastAsia" w:ascii="新宋体" w:hAnsi="新宋体" w:eastAsia="新宋体"/>
          <w:sz w:val="24"/>
        </w:rPr>
        <w:t>灯光系统能方便灯光设计和灯光操作人员的管理和使用。</w:t>
      </w:r>
    </w:p>
    <w:p>
      <w:pPr>
        <w:numPr>
          <w:ilvl w:val="2"/>
          <w:numId w:val="4"/>
        </w:numPr>
        <w:spacing w:line="360" w:lineRule="auto"/>
        <w:ind w:left="817" w:hanging="397"/>
        <w:rPr>
          <w:rFonts w:ascii="新宋体" w:hAnsi="新宋体" w:eastAsia="新宋体"/>
          <w:sz w:val="24"/>
        </w:rPr>
      </w:pPr>
      <w:r>
        <w:rPr>
          <w:rFonts w:hint="eastAsia" w:ascii="新宋体" w:hAnsi="新宋体" w:eastAsia="新宋体"/>
          <w:sz w:val="24"/>
        </w:rPr>
        <w:t>灯光网络控制系统采用DMX512信号网络控制，网络中要求具备DMX控制点。</w:t>
      </w:r>
    </w:p>
    <w:p>
      <w:pPr>
        <w:numPr>
          <w:ilvl w:val="2"/>
          <w:numId w:val="4"/>
        </w:numPr>
        <w:spacing w:line="360" w:lineRule="auto"/>
        <w:ind w:left="817" w:hanging="397"/>
        <w:rPr>
          <w:rFonts w:ascii="新宋体" w:hAnsi="新宋体" w:eastAsia="新宋体"/>
          <w:sz w:val="24"/>
        </w:rPr>
      </w:pPr>
      <w:r>
        <w:rPr>
          <w:rFonts w:hint="eastAsia" w:ascii="新宋体" w:hAnsi="新宋体" w:eastAsia="新宋体"/>
          <w:sz w:val="24"/>
        </w:rPr>
        <w:t>所有设备噪声必须符合舞台关于背景噪声的技术要求，空场时所有设备开启时的噪声及外界环境噪声的干扰不高于NR25。效果器材的噪声不能大于30dB（1米处为测试点）。</w:t>
      </w:r>
    </w:p>
    <w:p>
      <w:pPr>
        <w:numPr>
          <w:ilvl w:val="2"/>
          <w:numId w:val="4"/>
        </w:numPr>
        <w:spacing w:line="360" w:lineRule="auto"/>
        <w:ind w:left="817" w:hanging="397"/>
        <w:rPr>
          <w:rFonts w:ascii="新宋体" w:hAnsi="新宋体" w:eastAsia="新宋体"/>
          <w:sz w:val="24"/>
        </w:rPr>
      </w:pPr>
      <w:r>
        <w:rPr>
          <w:rFonts w:hint="eastAsia" w:ascii="新宋体" w:hAnsi="新宋体" w:eastAsia="新宋体" w:cs="宋体"/>
          <w:kern w:val="0"/>
          <w:sz w:val="24"/>
        </w:rPr>
        <w:t>舞台灯光系统的灯具采购安装调试完成，且与原系统无缝对接</w:t>
      </w:r>
      <w:r>
        <w:rPr>
          <w:rFonts w:hint="eastAsia" w:ascii="新宋体" w:hAnsi="新宋体" w:eastAsia="新宋体"/>
          <w:sz w:val="24"/>
        </w:rPr>
        <w:t>。</w:t>
      </w:r>
    </w:p>
    <w:p>
      <w:pPr>
        <w:keepNext/>
        <w:keepLines/>
        <w:spacing w:before="120" w:line="415" w:lineRule="auto"/>
        <w:ind w:left="720" w:hanging="720"/>
        <w:outlineLvl w:val="2"/>
        <w:rPr>
          <w:rFonts w:ascii="宋体" w:hAnsi="宋体"/>
          <w:b/>
          <w:bCs/>
          <w:sz w:val="24"/>
          <w:szCs w:val="32"/>
        </w:rPr>
      </w:pPr>
      <w:r>
        <w:rPr>
          <w:rFonts w:hint="eastAsia" w:ascii="宋体" w:hAnsi="宋体"/>
          <w:b/>
          <w:bCs/>
          <w:sz w:val="24"/>
          <w:szCs w:val="32"/>
        </w:rPr>
        <w:t>2.灯光系统施工依据</w:t>
      </w:r>
    </w:p>
    <w:p>
      <w:pPr>
        <w:numPr>
          <w:ilvl w:val="0"/>
          <w:numId w:val="5"/>
        </w:numPr>
        <w:spacing w:line="360" w:lineRule="auto"/>
        <w:rPr>
          <w:sz w:val="24"/>
        </w:rPr>
      </w:pPr>
      <w:r>
        <w:rPr>
          <w:sz w:val="24"/>
        </w:rPr>
        <w:t>JGJ57-2016</w:t>
      </w:r>
      <w:r>
        <w:rPr>
          <w:rFonts w:hint="eastAsia"/>
          <w:sz w:val="24"/>
        </w:rPr>
        <w:t>《剧场建筑设计规范》</w:t>
      </w:r>
    </w:p>
    <w:p>
      <w:pPr>
        <w:numPr>
          <w:ilvl w:val="0"/>
          <w:numId w:val="5"/>
        </w:numPr>
        <w:spacing w:line="360" w:lineRule="auto"/>
        <w:rPr>
          <w:sz w:val="24"/>
        </w:rPr>
      </w:pPr>
      <w:r>
        <w:rPr>
          <w:rFonts w:hint="eastAsia"/>
          <w:sz w:val="24"/>
        </w:rPr>
        <w:t>JGJ/16-2008《民用建筑电气设计规范》</w:t>
      </w:r>
    </w:p>
    <w:p>
      <w:pPr>
        <w:numPr>
          <w:ilvl w:val="0"/>
          <w:numId w:val="5"/>
        </w:numPr>
        <w:spacing w:line="360" w:lineRule="auto"/>
        <w:rPr>
          <w:sz w:val="24"/>
        </w:rPr>
      </w:pPr>
      <w:r>
        <w:rPr>
          <w:sz w:val="24"/>
        </w:rPr>
        <w:t>GB50016—20</w:t>
      </w:r>
      <w:r>
        <w:rPr>
          <w:rFonts w:hint="eastAsia"/>
          <w:sz w:val="24"/>
        </w:rPr>
        <w:t>14</w:t>
      </w:r>
      <w:r>
        <w:rPr>
          <w:sz w:val="24"/>
        </w:rPr>
        <w:t>《建筑设计防火规范》</w:t>
      </w:r>
    </w:p>
    <w:p>
      <w:pPr>
        <w:numPr>
          <w:ilvl w:val="0"/>
          <w:numId w:val="5"/>
        </w:numPr>
        <w:spacing w:line="360" w:lineRule="auto"/>
        <w:rPr>
          <w:sz w:val="24"/>
        </w:rPr>
      </w:pPr>
      <w:r>
        <w:rPr>
          <w:sz w:val="24"/>
        </w:rPr>
        <w:t>GB50303—20</w:t>
      </w:r>
      <w:r>
        <w:rPr>
          <w:rFonts w:hint="eastAsia"/>
          <w:sz w:val="24"/>
        </w:rPr>
        <w:t>15</w:t>
      </w:r>
      <w:r>
        <w:rPr>
          <w:sz w:val="24"/>
        </w:rPr>
        <w:t>《建筑电气工程施工质量验收规范》</w:t>
      </w:r>
    </w:p>
    <w:p>
      <w:pPr>
        <w:numPr>
          <w:ilvl w:val="0"/>
          <w:numId w:val="5"/>
        </w:numPr>
        <w:spacing w:line="360" w:lineRule="auto"/>
        <w:rPr>
          <w:sz w:val="24"/>
        </w:rPr>
      </w:pPr>
      <w:r>
        <w:rPr>
          <w:sz w:val="24"/>
        </w:rPr>
        <w:t>WH-0202-1995</w:t>
      </w:r>
      <w:r>
        <w:rPr>
          <w:rFonts w:hint="eastAsia"/>
          <w:sz w:val="24"/>
        </w:rPr>
        <w:t>《舞台灯光图符代号及制图规则》</w:t>
      </w:r>
    </w:p>
    <w:p>
      <w:pPr>
        <w:numPr>
          <w:ilvl w:val="0"/>
          <w:numId w:val="5"/>
        </w:numPr>
        <w:spacing w:line="360" w:lineRule="auto"/>
        <w:rPr>
          <w:sz w:val="24"/>
        </w:rPr>
      </w:pPr>
      <w:r>
        <w:rPr>
          <w:sz w:val="24"/>
        </w:rPr>
        <w:t>GB17743-2007</w:t>
      </w:r>
      <w:r>
        <w:rPr>
          <w:rFonts w:hint="eastAsia"/>
          <w:sz w:val="24"/>
        </w:rPr>
        <w:t>《电子调光设备无线电骚扰特性限值及测量方法》</w:t>
      </w:r>
    </w:p>
    <w:p>
      <w:pPr>
        <w:numPr>
          <w:ilvl w:val="0"/>
          <w:numId w:val="5"/>
        </w:numPr>
        <w:spacing w:line="360" w:lineRule="auto"/>
        <w:rPr>
          <w:sz w:val="24"/>
        </w:rPr>
      </w:pPr>
      <w:r>
        <w:rPr>
          <w:sz w:val="24"/>
        </w:rPr>
        <w:t>GB/T 7002-2008</w:t>
      </w:r>
      <w:r>
        <w:rPr>
          <w:rFonts w:hint="eastAsia"/>
          <w:sz w:val="24"/>
        </w:rPr>
        <w:t>《投光照明灯具光度测试》</w:t>
      </w:r>
    </w:p>
    <w:p>
      <w:pPr>
        <w:numPr>
          <w:ilvl w:val="0"/>
          <w:numId w:val="5"/>
        </w:numPr>
        <w:spacing w:line="360" w:lineRule="auto"/>
        <w:rPr>
          <w:sz w:val="24"/>
        </w:rPr>
      </w:pPr>
      <w:r>
        <w:rPr>
          <w:rFonts w:hint="eastAsia"/>
          <w:sz w:val="24"/>
        </w:rPr>
        <w:t>《灯具第</w:t>
      </w:r>
      <w:r>
        <w:rPr>
          <w:sz w:val="24"/>
        </w:rPr>
        <w:t>2-17</w:t>
      </w:r>
      <w:r>
        <w:rPr>
          <w:rFonts w:hint="eastAsia"/>
          <w:sz w:val="24"/>
        </w:rPr>
        <w:t>部分</w:t>
      </w:r>
      <w:r>
        <w:rPr>
          <w:sz w:val="24"/>
        </w:rPr>
        <w:t>:</w:t>
      </w:r>
      <w:r>
        <w:rPr>
          <w:rFonts w:hint="eastAsia"/>
          <w:sz w:val="24"/>
        </w:rPr>
        <w:t>特殊要求舞台灯光、电视、电影及摄影场所</w:t>
      </w:r>
      <w:r>
        <w:rPr>
          <w:sz w:val="24"/>
        </w:rPr>
        <w:t>(</w:t>
      </w:r>
      <w:r>
        <w:rPr>
          <w:rFonts w:hint="eastAsia"/>
          <w:sz w:val="24"/>
        </w:rPr>
        <w:t>室内外</w:t>
      </w:r>
      <w:r>
        <w:rPr>
          <w:sz w:val="24"/>
        </w:rPr>
        <w:t>)</w:t>
      </w:r>
      <w:r>
        <w:rPr>
          <w:rFonts w:hint="eastAsia"/>
          <w:sz w:val="24"/>
        </w:rPr>
        <w:t>用灯具》</w:t>
      </w:r>
      <w:r>
        <w:rPr>
          <w:sz w:val="24"/>
        </w:rPr>
        <w:t>GB 7000.217-2008</w:t>
      </w:r>
    </w:p>
    <w:p>
      <w:pPr>
        <w:spacing w:line="360" w:lineRule="auto"/>
        <w:rPr>
          <w:sz w:val="24"/>
        </w:rPr>
      </w:pPr>
    </w:p>
    <w:p>
      <w:pPr>
        <w:spacing w:line="360" w:lineRule="auto"/>
        <w:rPr>
          <w:sz w:val="24"/>
        </w:rPr>
      </w:pPr>
    </w:p>
    <w:p>
      <w:pPr>
        <w:pStyle w:val="3"/>
        <w:spacing w:line="240" w:lineRule="auto"/>
        <w:rPr>
          <w:rFonts w:asciiTheme="minorEastAsia" w:hAnsiTheme="minorEastAsia" w:eastAsiaTheme="minorEastAsia"/>
          <w:b/>
          <w:sz w:val="24"/>
        </w:rPr>
      </w:pPr>
      <w:r>
        <w:rPr>
          <w:rFonts w:hint="eastAsia" w:asciiTheme="minorEastAsia" w:hAnsiTheme="minorEastAsia" w:eastAsiaTheme="minorEastAsia"/>
          <w:b/>
          <w:sz w:val="24"/>
        </w:rPr>
        <w:t>三、舞台音响灯光系统技术要求及采购清单：</w:t>
      </w:r>
    </w:p>
    <w:tbl>
      <w:tblPr>
        <w:tblStyle w:val="7"/>
        <w:tblW w:w="9041" w:type="dxa"/>
        <w:jc w:val="center"/>
        <w:tblInd w:w="-1136" w:type="dxa"/>
        <w:tblLayout w:type="fixed"/>
        <w:tblCellMar>
          <w:top w:w="0" w:type="dxa"/>
          <w:left w:w="108" w:type="dxa"/>
          <w:bottom w:w="0" w:type="dxa"/>
          <w:right w:w="108" w:type="dxa"/>
        </w:tblCellMar>
      </w:tblPr>
      <w:tblGrid>
        <w:gridCol w:w="675"/>
        <w:gridCol w:w="1041"/>
        <w:gridCol w:w="4322"/>
        <w:gridCol w:w="567"/>
        <w:gridCol w:w="520"/>
        <w:gridCol w:w="1916"/>
      </w:tblGrid>
      <w:tr>
        <w:tblPrEx>
          <w:tblLayout w:type="fixed"/>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CCFFCC"/>
            <w:noWrap/>
            <w:vAlign w:val="bottom"/>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序号</w:t>
            </w:r>
          </w:p>
        </w:tc>
        <w:tc>
          <w:tcPr>
            <w:tcW w:w="1041" w:type="dxa"/>
            <w:tcBorders>
              <w:top w:val="single" w:color="auto" w:sz="4" w:space="0"/>
              <w:left w:val="nil"/>
              <w:bottom w:val="single" w:color="auto" w:sz="4" w:space="0"/>
              <w:right w:val="single" w:color="auto" w:sz="4" w:space="0"/>
            </w:tcBorders>
            <w:shd w:val="clear" w:color="000000" w:fill="CCFFCC"/>
            <w:noWrap/>
            <w:vAlign w:val="bottom"/>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名称</w:t>
            </w:r>
          </w:p>
        </w:tc>
        <w:tc>
          <w:tcPr>
            <w:tcW w:w="4322" w:type="dxa"/>
            <w:tcBorders>
              <w:top w:val="single" w:color="auto" w:sz="4" w:space="0"/>
              <w:left w:val="nil"/>
              <w:bottom w:val="single" w:color="auto" w:sz="4" w:space="0"/>
              <w:right w:val="single" w:color="auto" w:sz="4" w:space="0"/>
            </w:tcBorders>
            <w:shd w:val="clear" w:color="000000" w:fill="CCFFCC"/>
            <w:noWrap/>
            <w:vAlign w:val="bottom"/>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技术参数</w:t>
            </w:r>
          </w:p>
        </w:tc>
        <w:tc>
          <w:tcPr>
            <w:tcW w:w="567" w:type="dxa"/>
            <w:tcBorders>
              <w:top w:val="single" w:color="auto" w:sz="4" w:space="0"/>
              <w:left w:val="nil"/>
              <w:bottom w:val="single" w:color="auto" w:sz="4" w:space="0"/>
              <w:right w:val="single" w:color="auto" w:sz="4" w:space="0"/>
            </w:tcBorders>
            <w:shd w:val="clear" w:color="000000" w:fill="CCFFCC"/>
            <w:noWrap/>
            <w:vAlign w:val="bottom"/>
          </w:tcPr>
          <w:p>
            <w:pPr>
              <w:widowControl/>
              <w:jc w:val="left"/>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单位</w:t>
            </w:r>
          </w:p>
        </w:tc>
        <w:tc>
          <w:tcPr>
            <w:tcW w:w="520" w:type="dxa"/>
            <w:tcBorders>
              <w:top w:val="single" w:color="auto" w:sz="4" w:space="0"/>
              <w:left w:val="nil"/>
              <w:bottom w:val="single" w:color="auto" w:sz="4" w:space="0"/>
              <w:right w:val="single" w:color="auto" w:sz="4" w:space="0"/>
            </w:tcBorders>
            <w:shd w:val="clear" w:color="000000" w:fill="CCFFCC"/>
            <w:noWrap/>
            <w:vAlign w:val="bottom"/>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数量</w:t>
            </w:r>
          </w:p>
        </w:tc>
        <w:tc>
          <w:tcPr>
            <w:tcW w:w="1916" w:type="dxa"/>
            <w:tcBorders>
              <w:top w:val="single" w:color="auto" w:sz="4" w:space="0"/>
              <w:left w:val="nil"/>
              <w:bottom w:val="single" w:color="auto" w:sz="4" w:space="0"/>
              <w:right w:val="single" w:color="auto" w:sz="4" w:space="0"/>
            </w:tcBorders>
            <w:shd w:val="clear" w:color="000000" w:fill="CCFFCC"/>
            <w:noWrap/>
            <w:vAlign w:val="bottom"/>
          </w:tcPr>
          <w:p>
            <w:pPr>
              <w:widowControl/>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品牌/型号</w:t>
            </w:r>
          </w:p>
        </w:tc>
      </w:tr>
      <w:tr>
        <w:tblPrEx>
          <w:tblLayout w:type="fixed"/>
          <w:tblCellMar>
            <w:top w:w="0" w:type="dxa"/>
            <w:left w:w="108" w:type="dxa"/>
            <w:bottom w:w="0" w:type="dxa"/>
            <w:right w:w="108" w:type="dxa"/>
          </w:tblCellMar>
        </w:tblPrEx>
        <w:trPr>
          <w:trHeight w:val="411" w:hRule="atLeast"/>
          <w:jc w:val="center"/>
        </w:trPr>
        <w:tc>
          <w:tcPr>
            <w:tcW w:w="7125"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一、舞台专业音响部分</w:t>
            </w:r>
          </w:p>
        </w:tc>
        <w:tc>
          <w:tcPr>
            <w:tcW w:w="1916" w:type="dxa"/>
            <w:tcBorders>
              <w:top w:val="nil"/>
              <w:left w:val="nil"/>
              <w:bottom w:val="single" w:color="auto" w:sz="4" w:space="0"/>
              <w:right w:val="single" w:color="auto" w:sz="4" w:space="0"/>
            </w:tcBorders>
            <w:shd w:val="clear" w:color="auto" w:fill="auto"/>
            <w:noWrap/>
            <w:vAlign w:val="bottom"/>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597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数字调音台</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不少于32路话筒/线路输入；</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不少于24个电动推子；</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不少于3路立体声输入；</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不少于24路混音输出；</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不少于4个立体声编组；</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不少于2路立体声矩阵输出；</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不少于4个DCA编组；</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不少于4个静音编组；</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不少于4个效果引擎；</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不少于4个效果发送/返回；</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具有 USB音频接口；</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具有AES数字输出；</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具有前置放大器；</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具 远程音频端口；</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所有输入上有微调、极性、高通滤波器、门限、断电插入、均衡、压缩器和延时；</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所有混音输出上有断点插入、均衡、1/3倍频程图示均衡、压缩器和延时；</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内置信号发生器；</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可用网线连接数字舞台接口箱</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MIDAS 、ALLEN&amp;HEATH、Soundcraft</w:t>
            </w:r>
          </w:p>
        </w:tc>
      </w:tr>
      <w:tr>
        <w:tblPrEx>
          <w:tblLayout w:type="fixed"/>
          <w:tblCellMar>
            <w:top w:w="0" w:type="dxa"/>
            <w:left w:w="108" w:type="dxa"/>
            <w:bottom w:w="0" w:type="dxa"/>
            <w:right w:w="108" w:type="dxa"/>
          </w:tblCellMar>
        </w:tblPrEx>
        <w:trPr>
          <w:trHeight w:val="147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数字舞台接口箱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16个带话筒前置放大器输入通道</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8个XLR输出通道</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CAT5电缆的传输距离最高可达100m</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MIDAS 、ALLEN&amp;HEATH、Soundcraft</w:t>
            </w:r>
          </w:p>
        </w:tc>
      </w:tr>
      <w:tr>
        <w:tblPrEx>
          <w:tblLayout w:type="fixed"/>
          <w:tblCellMar>
            <w:top w:w="0" w:type="dxa"/>
            <w:left w:w="108" w:type="dxa"/>
            <w:bottom w:w="0" w:type="dxa"/>
            <w:right w:w="108" w:type="dxa"/>
          </w:tblCellMar>
        </w:tblPrEx>
        <w:trPr>
          <w:trHeight w:val="102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音频处理器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192KHz采样频率，32-bit DSP处理器，24-bit A/D及D/A转换；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不少于4进8出，输入段4路15段参量均衡；输岀8路10段参量均衡；延时器、分频、限幅多种功能数码音频处理器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OLSON、QSC 、Symetrix </w:t>
            </w:r>
          </w:p>
        </w:tc>
      </w:tr>
      <w:tr>
        <w:tblPrEx>
          <w:tblLayout w:type="fixed"/>
          <w:tblCellMar>
            <w:top w:w="0" w:type="dxa"/>
            <w:left w:w="108" w:type="dxa"/>
            <w:bottom w:w="0" w:type="dxa"/>
            <w:right w:w="108" w:type="dxa"/>
          </w:tblCellMar>
        </w:tblPrEx>
        <w:trPr>
          <w:trHeight w:val="217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左右声道远场扬声器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ascii="宋体" w:hAnsi="宋体"/>
                <w:color w:val="000000"/>
                <w:sz w:val="24"/>
              </w:rPr>
              <w:t>★</w:t>
            </w:r>
            <w:r>
              <w:rPr>
                <w:rFonts w:hint="eastAsia" w:cs="宋体" w:asciiTheme="minorEastAsia" w:hAnsiTheme="minorEastAsia" w:eastAsiaTheme="minorEastAsia"/>
                <w:kern w:val="0"/>
                <w:szCs w:val="21"/>
              </w:rPr>
              <w:t>采用非同轴号角式全频设计；</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单只最大声压级≥134dB；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频率响应不劣于：85Hz～16kHz；</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整组覆盖角度（扬声器角度之和）：水平：90°±10°，垂直50°±10°（可根据音箱的角度进行组合，覆盖角度必须满足要求）；</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★整组低频单元不小于于12"或双10"；</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含扬声器安装吊挂件；                                       ★音箱的品牌、型号、参数必须在“EASE”专业声学设计软件库中能查询到。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KVII 、D&amp;B 、L-ACOUSTICS </w:t>
            </w:r>
          </w:p>
        </w:tc>
      </w:tr>
      <w:tr>
        <w:tblPrEx>
          <w:tblLayout w:type="fixed"/>
          <w:tblCellMar>
            <w:top w:w="0" w:type="dxa"/>
            <w:left w:w="108" w:type="dxa"/>
            <w:bottom w:w="0" w:type="dxa"/>
            <w:right w:w="108" w:type="dxa"/>
          </w:tblCellMar>
        </w:tblPrEx>
        <w:trPr>
          <w:trHeight w:val="292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左右声道远场扬声器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ascii="宋体" w:hAnsi="宋体"/>
                <w:color w:val="000000"/>
                <w:sz w:val="24"/>
              </w:rPr>
              <w:t>★</w:t>
            </w:r>
            <w:r>
              <w:rPr>
                <w:rFonts w:hint="eastAsia" w:cs="宋体" w:asciiTheme="minorEastAsia" w:hAnsiTheme="minorEastAsia" w:eastAsiaTheme="minorEastAsia"/>
                <w:kern w:val="0"/>
                <w:szCs w:val="21"/>
              </w:rPr>
              <w:t>采用非同轴号角式全频设计；</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单只最大声压级≥134dB；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频率响应不劣于：85Hz～16kHz；</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整组覆盖角度（扬声器角度之和）：水平：90°±10°，垂直50°±10°（可根据音箱的角度进行组合，覆盖角度必须满足要求）；</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整组低频单元不小于于12"或双10"；</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含扬声器安装吊挂件；                                       ★音箱的品牌、型号、参数必须在“EASE”专业声学设计软件库中能查询到。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组</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KVII 、D&amp;B 、L-ACOUSTICS </w:t>
            </w:r>
          </w:p>
        </w:tc>
      </w:tr>
      <w:tr>
        <w:tblPrEx>
          <w:tblLayout w:type="fixed"/>
          <w:tblCellMar>
            <w:top w:w="0" w:type="dxa"/>
            <w:left w:w="108" w:type="dxa"/>
            <w:bottom w:w="0" w:type="dxa"/>
            <w:right w:w="108" w:type="dxa"/>
          </w:tblCellMar>
        </w:tblPrEx>
        <w:trPr>
          <w:trHeight w:val="1371"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次低频扬声器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ascii="宋体" w:hAnsi="宋体"/>
                <w:color w:val="000000"/>
                <w:sz w:val="24"/>
              </w:rPr>
              <w:t>★</w:t>
            </w:r>
            <w:r>
              <w:rPr>
                <w:rFonts w:hint="eastAsia" w:cs="宋体" w:asciiTheme="minorEastAsia" w:hAnsiTheme="minorEastAsia" w:eastAsiaTheme="minorEastAsia"/>
                <w:kern w:val="0"/>
                <w:szCs w:val="21"/>
              </w:rPr>
              <w:t>低频截止频率不大于40Hz；</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低音单元不小于15"；</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最大声压级：不小于130dB；</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KVII 、D&amp;B 、L-ACOUSTICS </w:t>
            </w:r>
          </w:p>
        </w:tc>
      </w:tr>
      <w:tr>
        <w:tblPrEx>
          <w:tblLayout w:type="fixed"/>
          <w:tblCellMar>
            <w:top w:w="0" w:type="dxa"/>
            <w:left w:w="108" w:type="dxa"/>
            <w:bottom w:w="0" w:type="dxa"/>
            <w:right w:w="108" w:type="dxa"/>
          </w:tblCellMar>
        </w:tblPrEx>
        <w:trPr>
          <w:trHeight w:val="113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超低音扬声器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ascii="宋体" w:hAnsi="宋体"/>
                <w:color w:val="000000"/>
                <w:sz w:val="24"/>
              </w:rPr>
              <w:t>★</w:t>
            </w:r>
            <w:r>
              <w:rPr>
                <w:rFonts w:hint="eastAsia" w:cs="宋体" w:asciiTheme="minorEastAsia" w:hAnsiTheme="minorEastAsia" w:eastAsiaTheme="minorEastAsia"/>
                <w:kern w:val="0"/>
                <w:szCs w:val="21"/>
              </w:rPr>
              <w:t>低频截止频率不大于35Hz；</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低音单元不小于18"；</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最大声压级：不小于133dB；</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KVII 、D&amp;B 、L-ACOUSTICS </w:t>
            </w:r>
          </w:p>
        </w:tc>
      </w:tr>
      <w:tr>
        <w:tblPrEx>
          <w:tblLayout w:type="fixed"/>
          <w:tblCellMar>
            <w:top w:w="0" w:type="dxa"/>
            <w:left w:w="108" w:type="dxa"/>
            <w:bottom w:w="0" w:type="dxa"/>
            <w:right w:w="108" w:type="dxa"/>
          </w:tblCellMar>
        </w:tblPrEx>
        <w:trPr>
          <w:trHeight w:val="255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返听系统音箱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声学数据：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频率响应不劣于：60 – 16 k 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灵敏度：不小于96 dB；</w:t>
            </w:r>
            <w:r>
              <w:rPr>
                <w:rFonts w:hint="eastAsia" w:cs="宋体" w:asciiTheme="minorEastAsia" w:hAnsiTheme="minorEastAsia" w:eastAsiaTheme="minorEastAsia"/>
                <w:kern w:val="0"/>
                <w:szCs w:val="21"/>
              </w:rPr>
              <w:br w:type="textWrapping"/>
            </w:r>
            <w:r>
              <w:rPr>
                <w:rFonts w:ascii="宋体" w:hAnsi="宋体"/>
                <w:color w:val="000000"/>
                <w:sz w:val="24"/>
              </w:rPr>
              <w:t>★</w:t>
            </w:r>
            <w:r>
              <w:rPr>
                <w:rFonts w:hint="eastAsia" w:cs="宋体" w:asciiTheme="minorEastAsia" w:hAnsiTheme="minorEastAsia" w:eastAsiaTheme="minorEastAsia"/>
                <w:kern w:val="0"/>
                <w:szCs w:val="21"/>
              </w:rPr>
              <w:t xml:space="preserve">单只最大声压级不小于：129dB；                              整组覆盖角度不小于：水平60°±20°/垂直80°±10°                        </w:t>
            </w:r>
          </w:p>
          <w:p>
            <w:pPr>
              <w:widowControl/>
              <w:jc w:val="left"/>
              <w:rPr>
                <w:rFonts w:cs="宋体" w:asciiTheme="minorEastAsia" w:hAnsiTheme="minorEastAsia" w:eastAsiaTheme="minorEastAsia"/>
                <w:kern w:val="0"/>
                <w:szCs w:val="21"/>
              </w:rPr>
            </w:pPr>
            <w:r>
              <w:rPr>
                <w:rFonts w:ascii="宋体" w:hAnsi="宋体"/>
                <w:color w:val="000000"/>
                <w:sz w:val="24"/>
              </w:rPr>
              <w:t>★</w:t>
            </w:r>
            <w:r>
              <w:rPr>
                <w:rFonts w:hint="eastAsia" w:cs="宋体" w:asciiTheme="minorEastAsia" w:hAnsiTheme="minorEastAsia" w:eastAsiaTheme="minorEastAsia"/>
                <w:kern w:val="0"/>
                <w:szCs w:val="21"/>
              </w:rPr>
              <w:t xml:space="preserve">单只低频单元不小于：单12"或双6"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KVII 、D&amp;B 、L-ACOUSTICS </w:t>
            </w:r>
          </w:p>
        </w:tc>
      </w:tr>
      <w:tr>
        <w:tblPrEx>
          <w:tblLayout w:type="fixed"/>
          <w:tblCellMar>
            <w:top w:w="0" w:type="dxa"/>
            <w:left w:w="108" w:type="dxa"/>
            <w:bottom w:w="0" w:type="dxa"/>
            <w:right w:w="108" w:type="dxa"/>
          </w:tblCellMar>
        </w:tblPrEx>
        <w:trPr>
          <w:trHeight w:val="253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功放</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ascii="宋体" w:hAnsi="宋体"/>
                <w:color w:val="000000"/>
                <w:sz w:val="24"/>
              </w:rPr>
              <w:t>★</w:t>
            </w:r>
            <w:r>
              <w:rPr>
                <w:rFonts w:hint="eastAsia" w:cs="宋体" w:asciiTheme="minorEastAsia" w:hAnsiTheme="minorEastAsia" w:eastAsiaTheme="minorEastAsia"/>
                <w:kern w:val="0"/>
                <w:szCs w:val="21"/>
              </w:rPr>
              <w:t>必须与扬声器同品牌；</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★采用高效功放，按扬声器数量、功率匹配配置，每只扬声器必须有单独独立的功放通道，功放功率配置需根据厂家推荐且满足扬声器厂家最大声压级要求配置。</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此项的单位为批，投标人应按扬声器配置列明实际配置数量（单位：台）及技术参数。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KVII 、D&amp;B 、L-ACOUSTICS </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配套流动吊挂支架</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用于音箱吊挂件</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KVII 、D&amp;B 、L-ACOUSTICS </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航空箱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用于运输调音台</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国产</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航空箱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用于运输主扩扬声器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国产</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航空箱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用于运输重次低频扬声器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国产</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航空箱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用于运输重超低音扬声器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国产</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航空箱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用于运输返听扬声器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国产</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流动配电箱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用于供电，15KW，三相五线制，具有3C认证</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中电、正泰、德力西</w:t>
            </w:r>
          </w:p>
        </w:tc>
      </w:tr>
      <w:tr>
        <w:tblPrEx>
          <w:tblLayout w:type="fixed"/>
          <w:tblCellMar>
            <w:top w:w="0" w:type="dxa"/>
            <w:left w:w="108" w:type="dxa"/>
            <w:bottom w:w="0" w:type="dxa"/>
            <w:right w:w="108" w:type="dxa"/>
          </w:tblCellMar>
        </w:tblPrEx>
        <w:trPr>
          <w:trHeight w:val="312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稳压电源</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1、容量：1KVA－15KVA；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2、输入频率：50HZ；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3、输入电压：AC 220V±20％（亦可由用户特别要求）；</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4、输出电压：AC 220V±2％；</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5、应变时间：20~40ms；</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6、总谐波失真：＜5％；</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7、效率：≥85％；</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8、抗干扰能力：＞60dB；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9、保护特性：输出短路保护特性：输出短路时，源电流小于额定输入电流的2.5倍，当短路消除后能自动恢复工作，但稳压器不允许输出端处在长时间短路状态；</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10、使用环境：-20~+50℃；相对湿度：＜95%</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11、冷却方式：1000VA以下，自然冷却； 2000VA以上，风冷；</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铁塔、正大、鸿济</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流动机柜</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用于调音台及接口箱</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定制</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电源线缆</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用于连接配电箱与音频引擎及有源重低音</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中策</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超五类网线</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用于网络控制及网络音频传输</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一舟、康普、安普</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音频信号线</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用于传输模拟音频信号</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成丰</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扬声器线缆</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用于连接功放</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批</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中策</w:t>
            </w:r>
          </w:p>
        </w:tc>
      </w:tr>
      <w:tr>
        <w:tblPrEx>
          <w:tblLayout w:type="fixed"/>
          <w:tblCellMar>
            <w:top w:w="0" w:type="dxa"/>
            <w:left w:w="108" w:type="dxa"/>
            <w:bottom w:w="0" w:type="dxa"/>
            <w:right w:w="108" w:type="dxa"/>
          </w:tblCellMar>
        </w:tblPrEx>
        <w:trPr>
          <w:trHeight w:val="426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无线手持话筒连接收机</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无线频率范围：520-865 MHz；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传输/接收频率个数：不小于3000；</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预设套数：32；</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频点可调范围：最高88 MHz；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峰值频偏：+/- 48 kHz；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频率响应（话筒）：80-18000 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信噪比：&gt; 115 dB(A)；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THD, 总谐波失真：&lt; 0.9 %；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换能器；动圈话筒头；</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音频灵敏度：2,5 mV/Pa；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声压级 (SPL)：154 dB(SPL) max.；</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拾取特征：心形。</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SHURE、SENNHEISER、AUDIO-TECHNICA</w:t>
            </w:r>
          </w:p>
        </w:tc>
      </w:tr>
      <w:tr>
        <w:tblPrEx>
          <w:tblLayout w:type="fixed"/>
          <w:tblCellMar>
            <w:top w:w="0" w:type="dxa"/>
            <w:left w:w="108" w:type="dxa"/>
            <w:bottom w:w="0" w:type="dxa"/>
            <w:right w:w="108" w:type="dxa"/>
          </w:tblCellMar>
        </w:tblPrEx>
        <w:trPr>
          <w:trHeight w:val="396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无线领夹话筒连接收机</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无线频率范围：520-865 MHz；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传输/接收频率个数：不小于3000；</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预设套数：32；</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频点可调范围：最高88 MHz；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峰值频偏：+/- 48 kHz；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频率响应（话筒）：20-18000 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信噪比：&gt; 115 dB(A)；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THD, 总谐波失真：&lt; 0.9 %；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换能器；电容话筒头；</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声压级 (SPL)：142 dB(SPL) max；                               拾取特征：全向。</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套</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SHURE、SENNHEISER、AUDIO-TECHNICA</w:t>
            </w:r>
          </w:p>
        </w:tc>
      </w:tr>
      <w:tr>
        <w:tblPrEx>
          <w:tblLayout w:type="fixed"/>
          <w:tblCellMar>
            <w:top w:w="0" w:type="dxa"/>
            <w:left w:w="108" w:type="dxa"/>
            <w:bottom w:w="0" w:type="dxa"/>
            <w:right w:w="108" w:type="dxa"/>
          </w:tblCellMar>
        </w:tblPrEx>
        <w:trPr>
          <w:trHeight w:val="169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头戴话筒</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全指向性，含无线腰包适配器；</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频率范围, ± 2 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低频分量提升: 20 Hz - 20 kHz, 带有3 dB柔和低音增强，大约在 8 - 20 kHz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高频分量提升: 20 Hz - 20 kHz ±2 dB, 带有10 dB增强，大约在12 kHz</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只</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DPA 或同档次</w:t>
            </w:r>
          </w:p>
        </w:tc>
      </w:tr>
      <w:tr>
        <w:tblPrEx>
          <w:tblLayout w:type="fixed"/>
          <w:tblCellMar>
            <w:top w:w="0" w:type="dxa"/>
            <w:left w:w="108" w:type="dxa"/>
            <w:bottom w:w="0" w:type="dxa"/>
            <w:right w:w="108" w:type="dxa"/>
          </w:tblCellMar>
        </w:tblPrEx>
        <w:trPr>
          <w:trHeight w:val="169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耳麦</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频率响应 ：20 - 20000 Hz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等效噪声电平：28 dB(A) </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最大声压级（被动）：150dB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搭配腰包发射机使用。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SHURE、SENNHEISER、AUDIO-TECHNICA</w:t>
            </w:r>
          </w:p>
        </w:tc>
      </w:tr>
      <w:tr>
        <w:tblPrEx>
          <w:tblLayout w:type="fixed"/>
          <w:tblCellMar>
            <w:top w:w="0" w:type="dxa"/>
            <w:left w:w="108" w:type="dxa"/>
            <w:bottom w:w="0" w:type="dxa"/>
            <w:right w:w="108" w:type="dxa"/>
          </w:tblCellMar>
        </w:tblPrEx>
        <w:trPr>
          <w:trHeight w:val="294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发射器手雷</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无线频率范围：520-865 MHz；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传输/接收频率个数：不小于3000；</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预设套数：32；</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频点可调范围：最高88 MHz；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峰值频偏：+/- 48 kHz；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信噪比：&gt; 120 dB(A)；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THD, 总谐波失真：&lt; 0.9 %；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SHURE、SENNHEISER、AUDIO-TECHNICA</w:t>
            </w:r>
          </w:p>
        </w:tc>
      </w:tr>
      <w:tr>
        <w:tblPrEx>
          <w:tblLayout w:type="fixed"/>
          <w:tblCellMar>
            <w:top w:w="0" w:type="dxa"/>
            <w:left w:w="108" w:type="dxa"/>
            <w:bottom w:w="0" w:type="dxa"/>
            <w:right w:w="108" w:type="dxa"/>
          </w:tblCellMar>
        </w:tblPrEx>
        <w:trPr>
          <w:trHeight w:val="96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天线分配器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无需额外电源；</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阻抗：50Ω；</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最多4个真正的分集接收机可与两个外部天线一起使用。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SHURE、SENNHEISER、AUDIO-TECHNICA</w:t>
            </w:r>
          </w:p>
        </w:tc>
      </w:tr>
      <w:tr>
        <w:tblPrEx>
          <w:tblLayout w:type="fixed"/>
          <w:tblCellMar>
            <w:top w:w="0" w:type="dxa"/>
            <w:left w:w="108" w:type="dxa"/>
            <w:bottom w:w="0" w:type="dxa"/>
            <w:right w:w="108" w:type="dxa"/>
          </w:tblCellMar>
        </w:tblPrEx>
        <w:trPr>
          <w:trHeight w:val="102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天线</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无源全向天线。发射和接收频率在450到960兆赫之间的天线。</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SHURE、SENNHEISER、AUDIO-TECHNICA</w:t>
            </w:r>
          </w:p>
        </w:tc>
      </w:tr>
      <w:tr>
        <w:tblPrEx>
          <w:tblLayout w:type="fixed"/>
          <w:tblCellMar>
            <w:top w:w="0" w:type="dxa"/>
            <w:left w:w="108" w:type="dxa"/>
            <w:bottom w:w="0" w:type="dxa"/>
            <w:right w:w="108" w:type="dxa"/>
          </w:tblCellMar>
        </w:tblPrEx>
        <w:trPr>
          <w:trHeight w:val="102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天线放大器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UHF天线信号提升器，它可实现 10dB 的增益，以增强信号强度</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天线放大器。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SHURE、SENNHEISER、AUDIO-TECHNICA</w:t>
            </w:r>
          </w:p>
        </w:tc>
      </w:tr>
      <w:tr>
        <w:tblPrEx>
          <w:tblLayout w:type="fixed"/>
          <w:tblCellMar>
            <w:top w:w="0" w:type="dxa"/>
            <w:left w:w="108" w:type="dxa"/>
            <w:bottom w:w="0" w:type="dxa"/>
            <w:right w:w="108" w:type="dxa"/>
          </w:tblCellMar>
        </w:tblPrEx>
        <w:trPr>
          <w:trHeight w:val="87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同轴电缆</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RG213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配套</w:t>
            </w:r>
          </w:p>
        </w:tc>
      </w:tr>
      <w:tr>
        <w:tblPrEx>
          <w:tblLayout w:type="fixed"/>
          <w:tblCellMar>
            <w:top w:w="0" w:type="dxa"/>
            <w:left w:w="108" w:type="dxa"/>
            <w:bottom w:w="0" w:type="dxa"/>
            <w:right w:w="108" w:type="dxa"/>
          </w:tblCellMar>
        </w:tblPrEx>
        <w:trPr>
          <w:trHeight w:val="165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耳机</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类别：密闭动圈式；</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频率响应：5 ~ 35,000 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灵敏度：106 dB/mW</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SHURE、SENNHEISER、AUDIO-TECHNICA </w:t>
            </w:r>
          </w:p>
        </w:tc>
      </w:tr>
      <w:tr>
        <w:tblPrEx>
          <w:tblLayout w:type="fixed"/>
          <w:tblCellMar>
            <w:top w:w="0" w:type="dxa"/>
            <w:left w:w="108" w:type="dxa"/>
            <w:bottom w:w="0" w:type="dxa"/>
            <w:right w:w="108" w:type="dxa"/>
          </w:tblCellMar>
        </w:tblPrEx>
        <w:trPr>
          <w:trHeight w:val="195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音频接口</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通道数：10路输入/10输出；</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信号处理：PC接口：24bit，AD/DA转换：24bit；</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采样率：44.1、48、96、192kHz；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音频接口：高速USB,MIDI输入输出；</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48V电容话筒幻象供电：支持；</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硬件压缩器/限幅器：有。</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Roland、Presonus、RME、</w:t>
            </w:r>
          </w:p>
        </w:tc>
      </w:tr>
      <w:tr>
        <w:tblPrEx>
          <w:tblLayout w:type="fixed"/>
          <w:tblCellMar>
            <w:top w:w="0" w:type="dxa"/>
            <w:left w:w="108" w:type="dxa"/>
            <w:bottom w:w="0" w:type="dxa"/>
            <w:right w:w="108" w:type="dxa"/>
          </w:tblCellMar>
        </w:tblPrEx>
        <w:trPr>
          <w:trHeight w:val="199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34</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音频播放机</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CPU类型：Intel i7；CPU型号：i7-8550U；内存类型：DDR4；</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最大支持内存：24GB；内存容量：8GB；硬盘容量：256GB；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硬盘类型：固态硬盘；显卡类型：独立显卡；显存容量：2GB；显卡型号：GeForce MX150；屏幕尺寸：14.0英寸；屏幕比例：16:9；</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屏幕分辨率：1920×1080；屏幕类型：FHD背光；USB3.0端口：2个；</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音频端口：耳机/麦克风二合一接口；视频端口：type-c接口,Thunderbolt 3 (USB-C)端口,HDMI</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联想ThinkPad、APPLE、HP</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电容话筒乐队用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指向性：心型，频率范围：20～20000Hz ，灵敏度：-38dB(13mV/Pa)±2dB ，输出阻抗：150Ω，最大声压级：144dB ，等效噪声级：18dB  ，信噪比：74dB ，供电：48V幻象供电 ，传声器尺寸：Φ22×130mm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SHURE、SENNHEISER、AUDIO-TECHNICA </w:t>
            </w:r>
          </w:p>
        </w:tc>
      </w:tr>
      <w:tr>
        <w:tblPrEx>
          <w:tblLayout w:type="fixed"/>
          <w:tblCellMar>
            <w:top w:w="0" w:type="dxa"/>
            <w:left w:w="108" w:type="dxa"/>
            <w:bottom w:w="0" w:type="dxa"/>
            <w:right w:w="108" w:type="dxa"/>
          </w:tblCellMar>
        </w:tblPrEx>
        <w:trPr>
          <w:trHeight w:val="429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电容话筒乐队用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声音工作原理:压力梯度传感器；</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指向性:全向性，心型，8字型；</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频响:20Hz-20KHz；</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灵敏度（1KHz-1KOHM）:20/28/22mVPa；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输出阻抗:200ohms；</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负载阻抗:1000ohms；</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灵敏度（CCIR486-3）:26/23/25dB-A；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灵敏度（DIN/IEC 651）:15/12/14dB-A；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S/N比（CCIR 486-3）:68/71/69dB；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S/N比（DIN/IEC 651）:79/82/80dB；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峰值声压级（THD小于0.5%）:117dB(心型)；</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峰值声压级（THD 小于0.5%,预衰减）:127dB；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较大输出电压:390Mv；</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麦克风传感器（DIN/IEC651）动态范围 :105dB；</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Neumann 、microtech、telefunken</w:t>
            </w:r>
          </w:p>
        </w:tc>
      </w:tr>
      <w:tr>
        <w:tblPrEx>
          <w:tblLayout w:type="fixed"/>
          <w:tblCellMar>
            <w:top w:w="0" w:type="dxa"/>
            <w:left w:w="108" w:type="dxa"/>
            <w:bottom w:w="0" w:type="dxa"/>
            <w:right w:w="108" w:type="dxa"/>
          </w:tblCellMar>
        </w:tblPrEx>
        <w:trPr>
          <w:trHeight w:val="462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测试话筒</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转换方式：电容（驻极体）；</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工作原理：压差式；</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频率响应：20 - 20,000 Hz(50 - 16,000 Hz ± 1.5 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指向性：无指向性，磁场扩散技术；</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灵敏度1 kHz：15 mV/Pa；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额定阻抗：330 Ω；</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负载阻抗：≥2.2 kΩ；</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最大声压级：at f = 1 kHz, k = 1%, RL = 2.2 kΩ128 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信噪比：&gt; 57 dB；</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电源供应：12 - 48 V幻象供电；</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电源消耗：约3.4 mA；</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输出：平衡；</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连接口：3-针XLR公座。</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支</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Beyerdynamic 、micw、SUPERLUX </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38</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效果器</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动态范围不劣于105dB，,不少于100种预置效果</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YAMAHA、T.C、LEXICON</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39</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话筒支架</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高度 1000-1760 mm</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横杆长度 530-910 mm</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音王、飞达、盛嘉</w:t>
            </w:r>
          </w:p>
        </w:tc>
      </w:tr>
      <w:tr>
        <w:tblPrEx>
          <w:tblLayout w:type="fixed"/>
          <w:tblCellMar>
            <w:top w:w="0" w:type="dxa"/>
            <w:left w:w="108" w:type="dxa"/>
            <w:bottom w:w="0" w:type="dxa"/>
            <w:right w:w="108" w:type="dxa"/>
          </w:tblCellMar>
        </w:tblPrEx>
        <w:trPr>
          <w:trHeight w:val="108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音频线</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舞台卡侬音频线10米</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成丰、华真、京声</w:t>
            </w:r>
          </w:p>
        </w:tc>
      </w:tr>
      <w:tr>
        <w:tblPrEx>
          <w:tblLayout w:type="fixed"/>
          <w:tblCellMar>
            <w:top w:w="0" w:type="dxa"/>
            <w:left w:w="108" w:type="dxa"/>
            <w:bottom w:w="0" w:type="dxa"/>
            <w:right w:w="108" w:type="dxa"/>
          </w:tblCellMar>
        </w:tblPrEx>
        <w:trPr>
          <w:trHeight w:val="100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41</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音频线</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舞台卡侬音频线2米</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成丰、华真、京声</w:t>
            </w:r>
          </w:p>
        </w:tc>
      </w:tr>
      <w:tr>
        <w:tblPrEx>
          <w:tblLayout w:type="fixed"/>
          <w:tblCellMar>
            <w:top w:w="0" w:type="dxa"/>
            <w:left w:w="108" w:type="dxa"/>
            <w:bottom w:w="0" w:type="dxa"/>
            <w:right w:w="108" w:type="dxa"/>
          </w:tblCellMar>
        </w:tblPrEx>
        <w:trPr>
          <w:trHeight w:val="100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音频线</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舞台卡侬音频线3米8芯排线</w:t>
            </w:r>
            <w:r>
              <w:rPr>
                <w:rFonts w:hint="eastAsia" w:cs="宋体" w:asciiTheme="minorEastAsia" w:hAnsiTheme="minorEastAsia" w:eastAsiaTheme="minorEastAsia"/>
                <w:kern w:val="0"/>
                <w:szCs w:val="21"/>
              </w:rPr>
              <w:br w:type="textWrapping"/>
            </w:r>
            <w:r>
              <w:rPr>
                <w:rFonts w:hint="eastAsia" w:cs="宋体" w:asciiTheme="minorEastAsia" w:hAnsiTheme="minorEastAsia" w:eastAsiaTheme="minorEastAsia"/>
                <w:kern w:val="0"/>
                <w:szCs w:val="21"/>
              </w:rPr>
              <w:t xml:space="preserve">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成丰、华真、京声</w:t>
            </w:r>
          </w:p>
        </w:tc>
      </w:tr>
      <w:tr>
        <w:tblPrEx>
          <w:tblLayout w:type="fixed"/>
          <w:tblCellMar>
            <w:top w:w="0" w:type="dxa"/>
            <w:left w:w="108" w:type="dxa"/>
            <w:bottom w:w="0" w:type="dxa"/>
            <w:right w:w="108" w:type="dxa"/>
          </w:tblCellMar>
        </w:tblPrEx>
        <w:trPr>
          <w:trHeight w:val="100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音箱线</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2x4mm2优质OFC绞形喇叭线</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成丰、华真、京声</w:t>
            </w:r>
          </w:p>
        </w:tc>
      </w:tr>
      <w:tr>
        <w:tblPrEx>
          <w:tblLayout w:type="fixed"/>
          <w:tblCellMar>
            <w:top w:w="0" w:type="dxa"/>
            <w:left w:w="108" w:type="dxa"/>
            <w:bottom w:w="0" w:type="dxa"/>
            <w:right w:w="108" w:type="dxa"/>
          </w:tblCellMar>
        </w:tblPrEx>
        <w:trPr>
          <w:trHeight w:val="100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44</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音箱接头</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专业音频接口，</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SWITCHCRAFT、佳耐美、纽崔克</w:t>
            </w:r>
          </w:p>
        </w:tc>
      </w:tr>
      <w:tr>
        <w:tblPrEx>
          <w:tblLayout w:type="fixed"/>
          <w:tblCellMar>
            <w:top w:w="0" w:type="dxa"/>
            <w:left w:w="108" w:type="dxa"/>
            <w:bottom w:w="0" w:type="dxa"/>
            <w:right w:w="108" w:type="dxa"/>
          </w:tblCellMar>
        </w:tblPrEx>
        <w:trPr>
          <w:trHeight w:val="94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45</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话筒箱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满足安装音源的需要，标准19寸, ABK航空箱，流动式安装</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定制</w:t>
            </w:r>
          </w:p>
        </w:tc>
      </w:tr>
      <w:tr>
        <w:tblPrEx>
          <w:tblLayout w:type="fixed"/>
          <w:tblCellMar>
            <w:top w:w="0" w:type="dxa"/>
            <w:left w:w="108" w:type="dxa"/>
            <w:bottom w:w="0" w:type="dxa"/>
            <w:right w:w="108" w:type="dxa"/>
          </w:tblCellMar>
        </w:tblPrEx>
        <w:trPr>
          <w:trHeight w:val="76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46</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航空箱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舞台标准箱</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定制</w:t>
            </w:r>
          </w:p>
        </w:tc>
      </w:tr>
      <w:tr>
        <w:tblPrEx>
          <w:tblLayout w:type="fixed"/>
          <w:tblCellMar>
            <w:top w:w="0" w:type="dxa"/>
            <w:left w:w="108" w:type="dxa"/>
            <w:bottom w:w="0" w:type="dxa"/>
            <w:right w:w="108" w:type="dxa"/>
          </w:tblCellMar>
        </w:tblPrEx>
        <w:trPr>
          <w:trHeight w:val="765"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47</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防潮箱干燥箱</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保护电容话筒不受潮，50升电子防潮箱干燥箱</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52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爱保、德洋、锐玛</w:t>
            </w:r>
          </w:p>
        </w:tc>
      </w:tr>
      <w:tr>
        <w:tblPrEx>
          <w:tblLayout w:type="fixed"/>
          <w:tblCellMar>
            <w:top w:w="0" w:type="dxa"/>
            <w:left w:w="108" w:type="dxa"/>
            <w:bottom w:w="0" w:type="dxa"/>
            <w:right w:w="108" w:type="dxa"/>
          </w:tblCellMar>
        </w:tblPrEx>
        <w:trPr>
          <w:trHeight w:val="765" w:hRule="atLeast"/>
          <w:jc w:val="center"/>
        </w:trPr>
        <w:tc>
          <w:tcPr>
            <w:tcW w:w="7125"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二、舞台专业灯光部分</w:t>
            </w:r>
          </w:p>
        </w:tc>
        <w:tc>
          <w:tcPr>
            <w:tcW w:w="1916" w:type="dxa"/>
            <w:tcBorders>
              <w:top w:val="nil"/>
              <w:left w:val="nil"/>
              <w:bottom w:val="nil"/>
              <w:right w:val="nil"/>
            </w:tcBorders>
            <w:shd w:val="clear" w:color="auto" w:fill="auto"/>
            <w:noWrap/>
            <w:vAlign w:val="bottom"/>
          </w:tcPr>
          <w:p>
            <w:pPr>
              <w:widowControl/>
              <w:jc w:val="lef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7099"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LED 摇头变焦染色灯 </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★1、光源要求：≥37颗，单颗≥15W，进口RGBW四合一灯珠；</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★2、变焦要求：≤20°～≥42°，PMMA高品质光学透镜；</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3、效果要求：≥65536级调光精度；快速频闪1～25Hz；具有颜色宏与颜色渐变效果；</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4、旋转角度：水平≥540°，垂直≥240°；</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5、通道：至少三种通道模式；</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★6、协议：标准DMX512协议与内置Artnet以太网，另有无线DMX可选配；</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★7、菜单操作：LCD显示；字体可倒转180°显示；先进的人性化无触点滚轮操作方式；</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8、支持菜单或控台控制灯具复位；0-100%调光；</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9、温度传感检测，智能调整光源功率；智能风机调速；</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10、含灯泡，航空箱，灯钩，保险绳。</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★11、生产厂家必须具有省级质量技术监督局颁发的《标准化良好行为证书》或省级质量技术监督局认可的机构颁发的《标准化良好行为证书》。</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彩熠、特宝丽、珠江</w:t>
            </w:r>
          </w:p>
        </w:tc>
      </w:tr>
      <w:tr>
        <w:tblPrEx>
          <w:tblLayout w:type="fixed"/>
          <w:tblCellMar>
            <w:top w:w="0" w:type="dxa"/>
            <w:left w:w="108" w:type="dxa"/>
            <w:bottom w:w="0" w:type="dxa"/>
            <w:right w:w="108" w:type="dxa"/>
          </w:tblCellMar>
        </w:tblPrEx>
        <w:trPr>
          <w:trHeight w:val="1692"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电脑摇头光束灯 </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eastAsia" w:cs="宋体" w:asciiTheme="minorEastAsia" w:hAnsiTheme="minorEastAsia" w:eastAsiaTheme="minorEastAsia"/>
                <w:kern w:val="0"/>
                <w:szCs w:val="21"/>
              </w:rPr>
              <w:tab/>
            </w:r>
            <w:r>
              <w:rPr>
                <w:rFonts w:hint="eastAsia" w:cs="宋体" w:asciiTheme="minorEastAsia" w:hAnsiTheme="minorEastAsia" w:eastAsiaTheme="minorEastAsia"/>
                <w:kern w:val="0"/>
                <w:szCs w:val="21"/>
              </w:rPr>
              <w:t>光学要求≥370W进口光源；</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hint="eastAsia" w:cs="宋体" w:asciiTheme="minorEastAsia" w:hAnsiTheme="minorEastAsia" w:eastAsiaTheme="minorEastAsia"/>
                <w:kern w:val="0"/>
                <w:szCs w:val="21"/>
              </w:rPr>
              <w:tab/>
            </w:r>
            <w:r>
              <w:rPr>
                <w:rFonts w:hint="eastAsia" w:cs="宋体" w:asciiTheme="minorEastAsia" w:hAnsiTheme="minorEastAsia" w:eastAsiaTheme="minorEastAsia"/>
                <w:kern w:val="0"/>
                <w:szCs w:val="21"/>
              </w:rPr>
              <w:t>变焦角度：0°～≥1.7°。</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★3、颜色要求：至少具有7500K/3200K固定色温变化；色盘上具有≥13个色片+白光。</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4、图案要求：≥1个固定图案盘，带有≥17个图案。</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★5、至少两种棱镜；独立雾化效果；0-100%线性调光；六色镜实现光束多彩效果；多频闪方式选择。</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6、旋转角度：水平≥540°,垂直≥260°。</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7、协议：标准DMX512协议和Art-net以太网灯光控制协议，另有无线DMX512控制可选配；</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8、菜单：中、英两种语言可随意切换，字体可倒转180°显示，任选触摸式和无触点滚轮两种操作方式；</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★9、内置自充式缓冲电池 (可选)；Xy轴三相电机驱动；支持RDM数据双向传送。</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10、含灯泡，航空箱，灯钩，保险绳。</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★11、生产厂家必须具有省级质量技术监督局颁发的《标准化良好行为证书》或省级质量技术监督局认可的机构颁发的《标准化良好行为证书》。</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彩熠、特宝丽、珠江</w:t>
            </w:r>
          </w:p>
        </w:tc>
      </w:tr>
      <w:tr>
        <w:tblPrEx>
          <w:tblLayout w:type="fixed"/>
          <w:tblCellMar>
            <w:top w:w="0" w:type="dxa"/>
            <w:left w:w="108" w:type="dxa"/>
            <w:bottom w:w="0" w:type="dxa"/>
            <w:right w:w="108" w:type="dxa"/>
          </w:tblCellMar>
        </w:tblPrEx>
        <w:trPr>
          <w:trHeight w:val="3510" w:hRule="atLeast"/>
          <w:jc w:val="center"/>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防水型LED变焦 PAR灯</w:t>
            </w:r>
          </w:p>
        </w:tc>
        <w:tc>
          <w:tcPr>
            <w:tcW w:w="4322"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★1、光源要求：灯珠总数≥14颗，单颗功率≥15W；采用进口RGBW四合一灯珠；</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★2、变焦范围：光束角≤12°～≥25°；</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3、颜色要求：RGBW四合一；</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★4、效果要求：全光域调光，≥65536级调光精度；快速频闪功能；颜色宏与颜色渐变效果；</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5、控制通道：至少三种通道模式，最大通道模式≥10；</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6、协议：标准DMX512协议；</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7、0-100%调光；</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8、温度传感检测，智能调整光源功率；各颜色起始亮度设置；过流、过压、过热保护；</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★9、防护等级：≥IP66； </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10、含光源，航空箱，灯钩，保险绳；</w:t>
            </w:r>
          </w:p>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★生产厂家必须具有省级质量技术监督局颁发的《标准化良好行为证书》或省级质量技术监督局认可的机构颁发的《标准化良好行为证书》。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台</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彩熠、特宝丽、珠江</w:t>
            </w:r>
          </w:p>
        </w:tc>
      </w:tr>
    </w:tbl>
    <w:p>
      <w:pPr>
        <w:spacing w:line="360" w:lineRule="auto"/>
        <w:ind w:left="227"/>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3DF0"/>
    <w:multiLevelType w:val="multilevel"/>
    <w:tmpl w:val="0D9C3DF0"/>
    <w:lvl w:ilvl="0" w:tentative="0">
      <w:start w:val="1"/>
      <w:numFmt w:val="bullet"/>
      <w:lvlText w:val=""/>
      <w:lvlJc w:val="left"/>
      <w:pPr>
        <w:tabs>
          <w:tab w:val="left" w:pos="647"/>
        </w:tabs>
        <w:ind w:left="647" w:hanging="420"/>
      </w:pPr>
      <w:rPr>
        <w:rFonts w:hint="default" w:ascii="Wingdings" w:hAnsi="Wingdings"/>
        <w:b w:val="0"/>
        <w:color w:val="auto"/>
      </w:rPr>
    </w:lvl>
    <w:lvl w:ilvl="1" w:tentative="0">
      <w:start w:val="1"/>
      <w:numFmt w:val="decimal"/>
      <w:lvlText w:val="%2."/>
      <w:lvlJc w:val="left"/>
      <w:pPr>
        <w:tabs>
          <w:tab w:val="left" w:pos="817"/>
        </w:tabs>
        <w:ind w:left="817" w:hanging="397"/>
      </w:pPr>
      <w:rPr>
        <w:rFonts w:hint="default"/>
        <w:b w:val="0"/>
        <w:color w:val="auto"/>
      </w:rPr>
    </w:lvl>
    <w:lvl w:ilvl="2" w:tentative="0">
      <w:start w:val="4"/>
      <w:numFmt w:val="decimal"/>
      <w:lvlText w:val="%3、"/>
      <w:lvlJc w:val="left"/>
      <w:pPr>
        <w:tabs>
          <w:tab w:val="left" w:pos="1560"/>
        </w:tabs>
        <w:ind w:left="1560" w:hanging="72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79669D"/>
    <w:multiLevelType w:val="multilevel"/>
    <w:tmpl w:val="1679669D"/>
    <w:lvl w:ilvl="0" w:tentative="0">
      <w:start w:val="1"/>
      <w:numFmt w:val="decimal"/>
      <w:lvlText w:val="%1、"/>
      <w:lvlJc w:val="left"/>
      <w:pPr>
        <w:ind w:left="397" w:hanging="397"/>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222F10FC"/>
    <w:multiLevelType w:val="multilevel"/>
    <w:tmpl w:val="222F10FC"/>
    <w:lvl w:ilvl="0" w:tentative="0">
      <w:start w:val="1"/>
      <w:numFmt w:val="decimal"/>
      <w:lvlText w:val="%1、"/>
      <w:lvlJc w:val="left"/>
      <w:pPr>
        <w:ind w:left="795" w:hanging="360"/>
      </w:pPr>
      <w:rPr>
        <w:rFonts w:hint="eastAsia"/>
      </w:rPr>
    </w:lvl>
    <w:lvl w:ilvl="1" w:tentative="0">
      <w:start w:val="1"/>
      <w:numFmt w:val="lowerLetter"/>
      <w:lvlText w:val="%2)"/>
      <w:lvlJc w:val="left"/>
      <w:pPr>
        <w:ind w:left="1395" w:hanging="480"/>
      </w:pPr>
    </w:lvl>
    <w:lvl w:ilvl="2" w:tentative="0">
      <w:start w:val="1"/>
      <w:numFmt w:val="lowerRoman"/>
      <w:lvlText w:val="%3."/>
      <w:lvlJc w:val="right"/>
      <w:pPr>
        <w:ind w:left="1875" w:hanging="480"/>
      </w:pPr>
    </w:lvl>
    <w:lvl w:ilvl="3" w:tentative="0">
      <w:start w:val="1"/>
      <w:numFmt w:val="decimal"/>
      <w:lvlText w:val="%4."/>
      <w:lvlJc w:val="left"/>
      <w:pPr>
        <w:ind w:left="2355" w:hanging="480"/>
      </w:pPr>
    </w:lvl>
    <w:lvl w:ilvl="4" w:tentative="0">
      <w:start w:val="1"/>
      <w:numFmt w:val="lowerLetter"/>
      <w:lvlText w:val="%5)"/>
      <w:lvlJc w:val="left"/>
      <w:pPr>
        <w:ind w:left="2835" w:hanging="480"/>
      </w:pPr>
    </w:lvl>
    <w:lvl w:ilvl="5" w:tentative="0">
      <w:start w:val="1"/>
      <w:numFmt w:val="lowerRoman"/>
      <w:lvlText w:val="%6."/>
      <w:lvlJc w:val="right"/>
      <w:pPr>
        <w:ind w:left="3315" w:hanging="480"/>
      </w:pPr>
    </w:lvl>
    <w:lvl w:ilvl="6" w:tentative="0">
      <w:start w:val="1"/>
      <w:numFmt w:val="decimal"/>
      <w:lvlText w:val="%7."/>
      <w:lvlJc w:val="left"/>
      <w:pPr>
        <w:ind w:left="3795" w:hanging="480"/>
      </w:pPr>
    </w:lvl>
    <w:lvl w:ilvl="7" w:tentative="0">
      <w:start w:val="1"/>
      <w:numFmt w:val="lowerLetter"/>
      <w:lvlText w:val="%8)"/>
      <w:lvlJc w:val="left"/>
      <w:pPr>
        <w:ind w:left="4275" w:hanging="480"/>
      </w:pPr>
    </w:lvl>
    <w:lvl w:ilvl="8" w:tentative="0">
      <w:start w:val="1"/>
      <w:numFmt w:val="lowerRoman"/>
      <w:lvlText w:val="%9."/>
      <w:lvlJc w:val="right"/>
      <w:pPr>
        <w:ind w:left="4755" w:hanging="480"/>
      </w:pPr>
    </w:lvl>
  </w:abstractNum>
  <w:abstractNum w:abstractNumId="3">
    <w:nsid w:val="3D354E19"/>
    <w:multiLevelType w:val="multilevel"/>
    <w:tmpl w:val="3D354E19"/>
    <w:lvl w:ilvl="0" w:tentative="0">
      <w:start w:val="1"/>
      <w:numFmt w:val="bullet"/>
      <w:lvlText w:val=""/>
      <w:lvlJc w:val="left"/>
      <w:pPr>
        <w:tabs>
          <w:tab w:val="left" w:pos="816"/>
        </w:tabs>
        <w:ind w:left="816" w:hanging="396"/>
      </w:pPr>
      <w:rPr>
        <w:rFonts w:hint="default" w:ascii="Wingdings" w:hAnsi="Wingdings"/>
      </w:rPr>
    </w:lvl>
    <w:lvl w:ilvl="1" w:tentative="0">
      <w:start w:val="1"/>
      <w:numFmt w:val="bullet"/>
      <w:lvlText w:val=""/>
      <w:lvlJc w:val="left"/>
      <w:pPr>
        <w:tabs>
          <w:tab w:val="left" w:pos="1236"/>
        </w:tabs>
        <w:ind w:left="1236" w:hanging="397"/>
      </w:pPr>
      <w:rPr>
        <w:rFonts w:hint="default" w:ascii="Wingdings" w:hAnsi="Wingdings"/>
        <w:b w:val="0"/>
        <w:color w:val="auto"/>
      </w:rPr>
    </w:lvl>
    <w:lvl w:ilvl="2" w:tentative="0">
      <w:start w:val="1"/>
      <w:numFmt w:val="bullet"/>
      <w:lvlText w:val=""/>
      <w:lvlJc w:val="left"/>
      <w:pPr>
        <w:tabs>
          <w:tab w:val="left" w:pos="816"/>
        </w:tabs>
        <w:ind w:left="816" w:hanging="396"/>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BBA7BC4"/>
    <w:multiLevelType w:val="multilevel"/>
    <w:tmpl w:val="6BBA7BC4"/>
    <w:lvl w:ilvl="0" w:tentative="0">
      <w:start w:val="1"/>
      <w:numFmt w:val="bullet"/>
      <w:lvlText w:val=""/>
      <w:lvlJc w:val="left"/>
      <w:pPr>
        <w:tabs>
          <w:tab w:val="left" w:pos="780"/>
        </w:tabs>
        <w:ind w:left="780" w:hanging="420"/>
      </w:pPr>
      <w:rPr>
        <w:rFonts w:hint="default" w:ascii="Wingdings" w:hAnsi="Wingdings"/>
      </w:rPr>
    </w:lvl>
    <w:lvl w:ilvl="1" w:tentative="0">
      <w:start w:val="9"/>
      <w:numFmt w:val="decimal"/>
      <w:lvlText w:val="%2．"/>
      <w:lvlJc w:val="left"/>
      <w:pPr>
        <w:tabs>
          <w:tab w:val="left" w:pos="1140"/>
        </w:tabs>
        <w:ind w:left="1140" w:hanging="720"/>
      </w:pPr>
      <w:rPr>
        <w:rFonts w:hint="default"/>
      </w:rPr>
    </w:lvl>
    <w:lvl w:ilvl="2" w:tentative="0">
      <w:start w:val="12"/>
      <w:numFmt w:val="decimal"/>
      <w:lvlText w:val="%3、"/>
      <w:lvlJc w:val="left"/>
      <w:pPr>
        <w:tabs>
          <w:tab w:val="left" w:pos="1560"/>
        </w:tabs>
        <w:ind w:left="1560" w:hanging="720"/>
      </w:pPr>
      <w:rPr>
        <w:rFonts w:hint="default"/>
      </w:rPr>
    </w:lvl>
    <w:lvl w:ilvl="3" w:tentative="0">
      <w:start w:val="1"/>
      <w:numFmt w:val="lowerLetter"/>
      <w:lvlText w:val="%4)"/>
      <w:lvlJc w:val="left"/>
      <w:pPr>
        <w:tabs>
          <w:tab w:val="left" w:pos="1620"/>
        </w:tabs>
        <w:ind w:left="1620" w:hanging="360"/>
      </w:pPr>
      <w:rPr>
        <w:rFonts w:hint="default"/>
      </w:rPr>
    </w:lvl>
    <w:lvl w:ilvl="4" w:tentative="0">
      <w:start w:val="1"/>
      <w:numFmt w:val="decimal"/>
      <w:lvlText w:val="%5."/>
      <w:lvlJc w:val="left"/>
      <w:pPr>
        <w:tabs>
          <w:tab w:val="left" w:pos="2100"/>
        </w:tabs>
        <w:ind w:left="2100" w:hanging="4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4D"/>
    <w:rsid w:val="0001283B"/>
    <w:rsid w:val="00093F9B"/>
    <w:rsid w:val="000C78E2"/>
    <w:rsid w:val="001920BC"/>
    <w:rsid w:val="001C7F07"/>
    <w:rsid w:val="00204B59"/>
    <w:rsid w:val="00294D65"/>
    <w:rsid w:val="002F24C0"/>
    <w:rsid w:val="003912F7"/>
    <w:rsid w:val="003A4712"/>
    <w:rsid w:val="003C1091"/>
    <w:rsid w:val="00470788"/>
    <w:rsid w:val="005370C4"/>
    <w:rsid w:val="00556591"/>
    <w:rsid w:val="00563983"/>
    <w:rsid w:val="005C384D"/>
    <w:rsid w:val="00621EE6"/>
    <w:rsid w:val="006C5589"/>
    <w:rsid w:val="006C7820"/>
    <w:rsid w:val="007064CE"/>
    <w:rsid w:val="007379D8"/>
    <w:rsid w:val="00743784"/>
    <w:rsid w:val="007A3624"/>
    <w:rsid w:val="00824C22"/>
    <w:rsid w:val="00890A2F"/>
    <w:rsid w:val="00A34BF9"/>
    <w:rsid w:val="00B50F14"/>
    <w:rsid w:val="00BC672A"/>
    <w:rsid w:val="00CA10CD"/>
    <w:rsid w:val="00CC599D"/>
    <w:rsid w:val="00D247DB"/>
    <w:rsid w:val="00DC00E7"/>
    <w:rsid w:val="00E32C8E"/>
    <w:rsid w:val="00EA7379"/>
    <w:rsid w:val="00EF4F39"/>
    <w:rsid w:val="00F12194"/>
    <w:rsid w:val="00F506AD"/>
    <w:rsid w:val="00F51263"/>
    <w:rsid w:val="00FD0420"/>
    <w:rsid w:val="00FD3531"/>
    <w:rsid w:val="1FAF1164"/>
    <w:rsid w:val="25274154"/>
    <w:rsid w:val="6342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adjustRightInd w:val="0"/>
      <w:spacing w:line="360" w:lineRule="auto"/>
      <w:jc w:val="left"/>
      <w:textAlignment w:val="baseline"/>
      <w:outlineLvl w:val="1"/>
    </w:pPr>
    <w:rPr>
      <w:rFonts w:ascii="仿宋_GB2312" w:eastAsia="仿宋_GB2312"/>
      <w:kern w:val="0"/>
      <w:sz w:val="28"/>
    </w:rPr>
  </w:style>
  <w:style w:type="paragraph" w:styleId="4">
    <w:name w:val="heading 4"/>
    <w:basedOn w:val="1"/>
    <w:next w:val="1"/>
    <w:link w:val="12"/>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2 Char"/>
    <w:basedOn w:val="8"/>
    <w:link w:val="3"/>
    <w:qFormat/>
    <w:uiPriority w:val="0"/>
    <w:rPr>
      <w:rFonts w:ascii="仿宋_GB2312" w:hAnsi="Times New Roman" w:eastAsia="仿宋_GB2312" w:cs="Times New Roman"/>
      <w:kern w:val="0"/>
      <w:sz w:val="28"/>
      <w:szCs w:val="24"/>
    </w:rPr>
  </w:style>
  <w:style w:type="character" w:customStyle="1" w:styleId="12">
    <w:name w:val="标题 4 Char"/>
    <w:basedOn w:val="8"/>
    <w:link w:val="4"/>
    <w:qFormat/>
    <w:uiPriority w:val="0"/>
    <w:rPr>
      <w:rFonts w:ascii="Arial" w:hAnsi="Arial" w:eastAsia="黑体" w:cs="Times New Roman"/>
      <w:b/>
      <w:bCs/>
      <w:sz w:val="28"/>
      <w:szCs w:val="28"/>
    </w:rPr>
  </w:style>
  <w:style w:type="paragraph" w:customStyle="1" w:styleId="13">
    <w:name w:val="样式1"/>
    <w:basedOn w:val="2"/>
    <w:qFormat/>
    <w:uiPriority w:val="0"/>
    <w:pPr>
      <w:spacing w:line="576" w:lineRule="auto"/>
      <w:jc w:val="center"/>
    </w:pPr>
    <w:rPr>
      <w:rFonts w:ascii="Calibri" w:hAnsi="Calibri" w:eastAsia="黑体"/>
    </w:rPr>
  </w:style>
  <w:style w:type="character" w:customStyle="1" w:styleId="14">
    <w:name w:val="标题 1 Char"/>
    <w:basedOn w:val="8"/>
    <w:link w:val="2"/>
    <w:qFormat/>
    <w:uiPriority w:val="9"/>
    <w:rPr>
      <w:rFonts w:ascii="Times New Roman" w:hAnsi="Times New Roman" w:eastAsia="宋体" w:cs="Times New Roman"/>
      <w:b/>
      <w:bCs/>
      <w:kern w:val="44"/>
      <w:sz w:val="44"/>
      <w:szCs w:val="4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1847</Words>
  <Characters>10530</Characters>
  <Lines>87</Lines>
  <Paragraphs>24</Paragraphs>
  <TotalTime>8</TotalTime>
  <ScaleCrop>false</ScaleCrop>
  <LinksUpToDate>false</LinksUpToDate>
  <CharactersWithSpaces>12353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2018-10-11T12:45:00Z</dcterms:created>
  <dc:creator>p51 user</dc:creator>
  <cp:lastModifiedBy>kk</cp:lastModifiedBy>
  <cp:lastPrinted>2019-03-21T06:21:11Z</cp:lastPrinted>
  <dcterms:modified xsi:type="dcterms:W3CDTF">2019-03-21T09:09:05Z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