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olor w:val="auto"/>
          <w:sz w:val="44"/>
          <w:highlight w:val="none"/>
        </w:rPr>
      </w:pPr>
      <w:bookmarkStart w:id="58" w:name="_GoBack"/>
      <w:bookmarkEnd w:id="58"/>
    </w:p>
    <w:p>
      <w:pPr>
        <w:spacing w:before="120" w:beforeLines="50"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rPr>
        <w:t>中国美术学院</w:t>
      </w:r>
    </w:p>
    <w:p>
      <w:pPr>
        <w:spacing w:before="120" w:beforeLines="50"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lang w:eastAsia="zh-CN"/>
        </w:rPr>
        <w:t>校园安全处良渚校区安防系统建设（一期）</w:t>
      </w:r>
      <w:r>
        <w:rPr>
          <w:rFonts w:hint="eastAsia" w:ascii="宋体" w:hAnsi="宋体"/>
          <w:b/>
          <w:color w:val="auto"/>
          <w:sz w:val="36"/>
          <w:szCs w:val="36"/>
          <w:highlight w:val="none"/>
        </w:rPr>
        <w:t>项目</w:t>
      </w:r>
    </w:p>
    <w:p>
      <w:pPr>
        <w:spacing w:before="120" w:beforeLines="50" w:line="360" w:lineRule="auto"/>
        <w:jc w:val="center"/>
        <w:rPr>
          <w:rFonts w:hint="eastAsia" w:ascii="宋体" w:hAnsi="宋体"/>
          <w:b/>
          <w:color w:val="auto"/>
          <w:sz w:val="48"/>
          <w:szCs w:val="48"/>
          <w:highlight w:val="none"/>
        </w:rPr>
      </w:pPr>
    </w:p>
    <w:p>
      <w:pPr>
        <w:spacing w:before="120" w:beforeLines="50" w:line="360" w:lineRule="auto"/>
        <w:jc w:val="center"/>
        <w:rPr>
          <w:rFonts w:hint="eastAsia" w:ascii="宋体" w:hAnsi="宋体"/>
          <w:b/>
          <w:color w:val="auto"/>
          <w:szCs w:val="21"/>
          <w:highlight w:val="none"/>
        </w:rPr>
      </w:pPr>
    </w:p>
    <w:p>
      <w:pPr>
        <w:spacing w:before="120" w:beforeLines="50" w:line="360" w:lineRule="auto"/>
        <w:jc w:val="center"/>
        <w:rPr>
          <w:rFonts w:ascii="宋体" w:hAnsi="宋体"/>
          <w:color w:val="auto"/>
          <w:sz w:val="72"/>
          <w:szCs w:val="72"/>
          <w:highlight w:val="none"/>
        </w:rPr>
      </w:pPr>
      <w:r>
        <w:rPr>
          <w:rFonts w:hint="eastAsia" w:ascii="宋体" w:hAnsi="宋体"/>
          <w:color w:val="auto"/>
          <w:sz w:val="72"/>
          <w:szCs w:val="72"/>
          <w:highlight w:val="none"/>
        </w:rPr>
        <w:t>公开招标采购文件</w:t>
      </w:r>
    </w:p>
    <w:p>
      <w:pPr>
        <w:pStyle w:val="9"/>
        <w:snapToGrid w:val="0"/>
        <w:spacing w:before="120" w:after="120" w:line="360" w:lineRule="auto"/>
        <w:ind w:firstLine="1343" w:firstLineChars="446"/>
        <w:rPr>
          <w:rFonts w:hint="eastAsia" w:hAnsi="宋体"/>
          <w:b/>
          <w:bCs/>
          <w:color w:val="auto"/>
          <w:sz w:val="30"/>
          <w:szCs w:val="30"/>
          <w:highlight w:val="none"/>
        </w:rPr>
      </w:pPr>
    </w:p>
    <w:p>
      <w:pPr>
        <w:pStyle w:val="9"/>
        <w:snapToGrid w:val="0"/>
        <w:spacing w:before="120" w:after="120" w:line="360" w:lineRule="auto"/>
        <w:ind w:firstLine="1343" w:firstLineChars="446"/>
        <w:rPr>
          <w:rFonts w:hint="eastAsia" w:hAnsi="宋体"/>
          <w:b/>
          <w:bCs/>
          <w:color w:val="auto"/>
          <w:sz w:val="30"/>
          <w:szCs w:val="30"/>
          <w:highlight w:val="none"/>
        </w:rPr>
      </w:pPr>
    </w:p>
    <w:p>
      <w:pPr>
        <w:pStyle w:val="9"/>
        <w:snapToGrid w:val="0"/>
        <w:spacing w:before="120" w:after="120" w:line="360" w:lineRule="auto"/>
        <w:ind w:firstLine="1459" w:firstLineChars="478"/>
        <w:rPr>
          <w:rFonts w:hint="eastAsia" w:hAnsi="宋体" w:eastAsia="宋体"/>
          <w:b/>
          <w:bCs/>
          <w:color w:val="auto"/>
          <w:w w:val="95"/>
          <w:sz w:val="32"/>
          <w:szCs w:val="32"/>
          <w:highlight w:val="none"/>
          <w:lang w:eastAsia="zh-CN"/>
        </w:rPr>
      </w:pPr>
      <w:r>
        <w:rPr>
          <w:rFonts w:hAnsi="宋体"/>
          <w:b/>
          <w:bCs/>
          <w:color w:val="auto"/>
          <w:w w:val="95"/>
          <w:sz w:val="32"/>
          <w:szCs w:val="32"/>
          <w:highlight w:val="none"/>
        </w:rPr>
        <w:t>项目编号：</w:t>
      </w:r>
      <w:r>
        <w:rPr>
          <w:rFonts w:hint="eastAsia" w:hAnsi="宋体"/>
          <w:b/>
          <w:bCs/>
          <w:color w:val="auto"/>
          <w:w w:val="95"/>
          <w:sz w:val="32"/>
          <w:szCs w:val="32"/>
          <w:highlight w:val="none"/>
          <w:lang w:eastAsia="zh-CN"/>
        </w:rPr>
        <w:t>0625-20217908</w:t>
      </w:r>
    </w:p>
    <w:p>
      <w:pPr>
        <w:pStyle w:val="9"/>
        <w:snapToGrid w:val="0"/>
        <w:spacing w:before="120" w:after="120" w:line="360" w:lineRule="auto"/>
        <w:ind w:firstLine="1459" w:firstLineChars="478"/>
        <w:rPr>
          <w:rFonts w:hint="eastAsia" w:hAnsi="宋体"/>
          <w:b/>
          <w:bCs/>
          <w:color w:val="auto"/>
          <w:w w:val="95"/>
          <w:sz w:val="32"/>
          <w:szCs w:val="32"/>
          <w:highlight w:val="none"/>
        </w:rPr>
      </w:pPr>
      <w:r>
        <w:rPr>
          <w:rFonts w:hint="eastAsia" w:hAnsi="宋体"/>
          <w:b/>
          <w:bCs/>
          <w:color w:val="auto"/>
          <w:w w:val="95"/>
          <w:sz w:val="32"/>
          <w:szCs w:val="32"/>
          <w:highlight w:val="none"/>
        </w:rPr>
        <w:t>项目名称：</w:t>
      </w:r>
      <w:r>
        <w:rPr>
          <w:rFonts w:hint="eastAsia" w:hAnsi="宋体"/>
          <w:b/>
          <w:bCs/>
          <w:color w:val="auto"/>
          <w:w w:val="95"/>
          <w:sz w:val="32"/>
          <w:szCs w:val="32"/>
          <w:highlight w:val="none"/>
          <w:lang w:eastAsia="zh-CN"/>
        </w:rPr>
        <w:t>校园安全处良渚校区安防系统建设（一期）</w:t>
      </w:r>
      <w:r>
        <w:rPr>
          <w:rFonts w:hint="eastAsia" w:hAnsi="宋体"/>
          <w:b/>
          <w:bCs/>
          <w:color w:val="auto"/>
          <w:w w:val="95"/>
          <w:sz w:val="32"/>
          <w:szCs w:val="32"/>
          <w:highlight w:val="none"/>
        </w:rPr>
        <w:t xml:space="preserve"> </w:t>
      </w:r>
    </w:p>
    <w:p>
      <w:pPr>
        <w:pStyle w:val="9"/>
        <w:snapToGrid w:val="0"/>
        <w:spacing w:before="120" w:after="120" w:line="360" w:lineRule="auto"/>
        <w:ind w:firstLine="1459" w:firstLineChars="478"/>
        <w:rPr>
          <w:rFonts w:hint="eastAsia" w:hAnsi="宋体"/>
          <w:b/>
          <w:bCs/>
          <w:color w:val="auto"/>
          <w:w w:val="95"/>
          <w:sz w:val="32"/>
          <w:szCs w:val="32"/>
          <w:highlight w:val="none"/>
        </w:rPr>
      </w:pPr>
      <w:r>
        <w:rPr>
          <w:rFonts w:hAnsi="宋体"/>
          <w:b/>
          <w:bCs/>
          <w:color w:val="auto"/>
          <w:w w:val="95"/>
          <w:sz w:val="32"/>
          <w:szCs w:val="32"/>
          <w:highlight w:val="none"/>
        </w:rPr>
        <w:t>采购单位：</w:t>
      </w:r>
      <w:r>
        <w:rPr>
          <w:rFonts w:hint="eastAsia" w:hAnsi="宋体"/>
          <w:b/>
          <w:bCs/>
          <w:color w:val="auto"/>
          <w:w w:val="95"/>
          <w:sz w:val="32"/>
          <w:szCs w:val="32"/>
          <w:highlight w:val="none"/>
        </w:rPr>
        <w:t xml:space="preserve">中国美术学院 </w:t>
      </w:r>
    </w:p>
    <w:p>
      <w:pPr>
        <w:pStyle w:val="9"/>
        <w:snapToGrid w:val="0"/>
        <w:spacing w:before="120" w:after="120" w:line="360" w:lineRule="auto"/>
        <w:ind w:firstLine="1459" w:firstLineChars="478"/>
        <w:rPr>
          <w:rFonts w:hint="eastAsia" w:hAnsi="宋体"/>
          <w:b/>
          <w:bCs/>
          <w:color w:val="auto"/>
          <w:w w:val="95"/>
          <w:sz w:val="32"/>
          <w:szCs w:val="32"/>
          <w:highlight w:val="none"/>
        </w:rPr>
      </w:pPr>
      <w:r>
        <w:rPr>
          <w:rFonts w:hAnsi="宋体"/>
          <w:b/>
          <w:bCs/>
          <w:color w:val="auto"/>
          <w:w w:val="95"/>
          <w:sz w:val="32"/>
          <w:szCs w:val="32"/>
          <w:highlight w:val="none"/>
        </w:rPr>
        <w:t>代理机构：</w:t>
      </w:r>
      <w:r>
        <w:rPr>
          <w:rFonts w:hint="eastAsia" w:hAnsi="宋体"/>
          <w:b/>
          <w:bCs/>
          <w:color w:val="auto"/>
          <w:w w:val="95"/>
          <w:sz w:val="32"/>
          <w:szCs w:val="32"/>
          <w:highlight w:val="none"/>
        </w:rPr>
        <w:t>浙江省国际技术设备招标有限公司</w:t>
      </w:r>
    </w:p>
    <w:p>
      <w:pPr>
        <w:pStyle w:val="9"/>
        <w:snapToGrid w:val="0"/>
        <w:spacing w:before="120" w:after="120" w:line="360" w:lineRule="auto"/>
        <w:rPr>
          <w:rFonts w:hint="eastAsia" w:hAnsi="宋体"/>
          <w:b/>
          <w:color w:val="auto"/>
          <w:sz w:val="32"/>
          <w:szCs w:val="32"/>
          <w:highlight w:val="none"/>
        </w:rPr>
      </w:pPr>
    </w:p>
    <w:p>
      <w:pPr>
        <w:pStyle w:val="9"/>
        <w:snapToGrid w:val="0"/>
        <w:spacing w:before="120" w:after="120" w:line="360" w:lineRule="auto"/>
        <w:rPr>
          <w:rFonts w:hint="eastAsia" w:hAnsi="宋体"/>
          <w:b/>
          <w:bCs/>
          <w:color w:val="auto"/>
          <w:w w:val="95"/>
          <w:sz w:val="32"/>
          <w:szCs w:val="32"/>
          <w:highlight w:val="none"/>
        </w:rPr>
      </w:pPr>
    </w:p>
    <w:p>
      <w:pPr>
        <w:snapToGrid w:val="0"/>
        <w:spacing w:before="120" w:beforeLines="50" w:line="360" w:lineRule="auto"/>
        <w:jc w:val="center"/>
        <w:rPr>
          <w:rFonts w:ascii="宋体" w:hAnsi="宋体"/>
          <w:b/>
          <w:bCs/>
          <w:color w:val="auto"/>
          <w:w w:val="95"/>
          <w:sz w:val="30"/>
          <w:szCs w:val="30"/>
          <w:highlight w:val="none"/>
        </w:rPr>
        <w:sectPr>
          <w:headerReference r:id="rId3" w:type="default"/>
          <w:footerReference r:id="rId4" w:type="default"/>
          <w:footerReference r:id="rId5" w:type="even"/>
          <w:pgSz w:w="11906" w:h="16838"/>
          <w:pgMar w:top="1474" w:right="1797" w:bottom="1247" w:left="1797" w:header="851" w:footer="851" w:gutter="0"/>
          <w:cols w:space="720" w:num="1"/>
          <w:docGrid w:linePitch="312" w:charSpace="0"/>
        </w:sectPr>
      </w:pPr>
      <w:r>
        <w:rPr>
          <w:rFonts w:hint="eastAsia" w:ascii="宋体" w:hAnsi="宋体"/>
          <w:b/>
          <w:bCs/>
          <w:color w:val="auto"/>
          <w:w w:val="95"/>
          <w:sz w:val="32"/>
          <w:szCs w:val="32"/>
          <w:highlight w:val="none"/>
        </w:rPr>
        <w:t>2020</w:t>
      </w:r>
      <w:r>
        <w:rPr>
          <w:rFonts w:ascii="宋体" w:hAnsi="宋体"/>
          <w:b/>
          <w:bCs/>
          <w:color w:val="auto"/>
          <w:w w:val="95"/>
          <w:sz w:val="32"/>
          <w:szCs w:val="32"/>
          <w:highlight w:val="none"/>
        </w:rPr>
        <w:t>年</w:t>
      </w:r>
      <w:r>
        <w:rPr>
          <w:rFonts w:hint="eastAsia" w:ascii="宋体" w:hAnsi="宋体"/>
          <w:b/>
          <w:bCs/>
          <w:color w:val="auto"/>
          <w:w w:val="95"/>
          <w:sz w:val="32"/>
          <w:szCs w:val="32"/>
          <w:highlight w:val="none"/>
          <w:lang w:val="en-US" w:eastAsia="zh-CN"/>
        </w:rPr>
        <w:t>1</w:t>
      </w:r>
      <w:r>
        <w:rPr>
          <w:rFonts w:hint="eastAsia" w:ascii="宋体" w:hAnsi="宋体"/>
          <w:b/>
          <w:bCs/>
          <w:color w:val="auto"/>
          <w:w w:val="95"/>
          <w:sz w:val="32"/>
          <w:szCs w:val="32"/>
          <w:highlight w:val="none"/>
          <w:lang w:val="en-US" w:eastAsia="zh-CN"/>
        </w:rPr>
        <w:t>1</w:t>
      </w:r>
      <w:r>
        <w:rPr>
          <w:rFonts w:ascii="宋体" w:hAnsi="宋体"/>
          <w:b/>
          <w:bCs/>
          <w:color w:val="auto"/>
          <w:w w:val="95"/>
          <w:sz w:val="32"/>
          <w:szCs w:val="32"/>
          <w:highlight w:val="none"/>
        </w:rPr>
        <w:t>月</w:t>
      </w:r>
    </w:p>
    <w:p>
      <w:pPr>
        <w:pStyle w:val="9"/>
        <w:spacing w:line="360" w:lineRule="auto"/>
        <w:jc w:val="center"/>
        <w:rPr>
          <w:rFonts w:hint="eastAsia" w:ascii="黑体" w:hAnsi="宋体" w:eastAsia="黑体"/>
          <w:color w:val="auto"/>
          <w:sz w:val="36"/>
          <w:szCs w:val="36"/>
          <w:highlight w:val="none"/>
        </w:rPr>
      </w:pPr>
    </w:p>
    <w:p>
      <w:pPr>
        <w:pStyle w:val="9"/>
        <w:spacing w:line="360" w:lineRule="auto"/>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目 录</w:t>
      </w:r>
    </w:p>
    <w:p>
      <w:pPr>
        <w:pStyle w:val="13"/>
        <w:tabs>
          <w:tab w:val="right" w:leader="dot" w:pos="8720"/>
        </w:tabs>
        <w:rPr>
          <w:rFonts w:ascii="宋体" w:hAnsi="宋体"/>
          <w:b/>
          <w:color w:val="auto"/>
          <w:sz w:val="30"/>
          <w:szCs w:val="30"/>
          <w:highlight w:val="none"/>
          <w:lang/>
        </w:rPr>
      </w:pPr>
      <w:r>
        <w:rPr>
          <w:rFonts w:ascii="创艺简标宋" w:hAnsi="宋体" w:eastAsia="创艺简标宋"/>
          <w:b/>
          <w:color w:val="auto"/>
          <w:sz w:val="30"/>
          <w:szCs w:val="30"/>
          <w:highlight w:val="none"/>
        </w:rPr>
        <w:fldChar w:fldCharType="begin"/>
      </w:r>
      <w:r>
        <w:rPr>
          <w:rFonts w:ascii="创艺简标宋" w:hAnsi="宋体" w:eastAsia="创艺简标宋"/>
          <w:b/>
          <w:color w:val="auto"/>
          <w:sz w:val="30"/>
          <w:szCs w:val="30"/>
          <w:highlight w:val="none"/>
        </w:rPr>
        <w:instrText xml:space="preserve"> </w:instrText>
      </w:r>
      <w:r>
        <w:rPr>
          <w:rFonts w:hint="eastAsia" w:ascii="创艺简标宋" w:hAnsi="宋体" w:eastAsia="创艺简标宋"/>
          <w:b/>
          <w:color w:val="auto"/>
          <w:sz w:val="30"/>
          <w:szCs w:val="30"/>
          <w:highlight w:val="none"/>
        </w:rPr>
        <w:instrText xml:space="preserve">TOC \o "1-1" \h \z \u</w:instrText>
      </w:r>
      <w:r>
        <w:rPr>
          <w:rFonts w:ascii="创艺简标宋" w:hAnsi="宋体" w:eastAsia="创艺简标宋"/>
          <w:b/>
          <w:color w:val="auto"/>
          <w:sz w:val="30"/>
          <w:szCs w:val="30"/>
          <w:highlight w:val="none"/>
        </w:rPr>
        <w:instrText xml:space="preserve"> </w:instrText>
      </w:r>
      <w:r>
        <w:rPr>
          <w:rFonts w:ascii="创艺简标宋" w:hAnsi="宋体" w:eastAsia="创艺简标宋"/>
          <w:b/>
          <w:color w:val="auto"/>
          <w:sz w:val="30"/>
          <w:szCs w:val="30"/>
          <w:highlight w:val="none"/>
        </w:rPr>
        <w:fldChar w:fldCharType="separate"/>
      </w:r>
      <w:r>
        <w:rPr>
          <w:rFonts w:ascii="宋体" w:hAnsi="宋体"/>
          <w:b/>
          <w:color w:val="auto"/>
          <w:sz w:val="30"/>
          <w:szCs w:val="30"/>
          <w:highlight w:val="none"/>
          <w:lang/>
        </w:rPr>
        <w:fldChar w:fldCharType="begin"/>
      </w:r>
      <w:r>
        <w:rPr>
          <w:rStyle w:val="18"/>
          <w:rFonts w:ascii="宋体" w:hAnsi="宋体"/>
          <w:b/>
          <w:color w:val="auto"/>
          <w:sz w:val="30"/>
          <w:szCs w:val="30"/>
          <w:highlight w:val="none"/>
          <w:lang/>
        </w:rPr>
        <w:instrText xml:space="preserve"> </w:instrText>
      </w:r>
      <w:r>
        <w:rPr>
          <w:rFonts w:ascii="宋体" w:hAnsi="宋体"/>
          <w:b/>
          <w:color w:val="auto"/>
          <w:sz w:val="30"/>
          <w:szCs w:val="30"/>
          <w:highlight w:val="none"/>
          <w:lang/>
        </w:rPr>
        <w:instrText xml:space="preserve">HYPERLINK \l "_Toc44755893"</w:instrText>
      </w:r>
      <w:r>
        <w:rPr>
          <w:rStyle w:val="18"/>
          <w:rFonts w:ascii="宋体" w:hAnsi="宋体"/>
          <w:b/>
          <w:color w:val="auto"/>
          <w:sz w:val="30"/>
          <w:szCs w:val="30"/>
          <w:highlight w:val="none"/>
          <w:lang/>
        </w:rPr>
        <w:instrText xml:space="preserve"> </w:instrText>
      </w:r>
      <w:r>
        <w:rPr>
          <w:rFonts w:ascii="宋体" w:hAnsi="宋体"/>
          <w:b/>
          <w:color w:val="auto"/>
          <w:sz w:val="30"/>
          <w:szCs w:val="30"/>
          <w:highlight w:val="none"/>
          <w:lang/>
        </w:rPr>
        <w:fldChar w:fldCharType="separate"/>
      </w:r>
      <w:r>
        <w:rPr>
          <w:rStyle w:val="18"/>
          <w:rFonts w:hint="eastAsia" w:ascii="宋体" w:hAnsi="宋体"/>
          <w:b/>
          <w:color w:val="auto"/>
          <w:sz w:val="30"/>
          <w:szCs w:val="30"/>
          <w:highlight w:val="none"/>
          <w:lang/>
        </w:rPr>
        <w:t>电子交易须知</w:t>
      </w:r>
      <w:r>
        <w:rPr>
          <w:rFonts w:ascii="宋体" w:hAnsi="宋体"/>
          <w:b/>
          <w:color w:val="auto"/>
          <w:sz w:val="30"/>
          <w:szCs w:val="30"/>
          <w:highlight w:val="none"/>
          <w:lang/>
        </w:rPr>
        <w:tab/>
      </w:r>
      <w:r>
        <w:rPr>
          <w:rFonts w:ascii="宋体" w:hAnsi="宋体"/>
          <w:b/>
          <w:color w:val="auto"/>
          <w:sz w:val="30"/>
          <w:szCs w:val="30"/>
          <w:highlight w:val="none"/>
          <w:lang/>
        </w:rPr>
        <w:fldChar w:fldCharType="begin"/>
      </w:r>
      <w:r>
        <w:rPr>
          <w:rFonts w:ascii="宋体" w:hAnsi="宋体"/>
          <w:b/>
          <w:color w:val="auto"/>
          <w:sz w:val="30"/>
          <w:szCs w:val="30"/>
          <w:highlight w:val="none"/>
          <w:lang/>
        </w:rPr>
        <w:instrText xml:space="preserve"> PAGEREF _Toc44755893 \h </w:instrText>
      </w:r>
      <w:r>
        <w:rPr>
          <w:rFonts w:ascii="宋体" w:hAnsi="宋体"/>
          <w:b/>
          <w:color w:val="auto"/>
          <w:sz w:val="30"/>
          <w:szCs w:val="30"/>
          <w:highlight w:val="none"/>
          <w:lang/>
        </w:rPr>
        <w:fldChar w:fldCharType="separate"/>
      </w:r>
      <w:r>
        <w:rPr>
          <w:rFonts w:ascii="宋体" w:hAnsi="宋体"/>
          <w:b/>
          <w:color w:val="auto"/>
          <w:sz w:val="30"/>
          <w:szCs w:val="30"/>
          <w:highlight w:val="none"/>
          <w:lang/>
        </w:rPr>
        <w:t>3</w:t>
      </w:r>
      <w:r>
        <w:rPr>
          <w:rFonts w:ascii="宋体" w:hAnsi="宋体"/>
          <w:b/>
          <w:color w:val="auto"/>
          <w:sz w:val="30"/>
          <w:szCs w:val="30"/>
          <w:highlight w:val="none"/>
          <w:lang/>
        </w:rPr>
        <w:fldChar w:fldCharType="end"/>
      </w:r>
      <w:r>
        <w:rPr>
          <w:rFonts w:ascii="宋体" w:hAnsi="宋体"/>
          <w:b/>
          <w:color w:val="auto"/>
          <w:sz w:val="30"/>
          <w:szCs w:val="30"/>
          <w:highlight w:val="none"/>
          <w:lang/>
        </w:rPr>
        <w:fldChar w:fldCharType="end"/>
      </w:r>
    </w:p>
    <w:p>
      <w:pPr>
        <w:pStyle w:val="13"/>
        <w:tabs>
          <w:tab w:val="right" w:leader="dot" w:pos="8720"/>
        </w:tabs>
        <w:rPr>
          <w:rFonts w:ascii="宋体" w:hAnsi="宋体"/>
          <w:b/>
          <w:color w:val="auto"/>
          <w:sz w:val="30"/>
          <w:szCs w:val="30"/>
          <w:highlight w:val="none"/>
          <w:lang/>
        </w:rPr>
      </w:pPr>
      <w:r>
        <w:rPr>
          <w:rFonts w:ascii="宋体" w:hAnsi="宋体"/>
          <w:b/>
          <w:color w:val="auto"/>
          <w:sz w:val="30"/>
          <w:szCs w:val="30"/>
          <w:highlight w:val="none"/>
          <w:lang/>
        </w:rPr>
        <w:fldChar w:fldCharType="begin"/>
      </w:r>
      <w:r>
        <w:rPr>
          <w:rStyle w:val="18"/>
          <w:rFonts w:ascii="宋体" w:hAnsi="宋体"/>
          <w:b/>
          <w:color w:val="auto"/>
          <w:sz w:val="30"/>
          <w:szCs w:val="30"/>
          <w:highlight w:val="none"/>
          <w:lang/>
        </w:rPr>
        <w:instrText xml:space="preserve"> </w:instrText>
      </w:r>
      <w:r>
        <w:rPr>
          <w:rFonts w:ascii="宋体" w:hAnsi="宋体"/>
          <w:b/>
          <w:color w:val="auto"/>
          <w:sz w:val="30"/>
          <w:szCs w:val="30"/>
          <w:highlight w:val="none"/>
          <w:lang/>
        </w:rPr>
        <w:instrText xml:space="preserve">HYPERLINK \l "_Toc44755894"</w:instrText>
      </w:r>
      <w:r>
        <w:rPr>
          <w:rStyle w:val="18"/>
          <w:rFonts w:ascii="宋体" w:hAnsi="宋体"/>
          <w:b/>
          <w:color w:val="auto"/>
          <w:sz w:val="30"/>
          <w:szCs w:val="30"/>
          <w:highlight w:val="none"/>
          <w:lang/>
        </w:rPr>
        <w:instrText xml:space="preserve"> </w:instrText>
      </w:r>
      <w:r>
        <w:rPr>
          <w:rFonts w:ascii="宋体" w:hAnsi="宋体"/>
          <w:b/>
          <w:color w:val="auto"/>
          <w:sz w:val="30"/>
          <w:szCs w:val="30"/>
          <w:highlight w:val="none"/>
          <w:lang/>
        </w:rPr>
        <w:fldChar w:fldCharType="separate"/>
      </w:r>
      <w:r>
        <w:rPr>
          <w:rStyle w:val="18"/>
          <w:rFonts w:hint="eastAsia" w:ascii="宋体" w:hAnsi="宋体"/>
          <w:b/>
          <w:color w:val="auto"/>
          <w:sz w:val="30"/>
          <w:szCs w:val="30"/>
          <w:highlight w:val="none"/>
          <w:lang/>
        </w:rPr>
        <w:t>第一章</w:t>
      </w:r>
      <w:r>
        <w:rPr>
          <w:rStyle w:val="18"/>
          <w:rFonts w:ascii="宋体" w:hAnsi="宋体"/>
          <w:b/>
          <w:color w:val="auto"/>
          <w:sz w:val="30"/>
          <w:szCs w:val="30"/>
          <w:highlight w:val="none"/>
          <w:lang/>
        </w:rPr>
        <w:t xml:space="preserve">  </w:t>
      </w:r>
      <w:r>
        <w:rPr>
          <w:rStyle w:val="18"/>
          <w:rFonts w:hint="eastAsia" w:ascii="宋体" w:hAnsi="宋体"/>
          <w:b/>
          <w:color w:val="auto"/>
          <w:sz w:val="30"/>
          <w:szCs w:val="30"/>
          <w:highlight w:val="none"/>
          <w:lang/>
        </w:rPr>
        <w:t>投标邀请</w:t>
      </w:r>
      <w:r>
        <w:rPr>
          <w:rFonts w:ascii="宋体" w:hAnsi="宋体"/>
          <w:b/>
          <w:color w:val="auto"/>
          <w:sz w:val="30"/>
          <w:szCs w:val="30"/>
          <w:highlight w:val="none"/>
          <w:lang/>
        </w:rPr>
        <w:tab/>
      </w:r>
      <w:r>
        <w:rPr>
          <w:rFonts w:ascii="宋体" w:hAnsi="宋体"/>
          <w:b/>
          <w:color w:val="auto"/>
          <w:sz w:val="30"/>
          <w:szCs w:val="30"/>
          <w:highlight w:val="none"/>
          <w:lang/>
        </w:rPr>
        <w:fldChar w:fldCharType="begin"/>
      </w:r>
      <w:r>
        <w:rPr>
          <w:rFonts w:ascii="宋体" w:hAnsi="宋体"/>
          <w:b/>
          <w:color w:val="auto"/>
          <w:sz w:val="30"/>
          <w:szCs w:val="30"/>
          <w:highlight w:val="none"/>
          <w:lang/>
        </w:rPr>
        <w:instrText xml:space="preserve"> PAGEREF _Toc44755894 \h </w:instrText>
      </w:r>
      <w:r>
        <w:rPr>
          <w:rFonts w:ascii="宋体" w:hAnsi="宋体"/>
          <w:b/>
          <w:color w:val="auto"/>
          <w:sz w:val="30"/>
          <w:szCs w:val="30"/>
          <w:highlight w:val="none"/>
          <w:lang/>
        </w:rPr>
        <w:fldChar w:fldCharType="separate"/>
      </w:r>
      <w:r>
        <w:rPr>
          <w:rFonts w:ascii="宋体" w:hAnsi="宋体"/>
          <w:b/>
          <w:color w:val="auto"/>
          <w:sz w:val="30"/>
          <w:szCs w:val="30"/>
          <w:highlight w:val="none"/>
          <w:lang/>
        </w:rPr>
        <w:t>4</w:t>
      </w:r>
      <w:r>
        <w:rPr>
          <w:rFonts w:ascii="宋体" w:hAnsi="宋体"/>
          <w:b/>
          <w:color w:val="auto"/>
          <w:sz w:val="30"/>
          <w:szCs w:val="30"/>
          <w:highlight w:val="none"/>
          <w:lang/>
        </w:rPr>
        <w:fldChar w:fldCharType="end"/>
      </w:r>
      <w:r>
        <w:rPr>
          <w:rFonts w:ascii="宋体" w:hAnsi="宋体"/>
          <w:b/>
          <w:color w:val="auto"/>
          <w:sz w:val="30"/>
          <w:szCs w:val="30"/>
          <w:highlight w:val="none"/>
          <w:lang/>
        </w:rPr>
        <w:fldChar w:fldCharType="end"/>
      </w:r>
    </w:p>
    <w:p>
      <w:pPr>
        <w:pStyle w:val="13"/>
        <w:tabs>
          <w:tab w:val="right" w:leader="dot" w:pos="8720"/>
        </w:tabs>
        <w:rPr>
          <w:rFonts w:ascii="宋体" w:hAnsi="宋体"/>
          <w:b/>
          <w:color w:val="auto"/>
          <w:sz w:val="30"/>
          <w:szCs w:val="30"/>
          <w:highlight w:val="none"/>
          <w:lang/>
        </w:rPr>
      </w:pPr>
      <w:r>
        <w:rPr>
          <w:rFonts w:ascii="宋体" w:hAnsi="宋体"/>
          <w:b/>
          <w:color w:val="auto"/>
          <w:sz w:val="30"/>
          <w:szCs w:val="30"/>
          <w:highlight w:val="none"/>
          <w:lang/>
        </w:rPr>
        <w:fldChar w:fldCharType="begin"/>
      </w:r>
      <w:r>
        <w:rPr>
          <w:rStyle w:val="18"/>
          <w:rFonts w:ascii="宋体" w:hAnsi="宋体"/>
          <w:b/>
          <w:color w:val="auto"/>
          <w:sz w:val="30"/>
          <w:szCs w:val="30"/>
          <w:highlight w:val="none"/>
          <w:lang/>
        </w:rPr>
        <w:instrText xml:space="preserve"> </w:instrText>
      </w:r>
      <w:r>
        <w:rPr>
          <w:rFonts w:ascii="宋体" w:hAnsi="宋体"/>
          <w:b/>
          <w:color w:val="auto"/>
          <w:sz w:val="30"/>
          <w:szCs w:val="30"/>
          <w:highlight w:val="none"/>
          <w:lang/>
        </w:rPr>
        <w:instrText xml:space="preserve">HYPERLINK \l "_Toc44755895"</w:instrText>
      </w:r>
      <w:r>
        <w:rPr>
          <w:rStyle w:val="18"/>
          <w:rFonts w:ascii="宋体" w:hAnsi="宋体"/>
          <w:b/>
          <w:color w:val="auto"/>
          <w:sz w:val="30"/>
          <w:szCs w:val="30"/>
          <w:highlight w:val="none"/>
          <w:lang/>
        </w:rPr>
        <w:instrText xml:space="preserve"> </w:instrText>
      </w:r>
      <w:r>
        <w:rPr>
          <w:rFonts w:ascii="宋体" w:hAnsi="宋体"/>
          <w:b/>
          <w:color w:val="auto"/>
          <w:sz w:val="30"/>
          <w:szCs w:val="30"/>
          <w:highlight w:val="none"/>
          <w:lang/>
        </w:rPr>
        <w:fldChar w:fldCharType="separate"/>
      </w:r>
      <w:r>
        <w:rPr>
          <w:rStyle w:val="18"/>
          <w:rFonts w:hint="eastAsia" w:ascii="宋体" w:hAnsi="宋体"/>
          <w:b/>
          <w:color w:val="auto"/>
          <w:sz w:val="30"/>
          <w:szCs w:val="30"/>
          <w:highlight w:val="none"/>
          <w:lang/>
        </w:rPr>
        <w:t>第二章</w:t>
      </w:r>
      <w:r>
        <w:rPr>
          <w:rStyle w:val="18"/>
          <w:rFonts w:ascii="宋体" w:hAnsi="宋体"/>
          <w:b/>
          <w:color w:val="auto"/>
          <w:sz w:val="30"/>
          <w:szCs w:val="30"/>
          <w:highlight w:val="none"/>
          <w:lang/>
        </w:rPr>
        <w:t xml:space="preserve">  </w:t>
      </w:r>
      <w:r>
        <w:rPr>
          <w:rStyle w:val="18"/>
          <w:rFonts w:hint="eastAsia" w:ascii="宋体" w:hAnsi="宋体"/>
          <w:b/>
          <w:color w:val="auto"/>
          <w:sz w:val="30"/>
          <w:szCs w:val="30"/>
          <w:highlight w:val="none"/>
          <w:lang/>
        </w:rPr>
        <w:t>投标人须知</w:t>
      </w:r>
      <w:r>
        <w:rPr>
          <w:rFonts w:ascii="宋体" w:hAnsi="宋体"/>
          <w:b/>
          <w:color w:val="auto"/>
          <w:sz w:val="30"/>
          <w:szCs w:val="30"/>
          <w:highlight w:val="none"/>
          <w:lang/>
        </w:rPr>
        <w:tab/>
      </w:r>
      <w:r>
        <w:rPr>
          <w:rFonts w:ascii="宋体" w:hAnsi="宋体"/>
          <w:b/>
          <w:color w:val="auto"/>
          <w:sz w:val="30"/>
          <w:szCs w:val="30"/>
          <w:highlight w:val="none"/>
          <w:lang/>
        </w:rPr>
        <w:fldChar w:fldCharType="begin"/>
      </w:r>
      <w:r>
        <w:rPr>
          <w:rFonts w:ascii="宋体" w:hAnsi="宋体"/>
          <w:b/>
          <w:color w:val="auto"/>
          <w:sz w:val="30"/>
          <w:szCs w:val="30"/>
          <w:highlight w:val="none"/>
          <w:lang/>
        </w:rPr>
        <w:instrText xml:space="preserve"> PAGEREF _Toc44755895 \h </w:instrText>
      </w:r>
      <w:r>
        <w:rPr>
          <w:rFonts w:ascii="宋体" w:hAnsi="宋体"/>
          <w:b/>
          <w:color w:val="auto"/>
          <w:sz w:val="30"/>
          <w:szCs w:val="30"/>
          <w:highlight w:val="none"/>
          <w:lang/>
        </w:rPr>
        <w:fldChar w:fldCharType="separate"/>
      </w:r>
      <w:r>
        <w:rPr>
          <w:rFonts w:ascii="宋体" w:hAnsi="宋体"/>
          <w:b/>
          <w:color w:val="auto"/>
          <w:sz w:val="30"/>
          <w:szCs w:val="30"/>
          <w:highlight w:val="none"/>
          <w:lang/>
        </w:rPr>
        <w:t>7</w:t>
      </w:r>
      <w:r>
        <w:rPr>
          <w:rFonts w:ascii="宋体" w:hAnsi="宋体"/>
          <w:b/>
          <w:color w:val="auto"/>
          <w:sz w:val="30"/>
          <w:szCs w:val="30"/>
          <w:highlight w:val="none"/>
          <w:lang/>
        </w:rPr>
        <w:fldChar w:fldCharType="end"/>
      </w:r>
      <w:r>
        <w:rPr>
          <w:rFonts w:ascii="宋体" w:hAnsi="宋体"/>
          <w:b/>
          <w:color w:val="auto"/>
          <w:sz w:val="30"/>
          <w:szCs w:val="30"/>
          <w:highlight w:val="none"/>
          <w:lang/>
        </w:rPr>
        <w:fldChar w:fldCharType="end"/>
      </w:r>
    </w:p>
    <w:p>
      <w:pPr>
        <w:pStyle w:val="13"/>
        <w:tabs>
          <w:tab w:val="right" w:leader="dot" w:pos="8720"/>
        </w:tabs>
        <w:rPr>
          <w:rFonts w:ascii="宋体" w:hAnsi="宋体"/>
          <w:b/>
          <w:color w:val="auto"/>
          <w:sz w:val="30"/>
          <w:szCs w:val="30"/>
          <w:highlight w:val="none"/>
          <w:lang/>
        </w:rPr>
      </w:pPr>
      <w:r>
        <w:rPr>
          <w:rFonts w:ascii="宋体" w:hAnsi="宋体"/>
          <w:b/>
          <w:color w:val="auto"/>
          <w:sz w:val="30"/>
          <w:szCs w:val="30"/>
          <w:highlight w:val="none"/>
          <w:lang/>
        </w:rPr>
        <w:fldChar w:fldCharType="begin"/>
      </w:r>
      <w:r>
        <w:rPr>
          <w:rStyle w:val="18"/>
          <w:rFonts w:ascii="宋体" w:hAnsi="宋体"/>
          <w:b/>
          <w:color w:val="auto"/>
          <w:sz w:val="30"/>
          <w:szCs w:val="30"/>
          <w:highlight w:val="none"/>
          <w:lang/>
        </w:rPr>
        <w:instrText xml:space="preserve"> </w:instrText>
      </w:r>
      <w:r>
        <w:rPr>
          <w:rFonts w:ascii="宋体" w:hAnsi="宋体"/>
          <w:b/>
          <w:color w:val="auto"/>
          <w:sz w:val="30"/>
          <w:szCs w:val="30"/>
          <w:highlight w:val="none"/>
          <w:lang/>
        </w:rPr>
        <w:instrText xml:space="preserve">HYPERLINK \l "_Toc44755896"</w:instrText>
      </w:r>
      <w:r>
        <w:rPr>
          <w:rStyle w:val="18"/>
          <w:rFonts w:ascii="宋体" w:hAnsi="宋体"/>
          <w:b/>
          <w:color w:val="auto"/>
          <w:sz w:val="30"/>
          <w:szCs w:val="30"/>
          <w:highlight w:val="none"/>
          <w:lang/>
        </w:rPr>
        <w:instrText xml:space="preserve"> </w:instrText>
      </w:r>
      <w:r>
        <w:rPr>
          <w:rFonts w:ascii="宋体" w:hAnsi="宋体"/>
          <w:b/>
          <w:color w:val="auto"/>
          <w:sz w:val="30"/>
          <w:szCs w:val="30"/>
          <w:highlight w:val="none"/>
          <w:lang/>
        </w:rPr>
        <w:fldChar w:fldCharType="separate"/>
      </w:r>
      <w:r>
        <w:rPr>
          <w:rStyle w:val="18"/>
          <w:rFonts w:hint="eastAsia" w:ascii="宋体" w:hAnsi="宋体"/>
          <w:b/>
          <w:color w:val="auto"/>
          <w:sz w:val="30"/>
          <w:szCs w:val="30"/>
          <w:highlight w:val="none"/>
          <w:lang/>
        </w:rPr>
        <w:t>第三章</w:t>
      </w:r>
      <w:r>
        <w:rPr>
          <w:rStyle w:val="18"/>
          <w:rFonts w:ascii="宋体" w:hAnsi="宋体"/>
          <w:b/>
          <w:color w:val="auto"/>
          <w:sz w:val="30"/>
          <w:szCs w:val="30"/>
          <w:highlight w:val="none"/>
          <w:lang/>
        </w:rPr>
        <w:t xml:space="preserve">  </w:t>
      </w:r>
      <w:r>
        <w:rPr>
          <w:rStyle w:val="18"/>
          <w:rFonts w:hint="eastAsia" w:ascii="宋体" w:hAnsi="宋体"/>
          <w:b/>
          <w:color w:val="auto"/>
          <w:sz w:val="30"/>
          <w:szCs w:val="30"/>
          <w:highlight w:val="none"/>
          <w:lang/>
        </w:rPr>
        <w:t>评标办法</w:t>
      </w:r>
      <w:r>
        <w:rPr>
          <w:rFonts w:ascii="宋体" w:hAnsi="宋体"/>
          <w:b/>
          <w:color w:val="auto"/>
          <w:sz w:val="30"/>
          <w:szCs w:val="30"/>
          <w:highlight w:val="none"/>
          <w:lang/>
        </w:rPr>
        <w:tab/>
      </w:r>
      <w:r>
        <w:rPr>
          <w:rFonts w:ascii="宋体" w:hAnsi="宋体"/>
          <w:b/>
          <w:color w:val="auto"/>
          <w:sz w:val="30"/>
          <w:szCs w:val="30"/>
          <w:highlight w:val="none"/>
          <w:lang/>
        </w:rPr>
        <w:fldChar w:fldCharType="begin"/>
      </w:r>
      <w:r>
        <w:rPr>
          <w:rFonts w:ascii="宋体" w:hAnsi="宋体"/>
          <w:b/>
          <w:color w:val="auto"/>
          <w:sz w:val="30"/>
          <w:szCs w:val="30"/>
          <w:highlight w:val="none"/>
          <w:lang/>
        </w:rPr>
        <w:instrText xml:space="preserve"> PAGEREF _Toc44755896 \h </w:instrText>
      </w:r>
      <w:r>
        <w:rPr>
          <w:rFonts w:ascii="宋体" w:hAnsi="宋体"/>
          <w:b/>
          <w:color w:val="auto"/>
          <w:sz w:val="30"/>
          <w:szCs w:val="30"/>
          <w:highlight w:val="none"/>
          <w:lang/>
        </w:rPr>
        <w:fldChar w:fldCharType="separate"/>
      </w:r>
      <w:r>
        <w:rPr>
          <w:rFonts w:ascii="宋体" w:hAnsi="宋体"/>
          <w:b/>
          <w:color w:val="auto"/>
          <w:sz w:val="30"/>
          <w:szCs w:val="30"/>
          <w:highlight w:val="none"/>
          <w:lang/>
        </w:rPr>
        <w:t>23</w:t>
      </w:r>
      <w:r>
        <w:rPr>
          <w:rFonts w:ascii="宋体" w:hAnsi="宋体"/>
          <w:b/>
          <w:color w:val="auto"/>
          <w:sz w:val="30"/>
          <w:szCs w:val="30"/>
          <w:highlight w:val="none"/>
          <w:lang/>
        </w:rPr>
        <w:fldChar w:fldCharType="end"/>
      </w:r>
      <w:r>
        <w:rPr>
          <w:rFonts w:ascii="宋体" w:hAnsi="宋体"/>
          <w:b/>
          <w:color w:val="auto"/>
          <w:sz w:val="30"/>
          <w:szCs w:val="30"/>
          <w:highlight w:val="none"/>
          <w:lang/>
        </w:rPr>
        <w:fldChar w:fldCharType="end"/>
      </w:r>
    </w:p>
    <w:p>
      <w:pPr>
        <w:pStyle w:val="13"/>
        <w:tabs>
          <w:tab w:val="right" w:leader="dot" w:pos="8720"/>
        </w:tabs>
        <w:rPr>
          <w:rFonts w:ascii="宋体" w:hAnsi="宋体"/>
          <w:b/>
          <w:color w:val="auto"/>
          <w:sz w:val="30"/>
          <w:szCs w:val="30"/>
          <w:highlight w:val="none"/>
          <w:lang/>
        </w:rPr>
      </w:pPr>
      <w:r>
        <w:rPr>
          <w:rFonts w:ascii="宋体" w:hAnsi="宋体"/>
          <w:b/>
          <w:color w:val="auto"/>
          <w:sz w:val="30"/>
          <w:szCs w:val="30"/>
          <w:highlight w:val="none"/>
          <w:lang/>
        </w:rPr>
        <w:fldChar w:fldCharType="begin"/>
      </w:r>
      <w:r>
        <w:rPr>
          <w:rStyle w:val="18"/>
          <w:rFonts w:ascii="宋体" w:hAnsi="宋体"/>
          <w:b/>
          <w:color w:val="auto"/>
          <w:sz w:val="30"/>
          <w:szCs w:val="30"/>
          <w:highlight w:val="none"/>
          <w:lang/>
        </w:rPr>
        <w:instrText xml:space="preserve"> </w:instrText>
      </w:r>
      <w:r>
        <w:rPr>
          <w:rFonts w:ascii="宋体" w:hAnsi="宋体"/>
          <w:b/>
          <w:color w:val="auto"/>
          <w:sz w:val="30"/>
          <w:szCs w:val="30"/>
          <w:highlight w:val="none"/>
          <w:lang/>
        </w:rPr>
        <w:instrText xml:space="preserve">HYPERLINK \l "_Toc44755897"</w:instrText>
      </w:r>
      <w:r>
        <w:rPr>
          <w:rStyle w:val="18"/>
          <w:rFonts w:ascii="宋体" w:hAnsi="宋体"/>
          <w:b/>
          <w:color w:val="auto"/>
          <w:sz w:val="30"/>
          <w:szCs w:val="30"/>
          <w:highlight w:val="none"/>
          <w:lang/>
        </w:rPr>
        <w:instrText xml:space="preserve"> </w:instrText>
      </w:r>
      <w:r>
        <w:rPr>
          <w:rFonts w:ascii="宋体" w:hAnsi="宋体"/>
          <w:b/>
          <w:color w:val="auto"/>
          <w:sz w:val="30"/>
          <w:szCs w:val="30"/>
          <w:highlight w:val="none"/>
          <w:lang/>
        </w:rPr>
        <w:fldChar w:fldCharType="separate"/>
      </w:r>
      <w:r>
        <w:rPr>
          <w:rStyle w:val="18"/>
          <w:rFonts w:hint="eastAsia" w:ascii="宋体" w:hAnsi="宋体"/>
          <w:b/>
          <w:color w:val="auto"/>
          <w:sz w:val="30"/>
          <w:szCs w:val="30"/>
          <w:highlight w:val="none"/>
          <w:lang/>
        </w:rPr>
        <w:t>第四章</w:t>
      </w:r>
      <w:r>
        <w:rPr>
          <w:rStyle w:val="18"/>
          <w:rFonts w:ascii="宋体" w:hAnsi="宋体"/>
          <w:b/>
          <w:color w:val="auto"/>
          <w:sz w:val="30"/>
          <w:szCs w:val="30"/>
          <w:highlight w:val="none"/>
          <w:lang/>
        </w:rPr>
        <w:t xml:space="preserve">  </w:t>
      </w:r>
      <w:r>
        <w:rPr>
          <w:rStyle w:val="18"/>
          <w:rFonts w:hint="eastAsia" w:ascii="宋体" w:hAnsi="宋体"/>
          <w:b/>
          <w:color w:val="auto"/>
          <w:sz w:val="30"/>
          <w:szCs w:val="30"/>
          <w:highlight w:val="none"/>
          <w:lang/>
        </w:rPr>
        <w:t>招标内容及需求</w:t>
      </w:r>
      <w:r>
        <w:rPr>
          <w:rFonts w:ascii="宋体" w:hAnsi="宋体"/>
          <w:b/>
          <w:color w:val="auto"/>
          <w:sz w:val="30"/>
          <w:szCs w:val="30"/>
          <w:highlight w:val="none"/>
          <w:lang/>
        </w:rPr>
        <w:tab/>
      </w:r>
      <w:r>
        <w:rPr>
          <w:rFonts w:ascii="宋体" w:hAnsi="宋体"/>
          <w:b/>
          <w:color w:val="auto"/>
          <w:sz w:val="30"/>
          <w:szCs w:val="30"/>
          <w:highlight w:val="none"/>
          <w:lang/>
        </w:rPr>
        <w:fldChar w:fldCharType="begin"/>
      </w:r>
      <w:r>
        <w:rPr>
          <w:rFonts w:ascii="宋体" w:hAnsi="宋体"/>
          <w:b/>
          <w:color w:val="auto"/>
          <w:sz w:val="30"/>
          <w:szCs w:val="30"/>
          <w:highlight w:val="none"/>
          <w:lang/>
        </w:rPr>
        <w:instrText xml:space="preserve"> PAGEREF _Toc44755897 \h </w:instrText>
      </w:r>
      <w:r>
        <w:rPr>
          <w:rFonts w:ascii="宋体" w:hAnsi="宋体"/>
          <w:b/>
          <w:color w:val="auto"/>
          <w:sz w:val="30"/>
          <w:szCs w:val="30"/>
          <w:highlight w:val="none"/>
          <w:lang/>
        </w:rPr>
        <w:fldChar w:fldCharType="separate"/>
      </w:r>
      <w:r>
        <w:rPr>
          <w:rFonts w:ascii="宋体" w:hAnsi="宋体"/>
          <w:b/>
          <w:color w:val="auto"/>
          <w:sz w:val="30"/>
          <w:szCs w:val="30"/>
          <w:highlight w:val="none"/>
          <w:lang/>
        </w:rPr>
        <w:t>29</w:t>
      </w:r>
      <w:r>
        <w:rPr>
          <w:rFonts w:ascii="宋体" w:hAnsi="宋体"/>
          <w:b/>
          <w:color w:val="auto"/>
          <w:sz w:val="30"/>
          <w:szCs w:val="30"/>
          <w:highlight w:val="none"/>
          <w:lang/>
        </w:rPr>
        <w:fldChar w:fldCharType="end"/>
      </w:r>
      <w:r>
        <w:rPr>
          <w:rFonts w:ascii="宋体" w:hAnsi="宋体"/>
          <w:b/>
          <w:color w:val="auto"/>
          <w:sz w:val="30"/>
          <w:szCs w:val="30"/>
          <w:highlight w:val="none"/>
          <w:lang/>
        </w:rPr>
        <w:fldChar w:fldCharType="end"/>
      </w:r>
    </w:p>
    <w:p>
      <w:pPr>
        <w:pStyle w:val="13"/>
        <w:tabs>
          <w:tab w:val="right" w:leader="dot" w:pos="8720"/>
        </w:tabs>
        <w:rPr>
          <w:rFonts w:ascii="宋体" w:hAnsi="宋体"/>
          <w:b/>
          <w:color w:val="auto"/>
          <w:sz w:val="30"/>
          <w:szCs w:val="30"/>
          <w:highlight w:val="none"/>
          <w:lang/>
        </w:rPr>
      </w:pPr>
      <w:r>
        <w:rPr>
          <w:rFonts w:ascii="宋体" w:hAnsi="宋体"/>
          <w:b/>
          <w:color w:val="auto"/>
          <w:sz w:val="30"/>
          <w:szCs w:val="30"/>
          <w:highlight w:val="none"/>
          <w:lang/>
        </w:rPr>
        <w:fldChar w:fldCharType="begin"/>
      </w:r>
      <w:r>
        <w:rPr>
          <w:rStyle w:val="18"/>
          <w:rFonts w:ascii="宋体" w:hAnsi="宋体"/>
          <w:b/>
          <w:color w:val="auto"/>
          <w:sz w:val="30"/>
          <w:szCs w:val="30"/>
          <w:highlight w:val="none"/>
          <w:lang/>
        </w:rPr>
        <w:instrText xml:space="preserve"> </w:instrText>
      </w:r>
      <w:r>
        <w:rPr>
          <w:rFonts w:ascii="宋体" w:hAnsi="宋体"/>
          <w:b/>
          <w:color w:val="auto"/>
          <w:sz w:val="30"/>
          <w:szCs w:val="30"/>
          <w:highlight w:val="none"/>
          <w:lang/>
        </w:rPr>
        <w:instrText xml:space="preserve">HYPERLINK \l "_Toc44755898"</w:instrText>
      </w:r>
      <w:r>
        <w:rPr>
          <w:rStyle w:val="18"/>
          <w:rFonts w:ascii="宋体" w:hAnsi="宋体"/>
          <w:b/>
          <w:color w:val="auto"/>
          <w:sz w:val="30"/>
          <w:szCs w:val="30"/>
          <w:highlight w:val="none"/>
          <w:lang/>
        </w:rPr>
        <w:instrText xml:space="preserve"> </w:instrText>
      </w:r>
      <w:r>
        <w:rPr>
          <w:rFonts w:ascii="宋体" w:hAnsi="宋体"/>
          <w:b/>
          <w:color w:val="auto"/>
          <w:sz w:val="30"/>
          <w:szCs w:val="30"/>
          <w:highlight w:val="none"/>
          <w:lang/>
        </w:rPr>
        <w:fldChar w:fldCharType="separate"/>
      </w:r>
      <w:r>
        <w:rPr>
          <w:rStyle w:val="18"/>
          <w:rFonts w:hint="eastAsia" w:ascii="宋体" w:hAnsi="宋体"/>
          <w:b/>
          <w:color w:val="auto"/>
          <w:sz w:val="30"/>
          <w:szCs w:val="30"/>
          <w:highlight w:val="none"/>
          <w:lang/>
        </w:rPr>
        <w:t>第五章</w:t>
      </w:r>
      <w:r>
        <w:rPr>
          <w:rStyle w:val="18"/>
          <w:rFonts w:ascii="宋体" w:hAnsi="宋体"/>
          <w:b/>
          <w:color w:val="auto"/>
          <w:sz w:val="30"/>
          <w:szCs w:val="30"/>
          <w:highlight w:val="none"/>
          <w:lang/>
        </w:rPr>
        <w:t xml:space="preserve">  </w:t>
      </w:r>
      <w:r>
        <w:rPr>
          <w:rStyle w:val="18"/>
          <w:rFonts w:hint="eastAsia" w:ascii="宋体" w:hAnsi="宋体"/>
          <w:b/>
          <w:bCs/>
          <w:color w:val="auto"/>
          <w:sz w:val="30"/>
          <w:szCs w:val="30"/>
          <w:highlight w:val="none"/>
          <w:lang/>
        </w:rPr>
        <w:t>合同主要条款</w:t>
      </w:r>
      <w:r>
        <w:rPr>
          <w:rFonts w:ascii="宋体" w:hAnsi="宋体"/>
          <w:b/>
          <w:color w:val="auto"/>
          <w:sz w:val="30"/>
          <w:szCs w:val="30"/>
          <w:highlight w:val="none"/>
          <w:lang/>
        </w:rPr>
        <w:tab/>
      </w:r>
      <w:r>
        <w:rPr>
          <w:rFonts w:ascii="宋体" w:hAnsi="宋体"/>
          <w:b/>
          <w:color w:val="auto"/>
          <w:sz w:val="30"/>
          <w:szCs w:val="30"/>
          <w:highlight w:val="none"/>
          <w:lang/>
        </w:rPr>
        <w:fldChar w:fldCharType="begin"/>
      </w:r>
      <w:r>
        <w:rPr>
          <w:rFonts w:ascii="宋体" w:hAnsi="宋体"/>
          <w:b/>
          <w:color w:val="auto"/>
          <w:sz w:val="30"/>
          <w:szCs w:val="30"/>
          <w:highlight w:val="none"/>
          <w:lang/>
        </w:rPr>
        <w:instrText xml:space="preserve"> PAGEREF _Toc44755898 \h </w:instrText>
      </w:r>
      <w:r>
        <w:rPr>
          <w:rFonts w:ascii="宋体" w:hAnsi="宋体"/>
          <w:b/>
          <w:color w:val="auto"/>
          <w:sz w:val="30"/>
          <w:szCs w:val="30"/>
          <w:highlight w:val="none"/>
          <w:lang/>
        </w:rPr>
        <w:fldChar w:fldCharType="separate"/>
      </w:r>
      <w:r>
        <w:rPr>
          <w:rFonts w:ascii="宋体" w:hAnsi="宋体"/>
          <w:b/>
          <w:color w:val="auto"/>
          <w:sz w:val="30"/>
          <w:szCs w:val="30"/>
          <w:highlight w:val="none"/>
          <w:lang/>
        </w:rPr>
        <w:t>77</w:t>
      </w:r>
      <w:r>
        <w:rPr>
          <w:rFonts w:ascii="宋体" w:hAnsi="宋体"/>
          <w:b/>
          <w:color w:val="auto"/>
          <w:sz w:val="30"/>
          <w:szCs w:val="30"/>
          <w:highlight w:val="none"/>
          <w:lang/>
        </w:rPr>
        <w:fldChar w:fldCharType="end"/>
      </w:r>
      <w:r>
        <w:rPr>
          <w:rFonts w:ascii="宋体" w:hAnsi="宋体"/>
          <w:b/>
          <w:color w:val="auto"/>
          <w:sz w:val="30"/>
          <w:szCs w:val="30"/>
          <w:highlight w:val="none"/>
          <w:lang/>
        </w:rPr>
        <w:fldChar w:fldCharType="end"/>
      </w:r>
    </w:p>
    <w:p>
      <w:pPr>
        <w:pStyle w:val="13"/>
        <w:tabs>
          <w:tab w:val="right" w:leader="dot" w:pos="8720"/>
        </w:tabs>
        <w:rPr>
          <w:rFonts w:ascii="宋体" w:hAnsi="宋体"/>
          <w:b/>
          <w:color w:val="auto"/>
          <w:sz w:val="30"/>
          <w:szCs w:val="30"/>
          <w:highlight w:val="none"/>
          <w:lang/>
        </w:rPr>
      </w:pPr>
      <w:r>
        <w:rPr>
          <w:rFonts w:ascii="宋体" w:hAnsi="宋体"/>
          <w:b/>
          <w:color w:val="auto"/>
          <w:sz w:val="30"/>
          <w:szCs w:val="30"/>
          <w:highlight w:val="none"/>
          <w:lang/>
        </w:rPr>
        <w:fldChar w:fldCharType="begin"/>
      </w:r>
      <w:r>
        <w:rPr>
          <w:rStyle w:val="18"/>
          <w:rFonts w:ascii="宋体" w:hAnsi="宋体"/>
          <w:b/>
          <w:color w:val="auto"/>
          <w:sz w:val="30"/>
          <w:szCs w:val="30"/>
          <w:highlight w:val="none"/>
          <w:lang/>
        </w:rPr>
        <w:instrText xml:space="preserve"> </w:instrText>
      </w:r>
      <w:r>
        <w:rPr>
          <w:rFonts w:ascii="宋体" w:hAnsi="宋体"/>
          <w:b/>
          <w:color w:val="auto"/>
          <w:sz w:val="30"/>
          <w:szCs w:val="30"/>
          <w:highlight w:val="none"/>
          <w:lang/>
        </w:rPr>
        <w:instrText xml:space="preserve">HYPERLINK \l "_Toc44755899"</w:instrText>
      </w:r>
      <w:r>
        <w:rPr>
          <w:rStyle w:val="18"/>
          <w:rFonts w:ascii="宋体" w:hAnsi="宋体"/>
          <w:b/>
          <w:color w:val="auto"/>
          <w:sz w:val="30"/>
          <w:szCs w:val="30"/>
          <w:highlight w:val="none"/>
          <w:lang/>
        </w:rPr>
        <w:instrText xml:space="preserve"> </w:instrText>
      </w:r>
      <w:r>
        <w:rPr>
          <w:rFonts w:ascii="宋体" w:hAnsi="宋体"/>
          <w:b/>
          <w:color w:val="auto"/>
          <w:sz w:val="30"/>
          <w:szCs w:val="30"/>
          <w:highlight w:val="none"/>
          <w:lang/>
        </w:rPr>
        <w:fldChar w:fldCharType="separate"/>
      </w:r>
      <w:r>
        <w:rPr>
          <w:rStyle w:val="18"/>
          <w:rFonts w:hint="eastAsia" w:ascii="宋体" w:hAnsi="宋体"/>
          <w:b/>
          <w:color w:val="auto"/>
          <w:sz w:val="30"/>
          <w:szCs w:val="30"/>
          <w:highlight w:val="none"/>
          <w:lang/>
        </w:rPr>
        <w:t>第六章　投标文件格式</w:t>
      </w:r>
      <w:r>
        <w:rPr>
          <w:rFonts w:ascii="宋体" w:hAnsi="宋体"/>
          <w:b/>
          <w:color w:val="auto"/>
          <w:sz w:val="30"/>
          <w:szCs w:val="30"/>
          <w:highlight w:val="none"/>
          <w:lang/>
        </w:rPr>
        <w:tab/>
      </w:r>
      <w:r>
        <w:rPr>
          <w:rFonts w:ascii="宋体" w:hAnsi="宋体"/>
          <w:b/>
          <w:color w:val="auto"/>
          <w:sz w:val="30"/>
          <w:szCs w:val="30"/>
          <w:highlight w:val="none"/>
          <w:lang/>
        </w:rPr>
        <w:fldChar w:fldCharType="begin"/>
      </w:r>
      <w:r>
        <w:rPr>
          <w:rFonts w:ascii="宋体" w:hAnsi="宋体"/>
          <w:b/>
          <w:color w:val="auto"/>
          <w:sz w:val="30"/>
          <w:szCs w:val="30"/>
          <w:highlight w:val="none"/>
          <w:lang/>
        </w:rPr>
        <w:instrText xml:space="preserve"> PAGEREF _Toc44755899 \h </w:instrText>
      </w:r>
      <w:r>
        <w:rPr>
          <w:rFonts w:ascii="宋体" w:hAnsi="宋体"/>
          <w:b/>
          <w:color w:val="auto"/>
          <w:sz w:val="30"/>
          <w:szCs w:val="30"/>
          <w:highlight w:val="none"/>
          <w:lang/>
        </w:rPr>
        <w:fldChar w:fldCharType="separate"/>
      </w:r>
      <w:r>
        <w:rPr>
          <w:rFonts w:ascii="宋体" w:hAnsi="宋体"/>
          <w:b/>
          <w:color w:val="auto"/>
          <w:sz w:val="30"/>
          <w:szCs w:val="30"/>
          <w:highlight w:val="none"/>
          <w:lang/>
        </w:rPr>
        <w:t>84</w:t>
      </w:r>
      <w:r>
        <w:rPr>
          <w:rFonts w:ascii="宋体" w:hAnsi="宋体"/>
          <w:b/>
          <w:color w:val="auto"/>
          <w:sz w:val="30"/>
          <w:szCs w:val="30"/>
          <w:highlight w:val="none"/>
          <w:lang/>
        </w:rPr>
        <w:fldChar w:fldCharType="end"/>
      </w:r>
      <w:r>
        <w:rPr>
          <w:rFonts w:ascii="宋体" w:hAnsi="宋体"/>
          <w:b/>
          <w:color w:val="auto"/>
          <w:sz w:val="30"/>
          <w:szCs w:val="30"/>
          <w:highlight w:val="none"/>
          <w:lang/>
        </w:rPr>
        <w:fldChar w:fldCharType="end"/>
      </w:r>
    </w:p>
    <w:p>
      <w:pPr>
        <w:pStyle w:val="9"/>
        <w:spacing w:line="360" w:lineRule="auto"/>
        <w:rPr>
          <w:rFonts w:hint="eastAsia" w:ascii="创艺简标宋" w:hAnsi="宋体" w:eastAsia="创艺简标宋"/>
          <w:color w:val="auto"/>
          <w:sz w:val="44"/>
          <w:szCs w:val="44"/>
          <w:highlight w:val="none"/>
        </w:rPr>
      </w:pPr>
      <w:r>
        <w:rPr>
          <w:rFonts w:ascii="创艺简标宋" w:hAnsi="宋体" w:eastAsia="创艺简标宋"/>
          <w:b/>
          <w:color w:val="auto"/>
          <w:sz w:val="30"/>
          <w:szCs w:val="30"/>
          <w:highlight w:val="none"/>
        </w:rPr>
        <w:fldChar w:fldCharType="end"/>
      </w:r>
    </w:p>
    <w:p>
      <w:pPr>
        <w:pStyle w:val="9"/>
        <w:spacing w:before="624" w:beforeLines="200" w:after="312" w:afterLines="100" w:line="360" w:lineRule="auto"/>
        <w:jc w:val="center"/>
        <w:outlineLvl w:val="0"/>
        <w:rPr>
          <w:rFonts w:hint="eastAsia" w:ascii="黑体" w:hAnsi="宋体" w:eastAsia="黑体"/>
          <w:color w:val="auto"/>
          <w:sz w:val="36"/>
          <w:szCs w:val="36"/>
          <w:highlight w:val="none"/>
        </w:rPr>
      </w:pPr>
      <w:r>
        <w:rPr>
          <w:rFonts w:hint="eastAsia" w:ascii="黑体" w:hAnsi="宋体" w:eastAsia="黑体"/>
          <w:color w:val="auto"/>
          <w:sz w:val="36"/>
          <w:szCs w:val="36"/>
          <w:highlight w:val="none"/>
        </w:rPr>
        <w:br w:type="page"/>
      </w:r>
      <w:bookmarkStart w:id="0" w:name="_Toc44755893"/>
      <w:r>
        <w:rPr>
          <w:rFonts w:hint="eastAsia" w:ascii="黑体" w:hAnsi="宋体" w:eastAsia="黑体"/>
          <w:color w:val="auto"/>
          <w:sz w:val="36"/>
          <w:szCs w:val="36"/>
          <w:highlight w:val="none"/>
        </w:rPr>
        <w:t>电子交易须知</w:t>
      </w:r>
      <w:bookmarkEnd w:id="0"/>
    </w:p>
    <w:p>
      <w:pPr>
        <w:pStyle w:val="9"/>
        <w:wordWrap w:val="0"/>
        <w:spacing w:line="360" w:lineRule="auto"/>
        <w:ind w:firstLine="480" w:firstLineChars="200"/>
        <w:jc w:val="left"/>
        <w:rPr>
          <w:rFonts w:hint="eastAsia" w:ascii="黑体" w:hAnsi="宋体" w:eastAsia="黑体"/>
          <w:color w:val="auto"/>
          <w:highlight w:val="none"/>
        </w:rPr>
      </w:pPr>
      <w:r>
        <w:rPr>
          <w:rFonts w:hint="eastAsia" w:ascii="黑体" w:hAnsi="宋体" w:eastAsia="黑体"/>
          <w:color w:val="auto"/>
          <w:highlight w:val="none"/>
        </w:rPr>
        <w:t>1、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w:t>
      </w:r>
    </w:p>
    <w:p>
      <w:pPr>
        <w:pStyle w:val="9"/>
        <w:wordWrap w:val="0"/>
        <w:spacing w:line="360" w:lineRule="auto"/>
        <w:ind w:firstLine="480" w:firstLineChars="200"/>
        <w:jc w:val="left"/>
        <w:rPr>
          <w:rFonts w:hint="eastAsia" w:ascii="黑体" w:hAnsi="宋体" w:eastAsia="黑体"/>
          <w:color w:val="auto"/>
          <w:highlight w:val="none"/>
        </w:rPr>
      </w:pPr>
      <w:r>
        <w:rPr>
          <w:rFonts w:hint="eastAsia" w:ascii="黑体" w:hAnsi="宋体" w:eastAsia="黑体"/>
          <w:color w:val="auto"/>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pPr>
        <w:pStyle w:val="9"/>
        <w:wordWrap w:val="0"/>
        <w:spacing w:line="360" w:lineRule="auto"/>
        <w:ind w:firstLine="480" w:firstLineChars="200"/>
        <w:jc w:val="left"/>
        <w:rPr>
          <w:rFonts w:hint="eastAsia" w:ascii="黑体" w:hAnsi="宋体" w:eastAsia="黑体"/>
          <w:color w:val="auto"/>
          <w:highlight w:val="none"/>
        </w:rPr>
      </w:pPr>
      <w:r>
        <w:rPr>
          <w:rFonts w:hint="eastAsia" w:ascii="黑体" w:hAnsi="宋体" w:eastAsia="黑体"/>
          <w:color w:val="auto"/>
          <w:highlight w:val="none"/>
        </w:rPr>
        <w:t>3、供应商应当在投标截止时间前，将“电子交易客户端”生成的“电子加密投标文件”上传电子交易平台。</w:t>
      </w:r>
    </w:p>
    <w:p>
      <w:pPr>
        <w:pStyle w:val="9"/>
        <w:wordWrap w:val="0"/>
        <w:spacing w:line="360" w:lineRule="auto"/>
        <w:ind w:firstLine="480" w:firstLineChars="200"/>
        <w:jc w:val="left"/>
        <w:rPr>
          <w:rFonts w:hint="eastAsia" w:ascii="黑体" w:hAnsi="宋体" w:eastAsia="黑体"/>
          <w:color w:val="auto"/>
          <w:highlight w:val="none"/>
        </w:rPr>
      </w:pPr>
      <w:r>
        <w:rPr>
          <w:rFonts w:hint="eastAsia" w:ascii="黑体" w:hAnsi="宋体" w:eastAsia="黑体"/>
          <w:color w:val="auto"/>
          <w:highlight w:val="none"/>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pPr>
        <w:pStyle w:val="9"/>
        <w:wordWrap w:val="0"/>
        <w:spacing w:line="360" w:lineRule="auto"/>
        <w:ind w:firstLine="480" w:firstLineChars="200"/>
        <w:jc w:val="left"/>
        <w:rPr>
          <w:rFonts w:hint="eastAsia" w:ascii="黑体" w:hAnsi="宋体" w:eastAsia="黑体"/>
          <w:color w:val="auto"/>
          <w:highlight w:val="none"/>
        </w:rPr>
      </w:pPr>
      <w:r>
        <w:rPr>
          <w:rFonts w:hint="eastAsia" w:ascii="黑体" w:hAnsi="宋体" w:eastAsia="黑体"/>
          <w:color w:val="auto"/>
          <w:highlight w:val="none"/>
        </w:rPr>
        <w:t>5、开标时，通过“政府采购云平台”递交的“电子加密投标文件”如无法按时解密的，如供应商提交了“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供应商未按规定递交“电子备份投标文件”的，视为投标文件撤回。未上传“电子加密投标文件”，仅提交“电子备份投标文件”的，投标无效。</w:t>
      </w:r>
    </w:p>
    <w:p>
      <w:pPr>
        <w:pStyle w:val="9"/>
        <w:wordWrap w:val="0"/>
        <w:snapToGrid w:val="0"/>
        <w:spacing w:line="360" w:lineRule="auto"/>
        <w:jc w:val="center"/>
        <w:rPr>
          <w:rFonts w:hint="eastAsia" w:ascii="黑体" w:hAnsi="宋体" w:eastAsia="黑体"/>
          <w:color w:val="auto"/>
          <w:sz w:val="21"/>
          <w:szCs w:val="21"/>
          <w:highlight w:val="none"/>
        </w:rPr>
      </w:pPr>
      <w:r>
        <w:rPr>
          <w:rFonts w:hint="eastAsia" w:ascii="黑体" w:hAnsi="宋体" w:eastAsia="黑体"/>
          <w:color w:val="auto"/>
          <w:highlight w:val="none"/>
        </w:rPr>
        <w:t xml:space="preserve">    </w:t>
      </w:r>
      <w:bookmarkStart w:id="1" w:name="_Toc19947"/>
      <w:r>
        <w:rPr>
          <w:rFonts w:hint="eastAsia" w:ascii="黑体" w:hAnsi="宋体" w:eastAsia="黑体"/>
          <w:color w:val="auto"/>
          <w:highlight w:val="none"/>
        </w:rPr>
        <w:t>6、供应商在参加电子交易过程中,可登录电子交易平台“帮助文档”版面获取《电子交易管理操作指南》，或致电平台400-881-7190获取相关服务支持。</w:t>
      </w:r>
      <w:r>
        <w:rPr>
          <w:rFonts w:ascii="黑体" w:hAnsi="宋体" w:eastAsia="黑体"/>
          <w:color w:val="auto"/>
          <w:sz w:val="21"/>
          <w:szCs w:val="21"/>
          <w:highlight w:val="none"/>
        </w:rPr>
        <w:br w:type="page"/>
      </w:r>
      <w:bookmarkEnd w:id="1"/>
    </w:p>
    <w:p>
      <w:pPr>
        <w:pStyle w:val="9"/>
        <w:snapToGrid w:val="0"/>
        <w:spacing w:line="360" w:lineRule="auto"/>
        <w:jc w:val="center"/>
        <w:outlineLvl w:val="0"/>
        <w:rPr>
          <w:rFonts w:hint="eastAsia" w:ascii="黑体" w:hAnsi="宋体" w:eastAsia="黑体"/>
          <w:color w:val="auto"/>
          <w:sz w:val="30"/>
          <w:szCs w:val="30"/>
          <w:highlight w:val="none"/>
        </w:rPr>
      </w:pPr>
      <w:bookmarkStart w:id="2" w:name="_Toc4685"/>
      <w:bookmarkStart w:id="3" w:name="_Toc44755894"/>
      <w:r>
        <w:rPr>
          <w:rFonts w:hint="eastAsia" w:ascii="黑体" w:hAnsi="宋体" w:eastAsia="黑体"/>
          <w:color w:val="auto"/>
          <w:sz w:val="30"/>
          <w:szCs w:val="30"/>
          <w:highlight w:val="none"/>
        </w:rPr>
        <w:t>第一章  投标邀请</w:t>
      </w:r>
      <w:bookmarkEnd w:id="2"/>
      <w:bookmarkEnd w:id="3"/>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hAnsi="宋体"/>
          <w:color w:val="auto"/>
          <w:sz w:val="24"/>
          <w:highlight w:val="none"/>
          <w:u w:val="single"/>
        </w:rPr>
        <w:t>中国美术学院</w:t>
      </w:r>
      <w:r>
        <w:rPr>
          <w:rFonts w:hint="eastAsia" w:hAnsi="宋体"/>
          <w:color w:val="auto"/>
          <w:sz w:val="24"/>
          <w:highlight w:val="none"/>
          <w:u w:val="single"/>
          <w:lang w:eastAsia="zh-CN"/>
        </w:rPr>
        <w:t>校园安全处良渚校区安防系统建设（一期）</w:t>
      </w:r>
      <w:r>
        <w:rPr>
          <w:rFonts w:hint="eastAsia" w:ascii="宋体" w:hAnsi="宋体"/>
          <w:color w:val="auto"/>
          <w:sz w:val="24"/>
          <w:highlight w:val="none"/>
        </w:rPr>
        <w:t xml:space="preserve"> 招标项目的潜在投标人应在</w:t>
      </w:r>
      <w:r>
        <w:rPr>
          <w:rFonts w:hint="eastAsia" w:ascii="宋体" w:hAnsi="宋体"/>
          <w:color w:val="auto"/>
          <w:sz w:val="24"/>
          <w:highlight w:val="none"/>
          <w:u w:val="single"/>
        </w:rPr>
        <w:t>https://www.zcygov.cn</w:t>
      </w:r>
      <w:r>
        <w:rPr>
          <w:rFonts w:hint="eastAsia" w:ascii="宋体" w:hAnsi="宋体"/>
          <w:color w:val="auto"/>
          <w:sz w:val="24"/>
          <w:highlight w:val="none"/>
        </w:rPr>
        <w:t>获取（下载）招标文件，并于</w:t>
      </w:r>
      <w:r>
        <w:rPr>
          <w:rFonts w:hint="eastAsia" w:ascii="宋体" w:hAnsi="宋体"/>
          <w:color w:val="auto"/>
          <w:sz w:val="24"/>
          <w:highlight w:val="none"/>
          <w:u w:val="single"/>
          <w:lang w:eastAsia="zh-CN"/>
        </w:rPr>
        <w:t>2020年11月24日</w:t>
      </w:r>
      <w:r>
        <w:rPr>
          <w:rFonts w:hint="eastAsia" w:ascii="宋体" w:hAnsi="宋体"/>
          <w:color w:val="auto"/>
          <w:sz w:val="24"/>
          <w:highlight w:val="none"/>
          <w:u w:val="single"/>
        </w:rPr>
        <w:t>09:30</w:t>
      </w:r>
      <w:r>
        <w:rPr>
          <w:rFonts w:hint="eastAsia" w:ascii="宋体" w:hAnsi="宋体"/>
          <w:bCs/>
          <w:color w:val="auto"/>
          <w:sz w:val="24"/>
          <w:highlight w:val="none"/>
        </w:rPr>
        <w:t>（北京时间）前递交（上传）投标</w:t>
      </w:r>
      <w:r>
        <w:rPr>
          <w:rFonts w:ascii="宋体" w:hAnsi="宋体"/>
          <w:bCs/>
          <w:color w:val="auto"/>
          <w:sz w:val="24"/>
          <w:highlight w:val="none"/>
        </w:rPr>
        <w:t>文件</w:t>
      </w:r>
      <w:r>
        <w:rPr>
          <w:rFonts w:hint="eastAsia" w:ascii="宋体" w:hAnsi="宋体"/>
          <w:color w:val="auto"/>
          <w:sz w:val="24"/>
          <w:highlight w:val="none"/>
        </w:rPr>
        <w:t>。</w:t>
      </w:r>
    </w:p>
    <w:p>
      <w:pPr>
        <w:pStyle w:val="3"/>
        <w:spacing w:before="156" w:beforeLines="50" w:after="0" w:line="360" w:lineRule="auto"/>
        <w:rPr>
          <w:rFonts w:ascii="宋体" w:hAnsi="宋体" w:eastAsia="宋体" w:cs="宋体"/>
          <w:b w:val="0"/>
          <w:color w:val="auto"/>
          <w:sz w:val="24"/>
          <w:szCs w:val="24"/>
          <w:highlight w:val="none"/>
        </w:rPr>
      </w:pPr>
      <w:bookmarkStart w:id="4" w:name="_Toc28359002"/>
      <w:bookmarkStart w:id="5" w:name="_Toc28359079"/>
      <w:bookmarkStart w:id="6" w:name="_Toc35393790"/>
      <w:bookmarkStart w:id="7" w:name="_Toc35393621"/>
      <w:bookmarkStart w:id="8" w:name="_Hlk24379207"/>
      <w:r>
        <w:rPr>
          <w:rFonts w:hint="eastAsia" w:ascii="宋体" w:hAnsi="宋体" w:eastAsia="宋体" w:cs="宋体"/>
          <w:b w:val="0"/>
          <w:color w:val="auto"/>
          <w:sz w:val="24"/>
          <w:szCs w:val="24"/>
          <w:highlight w:val="none"/>
        </w:rPr>
        <w:t>一、项目基本情况</w:t>
      </w:r>
      <w:bookmarkEnd w:id="4"/>
      <w:bookmarkEnd w:id="5"/>
      <w:bookmarkEnd w:id="6"/>
      <w:bookmarkEnd w:id="7"/>
    </w:p>
    <w:p>
      <w:pPr>
        <w:spacing w:line="360" w:lineRule="auto"/>
        <w:ind w:firstLine="480" w:firstLineChars="200"/>
        <w:rPr>
          <w:rFonts w:hint="eastAsia" w:hAnsi="宋体" w:eastAsia="宋体"/>
          <w:color w:val="auto"/>
          <w:sz w:val="24"/>
          <w:highlight w:val="none"/>
          <w:lang w:eastAsia="zh-CN"/>
        </w:rPr>
      </w:pPr>
      <w:r>
        <w:rPr>
          <w:rFonts w:hint="eastAsia" w:hAnsi="宋体"/>
          <w:color w:val="auto"/>
          <w:sz w:val="24"/>
          <w:highlight w:val="none"/>
        </w:rPr>
        <w:t>项目编号：</w:t>
      </w:r>
      <w:r>
        <w:rPr>
          <w:rFonts w:hint="eastAsia" w:hAnsi="宋体"/>
          <w:color w:val="auto"/>
          <w:sz w:val="24"/>
          <w:highlight w:val="none"/>
          <w:lang w:eastAsia="zh-CN"/>
        </w:rPr>
        <w:t>0625-20217908</w:t>
      </w:r>
    </w:p>
    <w:p>
      <w:pPr>
        <w:spacing w:line="360" w:lineRule="auto"/>
        <w:ind w:firstLine="480" w:firstLineChars="200"/>
        <w:rPr>
          <w:rFonts w:hint="eastAsia" w:hAnsi="宋体" w:eastAsia="宋体"/>
          <w:color w:val="auto"/>
          <w:sz w:val="24"/>
          <w:highlight w:val="none"/>
          <w:lang w:eastAsia="zh-CN"/>
        </w:rPr>
      </w:pPr>
      <w:r>
        <w:rPr>
          <w:rFonts w:hint="eastAsia" w:hAnsi="宋体"/>
          <w:color w:val="auto"/>
          <w:sz w:val="24"/>
          <w:highlight w:val="none"/>
        </w:rPr>
        <w:t>项目名称：</w:t>
      </w:r>
      <w:r>
        <w:rPr>
          <w:rFonts w:hint="eastAsia" w:hAnsi="宋体"/>
          <w:color w:val="auto"/>
          <w:sz w:val="24"/>
          <w:highlight w:val="none"/>
          <w:lang w:eastAsia="zh-CN"/>
        </w:rPr>
        <w:t>校园安全处良渚校区安防系统建设（一期）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采购方式：公开招标</w:t>
      </w:r>
    </w:p>
    <w:bookmarkEnd w:id="8"/>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预算金额（元）：4000000.00</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最高限价（元）：4000000.00</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采购需求：</w:t>
      </w:r>
    </w:p>
    <w:p>
      <w:pPr>
        <w:spacing w:line="360" w:lineRule="auto"/>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eastAsia="zh-CN"/>
        </w:rPr>
        <w:t>标项一：</w:t>
      </w:r>
    </w:p>
    <w:p>
      <w:pPr>
        <w:spacing w:line="360" w:lineRule="auto"/>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标项名称：</w:t>
      </w:r>
      <w:r>
        <w:rPr>
          <w:rFonts w:hint="eastAsia" w:ascii="宋体" w:hAnsi="宋体"/>
          <w:color w:val="auto"/>
          <w:sz w:val="24"/>
          <w:highlight w:val="none"/>
          <w:lang w:eastAsia="zh-CN"/>
        </w:rPr>
        <w:t>校园安全处良渚校区安防系统建设（一期）</w:t>
      </w:r>
    </w:p>
    <w:p>
      <w:pPr>
        <w:spacing w:line="360" w:lineRule="auto"/>
        <w:ind w:firstLine="480" w:firstLineChars="200"/>
        <w:rPr>
          <w:rFonts w:hint="default" w:ascii="宋体" w:hAnsi="宋体"/>
          <w:color w:val="auto"/>
          <w:sz w:val="24"/>
          <w:highlight w:val="none"/>
          <w:lang w:val="en-US"/>
        </w:rPr>
      </w:pP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数量：1</w:t>
      </w:r>
    </w:p>
    <w:p>
      <w:pPr>
        <w:spacing w:line="360" w:lineRule="auto"/>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单位：项</w:t>
      </w:r>
    </w:p>
    <w:p>
      <w:pPr>
        <w:spacing w:line="360" w:lineRule="auto"/>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预算金额（元）：</w:t>
      </w:r>
      <w:r>
        <w:rPr>
          <w:rFonts w:hint="eastAsia" w:ascii="宋体" w:hAnsi="宋体"/>
          <w:color w:val="auto"/>
          <w:sz w:val="24"/>
          <w:highlight w:val="none"/>
        </w:rPr>
        <w:t>4000000.00</w:t>
      </w:r>
    </w:p>
    <w:p>
      <w:pPr>
        <w:spacing w:line="360" w:lineRule="auto"/>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简要规格描述或项目基本概况介绍、用途：</w:t>
      </w:r>
      <w:r>
        <w:rPr>
          <w:rFonts w:hint="eastAsia" w:ascii="宋体" w:hAnsi="宋体"/>
          <w:color w:val="auto"/>
          <w:sz w:val="24"/>
          <w:highlight w:val="none"/>
          <w:lang w:eastAsia="zh-CN"/>
        </w:rPr>
        <w:t>校园安全处良渚校区安防系统建设（一期）相关设备供货及安装服务等。</w:t>
      </w:r>
    </w:p>
    <w:p>
      <w:pPr>
        <w:spacing w:line="360" w:lineRule="auto"/>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备注：（不允许进口）</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合同履行期限：合同签订后90天内完工并验收合格、交付采购人使用。</w:t>
      </w:r>
    </w:p>
    <w:p>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本项目接受联合体投标。</w:t>
      </w:r>
    </w:p>
    <w:p>
      <w:pPr>
        <w:pStyle w:val="3"/>
        <w:spacing w:before="156" w:beforeLines="50" w:after="0" w:line="360" w:lineRule="auto"/>
        <w:rPr>
          <w:rFonts w:ascii="宋体" w:hAnsi="宋体" w:eastAsia="宋体" w:cs="宋体"/>
          <w:b w:val="0"/>
          <w:color w:val="auto"/>
          <w:sz w:val="24"/>
          <w:szCs w:val="24"/>
          <w:highlight w:val="none"/>
        </w:rPr>
      </w:pPr>
      <w:bookmarkStart w:id="9" w:name="_Toc35393791"/>
      <w:bookmarkStart w:id="10" w:name="_Toc28359003"/>
      <w:bookmarkStart w:id="11" w:name="_Toc35393622"/>
      <w:bookmarkStart w:id="12" w:name="_Toc28359080"/>
      <w:r>
        <w:rPr>
          <w:rFonts w:hint="eastAsia" w:ascii="宋体" w:hAnsi="宋体" w:eastAsia="宋体" w:cs="宋体"/>
          <w:b w:val="0"/>
          <w:color w:val="auto"/>
          <w:sz w:val="24"/>
          <w:szCs w:val="24"/>
          <w:highlight w:val="none"/>
        </w:rPr>
        <w:t>二、申请人的资格要求：</w:t>
      </w:r>
      <w:bookmarkEnd w:id="9"/>
      <w:bookmarkEnd w:id="10"/>
      <w:bookmarkEnd w:id="11"/>
      <w:bookmarkEnd w:id="12"/>
    </w:p>
    <w:p>
      <w:pPr>
        <w:spacing w:line="360" w:lineRule="auto"/>
        <w:ind w:firstLine="480" w:firstLineChars="200"/>
        <w:rPr>
          <w:rFonts w:hint="eastAsia" w:ascii="宋体" w:hAnsi="宋体" w:eastAsia="宋体" w:cs="Times New Roman"/>
          <w:color w:val="auto"/>
          <w:kern w:val="2"/>
          <w:sz w:val="24"/>
          <w:szCs w:val="24"/>
          <w:highlight w:val="none"/>
          <w:lang w:val="en-US" w:eastAsia="zh-CN" w:bidi="ar"/>
        </w:rPr>
      </w:pPr>
      <w:r>
        <w:rPr>
          <w:rFonts w:hint="eastAsia" w:ascii="宋体" w:hAnsi="宋体" w:eastAsia="宋体" w:cs="Times New Roman"/>
          <w:color w:val="auto"/>
          <w:kern w:val="2"/>
          <w:sz w:val="24"/>
          <w:szCs w:val="24"/>
          <w:highlight w:val="none"/>
          <w:lang w:val="en-US" w:eastAsia="zh-CN" w:bidi="ar"/>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2.落实政府采购政策需满足的资格要求：无；</w:t>
      </w:r>
    </w:p>
    <w:p>
      <w:pPr>
        <w:spacing w:line="360" w:lineRule="auto"/>
        <w:ind w:firstLine="480" w:firstLineChars="200"/>
        <w:rPr>
          <w:rFonts w:hint="eastAsia" w:ascii="宋体" w:hAnsi="宋体"/>
          <w:b/>
          <w:bCs/>
          <w:color w:val="auto"/>
          <w:sz w:val="24"/>
          <w:highlight w:val="none"/>
          <w:lang w:val="en-US" w:eastAsia="zh-CN"/>
        </w:rPr>
      </w:pPr>
      <w:r>
        <w:rPr>
          <w:rFonts w:hint="eastAsia" w:ascii="宋体" w:hAnsi="宋体"/>
          <w:color w:val="auto"/>
          <w:sz w:val="24"/>
          <w:highlight w:val="none"/>
        </w:rPr>
        <w:t>3.本项目的特定资格要求：</w:t>
      </w:r>
      <w:bookmarkStart w:id="13" w:name="_Toc28359081"/>
      <w:bookmarkStart w:id="14" w:name="_Toc35393792"/>
      <w:bookmarkStart w:id="15" w:name="_Toc35393623"/>
      <w:bookmarkStart w:id="16" w:name="_Toc28359004"/>
      <w:r>
        <w:rPr>
          <w:rFonts w:hint="eastAsia" w:ascii="宋体" w:hAnsi="宋体"/>
          <w:b/>
          <w:bCs/>
          <w:color w:val="auto"/>
          <w:sz w:val="24"/>
          <w:highlight w:val="none"/>
          <w:lang w:val="en-US" w:eastAsia="zh-CN"/>
        </w:rPr>
        <w:t>供应商具有有效的电子与智能化工程专业承包贰级及以上资质和有效的安全生产许可证。</w:t>
      </w:r>
    </w:p>
    <w:p>
      <w:pPr>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三、获取招标文件</w:t>
      </w:r>
      <w:bookmarkEnd w:id="13"/>
      <w:bookmarkEnd w:id="14"/>
      <w:bookmarkEnd w:id="15"/>
      <w:bookmarkEnd w:id="16"/>
    </w:p>
    <w:p>
      <w:pPr>
        <w:spacing w:line="360" w:lineRule="auto"/>
        <w:ind w:firstLine="540"/>
        <w:rPr>
          <w:rFonts w:ascii="宋体" w:hAnsi="宋体" w:cs="宋体"/>
          <w:color w:val="auto"/>
          <w:sz w:val="24"/>
          <w:highlight w:val="none"/>
        </w:rPr>
      </w:pPr>
      <w:r>
        <w:rPr>
          <w:rFonts w:hint="eastAsia" w:ascii="宋体" w:hAnsi="宋体" w:cs="宋体"/>
          <w:color w:val="auto"/>
          <w:sz w:val="24"/>
          <w:highlight w:val="none"/>
        </w:rPr>
        <w:t>1.时间：自本公告发布之日起至投标文件递交截止时间止（以供应商完成获取招标文件申请后下载招标文件的时间为准）。</w:t>
      </w:r>
    </w:p>
    <w:p>
      <w:pPr>
        <w:spacing w:line="360" w:lineRule="auto"/>
        <w:ind w:firstLine="540"/>
        <w:rPr>
          <w:rFonts w:ascii="宋体" w:hAnsi="宋体" w:cs="宋体"/>
          <w:color w:val="auto"/>
          <w:sz w:val="24"/>
          <w:highlight w:val="none"/>
          <w:u w:val="single"/>
        </w:rPr>
      </w:pPr>
      <w:r>
        <w:rPr>
          <w:rFonts w:hint="eastAsia" w:ascii="宋体" w:hAnsi="宋体" w:cs="宋体"/>
          <w:color w:val="auto"/>
          <w:sz w:val="24"/>
          <w:highlight w:val="none"/>
        </w:rPr>
        <w:t>2.地点（网址）：</w:t>
      </w:r>
      <w:r>
        <w:rPr>
          <w:rFonts w:hint="eastAsia" w:ascii="宋体" w:hAnsi="宋体" w:cs="宋体"/>
          <w:color w:val="auto"/>
          <w:sz w:val="24"/>
          <w:highlight w:val="none"/>
          <w:u w:val="single"/>
        </w:rPr>
        <w:t>https://www.zcygov.cn</w:t>
      </w:r>
    </w:p>
    <w:p>
      <w:pPr>
        <w:spacing w:line="360" w:lineRule="auto"/>
        <w:ind w:firstLine="540"/>
        <w:rPr>
          <w:rFonts w:hint="eastAsia" w:ascii="宋体" w:hAnsi="宋体" w:cs="宋体"/>
          <w:color w:val="auto"/>
          <w:sz w:val="24"/>
          <w:highlight w:val="none"/>
        </w:rPr>
      </w:pPr>
      <w:r>
        <w:rPr>
          <w:rFonts w:hint="eastAsia" w:ascii="宋体" w:hAnsi="宋体" w:cs="宋体"/>
          <w:color w:val="auto"/>
          <w:sz w:val="24"/>
          <w:highlight w:val="none"/>
        </w:rPr>
        <w:t>3.方式：（1）线上获取（登录政府采购云平台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pPr>
        <w:spacing w:line="360" w:lineRule="auto"/>
        <w:ind w:firstLine="540"/>
        <w:rPr>
          <w:rFonts w:hint="eastAsia" w:ascii="宋体" w:hAnsi="宋体" w:cs="宋体"/>
          <w:color w:val="auto"/>
          <w:sz w:val="24"/>
          <w:highlight w:val="none"/>
        </w:rPr>
      </w:pPr>
      <w:r>
        <w:rPr>
          <w:rFonts w:hint="eastAsia" w:ascii="宋体" w:hAnsi="宋体" w:cs="宋体"/>
          <w:color w:val="auto"/>
          <w:sz w:val="24"/>
          <w:highlight w:val="none"/>
        </w:rPr>
        <w:t>4.售价（元）：0</w:t>
      </w:r>
    </w:p>
    <w:p>
      <w:pPr>
        <w:pStyle w:val="3"/>
        <w:spacing w:before="156" w:beforeLines="50" w:after="0" w:line="360" w:lineRule="auto"/>
        <w:rPr>
          <w:rFonts w:ascii="宋体" w:hAnsi="宋体" w:eastAsia="宋体" w:cs="宋体"/>
          <w:b w:val="0"/>
          <w:color w:val="auto"/>
          <w:sz w:val="24"/>
          <w:szCs w:val="24"/>
          <w:highlight w:val="none"/>
        </w:rPr>
      </w:pPr>
      <w:bookmarkStart w:id="17" w:name="_Toc28359005"/>
      <w:bookmarkStart w:id="18" w:name="_Toc28359082"/>
      <w:bookmarkStart w:id="19" w:name="_Toc35393624"/>
      <w:bookmarkStart w:id="20" w:name="_Toc35393793"/>
      <w:r>
        <w:rPr>
          <w:rFonts w:hint="eastAsia" w:ascii="宋体" w:hAnsi="宋体" w:eastAsia="宋体" w:cs="宋体"/>
          <w:b w:val="0"/>
          <w:color w:val="auto"/>
          <w:sz w:val="24"/>
          <w:szCs w:val="24"/>
          <w:highlight w:val="none"/>
        </w:rPr>
        <w:t>四、提交投标文件</w:t>
      </w:r>
      <w:bookmarkEnd w:id="17"/>
      <w:bookmarkEnd w:id="18"/>
      <w:r>
        <w:rPr>
          <w:rFonts w:hint="eastAsia" w:ascii="宋体" w:hAnsi="宋体" w:eastAsia="宋体" w:cs="宋体"/>
          <w:b w:val="0"/>
          <w:color w:val="auto"/>
          <w:sz w:val="24"/>
          <w:szCs w:val="24"/>
          <w:highlight w:val="none"/>
        </w:rPr>
        <w:t>截止时间、开标时间和地点</w:t>
      </w:r>
      <w:bookmarkEnd w:id="19"/>
      <w:bookmarkEnd w:id="20"/>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1.提交投标文件截止时间：</w:t>
      </w:r>
      <w:r>
        <w:rPr>
          <w:rFonts w:hint="eastAsia" w:ascii="宋体" w:hAnsi="宋体"/>
          <w:bCs/>
          <w:color w:val="auto"/>
          <w:sz w:val="24"/>
          <w:highlight w:val="none"/>
          <w:u w:val="single"/>
          <w:lang w:eastAsia="zh-CN"/>
        </w:rPr>
        <w:t>2020年11月24日</w:t>
      </w:r>
      <w:r>
        <w:rPr>
          <w:rFonts w:hint="eastAsia" w:ascii="宋体" w:hAnsi="宋体"/>
          <w:bCs/>
          <w:color w:val="auto"/>
          <w:sz w:val="24"/>
          <w:highlight w:val="none"/>
          <w:u w:val="single"/>
        </w:rPr>
        <w:t>09:30</w:t>
      </w:r>
      <w:r>
        <w:rPr>
          <w:rFonts w:hint="eastAsia" w:ascii="宋体" w:hAnsi="宋体"/>
          <w:bCs/>
          <w:color w:val="auto"/>
          <w:sz w:val="24"/>
          <w:highlight w:val="none"/>
        </w:rPr>
        <w:t>（北京时间）</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2.投标地点（网址）：</w:t>
      </w:r>
    </w:p>
    <w:p>
      <w:pPr>
        <w:spacing w:line="360" w:lineRule="auto"/>
        <w:ind w:firstLine="480" w:firstLineChars="200"/>
        <w:rPr>
          <w:rFonts w:hint="eastAsia" w:ascii="宋体" w:hAnsi="宋体"/>
          <w:bCs/>
          <w:color w:val="auto"/>
          <w:sz w:val="24"/>
          <w:highlight w:val="none"/>
          <w:u w:val="single"/>
        </w:rPr>
      </w:pPr>
      <w:r>
        <w:rPr>
          <w:rFonts w:hint="eastAsia" w:ascii="宋体" w:hAnsi="宋体"/>
          <w:bCs/>
          <w:color w:val="auto"/>
          <w:sz w:val="24"/>
          <w:highlight w:val="none"/>
        </w:rPr>
        <w:t>（1）“电子加密投标文件”：</w:t>
      </w:r>
      <w:r>
        <w:rPr>
          <w:rFonts w:hint="eastAsia" w:ascii="宋体" w:hAnsi="宋体"/>
          <w:bCs/>
          <w:color w:val="auto"/>
          <w:sz w:val="24"/>
          <w:highlight w:val="none"/>
          <w:u w:val="single"/>
        </w:rPr>
        <w:t>https://www.zcygov.cn</w:t>
      </w:r>
      <w:r>
        <w:rPr>
          <w:rFonts w:hint="eastAsia" w:ascii="宋体" w:hAnsi="宋体"/>
          <w:bCs/>
          <w:color w:val="auto"/>
          <w:sz w:val="24"/>
          <w:highlight w:val="none"/>
        </w:rPr>
        <w:t>在线投标</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（2）“电子备份投标文件”：杭州市凤起路334号同方财富大厦14楼</w:t>
      </w:r>
      <w:r>
        <w:rPr>
          <w:rFonts w:hint="eastAsia" w:ascii="宋体" w:hAnsi="宋体"/>
          <w:bCs/>
          <w:color w:val="auto"/>
          <w:sz w:val="24"/>
          <w:highlight w:val="none"/>
          <w:u w:val="single"/>
        </w:rPr>
        <w:t>1410</w:t>
      </w:r>
      <w:r>
        <w:rPr>
          <w:rFonts w:hint="eastAsia" w:ascii="宋体" w:hAnsi="宋体"/>
          <w:bCs/>
          <w:color w:val="auto"/>
          <w:sz w:val="24"/>
          <w:highlight w:val="none"/>
        </w:rPr>
        <w:t>室。</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3.开标时间：</w:t>
      </w:r>
      <w:r>
        <w:rPr>
          <w:rFonts w:hint="eastAsia" w:ascii="宋体" w:hAnsi="宋体"/>
          <w:bCs/>
          <w:color w:val="auto"/>
          <w:sz w:val="24"/>
          <w:highlight w:val="none"/>
          <w:u w:val="single"/>
          <w:lang w:eastAsia="zh-CN"/>
        </w:rPr>
        <w:t>2020年11月24日</w:t>
      </w:r>
      <w:r>
        <w:rPr>
          <w:rFonts w:hint="eastAsia" w:ascii="宋体" w:hAnsi="宋体"/>
          <w:bCs/>
          <w:color w:val="auto"/>
          <w:sz w:val="24"/>
          <w:highlight w:val="none"/>
          <w:u w:val="single"/>
        </w:rPr>
        <w:t>09:30</w:t>
      </w:r>
      <w:r>
        <w:rPr>
          <w:rFonts w:hint="eastAsia" w:ascii="宋体" w:hAnsi="宋体"/>
          <w:bCs/>
          <w:color w:val="auto"/>
          <w:sz w:val="24"/>
          <w:highlight w:val="none"/>
        </w:rPr>
        <w:t>（北京时间）</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4.开标地点（网址）：</w:t>
      </w:r>
      <w:r>
        <w:rPr>
          <w:rFonts w:hint="eastAsia" w:ascii="宋体" w:hAnsi="宋体"/>
          <w:bCs/>
          <w:color w:val="auto"/>
          <w:sz w:val="24"/>
          <w:highlight w:val="none"/>
          <w:u w:val="single"/>
        </w:rPr>
        <w:t>https://www.zcygov.cn</w:t>
      </w:r>
    </w:p>
    <w:p>
      <w:pPr>
        <w:pStyle w:val="3"/>
        <w:spacing w:before="156" w:beforeLines="50" w:after="0" w:line="360" w:lineRule="auto"/>
        <w:rPr>
          <w:rFonts w:ascii="宋体" w:hAnsi="宋体" w:eastAsia="宋体" w:cs="宋体"/>
          <w:b w:val="0"/>
          <w:color w:val="auto"/>
          <w:sz w:val="24"/>
          <w:szCs w:val="24"/>
          <w:highlight w:val="none"/>
        </w:rPr>
      </w:pPr>
      <w:bookmarkStart w:id="21" w:name="_Toc28359007"/>
      <w:bookmarkStart w:id="22" w:name="_Toc28359084"/>
      <w:bookmarkStart w:id="23" w:name="_Toc35393794"/>
      <w:bookmarkStart w:id="24" w:name="_Toc35393625"/>
      <w:r>
        <w:rPr>
          <w:rFonts w:hint="eastAsia" w:ascii="宋体" w:hAnsi="宋体" w:eastAsia="宋体" w:cs="宋体"/>
          <w:b w:val="0"/>
          <w:color w:val="auto"/>
          <w:sz w:val="24"/>
          <w:szCs w:val="24"/>
          <w:highlight w:val="none"/>
        </w:rPr>
        <w:t>五、公告期限</w:t>
      </w:r>
      <w:bookmarkEnd w:id="21"/>
      <w:bookmarkEnd w:id="22"/>
      <w:bookmarkEnd w:id="23"/>
      <w:bookmarkEnd w:id="24"/>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pStyle w:val="3"/>
        <w:spacing w:before="156" w:beforeLines="50" w:after="0" w:line="360" w:lineRule="auto"/>
        <w:rPr>
          <w:rFonts w:hint="eastAsia" w:ascii="宋体" w:hAnsi="宋体" w:eastAsia="宋体" w:cs="宋体"/>
          <w:b w:val="0"/>
          <w:color w:val="auto"/>
          <w:sz w:val="24"/>
          <w:szCs w:val="24"/>
          <w:highlight w:val="none"/>
        </w:rPr>
      </w:pPr>
      <w:bookmarkStart w:id="25" w:name="_Toc35393626"/>
      <w:bookmarkStart w:id="26" w:name="_Toc35393795"/>
      <w:r>
        <w:rPr>
          <w:rFonts w:hint="eastAsia" w:ascii="宋体" w:hAnsi="宋体" w:eastAsia="宋体" w:cs="宋体"/>
          <w:b w:val="0"/>
          <w:color w:val="auto"/>
          <w:sz w:val="24"/>
          <w:szCs w:val="24"/>
          <w:highlight w:val="none"/>
        </w:rPr>
        <w:t>六、其他补充事宜</w:t>
      </w:r>
      <w:bookmarkEnd w:id="25"/>
      <w:bookmarkEnd w:id="26"/>
    </w:p>
    <w:p>
      <w:pPr>
        <w:pStyle w:val="24"/>
        <w:spacing w:line="360" w:lineRule="auto"/>
        <w:ind w:left="1" w:firstLine="465"/>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 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4"/>
        <w:spacing w:line="360" w:lineRule="auto"/>
        <w:ind w:left="1" w:firstLine="465"/>
        <w:rPr>
          <w:rFonts w:ascii="宋体" w:hAnsi="宋体"/>
          <w:color w:val="auto"/>
          <w:sz w:val="24"/>
          <w:szCs w:val="24"/>
          <w:highlight w:val="none"/>
          <w:lang w:eastAsia="zh-CN"/>
        </w:rPr>
      </w:pPr>
      <w:r>
        <w:rPr>
          <w:rFonts w:hint="eastAsia" w:ascii="宋体" w:hAnsi="宋体"/>
          <w:color w:val="auto"/>
          <w:sz w:val="24"/>
          <w:szCs w:val="24"/>
          <w:highlight w:val="none"/>
          <w:lang w:val="en-US" w:eastAsia="zh-CN"/>
        </w:rPr>
        <w:t>2.其他事项：（1）供应商对采购文件的质疑应以书面形式一次性提出。（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本项目执行促进中小企业发展（监狱企业、残疾人福利性单位视同小型、微型企业）、优先采购节能产品、优先采购环境标志产品政策。</w:t>
      </w:r>
    </w:p>
    <w:p>
      <w:pPr>
        <w:pStyle w:val="3"/>
        <w:spacing w:before="156" w:beforeLines="50" w:after="0" w:line="360" w:lineRule="auto"/>
        <w:rPr>
          <w:rFonts w:ascii="宋体" w:hAnsi="宋体" w:eastAsia="宋体" w:cs="宋体"/>
          <w:b w:val="0"/>
          <w:color w:val="auto"/>
          <w:sz w:val="24"/>
          <w:szCs w:val="24"/>
          <w:highlight w:val="none"/>
        </w:rPr>
      </w:pPr>
      <w:bookmarkStart w:id="27" w:name="_Toc35393796"/>
      <w:bookmarkStart w:id="28" w:name="_Toc28359085"/>
      <w:bookmarkStart w:id="29" w:name="_Toc28359008"/>
      <w:bookmarkStart w:id="30" w:name="_Toc35393627"/>
      <w:r>
        <w:rPr>
          <w:rFonts w:hint="eastAsia" w:ascii="宋体" w:hAnsi="宋体" w:eastAsia="宋体" w:cs="宋体"/>
          <w:b w:val="0"/>
          <w:color w:val="auto"/>
          <w:sz w:val="24"/>
          <w:szCs w:val="24"/>
          <w:highlight w:val="none"/>
        </w:rPr>
        <w:t>七、对本次招标提出询问、质疑、投诉，请按</w:t>
      </w:r>
      <w:r>
        <w:rPr>
          <w:rFonts w:ascii="宋体" w:hAnsi="宋体" w:eastAsia="宋体" w:cs="宋体"/>
          <w:b w:val="0"/>
          <w:color w:val="auto"/>
          <w:sz w:val="24"/>
          <w:szCs w:val="24"/>
          <w:highlight w:val="none"/>
        </w:rPr>
        <w:t>以下方式</w:t>
      </w:r>
      <w:r>
        <w:rPr>
          <w:rFonts w:hint="eastAsia" w:ascii="宋体" w:hAnsi="宋体" w:eastAsia="宋体" w:cs="宋体"/>
          <w:b w:val="0"/>
          <w:color w:val="auto"/>
          <w:sz w:val="24"/>
          <w:szCs w:val="24"/>
          <w:highlight w:val="none"/>
        </w:rPr>
        <w:t>联系。</w:t>
      </w:r>
      <w:bookmarkEnd w:id="27"/>
      <w:bookmarkEnd w:id="28"/>
      <w:bookmarkEnd w:id="29"/>
      <w:bookmarkEnd w:id="30"/>
    </w:p>
    <w:p>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1.采购人信息</w:t>
      </w:r>
    </w:p>
    <w:p>
      <w:pPr>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名  称：</w:t>
      </w:r>
      <w:r>
        <w:rPr>
          <w:rFonts w:hint="eastAsia" w:hAnsi="宋体"/>
          <w:color w:val="auto"/>
          <w:sz w:val="24"/>
          <w:highlight w:val="none"/>
        </w:rPr>
        <w:t>中国美术学院</w:t>
      </w:r>
    </w:p>
    <w:p>
      <w:pPr>
        <w:spacing w:line="360" w:lineRule="auto"/>
        <w:ind w:firstLine="720" w:firstLineChars="300"/>
        <w:jc w:val="left"/>
        <w:rPr>
          <w:rFonts w:hint="eastAsia" w:ascii="宋体" w:hAnsi="宋体"/>
          <w:color w:val="auto"/>
          <w:sz w:val="24"/>
          <w:highlight w:val="none"/>
          <w:u w:val="single"/>
        </w:rPr>
      </w:pPr>
      <w:r>
        <w:rPr>
          <w:rFonts w:hint="eastAsia" w:ascii="宋体" w:hAnsi="宋体"/>
          <w:color w:val="auto"/>
          <w:sz w:val="24"/>
          <w:highlight w:val="none"/>
        </w:rPr>
        <w:t>地  址：</w:t>
      </w:r>
      <w:r>
        <w:rPr>
          <w:rFonts w:hint="eastAsia" w:hAnsi="宋体"/>
          <w:color w:val="auto"/>
          <w:sz w:val="24"/>
          <w:highlight w:val="none"/>
        </w:rPr>
        <w:t>杭州市南山路218号</w:t>
      </w:r>
    </w:p>
    <w:p>
      <w:pPr>
        <w:spacing w:line="360" w:lineRule="auto"/>
        <w:ind w:firstLine="720" w:firstLineChars="300"/>
        <w:jc w:val="left"/>
        <w:rPr>
          <w:rFonts w:hint="eastAsia" w:ascii="宋体" w:hAnsi="宋体" w:eastAsia="宋体"/>
          <w:color w:val="auto"/>
          <w:sz w:val="24"/>
          <w:highlight w:val="none"/>
          <w:lang w:eastAsia="zh-CN"/>
        </w:rPr>
      </w:pPr>
      <w:r>
        <w:rPr>
          <w:rFonts w:hint="eastAsia" w:ascii="宋体" w:hAnsi="宋体"/>
          <w:color w:val="auto"/>
          <w:sz w:val="24"/>
          <w:highlight w:val="none"/>
        </w:rPr>
        <w:t>项目联系人（询问）：</w:t>
      </w:r>
      <w:r>
        <w:rPr>
          <w:rFonts w:hint="eastAsia" w:hAnsi="宋体"/>
          <w:color w:val="auto"/>
          <w:sz w:val="24"/>
          <w:highlight w:val="none"/>
        </w:rPr>
        <w:t>曹</w:t>
      </w:r>
      <w:r>
        <w:rPr>
          <w:rFonts w:hint="eastAsia" w:hAnsi="宋体"/>
          <w:color w:val="auto"/>
          <w:sz w:val="24"/>
          <w:highlight w:val="none"/>
          <w:lang w:val="en-US" w:eastAsia="zh-CN"/>
        </w:rPr>
        <w:t xml:space="preserve">老师 </w:t>
      </w:r>
    </w:p>
    <w:p>
      <w:pPr>
        <w:spacing w:line="360" w:lineRule="auto"/>
        <w:ind w:firstLine="720" w:firstLineChars="300"/>
        <w:jc w:val="left"/>
        <w:rPr>
          <w:rFonts w:ascii="宋体" w:hAnsi="宋体"/>
          <w:color w:val="auto"/>
          <w:sz w:val="24"/>
          <w:highlight w:val="none"/>
          <w:u w:val="single"/>
        </w:rPr>
      </w:pPr>
      <w:r>
        <w:rPr>
          <w:rFonts w:hint="eastAsia" w:ascii="宋体" w:hAnsi="宋体"/>
          <w:color w:val="auto"/>
          <w:sz w:val="24"/>
          <w:highlight w:val="none"/>
        </w:rPr>
        <w:t>项目联系方式（询问）：</w:t>
      </w:r>
      <w:bookmarkStart w:id="31" w:name="_Toc28359086"/>
      <w:bookmarkStart w:id="32" w:name="_Toc28359009"/>
      <w:r>
        <w:rPr>
          <w:rFonts w:hint="eastAsia" w:ascii="宋体" w:hAnsi="宋体"/>
          <w:color w:val="auto"/>
          <w:sz w:val="24"/>
          <w:highlight w:val="none"/>
        </w:rPr>
        <w:t>0571-87164615</w:t>
      </w:r>
    </w:p>
    <w:p>
      <w:pPr>
        <w:spacing w:line="360" w:lineRule="auto"/>
        <w:ind w:firstLine="720" w:firstLineChars="300"/>
        <w:jc w:val="left"/>
        <w:rPr>
          <w:rFonts w:hint="eastAsia" w:ascii="宋体" w:hAnsi="宋体" w:eastAsia="宋体"/>
          <w:color w:val="auto"/>
          <w:sz w:val="24"/>
          <w:highlight w:val="none"/>
          <w:lang w:eastAsia="zh-CN"/>
        </w:rPr>
      </w:pPr>
      <w:r>
        <w:rPr>
          <w:rFonts w:hint="eastAsia" w:ascii="宋体" w:hAnsi="宋体"/>
          <w:color w:val="auto"/>
          <w:sz w:val="24"/>
          <w:highlight w:val="none"/>
        </w:rPr>
        <w:t>质疑联系人：</w:t>
      </w:r>
      <w:r>
        <w:rPr>
          <w:rFonts w:hint="eastAsia" w:hAnsi="宋体"/>
          <w:color w:val="auto"/>
          <w:sz w:val="24"/>
          <w:highlight w:val="none"/>
        </w:rPr>
        <w:t>陈</w:t>
      </w:r>
      <w:r>
        <w:rPr>
          <w:rFonts w:hint="eastAsia" w:hAnsi="宋体"/>
          <w:color w:val="auto"/>
          <w:sz w:val="24"/>
          <w:highlight w:val="none"/>
          <w:lang w:val="en-US" w:eastAsia="zh-CN"/>
        </w:rPr>
        <w:t>老师</w:t>
      </w:r>
    </w:p>
    <w:p>
      <w:pPr>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质疑联系方式：</w:t>
      </w:r>
      <w:r>
        <w:rPr>
          <w:rFonts w:hint="eastAsia" w:hAnsi="宋体"/>
          <w:color w:val="auto"/>
          <w:sz w:val="24"/>
          <w:highlight w:val="none"/>
        </w:rPr>
        <w:t>0571-87164696</w:t>
      </w:r>
    </w:p>
    <w:p>
      <w:pPr>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2.采购代理机构信息</w:t>
      </w:r>
      <w:bookmarkEnd w:id="31"/>
      <w:bookmarkEnd w:id="32"/>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名  称：浙江省国际技术设备招标有限公司</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地  址：杭州市凤起路334号同方财富大厦14层</w:t>
      </w:r>
    </w:p>
    <w:p>
      <w:pPr>
        <w:spacing w:line="360" w:lineRule="auto"/>
        <w:ind w:firstLine="720" w:firstLineChars="300"/>
        <w:jc w:val="left"/>
        <w:rPr>
          <w:rFonts w:hint="eastAsia" w:ascii="宋体" w:hAnsi="宋体"/>
          <w:color w:val="auto"/>
          <w:sz w:val="24"/>
          <w:highlight w:val="none"/>
        </w:rPr>
      </w:pPr>
      <w:bookmarkStart w:id="33" w:name="_Toc28359010"/>
      <w:bookmarkStart w:id="34" w:name="_Toc28359087"/>
      <w:r>
        <w:rPr>
          <w:rFonts w:hint="eastAsia" w:ascii="宋体" w:hAnsi="宋体"/>
          <w:color w:val="auto"/>
          <w:sz w:val="24"/>
          <w:highlight w:val="none"/>
        </w:rPr>
        <w:t>项目联系人（询问）：李良君</w:t>
      </w:r>
    </w:p>
    <w:p>
      <w:pPr>
        <w:spacing w:line="360" w:lineRule="auto"/>
        <w:ind w:firstLine="720" w:firstLineChars="300"/>
        <w:jc w:val="left"/>
        <w:rPr>
          <w:rFonts w:ascii="宋体" w:hAnsi="宋体"/>
          <w:color w:val="auto"/>
          <w:sz w:val="24"/>
          <w:highlight w:val="none"/>
          <w:u w:val="single"/>
        </w:rPr>
      </w:pPr>
      <w:r>
        <w:rPr>
          <w:rFonts w:hint="eastAsia" w:ascii="宋体" w:hAnsi="宋体"/>
          <w:color w:val="auto"/>
          <w:sz w:val="24"/>
          <w:highlight w:val="none"/>
        </w:rPr>
        <w:t>项目联系方式（询问）：0571-85860255</w:t>
      </w:r>
    </w:p>
    <w:p>
      <w:pPr>
        <w:spacing w:line="360" w:lineRule="auto"/>
        <w:ind w:firstLine="720" w:firstLineChars="300"/>
        <w:jc w:val="left"/>
        <w:rPr>
          <w:rFonts w:hint="eastAsia" w:ascii="宋体" w:hAnsi="宋体"/>
          <w:color w:val="auto"/>
          <w:sz w:val="24"/>
          <w:highlight w:val="none"/>
        </w:rPr>
      </w:pPr>
      <w:r>
        <w:rPr>
          <w:rFonts w:hint="eastAsia" w:ascii="宋体" w:hAnsi="宋体"/>
          <w:color w:val="auto"/>
          <w:sz w:val="24"/>
          <w:highlight w:val="none"/>
        </w:rPr>
        <w:t>质疑联系人：喻胜良、孙荣</w:t>
      </w:r>
    </w:p>
    <w:p>
      <w:pPr>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质疑联系方式：0571-85860241、0571-85860270</w:t>
      </w:r>
    </w:p>
    <w:bookmarkEnd w:id="33"/>
    <w:bookmarkEnd w:id="34"/>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hAnsi="宋体"/>
          <w:color w:val="auto"/>
          <w:sz w:val="24"/>
          <w:highlight w:val="none"/>
        </w:rPr>
        <w:t>浙江省财政厅政府采购监管处</w:t>
      </w:r>
    </w:p>
    <w:p>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地  址：杭州市西湖区环城西路37号</w:t>
      </w:r>
    </w:p>
    <w:p>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联系人：倪文良</w:t>
      </w:r>
    </w:p>
    <w:p>
      <w:pPr>
        <w:spacing w:line="360" w:lineRule="auto"/>
        <w:ind w:firstLine="720" w:firstLineChars="300"/>
        <w:rPr>
          <w:rFonts w:ascii="宋体" w:hAnsi="宋体"/>
          <w:color w:val="auto"/>
          <w:sz w:val="24"/>
          <w:highlight w:val="none"/>
        </w:rPr>
      </w:pPr>
      <w:r>
        <w:rPr>
          <w:rFonts w:hint="eastAsia" w:ascii="宋体" w:hAnsi="宋体" w:cs="宋体"/>
          <w:color w:val="auto"/>
          <w:sz w:val="24"/>
          <w:highlight w:val="none"/>
        </w:rPr>
        <w:t>监督投诉电话：</w:t>
      </w:r>
      <w:r>
        <w:rPr>
          <w:rFonts w:hint="eastAsia" w:hAnsi="宋体"/>
          <w:color w:val="auto"/>
          <w:sz w:val="24"/>
          <w:highlight w:val="none"/>
        </w:rPr>
        <w:t>0571-87057615</w:t>
      </w:r>
    </w:p>
    <w:p>
      <w:pPr>
        <w:pStyle w:val="2"/>
        <w:spacing w:line="360" w:lineRule="auto"/>
        <w:ind w:firstLine="464" w:firstLineChars="200"/>
        <w:rPr>
          <w:rFonts w:hint="eastAsia" w:hAnsi="宋体"/>
          <w:color w:val="auto"/>
          <w:sz w:val="24"/>
          <w:highlight w:val="none"/>
        </w:rPr>
      </w:pPr>
      <w:r>
        <w:rPr>
          <w:rFonts w:hAnsi="宋体"/>
          <w:color w:val="auto"/>
          <w:sz w:val="24"/>
          <w:highlight w:val="none"/>
        </w:rPr>
        <w:br w:type="page"/>
      </w:r>
    </w:p>
    <w:p>
      <w:pPr>
        <w:snapToGrid w:val="0"/>
        <w:spacing w:line="360" w:lineRule="auto"/>
        <w:ind w:left="238"/>
        <w:jc w:val="center"/>
        <w:rPr>
          <w:rFonts w:hint="eastAsia" w:ascii="宋体" w:hAnsi="宋体"/>
          <w:color w:val="auto"/>
          <w:highlight w:val="none"/>
        </w:rPr>
      </w:pPr>
    </w:p>
    <w:p>
      <w:pPr>
        <w:snapToGrid w:val="0"/>
        <w:spacing w:line="360" w:lineRule="auto"/>
        <w:ind w:left="238"/>
        <w:jc w:val="center"/>
        <w:outlineLvl w:val="0"/>
        <w:rPr>
          <w:rFonts w:hint="eastAsia" w:ascii="黑体" w:hAnsi="宋体" w:eastAsia="黑体"/>
          <w:color w:val="auto"/>
          <w:sz w:val="30"/>
          <w:szCs w:val="30"/>
          <w:highlight w:val="none"/>
        </w:rPr>
      </w:pPr>
      <w:bookmarkStart w:id="35" w:name="_Toc44755895"/>
      <w:r>
        <w:rPr>
          <w:rFonts w:hint="eastAsia" w:ascii="黑体" w:hAnsi="宋体" w:eastAsia="黑体"/>
          <w:color w:val="auto"/>
          <w:sz w:val="30"/>
          <w:szCs w:val="30"/>
          <w:highlight w:val="none"/>
        </w:rPr>
        <w:t>第二章  投标人须知</w:t>
      </w:r>
      <w:bookmarkEnd w:id="35"/>
    </w:p>
    <w:p>
      <w:pPr>
        <w:snapToGrid w:val="0"/>
        <w:spacing w:before="156" w:beforeLines="50" w:after="156" w:afterLines="50" w:line="360" w:lineRule="auto"/>
        <w:ind w:left="238"/>
        <w:jc w:val="center"/>
        <w:rPr>
          <w:rFonts w:ascii="宋体" w:hAnsi="宋体"/>
          <w:b/>
          <w:color w:val="auto"/>
          <w:sz w:val="28"/>
          <w:szCs w:val="28"/>
          <w:highlight w:val="none"/>
        </w:rPr>
      </w:pPr>
      <w:r>
        <w:rPr>
          <w:rFonts w:hint="eastAsia" w:ascii="宋体" w:hAnsi="宋体"/>
          <w:b/>
          <w:color w:val="auto"/>
          <w:sz w:val="28"/>
          <w:szCs w:val="28"/>
          <w:highlight w:val="none"/>
        </w:rPr>
        <w:t>前附表</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66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名  称</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0"/>
                <w:highlight w:val="none"/>
              </w:rPr>
            </w:pPr>
            <w:r>
              <w:rPr>
                <w:rFonts w:ascii="宋体" w:hAnsi="宋体"/>
                <w:color w:val="auto"/>
                <w:sz w:val="24"/>
                <w:highlight w:val="none"/>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校园安全处良渚校区安防系统建设（一期）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采购内容</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及数量</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中国美术学院</w:t>
            </w:r>
            <w:r>
              <w:rPr>
                <w:rFonts w:hint="eastAsia" w:ascii="宋体" w:hAnsi="宋体"/>
                <w:color w:val="auto"/>
                <w:sz w:val="24"/>
                <w:highlight w:val="none"/>
                <w:lang w:eastAsia="zh-CN"/>
              </w:rPr>
              <w:t>校园安全处良渚校区安防系统建设（一期）</w:t>
            </w:r>
            <w:r>
              <w:rPr>
                <w:rFonts w:hint="eastAsia" w:ascii="宋体" w:hAnsi="宋体"/>
                <w:color w:val="auto"/>
                <w:sz w:val="24"/>
                <w:highlight w:val="none"/>
              </w:rPr>
              <w:t>，包括</w:t>
            </w:r>
            <w:r>
              <w:rPr>
                <w:rFonts w:hint="eastAsia" w:hAnsi="宋体"/>
                <w:color w:val="auto"/>
                <w:sz w:val="24"/>
                <w:highlight w:val="none"/>
              </w:rPr>
              <w:t>系统集成的设计、设备制造供货、运输、装卸、产品保护、安装、调试、验收、培训及售后服务等工作。</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数量：1项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szCs w:val="20"/>
                <w:highlight w:val="none"/>
              </w:rPr>
            </w:pPr>
            <w:r>
              <w:rPr>
                <w:rFonts w:ascii="宋体" w:hAnsi="宋体"/>
                <w:color w:val="auto"/>
                <w:sz w:val="24"/>
                <w:highlight w:val="none"/>
              </w:rPr>
              <w:t>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预算金额</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详见“第一章  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szCs w:val="20"/>
                <w:highlight w:val="none"/>
              </w:rPr>
              <w:t>公告媒体</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 w:val="24"/>
                <w:szCs w:val="20"/>
                <w:highlight w:val="none"/>
              </w:rPr>
            </w:pPr>
            <w:r>
              <w:rPr>
                <w:rFonts w:hint="eastAsia" w:ascii="宋体" w:hAnsi="宋体"/>
                <w:color w:val="auto"/>
                <w:sz w:val="24"/>
                <w:szCs w:val="20"/>
                <w:highlight w:val="none"/>
              </w:rPr>
              <w:t>浙江政府采购网</w:t>
            </w:r>
            <w:r>
              <w:rPr>
                <w:rFonts w:hint="eastAsia" w:hAnsi="宋体"/>
                <w:color w:val="auto"/>
                <w:sz w:val="24"/>
                <w:highlight w:val="none"/>
              </w:rPr>
              <w:t>（</w:t>
            </w:r>
            <w:r>
              <w:rPr>
                <w:rFonts w:hAnsi="宋体"/>
                <w:color w:val="auto"/>
                <w:sz w:val="24"/>
                <w:highlight w:val="none"/>
              </w:rPr>
              <w:fldChar w:fldCharType="begin"/>
            </w:r>
            <w:r>
              <w:rPr>
                <w:rFonts w:hAnsi="宋体"/>
                <w:color w:val="auto"/>
                <w:sz w:val="24"/>
                <w:highlight w:val="none"/>
              </w:rPr>
              <w:instrText xml:space="preserve"> HYPERLINK "</w:instrText>
            </w:r>
            <w:r>
              <w:rPr>
                <w:rFonts w:hint="eastAsia" w:hAnsi="宋体"/>
                <w:color w:val="auto"/>
                <w:sz w:val="24"/>
                <w:highlight w:val="none"/>
              </w:rPr>
              <w:instrText xml:space="preserve">http://zfcg.czt.zj.gov.cn</w:instrText>
            </w:r>
            <w:r>
              <w:rPr>
                <w:rFonts w:hAnsi="宋体"/>
                <w:color w:val="auto"/>
                <w:sz w:val="24"/>
                <w:highlight w:val="none"/>
              </w:rPr>
              <w:instrText xml:space="preserve">" </w:instrText>
            </w:r>
            <w:r>
              <w:rPr>
                <w:rFonts w:hAnsi="宋体"/>
                <w:color w:val="auto"/>
                <w:sz w:val="24"/>
                <w:highlight w:val="none"/>
              </w:rPr>
              <w:fldChar w:fldCharType="separate"/>
            </w:r>
            <w:r>
              <w:rPr>
                <w:rFonts w:hint="eastAsia"/>
                <w:color w:val="auto"/>
                <w:highlight w:val="none"/>
              </w:rPr>
              <w:t>http://zfcg.czt.zj.gov.cn</w:t>
            </w:r>
            <w:r>
              <w:rPr>
                <w:rFonts w:hAnsi="宋体"/>
                <w:color w:val="auto"/>
                <w:sz w:val="24"/>
                <w:highlight w:val="none"/>
              </w:rPr>
              <w:fldChar w:fldCharType="end"/>
            </w:r>
            <w:r>
              <w:rPr>
                <w:rFonts w:hint="eastAsia"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电子交</w:t>
            </w:r>
          </w:p>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易平台</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 w:val="24"/>
                <w:highlight w:val="none"/>
              </w:rPr>
            </w:pPr>
            <w:r>
              <w:rPr>
                <w:rFonts w:hint="eastAsia" w:hAnsi="宋体"/>
                <w:color w:val="auto"/>
                <w:sz w:val="24"/>
                <w:highlight w:val="none"/>
              </w:rPr>
              <w:t>政府采购云平台（</w:t>
            </w:r>
            <w:r>
              <w:rPr>
                <w:rFonts w:hAnsi="宋体"/>
                <w:color w:val="auto"/>
                <w:sz w:val="24"/>
                <w:highlight w:val="none"/>
              </w:rPr>
              <w:t>www.zcygov.cn</w:t>
            </w:r>
            <w:r>
              <w:rPr>
                <w:rFonts w:hint="eastAsia"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rPr>
            </w:pPr>
            <w:r>
              <w:rPr>
                <w:rFonts w:hint="eastAsia" w:ascii="宋体" w:hAnsi="宋体"/>
                <w:color w:val="auto"/>
                <w:sz w:val="24"/>
                <w:highlight w:val="none"/>
              </w:rPr>
              <w:t>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投标报价</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、本项目投标应以人民币报价；</w:t>
            </w:r>
          </w:p>
          <w:p>
            <w:pPr>
              <w:spacing w:line="360" w:lineRule="auto"/>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w:t>
            </w:r>
            <w:r>
              <w:rPr>
                <w:rFonts w:hint="eastAsia" w:ascii="宋体" w:hAnsi="宋体"/>
                <w:color w:val="auto"/>
                <w:sz w:val="24"/>
                <w:highlight w:val="none"/>
              </w:rPr>
              <w:t>报价</w:t>
            </w:r>
            <w:r>
              <w:rPr>
                <w:rFonts w:ascii="宋体" w:hAnsi="宋体"/>
                <w:color w:val="auto"/>
                <w:sz w:val="24"/>
                <w:highlight w:val="none"/>
              </w:rPr>
              <w:t>为</w:t>
            </w:r>
            <w:r>
              <w:rPr>
                <w:rFonts w:hint="eastAsia" w:ascii="宋体" w:hAnsi="宋体"/>
                <w:color w:val="auto"/>
                <w:sz w:val="24"/>
                <w:highlight w:val="none"/>
              </w:rPr>
              <w:t>交钥匙方式完成本项目的全部费用的价格体现，即供货至招标人指定的地点，负责安装、调试、检测等，直至验收合格交付招标人使用，包括相关技术服务、质保期服务以及其他售后服务等</w:t>
            </w:r>
            <w:r>
              <w:rPr>
                <w:rFonts w:ascii="宋体" w:hAnsi="宋体"/>
                <w:color w:val="auto"/>
                <w:sz w:val="24"/>
                <w:highlight w:val="none"/>
              </w:rPr>
              <w:t>。</w:t>
            </w:r>
          </w:p>
          <w:p>
            <w:pPr>
              <w:spacing w:line="360" w:lineRule="auto"/>
              <w:rPr>
                <w:rFonts w:hint="eastAsia" w:ascii="宋体" w:hAnsi="宋体"/>
                <w:color w:val="auto"/>
                <w:sz w:val="24"/>
                <w:highlight w:val="none"/>
              </w:rPr>
            </w:pPr>
            <w:r>
              <w:rPr>
                <w:rFonts w:ascii="宋体" w:hAnsi="宋体"/>
                <w:color w:val="auto"/>
                <w:sz w:val="24"/>
                <w:highlight w:val="none"/>
              </w:rPr>
              <w:t>投标报价包括</w:t>
            </w:r>
            <w:r>
              <w:rPr>
                <w:rFonts w:hint="eastAsia" w:ascii="宋体" w:hAnsi="宋体"/>
                <w:color w:val="auto"/>
                <w:sz w:val="24"/>
                <w:highlight w:val="none"/>
              </w:rPr>
              <w:t>设备费（含标准附件、备品配件、专用工器具等）、运杂费、保险费、安装调试费、检测验收费、服务费（技术服务及招标代理服务费等）以及与完成本项目有关的相关费用等。</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以上“相关费用”指招标文件中虽未明确而项目实施中必须考虑的费用，如：风险费，政府及主管部门规定的费用，招标文件中合理隐含的其他伴随服务费用，投标人未单独列明的分项价将视为该项目的费用已包含在其他分项中，合同执行中不予另增支付。</w:t>
            </w:r>
          </w:p>
          <w:p>
            <w:pPr>
              <w:snapToGrid w:val="0"/>
              <w:spacing w:line="360" w:lineRule="auto"/>
              <w:ind w:left="360" w:hanging="360" w:hangingChars="150"/>
              <w:rPr>
                <w:rFonts w:hint="eastAsia" w:ascii="宋体" w:hAnsi="宋体"/>
                <w:color w:val="auto"/>
                <w:sz w:val="24"/>
                <w:highlight w:val="none"/>
              </w:rPr>
            </w:pPr>
            <w:r>
              <w:rPr>
                <w:rFonts w:hint="eastAsia" w:ascii="宋体" w:hAnsi="宋体"/>
                <w:color w:val="auto"/>
                <w:sz w:val="24"/>
                <w:highlight w:val="none"/>
              </w:rPr>
              <w:t>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rPr>
            </w:pPr>
            <w:r>
              <w:rPr>
                <w:rFonts w:hint="eastAsia" w:ascii="宋体" w:hAnsi="宋体"/>
                <w:color w:val="auto"/>
                <w:sz w:val="24"/>
                <w:highlight w:val="none"/>
              </w:rPr>
              <w:t>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color w:val="auto"/>
                <w:sz w:val="24"/>
                <w:highlight w:val="none"/>
              </w:rPr>
              <w:t>现场考察/标前答疑会</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 xml:space="preserve"> </w:t>
            </w:r>
            <w:r>
              <w:rPr>
                <w:rFonts w:hint="eastAsia" w:ascii="宋体" w:hAnsi="宋体"/>
                <w:color w:val="auto"/>
                <w:sz w:val="24"/>
                <w:highlight w:val="none"/>
              </w:rPr>
              <w:t>组织（详细内容）</w:t>
            </w:r>
          </w:p>
          <w:p>
            <w:pPr>
              <w:snapToGrid w:val="0"/>
              <w:spacing w:line="360" w:lineRule="auto"/>
              <w:rPr>
                <w:rFonts w:ascii="宋体" w:hAnsi="宋体"/>
                <w:color w:val="auto"/>
                <w:sz w:val="24"/>
                <w:szCs w:val="20"/>
                <w:highlight w:val="none"/>
              </w:rPr>
            </w:pPr>
            <w:r>
              <w:rPr>
                <w:rFonts w:ascii="宋体" w:hAnsi="宋体" w:cs="宋体"/>
                <w:color w:val="auto"/>
                <w:sz w:val="24"/>
                <w:highlight w:val="none"/>
              </w:rPr>
              <w:sym w:font="Wingdings 2" w:char="0052"/>
            </w:r>
            <w:r>
              <w:rPr>
                <w:rFonts w:hint="eastAsia" w:ascii="宋体" w:hAnsi="宋体" w:cs="宋体"/>
                <w:color w:val="auto"/>
                <w:sz w:val="24"/>
                <w:highlight w:val="none"/>
              </w:rPr>
              <w:t xml:space="preserve"> </w:t>
            </w:r>
            <w:r>
              <w:rPr>
                <w:rFonts w:hint="eastAsia" w:ascii="宋体" w:hAnsi="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rPr>
            </w:pPr>
            <w:r>
              <w:rPr>
                <w:rFonts w:hint="eastAsia" w:ascii="宋体" w:hAnsi="宋体"/>
                <w:color w:val="auto"/>
                <w:sz w:val="24"/>
                <w:highlight w:val="none"/>
              </w:rPr>
              <w:t>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样品</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 xml:space="preserve"> </w:t>
            </w:r>
            <w:r>
              <w:rPr>
                <w:rFonts w:hint="eastAsia" w:ascii="宋体" w:hAnsi="宋体"/>
                <w:color w:val="auto"/>
                <w:sz w:val="24"/>
                <w:highlight w:val="none"/>
              </w:rPr>
              <w:t>提供（详细内容）</w:t>
            </w:r>
          </w:p>
          <w:p>
            <w:pPr>
              <w:snapToGrid w:val="0"/>
              <w:spacing w:line="360" w:lineRule="auto"/>
              <w:ind w:firstLine="480" w:firstLineChars="200"/>
              <w:rPr>
                <w:rFonts w:hint="eastAsia" w:ascii="宋体" w:hAnsi="宋体"/>
                <w:color w:val="auto"/>
                <w:sz w:val="24"/>
                <w:highlight w:val="none"/>
              </w:rPr>
            </w:pPr>
            <w:r>
              <w:rPr>
                <w:rFonts w:hint="eastAsia"/>
                <w:color w:val="auto"/>
                <w:sz w:val="24"/>
                <w:highlight w:val="none"/>
              </w:rPr>
              <w:t>中标人提供的样品将由招标人保管、封存，并作为履约验收的参考。</w:t>
            </w:r>
          </w:p>
          <w:p>
            <w:pPr>
              <w:snapToGrid w:val="0"/>
              <w:spacing w:line="360" w:lineRule="auto"/>
              <w:rPr>
                <w:rFonts w:hint="eastAsia" w:ascii="宋体" w:hAnsi="宋体"/>
                <w:color w:val="auto"/>
                <w:sz w:val="24"/>
                <w:highlight w:val="none"/>
              </w:rPr>
            </w:pPr>
            <w:r>
              <w:rPr>
                <w:rFonts w:ascii="宋体" w:hAnsi="宋体" w:cs="宋体"/>
                <w:color w:val="auto"/>
                <w:sz w:val="24"/>
                <w:highlight w:val="none"/>
              </w:rPr>
              <w:sym w:font="Wingdings 2" w:char="0052"/>
            </w:r>
            <w:r>
              <w:rPr>
                <w:rFonts w:hint="eastAsia" w:ascii="宋体" w:hAnsi="宋体" w:cs="宋体"/>
                <w:color w:val="auto"/>
                <w:sz w:val="24"/>
                <w:highlight w:val="none"/>
              </w:rPr>
              <w:t xml:space="preserve"> </w:t>
            </w:r>
            <w:r>
              <w:rPr>
                <w:rFonts w:hint="eastAsia" w:ascii="宋体" w:hAnsi="宋体"/>
                <w:color w:val="auto"/>
                <w:sz w:val="24"/>
                <w:highlight w:val="none"/>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rPr>
            </w:pPr>
            <w:r>
              <w:rPr>
                <w:rFonts w:hint="eastAsia" w:ascii="宋体" w:hAnsi="宋体"/>
                <w:color w:val="auto"/>
                <w:sz w:val="24"/>
                <w:highlight w:val="none"/>
              </w:rPr>
              <w:t>9</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演示</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 xml:space="preserve"> </w:t>
            </w:r>
            <w:r>
              <w:rPr>
                <w:rFonts w:hint="eastAsia" w:ascii="宋体" w:hAnsi="宋体"/>
                <w:color w:val="auto"/>
                <w:sz w:val="24"/>
                <w:highlight w:val="none"/>
              </w:rPr>
              <w:t>要求（详细内容）</w:t>
            </w:r>
          </w:p>
          <w:p>
            <w:pPr>
              <w:snapToGrid w:val="0"/>
              <w:spacing w:line="360" w:lineRule="auto"/>
              <w:rPr>
                <w:rFonts w:hint="eastAsia" w:ascii="宋体" w:hAnsi="宋体"/>
                <w:color w:val="auto"/>
                <w:sz w:val="24"/>
                <w:highlight w:val="none"/>
              </w:rPr>
            </w:pPr>
            <w:r>
              <w:rPr>
                <w:rFonts w:ascii="宋体" w:hAnsi="宋体" w:cs="宋体"/>
                <w:color w:val="auto"/>
                <w:sz w:val="24"/>
                <w:highlight w:val="none"/>
              </w:rPr>
              <w:sym w:font="Wingdings 2" w:char="0052"/>
            </w:r>
            <w:r>
              <w:rPr>
                <w:rFonts w:hint="eastAsia" w:ascii="宋体" w:hAnsi="宋体" w:cs="宋体"/>
                <w:color w:val="auto"/>
                <w:sz w:val="24"/>
                <w:highlight w:val="none"/>
              </w:rPr>
              <w:t xml:space="preserve"> </w:t>
            </w:r>
            <w:r>
              <w:rPr>
                <w:rFonts w:hint="eastAsia" w:ascii="宋体" w:hAnsi="宋体"/>
                <w:color w:val="auto"/>
                <w:sz w:val="24"/>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rPr>
            </w:pPr>
            <w:r>
              <w:rPr>
                <w:rFonts w:hint="eastAsia" w:ascii="宋体" w:hAnsi="宋体"/>
                <w:color w:val="auto"/>
                <w:sz w:val="24"/>
                <w:highlight w:val="none"/>
              </w:rPr>
              <w:t>10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招标文</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件澄清</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投标人如认为招标文件表述不清晰、存在前后矛盾等内容的，应当在投标截止日</w:t>
            </w:r>
            <w:r>
              <w:rPr>
                <w:rFonts w:hint="eastAsia" w:ascii="宋体" w:hAnsi="宋体"/>
                <w:color w:val="auto"/>
                <w:sz w:val="24"/>
                <w:highlight w:val="none"/>
                <w:u w:val="single"/>
              </w:rPr>
              <w:t xml:space="preserve"> 10 </w:t>
            </w:r>
            <w:r>
              <w:rPr>
                <w:rFonts w:hint="eastAsia" w:ascii="宋体" w:hAnsi="宋体"/>
                <w:color w:val="auto"/>
                <w:sz w:val="24"/>
                <w:highlight w:val="none"/>
              </w:rPr>
              <w:t>天前以书面形式要求招标采购单位作出书面澄清。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rPr>
            </w:pPr>
            <w:r>
              <w:rPr>
                <w:rFonts w:hint="eastAsia" w:ascii="宋体" w:hAnsi="宋体"/>
                <w:color w:val="auto"/>
                <w:sz w:val="24"/>
                <w:highlight w:val="none"/>
              </w:rPr>
              <w:t>11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投标文件</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的组成</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投标文件由</w:t>
            </w:r>
            <w:r>
              <w:rPr>
                <w:rFonts w:hint="eastAsia" w:ascii="宋体" w:hAnsi="宋体" w:cs="Arial"/>
                <w:color w:val="auto"/>
                <w:sz w:val="24"/>
                <w:highlight w:val="none"/>
              </w:rPr>
              <w:t>资格证明文件、商务技术文件、报价文件三部分组成</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投标文件</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的编制</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left="360" w:hanging="360" w:hangingChars="15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1、“电子加密投标文件”：</w:t>
            </w:r>
          </w:p>
          <w:p>
            <w:pPr>
              <w:autoSpaceDE w:val="0"/>
              <w:autoSpaceDN w:val="0"/>
              <w:adjustRightInd w:val="0"/>
              <w:spacing w:line="360" w:lineRule="auto"/>
              <w:ind w:left="600" w:hanging="600" w:hangingChars="25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（1）“电子加密投标文件”是指通过“政采云电子交易客户端”完成投标文件编制后生成并加密的数据电文形式的投标文件。</w:t>
            </w:r>
          </w:p>
          <w:p>
            <w:pPr>
              <w:spacing w:line="360" w:lineRule="auto"/>
              <w:ind w:left="600" w:hanging="600" w:hangingChars="250"/>
              <w:rPr>
                <w:rFonts w:hint="eastAsia" w:ascii="宋体" w:hAnsi="宋体" w:cs="宋体"/>
                <w:color w:val="auto"/>
                <w:sz w:val="24"/>
                <w:highlight w:val="none"/>
                <w:lang w:bidi="ar"/>
              </w:rPr>
            </w:pPr>
            <w:r>
              <w:rPr>
                <w:rFonts w:hint="eastAsia" w:ascii="宋体" w:hAnsi="宋体" w:cs="宋体"/>
                <w:color w:val="auto"/>
                <w:sz w:val="24"/>
                <w:highlight w:val="none"/>
                <w:lang w:bidi="ar"/>
              </w:rPr>
              <w:t>（2）供应商应先安装“政采云电子交易客户端”，并按照本招标文件和“政府采购云平台”的要求，通过“政采云电子交易客户端”编制并加密投标文件。</w:t>
            </w:r>
          </w:p>
          <w:p>
            <w:pPr>
              <w:spacing w:line="360" w:lineRule="auto"/>
              <w:ind w:left="360" w:hanging="360" w:hangingChars="150"/>
              <w:rPr>
                <w:rFonts w:hint="eastAsia" w:ascii="宋体" w:hAnsi="宋体" w:cs="宋体"/>
                <w:color w:val="auto"/>
                <w:sz w:val="24"/>
                <w:highlight w:val="none"/>
                <w:lang w:bidi="ar"/>
              </w:rPr>
            </w:pPr>
            <w:r>
              <w:rPr>
                <w:rFonts w:hint="eastAsia" w:ascii="宋体" w:hAnsi="宋体" w:cs="宋体"/>
                <w:color w:val="auto"/>
                <w:sz w:val="24"/>
                <w:highlight w:val="none"/>
                <w:lang w:bidi="ar"/>
              </w:rPr>
              <w:t>2、“电子备份投标文件”：</w:t>
            </w:r>
          </w:p>
          <w:p>
            <w:pPr>
              <w:spacing w:line="360" w:lineRule="auto"/>
              <w:ind w:left="600" w:hanging="600" w:hangingChars="250"/>
              <w:rPr>
                <w:rFonts w:hint="eastAsia" w:ascii="宋体" w:hAnsi="宋体" w:cs="宋体"/>
                <w:color w:val="auto"/>
                <w:sz w:val="24"/>
                <w:highlight w:val="none"/>
                <w:lang w:bidi="ar"/>
              </w:rPr>
            </w:pPr>
            <w:r>
              <w:rPr>
                <w:rFonts w:hint="eastAsia" w:ascii="宋体" w:hAnsi="宋体" w:cs="宋体"/>
                <w:color w:val="auto"/>
                <w:sz w:val="24"/>
                <w:highlight w:val="none"/>
                <w:lang w:bidi="ar"/>
              </w:rPr>
              <w:t>（1）“电子备份投标文件”是指与“电子加密投标文件”同时生成的数据电文形式的电子文件。</w:t>
            </w:r>
          </w:p>
          <w:p>
            <w:pPr>
              <w:spacing w:line="360" w:lineRule="auto"/>
              <w:ind w:left="360" w:hanging="360" w:hangingChars="150"/>
              <w:rPr>
                <w:rFonts w:hint="eastAsia" w:ascii="宋体" w:hAnsi="宋体" w:cs="宋体"/>
                <w:color w:val="auto"/>
                <w:sz w:val="24"/>
                <w:highlight w:val="none"/>
                <w:lang w:bidi="ar"/>
              </w:rPr>
            </w:pPr>
            <w:r>
              <w:rPr>
                <w:rFonts w:hint="eastAsia" w:ascii="宋体" w:hAnsi="宋体" w:cs="宋体"/>
                <w:color w:val="auto"/>
                <w:sz w:val="24"/>
                <w:highlight w:val="none"/>
                <w:lang w:bidi="ar"/>
              </w:rPr>
              <w:t>（2）供应商可自主选择是否编制“电子备份投标文件”。</w:t>
            </w:r>
          </w:p>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（3）其他方式编制的备份投标文件视为无效备份投标文件。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投标文件</w:t>
            </w:r>
          </w:p>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的签章：</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投标文件</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的包装、密封和递交</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color w:val="auto"/>
                <w:sz w:val="24"/>
                <w:highlight w:val="none"/>
                <w:lang w:bidi="ar"/>
              </w:rPr>
            </w:pPr>
            <w:r>
              <w:rPr>
                <w:rFonts w:hint="eastAsia" w:ascii="宋体" w:hAnsi="宋体" w:cs="宋体"/>
                <w:color w:val="auto"/>
                <w:sz w:val="24"/>
                <w:highlight w:val="none"/>
                <w:lang w:bidi="ar"/>
              </w:rPr>
              <w:t>1、“电子加密投标文件”的递交：在线上传递交。</w:t>
            </w:r>
          </w:p>
          <w:p>
            <w:pPr>
              <w:spacing w:line="360" w:lineRule="auto"/>
              <w:ind w:left="600" w:hanging="600" w:hangingChars="250"/>
              <w:rPr>
                <w:rFonts w:hint="eastAsia" w:ascii="宋体" w:hAnsi="宋体" w:cs="宋体"/>
                <w:color w:val="auto"/>
                <w:sz w:val="24"/>
                <w:highlight w:val="none"/>
                <w:lang w:bidi="ar"/>
              </w:rPr>
            </w:pPr>
            <w:r>
              <w:rPr>
                <w:rFonts w:hint="eastAsia" w:ascii="宋体" w:hAnsi="宋体" w:cs="宋体"/>
                <w:color w:val="auto"/>
                <w:sz w:val="24"/>
                <w:highlight w:val="none"/>
                <w:lang w:bidi="ar"/>
              </w:rPr>
              <w:t>（1）供应商应在投标截止时间前将“电子加密投标文件”成功上传递交至“政府采购云平台”，否则投标无效。</w:t>
            </w:r>
          </w:p>
          <w:p>
            <w:pPr>
              <w:spacing w:line="360" w:lineRule="auto"/>
              <w:ind w:left="600" w:hanging="600" w:hangingChars="250"/>
              <w:rPr>
                <w:rFonts w:hint="eastAsia" w:ascii="宋体" w:hAnsi="宋体" w:cs="宋体"/>
                <w:color w:val="auto"/>
                <w:sz w:val="24"/>
                <w:highlight w:val="none"/>
                <w:lang w:bidi="ar"/>
              </w:rPr>
            </w:pPr>
            <w:r>
              <w:rPr>
                <w:rFonts w:hint="eastAsia" w:ascii="宋体" w:hAnsi="宋体" w:cs="宋体"/>
                <w:color w:val="auto"/>
                <w:sz w:val="24"/>
                <w:highlight w:val="none"/>
                <w:lang w:bidi="ar"/>
              </w:rPr>
              <w:t>（2）“电子加密投标文件”成功上传递交后，供应商可自行打印投标文件接收回执。</w:t>
            </w:r>
          </w:p>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2、“电子备份投标文件”的密封、包装和递交：</w:t>
            </w:r>
          </w:p>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（1）供应商可自主选择是否递交“电子备份投标文件”。</w:t>
            </w:r>
          </w:p>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（2）“电子备份投标文件”存入U盘（一份）。</w:t>
            </w:r>
          </w:p>
          <w:p>
            <w:pPr>
              <w:spacing w:line="360" w:lineRule="auto"/>
              <w:ind w:left="600" w:hanging="600" w:hangingChars="250"/>
              <w:rPr>
                <w:rFonts w:hint="eastAsia" w:ascii="宋体" w:hAnsi="宋体" w:cs="宋体"/>
                <w:color w:val="auto"/>
                <w:sz w:val="24"/>
                <w:highlight w:val="none"/>
                <w:lang w:bidi="ar"/>
              </w:rPr>
            </w:pPr>
            <w:r>
              <w:rPr>
                <w:rFonts w:hint="eastAsia" w:ascii="宋体" w:hAnsi="宋体" w:cs="宋体"/>
                <w:color w:val="auto"/>
                <w:sz w:val="24"/>
                <w:highlight w:val="none"/>
                <w:lang w:bidi="ar"/>
              </w:rPr>
              <w:t>（3）“电子备份投标文件” 应在投标截止时间前以邮寄或送达方式递交。</w:t>
            </w:r>
          </w:p>
          <w:p>
            <w:pPr>
              <w:spacing w:line="360" w:lineRule="auto"/>
              <w:ind w:left="600" w:hanging="600" w:hangingChars="250"/>
              <w:rPr>
                <w:rFonts w:hint="eastAsia" w:ascii="宋体" w:hAnsi="宋体" w:cs="宋体"/>
                <w:color w:val="auto"/>
                <w:sz w:val="24"/>
                <w:highlight w:val="none"/>
                <w:lang w:bidi="ar"/>
              </w:rPr>
            </w:pPr>
            <w:r>
              <w:rPr>
                <w:rFonts w:hint="eastAsia" w:ascii="宋体" w:hAnsi="宋体" w:cs="宋体"/>
                <w:color w:val="auto"/>
                <w:sz w:val="24"/>
                <w:highlight w:val="none"/>
                <w:lang w:bidi="ar"/>
              </w:rPr>
              <w:t>（4）“电子备份投标文件”应当密封包装，并在包装上标注投标项目编号、项目名称、投标单位名称等并加盖公章（详见第六章投标文件格式）。没有密封包装或者逾期送达至浙江省国际技术设备招标有限公司的“电子备份投标文件”将不予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投标截止</w:t>
            </w:r>
          </w:p>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时间和投</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标地址</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 w:val="24"/>
                <w:szCs w:val="20"/>
                <w:highlight w:val="none"/>
              </w:rPr>
            </w:pPr>
            <w:r>
              <w:rPr>
                <w:rFonts w:hint="eastAsia" w:ascii="宋体" w:hAnsi="宋体"/>
                <w:b/>
                <w:bCs/>
                <w:color w:val="auto"/>
                <w:sz w:val="24"/>
                <w:highlight w:val="none"/>
              </w:rPr>
              <w:t>详见“第一章  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开标时间</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和地址</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 w:val="24"/>
                <w:szCs w:val="20"/>
                <w:highlight w:val="none"/>
              </w:rPr>
            </w:pPr>
            <w:r>
              <w:rPr>
                <w:rFonts w:hint="eastAsia" w:ascii="宋体" w:hAnsi="宋体"/>
                <w:b/>
                <w:bCs/>
                <w:color w:val="auto"/>
                <w:sz w:val="24"/>
                <w:highlight w:val="none"/>
              </w:rPr>
              <w:t>详见“第一章  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开标</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360" w:hanging="360" w:hangingChars="150"/>
              <w:rPr>
                <w:rFonts w:hint="eastAsia" w:ascii="宋体" w:hAnsi="宋体" w:cs="宋体"/>
                <w:color w:val="auto"/>
                <w:sz w:val="24"/>
                <w:highlight w:val="none"/>
                <w:lang w:bidi="ar"/>
              </w:rPr>
            </w:pPr>
            <w:r>
              <w:rPr>
                <w:rFonts w:hint="eastAsia" w:ascii="宋体" w:hAnsi="宋体" w:cs="宋体"/>
                <w:color w:val="auto"/>
                <w:sz w:val="24"/>
                <w:highlight w:val="none"/>
                <w:lang w:bidi="ar"/>
              </w:rPr>
              <w:t>1、采购组织机构按照采购文件规定的时间通过电子交易平台组织开标，所有供应商均应当准时在线参加。</w:t>
            </w:r>
          </w:p>
          <w:p>
            <w:pPr>
              <w:spacing w:line="360" w:lineRule="auto"/>
              <w:ind w:left="360" w:hanging="360" w:hangingChars="150"/>
              <w:rPr>
                <w:rFonts w:hint="eastAsia" w:ascii="宋体" w:hAnsi="宋体" w:cs="宋体"/>
                <w:color w:val="auto"/>
                <w:sz w:val="24"/>
                <w:highlight w:val="none"/>
                <w:lang w:bidi="ar"/>
              </w:rPr>
            </w:pPr>
            <w:r>
              <w:rPr>
                <w:rFonts w:hint="eastAsia" w:ascii="宋体" w:hAnsi="宋体" w:cs="宋体"/>
                <w:color w:val="auto"/>
                <w:sz w:val="24"/>
                <w:highlight w:val="none"/>
                <w:lang w:bidi="ar"/>
              </w:rPr>
              <w:t>2、开标时间后，采购组织机构将向各投标供应商发出“电子加密投标文件”的解密通知，各投标供应商代表应当在接到解密通知后</w:t>
            </w:r>
            <w:r>
              <w:rPr>
                <w:rFonts w:hint="eastAsia" w:ascii="宋体" w:hAnsi="宋体" w:cs="宋体"/>
                <w:i/>
                <w:color w:val="auto"/>
                <w:sz w:val="24"/>
                <w:highlight w:val="none"/>
                <w:u w:val="single"/>
                <w:lang w:bidi="ar"/>
              </w:rPr>
              <w:t>30</w:t>
            </w:r>
            <w:r>
              <w:rPr>
                <w:rFonts w:hint="eastAsia" w:ascii="宋体" w:hAnsi="宋体" w:cs="宋体"/>
                <w:color w:val="auto"/>
                <w:sz w:val="24"/>
                <w:highlight w:val="none"/>
                <w:lang w:bidi="ar"/>
              </w:rPr>
              <w:t>分钟内自行完成“电子加密投标文件”的在线解密。</w:t>
            </w:r>
          </w:p>
          <w:p>
            <w:pPr>
              <w:spacing w:line="360" w:lineRule="auto"/>
              <w:ind w:left="360" w:hanging="360" w:hangingChars="150"/>
              <w:rPr>
                <w:rFonts w:hint="eastAsia" w:ascii="宋体" w:hAnsi="宋体" w:cs="宋体"/>
                <w:color w:val="auto"/>
                <w:sz w:val="24"/>
                <w:highlight w:val="none"/>
                <w:lang w:bidi="ar"/>
              </w:rPr>
            </w:pPr>
            <w:r>
              <w:rPr>
                <w:rFonts w:hint="eastAsia" w:ascii="宋体" w:hAnsi="宋体" w:cs="宋体"/>
                <w:color w:val="auto"/>
                <w:sz w:val="24"/>
                <w:highlight w:val="none"/>
                <w:lang w:bidi="ar"/>
              </w:rPr>
              <w:t>3、通过“政府采购云平台”上传递交的“电子加密投标文件”已按时解密的，“电子备份投标文件”自动失效。</w:t>
            </w:r>
          </w:p>
          <w:p>
            <w:pPr>
              <w:spacing w:line="360" w:lineRule="auto"/>
              <w:ind w:left="360" w:hanging="360" w:hangingChars="150"/>
              <w:rPr>
                <w:rFonts w:hint="eastAsia" w:ascii="宋体" w:hAnsi="宋体" w:cs="宋体"/>
                <w:color w:val="auto"/>
                <w:sz w:val="24"/>
                <w:highlight w:val="none"/>
                <w:lang w:bidi="ar"/>
              </w:rPr>
            </w:pPr>
            <w:r>
              <w:rPr>
                <w:rFonts w:hint="eastAsia" w:ascii="宋体" w:hAnsi="宋体" w:cs="宋体"/>
                <w:color w:val="auto"/>
                <w:sz w:val="24"/>
                <w:highlight w:val="none"/>
                <w:lang w:bidi="ar"/>
              </w:rPr>
              <w:t>4、通过“政府采购云平台”上传递交的“电子加密投标文件”无法按时解密的，如投标供应商按规定递交 “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pPr>
              <w:snapToGrid w:val="0"/>
              <w:spacing w:line="360" w:lineRule="auto"/>
              <w:ind w:left="360" w:hanging="360" w:hangingChars="150"/>
              <w:rPr>
                <w:rFonts w:hint="eastAsia" w:ascii="宋体" w:hAnsi="宋体"/>
                <w:color w:val="auto"/>
                <w:sz w:val="24"/>
                <w:highlight w:val="none"/>
              </w:rPr>
            </w:pPr>
            <w:r>
              <w:rPr>
                <w:rFonts w:hint="eastAsia" w:ascii="宋体" w:hAnsi="宋体" w:cs="宋体"/>
                <w:color w:val="auto"/>
                <w:sz w:val="24"/>
                <w:highlight w:val="none"/>
                <w:lang w:bidi="ar"/>
              </w:rPr>
              <w:t>5、投标截止时间前，投标供应商仅递交了“电子备份投标文件”而未将“电子加密投标文件”上传至“政府采购云平台”的，投标无效。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评标办法</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szCs w:val="20"/>
                <w:highlight w:val="none"/>
              </w:rPr>
            </w:pPr>
            <w:r>
              <w:rPr>
                <w:rFonts w:hint="eastAsia" w:ascii="宋体" w:hAnsi="宋体"/>
                <w:color w:val="auto"/>
                <w:sz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rPr>
            </w:pPr>
            <w:r>
              <w:rPr>
                <w:rFonts w:hint="eastAsia" w:ascii="宋体" w:hAnsi="宋体"/>
                <w:color w:val="auto"/>
                <w:sz w:val="24"/>
                <w:highlight w:val="none"/>
              </w:rPr>
              <w:t>19</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投标文件</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有效期</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rPr>
            </w:pPr>
            <w:r>
              <w:rPr>
                <w:rFonts w:hint="eastAsia" w:ascii="宋体" w:hAnsi="宋体"/>
                <w:color w:val="auto"/>
                <w:sz w:val="24"/>
                <w:szCs w:val="20"/>
                <w:highlight w:val="none"/>
              </w:rPr>
              <w:t>20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进口</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pStyle w:val="9"/>
              <w:snapToGrid w:val="0"/>
              <w:jc w:val="left"/>
              <w:rPr>
                <w:rFonts w:hAnsi="宋体"/>
                <w:color w:val="auto"/>
                <w:kern w:val="2"/>
                <w:highlight w:val="none"/>
              </w:rPr>
            </w:pPr>
            <w:r>
              <w:rPr>
                <w:rFonts w:hAnsi="宋体"/>
                <w:color w:val="auto"/>
                <w:kern w:val="2"/>
                <w:highlight w:val="none"/>
              </w:rPr>
              <w:t>□</w:t>
            </w:r>
            <w:r>
              <w:rPr>
                <w:rFonts w:hint="eastAsia" w:hAnsi="宋体"/>
                <w:color w:val="auto"/>
                <w:kern w:val="2"/>
                <w:highlight w:val="none"/>
              </w:rPr>
              <w:t>允许</w:t>
            </w:r>
          </w:p>
          <w:p>
            <w:pPr>
              <w:snapToGrid w:val="0"/>
              <w:spacing w:line="360" w:lineRule="auto"/>
              <w:rPr>
                <w:rFonts w:ascii="宋体" w:hAnsi="宋体"/>
                <w:color w:val="auto"/>
                <w:sz w:val="24"/>
                <w:highlight w:val="none"/>
              </w:rPr>
            </w:pPr>
            <w:r>
              <w:rPr>
                <w:rFonts w:ascii="宋体" w:hAnsi="宋体"/>
                <w:color w:val="auto"/>
                <w:sz w:val="24"/>
                <w:highlight w:val="none"/>
              </w:rPr>
              <w:sym w:font="Wingdings 2" w:char="0052"/>
            </w:r>
            <w:r>
              <w:rPr>
                <w:rFonts w:hint="eastAsia" w:hAnsi="宋体"/>
                <w:color w:val="auto"/>
                <w:highlight w:val="none"/>
              </w:rPr>
              <w:t>不</w:t>
            </w:r>
            <w:r>
              <w:rPr>
                <w:rFonts w:hint="eastAsia" w:ascii="宋体" w:hAnsi="宋体"/>
                <w:color w:val="auto"/>
                <w:sz w:val="24"/>
                <w:highlight w:val="none"/>
              </w:rPr>
              <w:t>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rPr>
            </w:pPr>
            <w:r>
              <w:rPr>
                <w:rFonts w:hint="eastAsia" w:ascii="宋体" w:hAnsi="宋体"/>
                <w:color w:val="auto"/>
                <w:sz w:val="24"/>
                <w:szCs w:val="20"/>
                <w:highlight w:val="none"/>
              </w:rPr>
              <w:t>21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Ansi="宋体"/>
                <w:color w:val="auto"/>
                <w:sz w:val="24"/>
                <w:highlight w:val="none"/>
              </w:rPr>
              <w:t>节能产品</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hAnsi="宋体"/>
                <w:color w:val="auto"/>
                <w:sz w:val="24"/>
                <w:highlight w:val="none"/>
              </w:rPr>
            </w:pPr>
            <w:r>
              <w:rPr>
                <w:rFonts w:hAnsi="宋体"/>
                <w:color w:val="auto"/>
                <w:sz w:val="24"/>
                <w:highlight w:val="none"/>
              </w:rPr>
              <w:t>□</w:t>
            </w:r>
            <w:r>
              <w:rPr>
                <w:rFonts w:hint="eastAsia" w:hAnsi="宋体"/>
                <w:color w:val="auto"/>
                <w:sz w:val="24"/>
                <w:highlight w:val="none"/>
              </w:rPr>
              <w:t xml:space="preserve"> </w:t>
            </w:r>
            <w:r>
              <w:rPr>
                <w:rFonts w:hAnsi="宋体"/>
                <w:color w:val="auto"/>
                <w:sz w:val="24"/>
                <w:highlight w:val="none"/>
              </w:rPr>
              <w:t>强制采购节能产品</w:t>
            </w:r>
          </w:p>
          <w:p>
            <w:pPr>
              <w:autoSpaceDE w:val="0"/>
              <w:autoSpaceDN w:val="0"/>
              <w:snapToGrid w:val="0"/>
              <w:spacing w:line="360" w:lineRule="auto"/>
              <w:textAlignment w:val="bottom"/>
              <w:rPr>
                <w:rFonts w:hint="eastAsia" w:hAnsi="宋体"/>
                <w:color w:val="auto"/>
                <w:sz w:val="24"/>
                <w:highlight w:val="none"/>
              </w:rPr>
            </w:pPr>
            <w:r>
              <w:rPr>
                <w:rFonts w:hAnsi="宋体"/>
                <w:color w:val="auto"/>
                <w:sz w:val="24"/>
                <w:highlight w:val="none"/>
              </w:rPr>
              <w:sym w:font="Wingdings 2" w:char="0052"/>
            </w:r>
            <w:r>
              <w:rPr>
                <w:rFonts w:hint="eastAsia" w:hAnsi="宋体"/>
                <w:color w:val="auto"/>
                <w:sz w:val="24"/>
                <w:highlight w:val="none"/>
              </w:rPr>
              <w:t xml:space="preserve"> </w:t>
            </w:r>
            <w:r>
              <w:rPr>
                <w:rFonts w:hAnsi="宋体"/>
                <w:color w:val="auto"/>
                <w:sz w:val="24"/>
                <w:highlight w:val="none"/>
              </w:rPr>
              <w:t>优先采购节能产品</w:t>
            </w:r>
          </w:p>
          <w:p>
            <w:pPr>
              <w:autoSpaceDE w:val="0"/>
              <w:autoSpaceDN w:val="0"/>
              <w:snapToGrid w:val="0"/>
              <w:spacing w:line="360" w:lineRule="auto"/>
              <w:textAlignment w:val="bottom"/>
              <w:rPr>
                <w:rFonts w:hint="eastAsia" w:hAnsi="宋体"/>
                <w:color w:val="auto"/>
                <w:sz w:val="24"/>
                <w:highlight w:val="none"/>
              </w:rPr>
            </w:pPr>
            <w:r>
              <w:rPr>
                <w:rFonts w:hAnsi="宋体"/>
                <w:color w:val="auto"/>
                <w:sz w:val="24"/>
                <w:highlight w:val="none"/>
              </w:rPr>
              <w:t>□</w:t>
            </w:r>
            <w:r>
              <w:rPr>
                <w:rFonts w:hint="eastAsia" w:hAnsi="宋体"/>
                <w:color w:val="auto"/>
                <w:sz w:val="24"/>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22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hAnsi="宋体"/>
                <w:color w:val="auto"/>
                <w:sz w:val="24"/>
                <w:highlight w:val="none"/>
              </w:rPr>
            </w:pPr>
            <w:r>
              <w:rPr>
                <w:rFonts w:hAnsi="宋体"/>
                <w:color w:val="auto"/>
                <w:sz w:val="24"/>
                <w:highlight w:val="none"/>
              </w:rPr>
              <w:t>环境标</w:t>
            </w:r>
          </w:p>
          <w:p>
            <w:pPr>
              <w:snapToGrid w:val="0"/>
              <w:spacing w:line="360" w:lineRule="auto"/>
              <w:jc w:val="center"/>
              <w:rPr>
                <w:rFonts w:hint="eastAsia" w:ascii="宋体" w:hAnsi="宋体"/>
                <w:color w:val="auto"/>
                <w:sz w:val="24"/>
                <w:highlight w:val="none"/>
              </w:rPr>
            </w:pPr>
            <w:r>
              <w:rPr>
                <w:rFonts w:hAnsi="宋体"/>
                <w:color w:val="auto"/>
                <w:sz w:val="24"/>
                <w:highlight w:val="none"/>
              </w:rPr>
              <w:t>志产品</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hAnsi="宋体"/>
                <w:color w:val="auto"/>
                <w:sz w:val="24"/>
                <w:highlight w:val="none"/>
              </w:rPr>
            </w:pPr>
            <w:r>
              <w:rPr>
                <w:rFonts w:hAnsi="宋体"/>
                <w:color w:val="auto"/>
                <w:sz w:val="24"/>
                <w:highlight w:val="none"/>
              </w:rPr>
              <w:sym w:font="Wingdings 2" w:char="0052"/>
            </w:r>
            <w:r>
              <w:rPr>
                <w:rFonts w:hint="eastAsia" w:hAnsi="宋体"/>
                <w:color w:val="auto"/>
                <w:sz w:val="24"/>
                <w:highlight w:val="none"/>
              </w:rPr>
              <w:t xml:space="preserve"> </w:t>
            </w:r>
            <w:r>
              <w:rPr>
                <w:rFonts w:hAnsi="宋体"/>
                <w:color w:val="auto"/>
                <w:sz w:val="24"/>
                <w:highlight w:val="none"/>
              </w:rPr>
              <w:t>优先采购环境标志</w:t>
            </w:r>
            <w:r>
              <w:rPr>
                <w:rFonts w:hint="eastAsia" w:hAnsi="宋体"/>
                <w:color w:val="auto"/>
                <w:sz w:val="24"/>
                <w:highlight w:val="none"/>
              </w:rPr>
              <w:t>产品</w:t>
            </w:r>
          </w:p>
          <w:p>
            <w:pPr>
              <w:autoSpaceDE w:val="0"/>
              <w:autoSpaceDN w:val="0"/>
              <w:snapToGrid w:val="0"/>
              <w:spacing w:line="360" w:lineRule="auto"/>
              <w:textAlignment w:val="bottom"/>
              <w:rPr>
                <w:rFonts w:hint="eastAsia" w:hAnsi="宋体"/>
                <w:color w:val="auto"/>
                <w:sz w:val="24"/>
                <w:highlight w:val="none"/>
              </w:rPr>
            </w:pPr>
            <w:r>
              <w:rPr>
                <w:rFonts w:hAnsi="宋体"/>
                <w:color w:val="auto"/>
                <w:sz w:val="24"/>
                <w:highlight w:val="none"/>
              </w:rPr>
              <w:t>□</w:t>
            </w:r>
            <w:r>
              <w:rPr>
                <w:rFonts w:hint="eastAsia" w:hAnsi="宋体"/>
                <w:color w:val="auto"/>
                <w:sz w:val="24"/>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rPr>
            </w:pPr>
            <w:r>
              <w:rPr>
                <w:rFonts w:hint="eastAsia" w:ascii="宋体" w:hAnsi="宋体"/>
                <w:color w:val="auto"/>
                <w:sz w:val="24"/>
                <w:szCs w:val="20"/>
                <w:highlight w:val="none"/>
              </w:rPr>
              <w:t>23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hAnsi="宋体"/>
                <w:color w:val="auto"/>
                <w:sz w:val="24"/>
                <w:highlight w:val="none"/>
              </w:rPr>
            </w:pPr>
            <w:r>
              <w:rPr>
                <w:rFonts w:hAnsi="宋体"/>
                <w:color w:val="auto"/>
                <w:sz w:val="24"/>
                <w:highlight w:val="none"/>
              </w:rPr>
              <w:t>促进中小</w:t>
            </w:r>
          </w:p>
          <w:p>
            <w:pPr>
              <w:snapToGrid w:val="0"/>
              <w:spacing w:line="360" w:lineRule="auto"/>
              <w:jc w:val="center"/>
              <w:rPr>
                <w:rFonts w:hint="eastAsia" w:ascii="宋体" w:hAnsi="宋体"/>
                <w:color w:val="auto"/>
                <w:sz w:val="24"/>
                <w:highlight w:val="none"/>
              </w:rPr>
            </w:pPr>
            <w:r>
              <w:rPr>
                <w:rFonts w:hAnsi="宋体"/>
                <w:color w:val="auto"/>
                <w:sz w:val="24"/>
                <w:highlight w:val="none"/>
              </w:rPr>
              <w:t>企业发展</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ind w:firstLine="480" w:firstLineChars="200"/>
              <w:textAlignment w:val="bottom"/>
              <w:rPr>
                <w:rFonts w:hint="eastAsia" w:ascii="宋体" w:hAnsi="宋体"/>
                <w:color w:val="auto"/>
                <w:sz w:val="24"/>
                <w:highlight w:val="none"/>
              </w:rPr>
            </w:pPr>
            <w:r>
              <w:rPr>
                <w:rFonts w:hint="eastAsia" w:hAnsi="宋体"/>
                <w:color w:val="auto"/>
                <w:sz w:val="24"/>
                <w:highlight w:val="none"/>
              </w:rPr>
              <w:t>本项目执行</w:t>
            </w:r>
            <w:r>
              <w:rPr>
                <w:rFonts w:hAnsi="宋体"/>
                <w:color w:val="auto"/>
                <w:sz w:val="24"/>
                <w:highlight w:val="none"/>
              </w:rPr>
              <w:t>促进中小企业发展</w:t>
            </w:r>
            <w:r>
              <w:rPr>
                <w:rFonts w:hint="eastAsia" w:hAnsi="宋体"/>
                <w:color w:val="auto"/>
                <w:sz w:val="24"/>
                <w:highlight w:val="none"/>
              </w:rPr>
              <w:t>政策，</w:t>
            </w:r>
            <w:r>
              <w:rPr>
                <w:rFonts w:hint="eastAsia" w:ascii="宋体" w:hAnsi="宋体" w:cs="宋体"/>
                <w:color w:val="auto"/>
                <w:kern w:val="0"/>
                <w:sz w:val="24"/>
                <w:highlight w:val="none"/>
              </w:rPr>
              <w:t>监狱企业、</w:t>
            </w:r>
            <w:r>
              <w:rPr>
                <w:rFonts w:hAnsi="宋体"/>
                <w:color w:val="auto"/>
                <w:sz w:val="24"/>
                <w:highlight w:val="none"/>
              </w:rPr>
              <w:t>残疾人福利性单位</w:t>
            </w:r>
            <w:r>
              <w:rPr>
                <w:rFonts w:hint="eastAsia" w:ascii="宋体" w:hAnsi="宋体" w:cs="宋体"/>
                <w:color w:val="auto"/>
                <w:kern w:val="0"/>
                <w:sz w:val="24"/>
                <w:highlight w:val="none"/>
              </w:rPr>
              <w:t>视同小型、微型企业</w:t>
            </w:r>
            <w:r>
              <w:rPr>
                <w:rFonts w:hint="eastAsia"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rPr>
            </w:pPr>
            <w:r>
              <w:rPr>
                <w:rFonts w:hint="eastAsia" w:ascii="宋体" w:hAnsi="宋体"/>
                <w:color w:val="auto"/>
                <w:sz w:val="24"/>
                <w:szCs w:val="20"/>
                <w:highlight w:val="none"/>
              </w:rPr>
              <w:t>24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代理服务费</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360" w:hanging="360" w:hangingChars="150"/>
              <w:rPr>
                <w:rFonts w:hint="eastAsia" w:ascii="宋体" w:hAnsi="宋体"/>
                <w:color w:val="auto"/>
                <w:sz w:val="24"/>
                <w:highlight w:val="none"/>
              </w:rPr>
            </w:pPr>
            <w:r>
              <w:rPr>
                <w:rFonts w:hint="eastAsia" w:ascii="宋体" w:hAnsi="宋体"/>
                <w:color w:val="auto"/>
                <w:sz w:val="24"/>
                <w:highlight w:val="none"/>
              </w:rPr>
              <w:t>1、本项目代理服务费按计价格【2002】1980号文规定</w:t>
            </w:r>
            <w:r>
              <w:rPr>
                <w:rFonts w:hint="eastAsia" w:ascii="宋体" w:hAnsi="宋体"/>
                <w:color w:val="auto"/>
                <w:sz w:val="24"/>
                <w:highlight w:val="none"/>
                <w:lang w:eastAsia="zh-CN"/>
              </w:rPr>
              <w:t>的</w:t>
            </w:r>
            <w:r>
              <w:rPr>
                <w:rFonts w:hint="eastAsia" w:ascii="宋体" w:hAnsi="宋体"/>
                <w:color w:val="auto"/>
                <w:sz w:val="24"/>
                <w:highlight w:val="none"/>
                <w:lang w:val="en-US" w:eastAsia="zh-CN"/>
              </w:rPr>
              <w:t>80%</w:t>
            </w:r>
            <w:r>
              <w:rPr>
                <w:rFonts w:hint="eastAsia" w:ascii="宋体" w:hAnsi="宋体"/>
                <w:color w:val="auto"/>
                <w:sz w:val="24"/>
                <w:highlight w:val="none"/>
              </w:rPr>
              <w:t>向中标供应商收取。投标人应当自中标公告发布之日起5个工作日内一次性向采购代理机构支付代理服务费，并在投标文件中出具代理服务费支付承诺书（格式见第六章）。</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2、代理服务费支付：</w:t>
            </w:r>
          </w:p>
          <w:p>
            <w:pPr>
              <w:snapToGrid w:val="0"/>
              <w:spacing w:line="360" w:lineRule="auto"/>
              <w:rPr>
                <w:rFonts w:ascii="宋体" w:hAnsi="宋体"/>
                <w:color w:val="auto"/>
                <w:sz w:val="24"/>
                <w:highlight w:val="none"/>
              </w:rPr>
            </w:pPr>
            <w:r>
              <w:rPr>
                <w:rFonts w:hint="eastAsia" w:ascii="宋体" w:hAnsi="宋体"/>
                <w:color w:val="auto"/>
                <w:sz w:val="24"/>
                <w:highlight w:val="none"/>
              </w:rPr>
              <w:t>① 代理服务费缴纳形式：汇票</w:t>
            </w:r>
            <w:r>
              <w:rPr>
                <w:rFonts w:ascii="宋体" w:hAnsi="宋体"/>
                <w:color w:val="auto"/>
                <w:sz w:val="24"/>
                <w:highlight w:val="none"/>
              </w:rPr>
              <w:t>/</w:t>
            </w:r>
            <w:r>
              <w:rPr>
                <w:rFonts w:hint="eastAsia" w:ascii="宋体" w:hAnsi="宋体"/>
                <w:color w:val="auto"/>
                <w:sz w:val="24"/>
                <w:highlight w:val="none"/>
              </w:rPr>
              <w:t>支票</w:t>
            </w:r>
            <w:r>
              <w:rPr>
                <w:rFonts w:ascii="宋体" w:hAnsi="宋体"/>
                <w:color w:val="auto"/>
                <w:sz w:val="24"/>
                <w:highlight w:val="none"/>
              </w:rPr>
              <w:t>/</w:t>
            </w:r>
            <w:r>
              <w:rPr>
                <w:rFonts w:hint="eastAsia" w:ascii="宋体" w:hAnsi="宋体"/>
                <w:color w:val="auto"/>
                <w:sz w:val="24"/>
                <w:highlight w:val="none"/>
              </w:rPr>
              <w:t>电汇</w:t>
            </w:r>
            <w:r>
              <w:rPr>
                <w:rFonts w:ascii="宋体" w:hAnsi="宋体"/>
                <w:color w:val="auto"/>
                <w:sz w:val="24"/>
                <w:highlight w:val="none"/>
              </w:rPr>
              <w:t>/</w:t>
            </w:r>
            <w:r>
              <w:rPr>
                <w:rFonts w:hint="eastAsia" w:ascii="宋体" w:hAnsi="宋体"/>
                <w:color w:val="auto"/>
                <w:sz w:val="24"/>
                <w:highlight w:val="none"/>
              </w:rPr>
              <w:t>现金</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② 代理服务费汇入以下账户</w:t>
            </w:r>
            <w:r>
              <w:rPr>
                <w:rFonts w:ascii="宋体" w:hAnsi="宋体"/>
                <w:color w:val="auto"/>
                <w:sz w:val="24"/>
                <w:highlight w:val="none"/>
              </w:rPr>
              <w:t xml:space="preserve"> </w:t>
            </w:r>
            <w:r>
              <w:rPr>
                <w:rFonts w:hint="eastAsia" w:ascii="宋体" w:hAnsi="宋体"/>
                <w:color w:val="auto"/>
                <w:sz w:val="24"/>
                <w:highlight w:val="none"/>
              </w:rPr>
              <w:t>：</w:t>
            </w:r>
          </w:p>
          <w:p>
            <w:pPr>
              <w:pStyle w:val="2"/>
              <w:spacing w:line="360" w:lineRule="auto"/>
              <w:ind w:firstLine="348" w:firstLineChars="150"/>
              <w:rPr>
                <w:rFonts w:hAnsi="宋体"/>
                <w:color w:val="auto"/>
                <w:sz w:val="24"/>
                <w:highlight w:val="none"/>
              </w:rPr>
            </w:pPr>
            <w:r>
              <w:rPr>
                <w:rFonts w:hint="eastAsia" w:hAnsi="宋体"/>
                <w:color w:val="auto"/>
                <w:sz w:val="24"/>
                <w:highlight w:val="none"/>
              </w:rPr>
              <w:t>收款单位（户名）：浙江省国际技术设备招标有限公司</w:t>
            </w:r>
          </w:p>
          <w:p>
            <w:pPr>
              <w:pStyle w:val="2"/>
              <w:spacing w:line="360" w:lineRule="auto"/>
              <w:ind w:firstLine="348" w:firstLineChars="150"/>
              <w:rPr>
                <w:rFonts w:hAnsi="宋体"/>
                <w:color w:val="auto"/>
                <w:sz w:val="24"/>
                <w:highlight w:val="none"/>
              </w:rPr>
            </w:pPr>
            <w:r>
              <w:rPr>
                <w:rFonts w:hint="eastAsia" w:hAnsi="宋体"/>
                <w:color w:val="auto"/>
                <w:sz w:val="24"/>
                <w:highlight w:val="none"/>
              </w:rPr>
              <w:t>开</w:t>
            </w:r>
            <w:r>
              <w:rPr>
                <w:rFonts w:hAnsi="宋体"/>
                <w:color w:val="auto"/>
                <w:sz w:val="24"/>
                <w:highlight w:val="none"/>
              </w:rPr>
              <w:t xml:space="preserve">  </w:t>
            </w:r>
            <w:r>
              <w:rPr>
                <w:rFonts w:hint="eastAsia" w:hAnsi="宋体"/>
                <w:color w:val="auto"/>
                <w:sz w:val="24"/>
                <w:highlight w:val="none"/>
              </w:rPr>
              <w:t>户：中国工商银行杭州分行武林支行</w:t>
            </w:r>
          </w:p>
          <w:p>
            <w:pPr>
              <w:snapToGrid w:val="0"/>
              <w:spacing w:line="360" w:lineRule="auto"/>
              <w:ind w:firstLine="360" w:firstLineChars="150"/>
              <w:rPr>
                <w:rFonts w:hint="eastAsia" w:hAnsi="宋体"/>
                <w:color w:val="auto"/>
                <w:sz w:val="24"/>
                <w:highlight w:val="none"/>
              </w:rPr>
            </w:pPr>
            <w:r>
              <w:rPr>
                <w:rFonts w:hint="eastAsia" w:hAnsi="宋体"/>
                <w:color w:val="auto"/>
                <w:sz w:val="24"/>
                <w:highlight w:val="none"/>
              </w:rPr>
              <w:t>账</w:t>
            </w:r>
            <w:r>
              <w:rPr>
                <w:rFonts w:hAnsi="宋体"/>
                <w:color w:val="auto"/>
                <w:sz w:val="24"/>
                <w:highlight w:val="none"/>
              </w:rPr>
              <w:t xml:space="preserve">  </w:t>
            </w:r>
            <w:r>
              <w:rPr>
                <w:rFonts w:hint="eastAsia" w:hAnsi="宋体"/>
                <w:color w:val="auto"/>
                <w:sz w:val="24"/>
                <w:highlight w:val="none"/>
              </w:rPr>
              <w:t>号：1202021209006759843</w:t>
            </w:r>
          </w:p>
          <w:p>
            <w:pPr>
              <w:autoSpaceDE w:val="0"/>
              <w:autoSpaceDN w:val="0"/>
              <w:snapToGrid w:val="0"/>
              <w:spacing w:line="360" w:lineRule="auto"/>
              <w:ind w:left="360" w:hanging="360" w:hangingChars="150"/>
              <w:textAlignment w:val="bottom"/>
              <w:rPr>
                <w:rFonts w:ascii="宋体" w:hAnsi="宋体"/>
                <w:color w:val="auto"/>
                <w:sz w:val="24"/>
                <w:highlight w:val="none"/>
              </w:rPr>
            </w:pPr>
            <w:r>
              <w:rPr>
                <w:rFonts w:hint="eastAsia" w:ascii="宋体" w:hAnsi="宋体"/>
                <w:color w:val="auto"/>
                <w:sz w:val="24"/>
                <w:highlight w:val="none"/>
              </w:rPr>
              <w:t>3、</w:t>
            </w:r>
            <w:r>
              <w:rPr>
                <w:rFonts w:hint="eastAsia" w:hAnsi="宋体"/>
                <w:b/>
                <w:color w:val="auto"/>
                <w:sz w:val="24"/>
                <w:highlight w:val="none"/>
              </w:rPr>
              <w:t>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rPr>
            </w:pPr>
            <w:r>
              <w:rPr>
                <w:rFonts w:hint="eastAsia" w:ascii="宋体" w:hAnsi="宋体"/>
                <w:color w:val="auto"/>
                <w:sz w:val="24"/>
                <w:szCs w:val="20"/>
                <w:highlight w:val="none"/>
              </w:rPr>
              <w:t>25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解释权</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本招标文件的解释权属于采购人和采购</w:t>
            </w:r>
            <w:r>
              <w:rPr>
                <w:rFonts w:ascii="宋体" w:hAnsi="宋体"/>
                <w:color w:val="auto"/>
                <w:sz w:val="24"/>
                <w:highlight w:val="none"/>
              </w:rPr>
              <w:t>代理机构</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4"/>
                <w:szCs w:val="20"/>
                <w:highlight w:val="none"/>
              </w:rPr>
            </w:pPr>
            <w:r>
              <w:rPr>
                <w:rFonts w:hint="eastAsia" w:ascii="宋体" w:hAnsi="宋体"/>
                <w:color w:val="auto"/>
                <w:sz w:val="24"/>
                <w:szCs w:val="20"/>
                <w:highlight w:val="none"/>
              </w:rPr>
              <w:t>26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szCs w:val="20"/>
                <w:highlight w:val="none"/>
              </w:rPr>
              <w:t>其他</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 w:val="24"/>
                <w:szCs w:val="20"/>
                <w:highlight w:val="none"/>
              </w:rPr>
            </w:pPr>
            <w:r>
              <w:rPr>
                <w:rFonts w:ascii="宋体" w:hAnsi="宋体"/>
                <w:color w:val="auto"/>
                <w:sz w:val="24"/>
                <w:highlight w:val="none"/>
              </w:rPr>
              <w:t>如果</w:t>
            </w:r>
            <w:r>
              <w:rPr>
                <w:rFonts w:hint="eastAsia" w:ascii="宋体" w:hAnsi="宋体"/>
                <w:color w:val="auto"/>
                <w:sz w:val="24"/>
                <w:highlight w:val="none"/>
              </w:rPr>
              <w:t>招标文件中有文字表述与本投标人须知前附表内容不一致时,以本投标人须知前附表为准。</w:t>
            </w:r>
          </w:p>
        </w:tc>
      </w:tr>
    </w:tbl>
    <w:p>
      <w:pPr>
        <w:spacing w:line="360" w:lineRule="auto"/>
        <w:rPr>
          <w:rFonts w:hint="eastAsia"/>
          <w:color w:val="auto"/>
          <w:highlight w:val="none"/>
        </w:rPr>
      </w:pPr>
    </w:p>
    <w:p>
      <w:pPr>
        <w:pStyle w:val="9"/>
        <w:snapToGrid w:val="0"/>
        <w:spacing w:line="360" w:lineRule="auto"/>
        <w:ind w:firstLine="480" w:firstLineChars="200"/>
        <w:rPr>
          <w:rFonts w:hint="eastAsia" w:hAnsi="宋体"/>
          <w:b/>
          <w:color w:val="auto"/>
          <w:sz w:val="28"/>
          <w:szCs w:val="28"/>
          <w:highlight w:val="none"/>
        </w:rPr>
      </w:pPr>
      <w:r>
        <w:rPr>
          <w:rFonts w:hAnsi="宋体"/>
          <w:color w:val="auto"/>
          <w:highlight w:val="none"/>
        </w:rPr>
        <w:br w:type="page"/>
      </w:r>
      <w:r>
        <w:rPr>
          <w:rFonts w:hint="eastAsia" w:hAnsi="宋体"/>
          <w:b/>
          <w:color w:val="auto"/>
          <w:sz w:val="28"/>
          <w:szCs w:val="28"/>
          <w:highlight w:val="none"/>
        </w:rPr>
        <w:t>一、总  则</w:t>
      </w:r>
    </w:p>
    <w:p>
      <w:pPr>
        <w:snapToGrid w:val="0"/>
        <w:spacing w:line="360" w:lineRule="auto"/>
        <w:ind w:firstLine="354" w:firstLineChars="147"/>
        <w:jc w:val="left"/>
        <w:rPr>
          <w:rFonts w:ascii="宋体" w:hAnsi="宋体"/>
          <w:b/>
          <w:color w:val="auto"/>
          <w:sz w:val="24"/>
          <w:szCs w:val="20"/>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本招标文件适用于本次采购项目的招标、投标、评标、定标、验收、合同履约、付款等行为（法律、法规另有规定的，从其规定）。</w:t>
      </w:r>
    </w:p>
    <w:p>
      <w:pPr>
        <w:snapToGrid w:val="0"/>
        <w:spacing w:before="156" w:beforeLines="50" w:line="360" w:lineRule="auto"/>
        <w:ind w:firstLine="354" w:firstLineChars="147"/>
        <w:jc w:val="left"/>
        <w:rPr>
          <w:rFonts w:ascii="宋体" w:hAnsi="宋体"/>
          <w:b/>
          <w:color w:val="auto"/>
          <w:sz w:val="24"/>
          <w:szCs w:val="20"/>
          <w:highlight w:val="none"/>
        </w:rPr>
      </w:pPr>
      <w:r>
        <w:rPr>
          <w:rFonts w:hint="eastAsia" w:ascii="宋体" w:hAnsi="宋体"/>
          <w:b/>
          <w:color w:val="auto"/>
          <w:sz w:val="24"/>
          <w:highlight w:val="none"/>
        </w:rPr>
        <w:t>（二）定义</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招标采购单位</w:t>
      </w:r>
      <w:r>
        <w:rPr>
          <w:rFonts w:hint="eastAsia" w:ascii="宋体" w:hAnsi="宋体"/>
          <w:color w:val="auto"/>
          <w:sz w:val="24"/>
          <w:highlight w:val="none"/>
        </w:rPr>
        <w:t>：</w:t>
      </w:r>
      <w:r>
        <w:rPr>
          <w:rFonts w:ascii="宋体" w:hAnsi="宋体"/>
          <w:color w:val="auto"/>
          <w:sz w:val="24"/>
          <w:highlight w:val="none"/>
        </w:rPr>
        <w:t>系指组织本次招标的代理机构和采购</w:t>
      </w:r>
      <w:r>
        <w:rPr>
          <w:rFonts w:hint="eastAsia" w:ascii="宋体" w:hAnsi="宋体"/>
          <w:color w:val="auto"/>
          <w:sz w:val="24"/>
          <w:highlight w:val="none"/>
        </w:rPr>
        <w:t>人</w:t>
      </w:r>
      <w:r>
        <w:rPr>
          <w:rFonts w:ascii="宋体" w:hAnsi="宋体"/>
          <w:color w:val="auto"/>
          <w:sz w:val="24"/>
          <w:highlight w:val="none"/>
        </w:rPr>
        <w:t>。</w:t>
      </w:r>
    </w:p>
    <w:p>
      <w:pPr>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w:t>
      </w:r>
      <w:r>
        <w:rPr>
          <w:rFonts w:hint="eastAsia" w:ascii="宋体" w:hAnsi="宋体"/>
          <w:color w:val="auto"/>
          <w:sz w:val="24"/>
          <w:highlight w:val="none"/>
        </w:rPr>
        <w:t>：</w:t>
      </w:r>
      <w:r>
        <w:rPr>
          <w:rFonts w:ascii="宋体" w:hAnsi="宋体"/>
          <w:color w:val="auto"/>
          <w:sz w:val="24"/>
          <w:highlight w:val="none"/>
        </w:rPr>
        <w:t>系指</w:t>
      </w:r>
      <w:r>
        <w:rPr>
          <w:rFonts w:hint="eastAsia" w:ascii="宋体" w:hAnsi="宋体"/>
          <w:color w:val="auto"/>
          <w:sz w:val="24"/>
          <w:highlight w:val="none"/>
        </w:rPr>
        <w:t>按招标文件规定合法获取了招标文件并</w:t>
      </w:r>
      <w:r>
        <w:rPr>
          <w:rFonts w:ascii="宋体" w:hAnsi="宋体"/>
          <w:color w:val="auto"/>
          <w:sz w:val="24"/>
          <w:highlight w:val="none"/>
        </w:rPr>
        <w:t>向招标采购单位提交投标文件的单位或个人</w:t>
      </w:r>
      <w:r>
        <w:rPr>
          <w:rFonts w:hint="eastAsia" w:ascii="宋体" w:hAnsi="宋体"/>
          <w:color w:val="auto"/>
          <w:sz w:val="24"/>
          <w:highlight w:val="none"/>
        </w:rPr>
        <w:t>，也称作供应商</w:t>
      </w:r>
      <w:r>
        <w:rPr>
          <w:rFonts w:ascii="宋体" w:hAnsi="宋体"/>
          <w:color w:val="auto"/>
          <w:sz w:val="24"/>
          <w:highlight w:val="none"/>
        </w:rPr>
        <w:t>。</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3.投标人代表：是指参加本项目投标活动的供应商法定代表人或法定代表人授权代表。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4.联合体：是指两个以上供应商组成联合体，以一个供应商的身份参加投标。</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5.甲方：是指合同签订的一方，一般与采购人、招标人、用户相同。</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6.乙方：是指合同签订的另一方，与中标人相同。</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“产品”系指供方按</w:t>
      </w:r>
      <w:r>
        <w:rPr>
          <w:rFonts w:hint="eastAsia" w:ascii="宋体" w:hAnsi="宋体"/>
          <w:color w:val="auto"/>
          <w:sz w:val="24"/>
          <w:highlight w:val="none"/>
        </w:rPr>
        <w:t>招标文件</w:t>
      </w:r>
      <w:r>
        <w:rPr>
          <w:rFonts w:ascii="宋体" w:hAnsi="宋体"/>
          <w:color w:val="auto"/>
          <w:sz w:val="24"/>
          <w:highlight w:val="none"/>
        </w:rPr>
        <w:t>规定，须向采购人提供的一切设备、保险、税金、备品备件、工具、手册及其它有关技术资料和材料。</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8.</w:t>
      </w:r>
      <w:r>
        <w:rPr>
          <w:rFonts w:ascii="宋体" w:hAnsi="宋体"/>
          <w:color w:val="auto"/>
          <w:sz w:val="24"/>
          <w:highlight w:val="none"/>
        </w:rPr>
        <w:t>“服务”系指招</w:t>
      </w:r>
      <w:r>
        <w:rPr>
          <w:rFonts w:hint="eastAsia" w:ascii="宋体" w:hAnsi="宋体"/>
          <w:color w:val="auto"/>
          <w:sz w:val="24"/>
          <w:highlight w:val="none"/>
        </w:rPr>
        <w:t>标文</w:t>
      </w:r>
      <w:r>
        <w:rPr>
          <w:rFonts w:ascii="宋体" w:hAnsi="宋体"/>
          <w:color w:val="auto"/>
          <w:sz w:val="24"/>
          <w:highlight w:val="none"/>
        </w:rPr>
        <w:t>件规定投标人须承担的安装、调试、技术协助、校准、培训、技术指导以及其他类似的义务。</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9.</w:t>
      </w:r>
      <w:r>
        <w:rPr>
          <w:rFonts w:ascii="宋体" w:hAnsi="宋体"/>
          <w:color w:val="auto"/>
          <w:sz w:val="24"/>
          <w:highlight w:val="none"/>
        </w:rPr>
        <w:t>“项目”系指投标人按</w:t>
      </w:r>
      <w:r>
        <w:rPr>
          <w:rFonts w:hint="eastAsia" w:ascii="宋体" w:hAnsi="宋体"/>
          <w:color w:val="auto"/>
          <w:sz w:val="24"/>
          <w:highlight w:val="none"/>
        </w:rPr>
        <w:t>招标文件</w:t>
      </w:r>
      <w:r>
        <w:rPr>
          <w:rFonts w:ascii="宋体" w:hAnsi="宋体"/>
          <w:color w:val="auto"/>
          <w:sz w:val="24"/>
          <w:highlight w:val="none"/>
        </w:rPr>
        <w:t>规定向采购人提供的产品和服务。</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10.</w:t>
      </w:r>
      <w:r>
        <w:rPr>
          <w:rFonts w:ascii="宋体" w:hAnsi="宋体"/>
          <w:color w:val="auto"/>
          <w:sz w:val="24"/>
          <w:highlight w:val="none"/>
        </w:rPr>
        <w:t>“书面形式”包括信函、传真、电报等。</w:t>
      </w:r>
    </w:p>
    <w:p>
      <w:pPr>
        <w:snapToGrid w:val="0"/>
        <w:spacing w:line="360" w:lineRule="auto"/>
        <w:ind w:firstLine="480" w:firstLineChars="200"/>
        <w:jc w:val="left"/>
        <w:rPr>
          <w:rFonts w:hint="eastAsia" w:ascii="宋体" w:hAnsi="宋体"/>
          <w:color w:val="auto"/>
          <w:sz w:val="24"/>
          <w:szCs w:val="20"/>
          <w:highlight w:val="none"/>
        </w:rPr>
      </w:pPr>
      <w:r>
        <w:rPr>
          <w:rFonts w:hint="eastAsia" w:ascii="宋体" w:hAnsi="宋体"/>
          <w:color w:val="auto"/>
          <w:sz w:val="24"/>
          <w:highlight w:val="none"/>
        </w:rPr>
        <w:t>11.</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”系指实质性要求条款。</w:t>
      </w:r>
    </w:p>
    <w:p>
      <w:pPr>
        <w:snapToGrid w:val="0"/>
        <w:spacing w:before="156" w:beforeLines="50" w:line="360" w:lineRule="auto"/>
        <w:ind w:firstLine="472" w:firstLineChars="196"/>
        <w:jc w:val="left"/>
        <w:rPr>
          <w:rFonts w:ascii="宋体" w:hAnsi="宋体"/>
          <w:b/>
          <w:color w:val="auto"/>
          <w:sz w:val="24"/>
          <w:szCs w:val="20"/>
          <w:highlight w:val="none"/>
        </w:rPr>
      </w:pPr>
      <w:r>
        <w:rPr>
          <w:rFonts w:hint="eastAsia" w:ascii="宋体" w:hAnsi="宋体"/>
          <w:b/>
          <w:color w:val="auto"/>
          <w:sz w:val="24"/>
          <w:highlight w:val="none"/>
        </w:rPr>
        <w:t>（三）招标方式</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本次招标采用公开招标方式进行。</w:t>
      </w:r>
    </w:p>
    <w:p>
      <w:pPr>
        <w:snapToGrid w:val="0"/>
        <w:spacing w:before="156" w:beforeLines="50" w:line="360" w:lineRule="auto"/>
        <w:ind w:firstLine="472" w:firstLineChars="196"/>
        <w:jc w:val="left"/>
        <w:rPr>
          <w:rFonts w:ascii="宋体" w:hAnsi="宋体"/>
          <w:b/>
          <w:color w:val="auto"/>
          <w:sz w:val="24"/>
          <w:szCs w:val="20"/>
          <w:highlight w:val="none"/>
        </w:rPr>
      </w:pPr>
      <w:r>
        <w:rPr>
          <w:rFonts w:hint="eastAsia" w:ascii="宋体" w:hAnsi="宋体"/>
          <w:b/>
          <w:color w:val="auto"/>
          <w:sz w:val="24"/>
          <w:highlight w:val="none"/>
        </w:rPr>
        <w:t>（四）投标费用</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不论投标结果如何，投标人均应自行承担所有与投标有关的全部费用。</w:t>
      </w:r>
    </w:p>
    <w:p>
      <w:pPr>
        <w:snapToGrid w:val="0"/>
        <w:spacing w:before="156" w:beforeLines="50" w:line="360" w:lineRule="auto"/>
        <w:ind w:firstLine="472" w:firstLineChars="196"/>
        <w:jc w:val="left"/>
        <w:rPr>
          <w:rFonts w:ascii="宋体" w:hAnsi="宋体"/>
          <w:b/>
          <w:color w:val="auto"/>
          <w:sz w:val="24"/>
          <w:szCs w:val="20"/>
          <w:highlight w:val="none"/>
        </w:rPr>
      </w:pPr>
      <w:r>
        <w:rPr>
          <w:rFonts w:hint="eastAsia" w:ascii="宋体" w:hAnsi="宋体"/>
          <w:b/>
          <w:color w:val="auto"/>
          <w:sz w:val="24"/>
          <w:highlight w:val="none"/>
        </w:rPr>
        <w:t>（五）联合体投标</w:t>
      </w:r>
    </w:p>
    <w:p>
      <w:pPr>
        <w:snapToGrid w:val="0"/>
        <w:spacing w:line="360" w:lineRule="auto"/>
        <w:ind w:firstLine="480" w:firstLineChars="200"/>
        <w:jc w:val="left"/>
        <w:rPr>
          <w:rFonts w:hint="eastAsia" w:ascii="宋体" w:hAnsi="宋体" w:cs="宋体"/>
          <w:color w:val="auto"/>
          <w:kern w:val="0"/>
          <w:sz w:val="24"/>
          <w:highlight w:val="none"/>
        </w:rPr>
      </w:pPr>
      <w:r>
        <w:rPr>
          <w:rFonts w:ascii="宋体" w:hAnsi="宋体" w:cs="宋体"/>
          <w:color w:val="auto"/>
          <w:kern w:val="0"/>
          <w:sz w:val="24"/>
          <w:highlight w:val="none"/>
        </w:rPr>
        <w:t>以联合体形式进行</w:t>
      </w:r>
      <w:r>
        <w:rPr>
          <w:rFonts w:hint="eastAsia" w:ascii="宋体" w:hAnsi="宋体" w:cs="宋体"/>
          <w:color w:val="auto"/>
          <w:kern w:val="0"/>
          <w:sz w:val="24"/>
          <w:highlight w:val="none"/>
        </w:rPr>
        <w:t>投标</w:t>
      </w:r>
      <w:r>
        <w:rPr>
          <w:rFonts w:ascii="宋体" w:hAnsi="宋体" w:cs="宋体"/>
          <w:color w:val="auto"/>
          <w:kern w:val="0"/>
          <w:sz w:val="24"/>
          <w:highlight w:val="none"/>
        </w:rPr>
        <w:t>的，参加联合体的供应商均应当具备</w:t>
      </w:r>
      <w:r>
        <w:rPr>
          <w:rFonts w:hint="eastAsia" w:ascii="宋体" w:hAnsi="宋体" w:cs="宋体"/>
          <w:color w:val="auto"/>
          <w:kern w:val="0"/>
          <w:sz w:val="24"/>
          <w:highlight w:val="none"/>
        </w:rPr>
        <w:t>政府采购</w:t>
      </w:r>
      <w:r>
        <w:rPr>
          <w:rFonts w:ascii="宋体" w:hAnsi="宋体" w:cs="宋体"/>
          <w:color w:val="auto"/>
          <w:kern w:val="0"/>
          <w:sz w:val="24"/>
          <w:highlight w:val="none"/>
        </w:rPr>
        <w:t>法第二十二条规定的条件，并应当</w:t>
      </w:r>
      <w:r>
        <w:rPr>
          <w:rFonts w:hint="eastAsia" w:ascii="宋体" w:hAnsi="宋体" w:cs="宋体"/>
          <w:color w:val="auto"/>
          <w:kern w:val="0"/>
          <w:sz w:val="24"/>
          <w:highlight w:val="none"/>
        </w:rPr>
        <w:t>在投标文件中</w:t>
      </w:r>
      <w:r>
        <w:rPr>
          <w:rFonts w:ascii="宋体" w:hAnsi="宋体" w:cs="宋体"/>
          <w:color w:val="auto"/>
          <w:kern w:val="0"/>
          <w:sz w:val="24"/>
          <w:highlight w:val="none"/>
        </w:rPr>
        <w:t>提交联合协议，载明联合体各方承担的工作和义务。联合体各方应当共同与采购人签订采购合同，就采购合同约定的事项对采购人承担连带责任。</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联合体中有同类资质的供应商按照联合体分工承担相同工作的，应当按照资质等级较低的供应商确定资质等级。</w:t>
      </w:r>
    </w:p>
    <w:p>
      <w:pPr>
        <w:snapToGrid w:val="0"/>
        <w:spacing w:line="360" w:lineRule="auto"/>
        <w:ind w:firstLine="480" w:firstLineChars="200"/>
        <w:jc w:val="left"/>
        <w:rPr>
          <w:rFonts w:hint="eastAsia" w:ascii="宋体" w:hAnsi="宋体" w:cs="Arial"/>
          <w:i/>
          <w:color w:val="auto"/>
          <w:sz w:val="24"/>
          <w:highlight w:val="none"/>
        </w:rPr>
      </w:pPr>
      <w:r>
        <w:rPr>
          <w:rFonts w:hint="eastAsia" w:ascii="宋体" w:hAnsi="宋体" w:cs="宋体"/>
          <w:color w:val="auto"/>
          <w:kern w:val="0"/>
          <w:sz w:val="24"/>
          <w:highlight w:val="none"/>
        </w:rPr>
        <w:t>以联合体形式参加投标的，联合体各方不得再单独参加或者与其他供应商另外组成联合体参加本项目的投标。</w:t>
      </w:r>
    </w:p>
    <w:p>
      <w:pPr>
        <w:snapToGrid w:val="0"/>
        <w:spacing w:before="156" w:beforeLines="50" w:line="360" w:lineRule="auto"/>
        <w:ind w:firstLine="472" w:firstLineChars="196"/>
        <w:rPr>
          <w:rFonts w:ascii="宋体" w:hAnsi="宋体" w:cs="宋体"/>
          <w:b/>
          <w:color w:val="auto"/>
          <w:kern w:val="0"/>
          <w:sz w:val="24"/>
          <w:szCs w:val="20"/>
          <w:highlight w:val="none"/>
        </w:rPr>
      </w:pPr>
      <w:r>
        <w:rPr>
          <w:rFonts w:hint="eastAsia" w:ascii="宋体" w:hAnsi="宋体"/>
          <w:b/>
          <w:color w:val="auto"/>
          <w:sz w:val="24"/>
          <w:highlight w:val="none"/>
        </w:rPr>
        <w:t>（六）</w:t>
      </w:r>
      <w:r>
        <w:rPr>
          <w:rFonts w:hint="eastAsia" w:ascii="宋体" w:hAnsi="宋体" w:cs="宋体"/>
          <w:b/>
          <w:color w:val="auto"/>
          <w:kern w:val="0"/>
          <w:sz w:val="24"/>
          <w:highlight w:val="none"/>
        </w:rPr>
        <w:t>转包与分包</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1.本项目不允许转包。</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2.本项目设备安装调试部分可以分包。</w:t>
      </w:r>
    </w:p>
    <w:p>
      <w:pPr>
        <w:snapToGrid w:val="0"/>
        <w:spacing w:before="156" w:beforeLines="50" w:line="360" w:lineRule="auto"/>
        <w:ind w:firstLine="472" w:firstLineChars="196"/>
        <w:jc w:val="left"/>
        <w:rPr>
          <w:rFonts w:hint="eastAsia" w:ascii="宋体" w:hAnsi="宋体"/>
          <w:b/>
          <w:color w:val="auto"/>
          <w:sz w:val="24"/>
          <w:highlight w:val="none"/>
        </w:rPr>
      </w:pPr>
      <w:r>
        <w:rPr>
          <w:rFonts w:hint="eastAsia" w:ascii="宋体" w:hAnsi="宋体"/>
          <w:b/>
          <w:color w:val="auto"/>
          <w:sz w:val="24"/>
          <w:highlight w:val="none"/>
        </w:rPr>
        <w:t>（七）特别说明：</w:t>
      </w:r>
    </w:p>
    <w:p>
      <w:pPr>
        <w:snapToGrid w:val="0"/>
        <w:spacing w:before="156" w:beforeLines="50" w:line="360" w:lineRule="auto"/>
        <w:ind w:firstLine="470" w:firstLineChars="196"/>
        <w:jc w:val="left"/>
        <w:rPr>
          <w:rFonts w:hint="eastAsia" w:hAnsi="宋体"/>
          <w:color w:val="auto"/>
          <w:sz w:val="24"/>
          <w:highlight w:val="none"/>
        </w:rPr>
      </w:pPr>
      <w:r>
        <w:rPr>
          <w:rFonts w:hint="eastAsia" w:hAnsi="宋体"/>
          <w:color w:val="auto"/>
          <w:sz w:val="24"/>
          <w:highlight w:val="none"/>
        </w:rPr>
        <w:t>1.本次招标采用电子交易方式。</w:t>
      </w:r>
    </w:p>
    <w:p>
      <w:pPr>
        <w:snapToGrid w:val="0"/>
        <w:spacing w:before="156" w:beforeLines="50" w:line="360" w:lineRule="auto"/>
        <w:ind w:firstLine="470" w:firstLineChars="196"/>
        <w:jc w:val="left"/>
        <w:rPr>
          <w:rFonts w:hint="eastAsia" w:hAnsi="宋体"/>
          <w:color w:val="auto"/>
          <w:sz w:val="24"/>
          <w:highlight w:val="none"/>
        </w:rPr>
      </w:pPr>
      <w:r>
        <w:rPr>
          <w:rFonts w:hint="eastAsia" w:hAnsi="宋体"/>
          <w:color w:val="auto"/>
          <w:sz w:val="24"/>
          <w:highlight w:val="none"/>
        </w:rPr>
        <w:t>2.招标文件中指出的工艺、材料、设备、服务等标准以及推荐、参照的品牌或型号仅起说明作用，并没有任何限制性。投标人在投标中可以选用替代标准、品牌或型号，但这些替代要实质上满足或超过招标文件的要求。</w:t>
      </w:r>
    </w:p>
    <w:p>
      <w:pPr>
        <w:snapToGrid w:val="0"/>
        <w:spacing w:before="156" w:beforeLines="50" w:line="360" w:lineRule="auto"/>
        <w:ind w:firstLine="470" w:firstLineChars="196"/>
        <w:jc w:val="left"/>
        <w:rPr>
          <w:rFonts w:hint="eastAsia" w:hAnsi="宋体"/>
          <w:color w:val="auto"/>
          <w:sz w:val="24"/>
          <w:highlight w:val="none"/>
        </w:rPr>
      </w:pPr>
      <w:r>
        <w:rPr>
          <w:rFonts w:hint="eastAsia" w:hAnsi="宋体"/>
          <w:color w:val="auto"/>
          <w:sz w:val="24"/>
          <w:highlight w:val="none"/>
          <w:lang w:val="en-US" w:eastAsia="zh-CN"/>
        </w:rPr>
        <w:t>3</w:t>
      </w:r>
      <w:r>
        <w:rPr>
          <w:rFonts w:hint="eastAsia" w:hAnsi="宋体"/>
          <w:color w:val="auto"/>
          <w:sz w:val="24"/>
          <w:highlight w:val="none"/>
        </w:rPr>
        <w:t>.投标人应仔细阅读招标文件的所有内容，按照招标文件的要求提交投标文件，并对所提供的全部资料的真实性承担法律责任。</w:t>
      </w:r>
    </w:p>
    <w:p>
      <w:pP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4</w:t>
      </w:r>
      <w:r>
        <w:rPr>
          <w:rFonts w:hint="eastAsia" w:ascii="宋体" w:hAnsi="宋体" w:cs="Arial"/>
          <w:color w:val="auto"/>
          <w:kern w:val="0"/>
          <w:sz w:val="24"/>
          <w:highlight w:val="none"/>
        </w:rPr>
        <w:t>.采购过程中出现以下情形，导致电子交易平台无法正常运行，或者无法保证电子交易的公平、公正和安全时，采购人（或代理机构）可中止电子交易活动：</w:t>
      </w:r>
    </w:p>
    <w:p>
      <w:pP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 xml:space="preserve">（1）电子交易平台发生故障而无法登录访问的； </w:t>
      </w:r>
    </w:p>
    <w:p>
      <w:pP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（2）电子交易平台应用或数据库出现错误，不能进行正常操作的；</w:t>
      </w:r>
    </w:p>
    <w:p>
      <w:pP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（3）电子交易平台发现严重安全漏洞，有潜在泄密危险的；</w:t>
      </w:r>
    </w:p>
    <w:p>
      <w:pP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（4）病毒发作导致不能进行正常操作的；</w:t>
      </w:r>
    </w:p>
    <w:p>
      <w:pP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（5）其他无法保证电子交易的公平、公正和安全的情况。</w:t>
      </w:r>
    </w:p>
    <w:p>
      <w:pP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出现上述规定情形，不影响采购公平、公正性的，采购人（或代理机构）可以待上述情形消除后继续组织电子交易活动，也可以决定某些环节以纸质形式进行。</w:t>
      </w:r>
    </w:p>
    <w:p>
      <w:pPr>
        <w:pStyle w:val="9"/>
        <w:snapToGrid w:val="0"/>
        <w:spacing w:before="0" w:beforeLines="0" w:after="0" w:afterLines="0" w:line="360" w:lineRule="auto"/>
        <w:ind w:firstLine="472" w:firstLineChars="196"/>
        <w:rPr>
          <w:rFonts w:hAnsi="宋体"/>
          <w:b/>
          <w:bCs/>
          <w:color w:val="auto"/>
          <w:highlight w:val="none"/>
        </w:rPr>
      </w:pPr>
      <w:r>
        <w:rPr>
          <w:rFonts w:hAnsi="宋体"/>
          <w:b/>
          <w:bCs/>
          <w:color w:val="auto"/>
          <w:highlight w:val="none"/>
        </w:rPr>
        <w:t>（</w:t>
      </w:r>
      <w:r>
        <w:rPr>
          <w:rFonts w:hint="eastAsia" w:hAnsi="宋体"/>
          <w:b/>
          <w:bCs/>
          <w:color w:val="auto"/>
          <w:highlight w:val="none"/>
        </w:rPr>
        <w:t>八</w:t>
      </w:r>
      <w:r>
        <w:rPr>
          <w:rFonts w:hAnsi="宋体"/>
          <w:b/>
          <w:bCs/>
          <w:color w:val="auto"/>
          <w:highlight w:val="none"/>
        </w:rPr>
        <w:t>）质疑和投诉</w:t>
      </w:r>
    </w:p>
    <w:p>
      <w:pPr>
        <w:pStyle w:val="9"/>
        <w:snapToGrid w:val="0"/>
        <w:spacing w:before="0" w:beforeLines="0" w:after="0" w:afterLines="0" w:line="360" w:lineRule="auto"/>
        <w:ind w:firstLine="480" w:firstLineChars="200"/>
        <w:rPr>
          <w:rFonts w:hint="eastAsia" w:hAnsi="宋体"/>
          <w:color w:val="auto"/>
          <w:highlight w:val="none"/>
        </w:rPr>
      </w:pPr>
      <w:r>
        <w:rPr>
          <w:rFonts w:hAnsi="宋体"/>
          <w:bCs/>
          <w:color w:val="auto"/>
          <w:highlight w:val="none"/>
        </w:rPr>
        <w:t>1</w:t>
      </w:r>
      <w:r>
        <w:rPr>
          <w:rFonts w:hint="eastAsia" w:hAnsi="宋体"/>
          <w:bCs/>
          <w:color w:val="auto"/>
          <w:highlight w:val="none"/>
        </w:rPr>
        <w:t>.</w:t>
      </w:r>
      <w:r>
        <w:rPr>
          <w:rFonts w:hAnsi="宋体"/>
          <w:bCs/>
          <w:color w:val="auto"/>
          <w:highlight w:val="none"/>
        </w:rPr>
        <w:t>投标人认为</w:t>
      </w:r>
      <w:r>
        <w:rPr>
          <w:rFonts w:hint="eastAsia" w:hAnsi="宋体"/>
          <w:bCs/>
          <w:color w:val="auto"/>
          <w:highlight w:val="none"/>
        </w:rPr>
        <w:t>招标</w:t>
      </w:r>
      <w:r>
        <w:rPr>
          <w:rFonts w:hAnsi="宋体"/>
          <w:bCs/>
          <w:color w:val="auto"/>
          <w:highlight w:val="none"/>
        </w:rPr>
        <w:t>文件、招标过程</w:t>
      </w:r>
      <w:r>
        <w:rPr>
          <w:rFonts w:hint="eastAsia" w:hAnsi="宋体"/>
          <w:bCs/>
          <w:color w:val="auto"/>
          <w:highlight w:val="none"/>
        </w:rPr>
        <w:t>或</w:t>
      </w:r>
      <w:r>
        <w:rPr>
          <w:rFonts w:hAnsi="宋体"/>
          <w:bCs/>
          <w:color w:val="auto"/>
          <w:highlight w:val="none"/>
        </w:rPr>
        <w:t>中标结果使自己的合法权益受到损害的，应当在知道或者应知其权益受到损害之日起七个工作日内，以书面形式向采购人、采购代理机构提出质疑。</w:t>
      </w:r>
      <w:r>
        <w:rPr>
          <w:rFonts w:hAnsi="宋体"/>
          <w:color w:val="auto"/>
          <w:highlight w:val="none"/>
        </w:rPr>
        <w:t>投标人对</w:t>
      </w:r>
      <w:r>
        <w:rPr>
          <w:rFonts w:hAnsi="宋体"/>
          <w:bCs/>
          <w:color w:val="auto"/>
          <w:highlight w:val="none"/>
        </w:rPr>
        <w:t>采购人、采购代理机构</w:t>
      </w:r>
      <w:r>
        <w:rPr>
          <w:rFonts w:hAnsi="宋体"/>
          <w:color w:val="auto"/>
          <w:highlight w:val="none"/>
        </w:rPr>
        <w:t>的质疑答复不满意或者</w:t>
      </w:r>
      <w:r>
        <w:rPr>
          <w:rFonts w:hAnsi="宋体"/>
          <w:bCs/>
          <w:color w:val="auto"/>
          <w:highlight w:val="none"/>
        </w:rPr>
        <w:t>采购人、采购代理机构</w:t>
      </w:r>
      <w:r>
        <w:rPr>
          <w:rFonts w:hAnsi="宋体"/>
          <w:color w:val="auto"/>
          <w:highlight w:val="none"/>
        </w:rPr>
        <w:t>未在规定时间内作出答复的，可以在答复期满后十五个工作日内向同级采购监管部门投诉。</w:t>
      </w:r>
    </w:p>
    <w:p>
      <w:pPr>
        <w:pStyle w:val="2"/>
        <w:spacing w:line="360" w:lineRule="auto"/>
        <w:ind w:firstLine="464" w:firstLineChars="200"/>
        <w:rPr>
          <w:rFonts w:hint="eastAsia" w:hAnsi="宋体"/>
          <w:color w:val="auto"/>
          <w:sz w:val="24"/>
          <w:highlight w:val="none"/>
        </w:rPr>
      </w:pPr>
      <w:r>
        <w:rPr>
          <w:rFonts w:hAnsi="宋体"/>
          <w:color w:val="auto"/>
          <w:sz w:val="24"/>
          <w:highlight w:val="none"/>
        </w:rPr>
        <w:t>供应商应知其权益受到损害之日，是指：</w:t>
      </w:r>
    </w:p>
    <w:p>
      <w:pPr>
        <w:pStyle w:val="2"/>
        <w:spacing w:line="360" w:lineRule="auto"/>
        <w:ind w:firstLine="464" w:firstLineChars="200"/>
        <w:rPr>
          <w:rFonts w:hint="eastAsia" w:ascii="Arial" w:hAnsi="Arial" w:cs="Arial"/>
          <w:color w:val="auto"/>
          <w:kern w:val="0"/>
          <w:sz w:val="24"/>
          <w:highlight w:val="none"/>
        </w:rPr>
      </w:pPr>
      <w:r>
        <w:rPr>
          <w:rFonts w:hAnsi="宋体"/>
          <w:color w:val="auto"/>
          <w:sz w:val="24"/>
          <w:highlight w:val="none"/>
        </w:rPr>
        <w:t>（1）对</w:t>
      </w:r>
      <w:r>
        <w:rPr>
          <w:rFonts w:hint="eastAsia" w:hAnsi="宋体"/>
          <w:color w:val="auto"/>
          <w:sz w:val="24"/>
          <w:highlight w:val="none"/>
        </w:rPr>
        <w:t>可以质疑的招标文件</w:t>
      </w:r>
      <w:r>
        <w:rPr>
          <w:rFonts w:hAnsi="宋体"/>
          <w:color w:val="auto"/>
          <w:sz w:val="24"/>
          <w:highlight w:val="none"/>
        </w:rPr>
        <w:t>提出质疑的，</w:t>
      </w:r>
      <w:r>
        <w:rPr>
          <w:rFonts w:hint="eastAsia" w:hAnsi="宋体"/>
          <w:color w:val="auto"/>
          <w:sz w:val="24"/>
          <w:highlight w:val="none"/>
        </w:rPr>
        <w:t>为获取招标文件之日（公告期限届满之日后获取招标文件的为招标公告期限届满之日）。</w:t>
      </w:r>
    </w:p>
    <w:p>
      <w:pPr>
        <w:pStyle w:val="2"/>
        <w:spacing w:line="360" w:lineRule="auto"/>
        <w:ind w:firstLine="464" w:firstLineChars="200"/>
        <w:rPr>
          <w:rFonts w:hint="eastAsia" w:hAnsi="宋体"/>
          <w:color w:val="auto"/>
          <w:sz w:val="24"/>
          <w:highlight w:val="none"/>
        </w:rPr>
      </w:pPr>
      <w:r>
        <w:rPr>
          <w:rFonts w:hAnsi="宋体"/>
          <w:color w:val="auto"/>
          <w:sz w:val="24"/>
          <w:highlight w:val="none"/>
        </w:rPr>
        <w:t>（2）对采购过程提出质疑的，为各采购程序环节结束之日</w:t>
      </w:r>
      <w:r>
        <w:rPr>
          <w:rFonts w:hint="eastAsia" w:hAnsi="宋体"/>
          <w:color w:val="auto"/>
          <w:sz w:val="24"/>
          <w:highlight w:val="none"/>
        </w:rPr>
        <w:t>。</w:t>
      </w:r>
    </w:p>
    <w:p>
      <w:pPr>
        <w:pStyle w:val="2"/>
        <w:spacing w:line="360" w:lineRule="auto"/>
        <w:ind w:firstLine="464" w:firstLineChars="200"/>
        <w:rPr>
          <w:rFonts w:hint="eastAsia" w:hAnsi="宋体"/>
          <w:color w:val="auto"/>
          <w:sz w:val="24"/>
          <w:highlight w:val="none"/>
        </w:rPr>
      </w:pPr>
      <w:r>
        <w:rPr>
          <w:rFonts w:hint="eastAsia" w:hAnsi="宋体"/>
          <w:color w:val="auto"/>
          <w:sz w:val="24"/>
          <w:highlight w:val="none"/>
        </w:rPr>
        <w:t>（</w:t>
      </w:r>
      <w:r>
        <w:rPr>
          <w:rFonts w:hAnsi="宋体"/>
          <w:color w:val="auto"/>
          <w:sz w:val="24"/>
          <w:highlight w:val="none"/>
        </w:rPr>
        <w:t>3）对中标结果提出质疑的，为</w:t>
      </w:r>
      <w:r>
        <w:rPr>
          <w:rFonts w:hint="eastAsia" w:hAnsi="宋体"/>
          <w:color w:val="auto"/>
          <w:sz w:val="24"/>
          <w:highlight w:val="none"/>
          <w:lang w:eastAsia="zh-CN"/>
        </w:rPr>
        <w:t>中标</w:t>
      </w:r>
      <w:r>
        <w:rPr>
          <w:rFonts w:hAnsi="宋体"/>
          <w:color w:val="auto"/>
          <w:sz w:val="24"/>
          <w:highlight w:val="none"/>
        </w:rPr>
        <w:t>结果公告期限届满之日</w:t>
      </w:r>
      <w:r>
        <w:rPr>
          <w:rFonts w:hint="eastAsia" w:hAnsi="宋体"/>
          <w:color w:val="auto"/>
          <w:sz w:val="24"/>
          <w:highlight w:val="none"/>
        </w:rPr>
        <w:t>。</w:t>
      </w:r>
    </w:p>
    <w:p>
      <w:pPr>
        <w:pStyle w:val="2"/>
        <w:spacing w:line="360" w:lineRule="auto"/>
        <w:ind w:left="359" w:leftChars="171" w:firstLine="116" w:firstLineChars="50"/>
        <w:rPr>
          <w:rFonts w:hint="eastAsia"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质疑、投诉应当采用书面形式，质疑书、投诉书均应明确阐述招标</w:t>
      </w:r>
    </w:p>
    <w:p>
      <w:pPr>
        <w:pStyle w:val="2"/>
        <w:spacing w:line="360" w:lineRule="auto"/>
        <w:ind w:firstLine="0"/>
        <w:rPr>
          <w:rFonts w:hint="eastAsia" w:hAnsi="宋体"/>
          <w:color w:val="auto"/>
          <w:sz w:val="24"/>
          <w:highlight w:val="none"/>
        </w:rPr>
      </w:pPr>
      <w:r>
        <w:rPr>
          <w:rFonts w:hAnsi="宋体"/>
          <w:color w:val="auto"/>
          <w:sz w:val="24"/>
          <w:highlight w:val="none"/>
        </w:rPr>
        <w:t>文件、招标过程</w:t>
      </w:r>
      <w:r>
        <w:rPr>
          <w:rFonts w:hint="eastAsia" w:hAnsi="宋体"/>
          <w:color w:val="auto"/>
          <w:sz w:val="24"/>
          <w:highlight w:val="none"/>
        </w:rPr>
        <w:t>或</w:t>
      </w:r>
      <w:r>
        <w:rPr>
          <w:rFonts w:hAnsi="宋体"/>
          <w:color w:val="auto"/>
          <w:sz w:val="24"/>
          <w:highlight w:val="none"/>
        </w:rPr>
        <w:t>中标结果中使自己合法权益受到损害的实质性内容，提供相关事实、依据和证据及其来源或线索，便于有关单位调查、答复和处理</w:t>
      </w:r>
      <w:r>
        <w:rPr>
          <w:rFonts w:hint="eastAsia" w:hAnsi="宋体"/>
          <w:color w:val="auto"/>
          <w:sz w:val="24"/>
          <w:highlight w:val="none"/>
        </w:rPr>
        <w:t>。</w:t>
      </w:r>
    </w:p>
    <w:p>
      <w:pPr>
        <w:pStyle w:val="9"/>
        <w:snapToGrid w:val="0"/>
        <w:spacing w:line="360" w:lineRule="auto"/>
        <w:ind w:firstLine="562" w:firstLineChars="200"/>
        <w:rPr>
          <w:rFonts w:hint="eastAsia" w:hAnsi="宋体"/>
          <w:b/>
          <w:color w:val="auto"/>
          <w:sz w:val="28"/>
          <w:szCs w:val="28"/>
          <w:highlight w:val="none"/>
        </w:rPr>
      </w:pPr>
      <w:r>
        <w:rPr>
          <w:rFonts w:hint="eastAsia" w:hAnsi="宋体"/>
          <w:b/>
          <w:color w:val="auto"/>
          <w:sz w:val="28"/>
          <w:szCs w:val="28"/>
          <w:highlight w:val="none"/>
        </w:rPr>
        <w:t>二、招标文件</w:t>
      </w:r>
    </w:p>
    <w:p>
      <w:pPr>
        <w:snapToGrid w:val="0"/>
        <w:spacing w:line="360" w:lineRule="auto"/>
        <w:ind w:firstLine="472" w:firstLineChars="196"/>
        <w:jc w:val="left"/>
        <w:rPr>
          <w:rFonts w:ascii="宋体" w:hAnsi="宋体"/>
          <w:b/>
          <w:color w:val="auto"/>
          <w:sz w:val="24"/>
          <w:szCs w:val="20"/>
          <w:highlight w:val="none"/>
        </w:rPr>
      </w:pPr>
      <w:r>
        <w:rPr>
          <w:rFonts w:hint="eastAsia" w:ascii="宋体" w:hAnsi="宋体"/>
          <w:b/>
          <w:color w:val="auto"/>
          <w:sz w:val="24"/>
          <w:highlight w:val="none"/>
        </w:rPr>
        <w:t>（一）招标文件的构成。本招标文件由以下部份组成：</w:t>
      </w:r>
    </w:p>
    <w:p>
      <w:pPr>
        <w:snapToGrid w:val="0"/>
        <w:spacing w:line="360" w:lineRule="auto"/>
        <w:ind w:firstLine="480" w:firstLineChars="200"/>
        <w:jc w:val="left"/>
        <w:rPr>
          <w:rFonts w:hint="eastAsia"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.投标邀请</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投标人须知</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评标办法</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4.采购内容及需求</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.合</w:t>
      </w:r>
      <w:r>
        <w:rPr>
          <w:rFonts w:ascii="宋体" w:hAnsi="宋体"/>
          <w:color w:val="auto"/>
          <w:sz w:val="24"/>
          <w:highlight w:val="none"/>
        </w:rPr>
        <w:t>同主要条款</w:t>
      </w:r>
    </w:p>
    <w:p>
      <w:pPr>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投标文件格式</w:t>
      </w:r>
    </w:p>
    <w:p>
      <w:pPr>
        <w:snapToGrid w:val="0"/>
        <w:spacing w:line="360" w:lineRule="auto"/>
        <w:ind w:firstLine="480" w:firstLineChars="200"/>
        <w:jc w:val="left"/>
        <w:rPr>
          <w:rFonts w:hint="eastAsia" w:ascii="宋体" w:hAnsi="宋体"/>
          <w:color w:val="auto"/>
          <w:sz w:val="24"/>
          <w:szCs w:val="20"/>
          <w:highlight w:val="none"/>
        </w:rPr>
      </w:pPr>
      <w:r>
        <w:rPr>
          <w:rFonts w:hint="eastAsia" w:ascii="宋体" w:hAnsi="宋体"/>
          <w:color w:val="auto"/>
          <w:sz w:val="24"/>
          <w:highlight w:val="none"/>
        </w:rPr>
        <w:t>7.本项目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澄清、修改内容</w:t>
      </w:r>
      <w:r>
        <w:rPr>
          <w:rFonts w:hint="eastAsia" w:ascii="宋体" w:hAnsi="宋体"/>
          <w:color w:val="auto"/>
          <w:sz w:val="24"/>
          <w:highlight w:val="none"/>
        </w:rPr>
        <w:t>（如有）</w:t>
      </w:r>
    </w:p>
    <w:p>
      <w:pPr>
        <w:snapToGrid w:val="0"/>
        <w:spacing w:before="156" w:beforeLines="50" w:line="360" w:lineRule="auto"/>
        <w:ind w:firstLine="472" w:firstLineChars="196"/>
        <w:jc w:val="left"/>
        <w:rPr>
          <w:rFonts w:ascii="宋体" w:hAnsi="宋体"/>
          <w:b/>
          <w:color w:val="auto"/>
          <w:sz w:val="24"/>
          <w:szCs w:val="20"/>
          <w:highlight w:val="none"/>
        </w:rPr>
      </w:pPr>
      <w:r>
        <w:rPr>
          <w:rFonts w:hint="eastAsia" w:ascii="宋体" w:hAnsi="宋体"/>
          <w:b/>
          <w:color w:val="auto"/>
          <w:sz w:val="24"/>
          <w:highlight w:val="none"/>
        </w:rPr>
        <w:t>（二）投标人的风险</w:t>
      </w:r>
    </w:p>
    <w:p>
      <w:pPr>
        <w:pStyle w:val="14"/>
        <w:spacing w:line="360" w:lineRule="auto"/>
        <w:rPr>
          <w:rFonts w:hint="eastAsia" w:ascii="宋体" w:eastAsia="宋体"/>
          <w:color w:val="auto"/>
          <w:kern w:val="0"/>
          <w:highlight w:val="none"/>
        </w:rPr>
      </w:pPr>
      <w:r>
        <w:rPr>
          <w:rFonts w:hint="eastAsia" w:ascii="宋体" w:eastAsia="宋体"/>
          <w:color w:val="auto"/>
          <w:highlight w:val="none"/>
        </w:rPr>
        <w:t>1.</w:t>
      </w:r>
      <w:r>
        <w:rPr>
          <w:rFonts w:hint="eastAsia" w:ascii="宋体" w:cs="宋体"/>
          <w:color w:val="auto"/>
          <w:highlight w:val="none"/>
          <w:lang w:bidi="ar"/>
        </w:rPr>
        <w:t xml:space="preserve"> </w:t>
      </w:r>
      <w:r>
        <w:rPr>
          <w:rFonts w:hint="eastAsia" w:ascii="宋体" w:eastAsia="宋体"/>
          <w:color w:val="auto"/>
          <w:kern w:val="0"/>
          <w:highlight w:val="none"/>
        </w:rPr>
        <w:t>投标截止时间前，投标供应商仅递交了“</w:t>
      </w:r>
      <w:r>
        <w:rPr>
          <w:rFonts w:hint="eastAsia" w:ascii="宋体" w:cs="宋体"/>
          <w:color w:val="auto"/>
          <w:highlight w:val="none"/>
          <w:lang w:bidi="ar"/>
        </w:rPr>
        <w:t xml:space="preserve"> 电子</w:t>
      </w:r>
      <w:r>
        <w:rPr>
          <w:rFonts w:hint="eastAsia" w:ascii="宋体" w:eastAsia="宋体"/>
          <w:color w:val="auto"/>
          <w:kern w:val="0"/>
          <w:highlight w:val="none"/>
        </w:rPr>
        <w:t>备份投标文件”而未将“电子加密投标文件” 成功上传至“政府采购云平台”的，投标无效；通过“政府采购云平台”上传递交的“电子加密投标文件”无法按时解密的，如投标供应商未按规定递交“</w:t>
      </w:r>
      <w:r>
        <w:rPr>
          <w:rFonts w:hint="eastAsia" w:ascii="宋体" w:cs="宋体"/>
          <w:color w:val="auto"/>
          <w:highlight w:val="none"/>
          <w:lang w:bidi="ar"/>
        </w:rPr>
        <w:t xml:space="preserve"> 电子</w:t>
      </w:r>
      <w:r>
        <w:rPr>
          <w:rFonts w:hint="eastAsia" w:ascii="宋体" w:eastAsia="宋体"/>
          <w:color w:val="auto"/>
          <w:kern w:val="0"/>
          <w:highlight w:val="none"/>
        </w:rPr>
        <w:t>备份投标文件”的，视为投标文件撤回；</w:t>
      </w:r>
      <w:r>
        <w:rPr>
          <w:rFonts w:hint="eastAsia" w:ascii="宋体" w:eastAsia="宋体" w:cs="宋体"/>
          <w:color w:val="auto"/>
          <w:highlight w:val="none"/>
          <w:lang w:bidi="ar"/>
        </w:rPr>
        <w:t>在“政府采购云平台”正常运行情况下，“电子备份投标文件”无法上传至“政府采购云平台”的，视为投标文件撤回。</w:t>
      </w:r>
    </w:p>
    <w:p>
      <w:pPr>
        <w:pStyle w:val="14"/>
        <w:spacing w:line="360" w:lineRule="auto"/>
        <w:rPr>
          <w:rFonts w:hint="eastAsia" w:ascii="宋体" w:eastAsia="宋体"/>
          <w:color w:val="auto"/>
          <w:highlight w:val="none"/>
        </w:rPr>
      </w:pPr>
      <w:r>
        <w:rPr>
          <w:rFonts w:hint="eastAsia" w:ascii="宋体" w:eastAsia="宋体"/>
          <w:color w:val="auto"/>
          <w:highlight w:val="none"/>
        </w:rPr>
        <w:t>2.投标人没有按照招标文件要求提供全部资料，或者投标人没有对招标文件在各方面作出实质性响应是投标人的风险，并可能导致其投标无效。</w:t>
      </w:r>
    </w:p>
    <w:p>
      <w:pPr>
        <w:pStyle w:val="5"/>
        <w:numPr>
          <w:ilvl w:val="0"/>
          <w:numId w:val="0"/>
        </w:numPr>
        <w:tabs>
          <w:tab w:val="left" w:pos="454"/>
          <w:tab w:val="left" w:pos="720"/>
        </w:tabs>
        <w:snapToGrid w:val="0"/>
        <w:spacing w:before="156" w:beforeLines="50" w:line="360" w:lineRule="auto"/>
        <w:ind w:firstLine="413" w:firstLineChars="196"/>
        <w:rPr>
          <w:rFonts w:hint="eastAsia" w:ascii="宋体" w:hAnsi="宋体"/>
          <w:b/>
          <w:color w:val="auto"/>
          <w:highlight w:val="none"/>
        </w:rPr>
      </w:pPr>
      <w:r>
        <w:rPr>
          <w:rFonts w:hint="eastAsia" w:ascii="宋体" w:hAnsi="宋体"/>
          <w:b/>
          <w:color w:val="auto"/>
          <w:highlight w:val="none"/>
        </w:rPr>
        <w:t>（三）招标文件的澄清与修改</w:t>
      </w:r>
      <w:r>
        <w:rPr>
          <w:rFonts w:ascii="宋体" w:hAnsi="宋体"/>
          <w:b/>
          <w:color w:val="auto"/>
          <w:highlight w:val="none"/>
        </w:rPr>
        <w:t xml:space="preserve"> </w:t>
      </w:r>
    </w:p>
    <w:p>
      <w:pPr>
        <w:pStyle w:val="9"/>
        <w:snapToGrid w:val="0"/>
        <w:spacing w:before="0" w:beforeLines="0" w:after="0" w:afterLines="0" w:line="360" w:lineRule="auto"/>
        <w:ind w:firstLine="480" w:firstLineChars="200"/>
        <w:rPr>
          <w:rFonts w:hAnsi="宋体"/>
          <w:color w:val="auto"/>
          <w:highlight w:val="none"/>
        </w:rPr>
      </w:pPr>
      <w:r>
        <w:rPr>
          <w:rFonts w:hAnsi="宋体"/>
          <w:color w:val="auto"/>
          <w:highlight w:val="none"/>
        </w:rPr>
        <w:t>1</w:t>
      </w:r>
      <w:r>
        <w:rPr>
          <w:rFonts w:hint="eastAsia" w:hAnsi="宋体"/>
          <w:color w:val="auto"/>
          <w:highlight w:val="none"/>
        </w:rPr>
        <w:t>.</w:t>
      </w:r>
      <w:r>
        <w:rPr>
          <w:rFonts w:hAnsi="宋体"/>
          <w:bCs/>
          <w:color w:val="auto"/>
          <w:highlight w:val="none"/>
        </w:rPr>
        <w:t>投标人应认真阅读本招标文件，发现其中有</w:t>
      </w:r>
      <w:r>
        <w:rPr>
          <w:rFonts w:hint="eastAsia" w:hAnsi="宋体"/>
          <w:color w:val="auto"/>
          <w:highlight w:val="none"/>
        </w:rPr>
        <w:t>表述不清晰、前后矛盾等内容的</w:t>
      </w:r>
      <w:r>
        <w:rPr>
          <w:rFonts w:hAnsi="宋体"/>
          <w:bCs/>
          <w:color w:val="auto"/>
          <w:highlight w:val="none"/>
        </w:rPr>
        <w:t>，投标人</w:t>
      </w:r>
      <w:r>
        <w:rPr>
          <w:rFonts w:hint="eastAsia" w:hAnsi="宋体"/>
          <w:bCs/>
          <w:color w:val="auto"/>
          <w:highlight w:val="none"/>
        </w:rPr>
        <w:t>可以</w:t>
      </w:r>
      <w:r>
        <w:rPr>
          <w:rFonts w:hint="eastAsia" w:hAnsi="宋体"/>
          <w:color w:val="auto"/>
          <w:highlight w:val="none"/>
        </w:rPr>
        <w:t>在投标截止日</w:t>
      </w:r>
      <w:r>
        <w:rPr>
          <w:rFonts w:hint="eastAsia" w:hAnsi="宋体"/>
          <w:color w:val="auto"/>
          <w:highlight w:val="none"/>
          <w:u w:val="single"/>
        </w:rPr>
        <w:t xml:space="preserve"> 10 </w:t>
      </w:r>
      <w:r>
        <w:rPr>
          <w:rFonts w:hint="eastAsia" w:hAnsi="宋体"/>
          <w:color w:val="auto"/>
          <w:highlight w:val="none"/>
        </w:rPr>
        <w:t>天前</w:t>
      </w:r>
      <w:r>
        <w:rPr>
          <w:rFonts w:hAnsi="宋体"/>
          <w:bCs/>
          <w:color w:val="auto"/>
          <w:highlight w:val="none"/>
        </w:rPr>
        <w:t>以书面形式要求招标采购单位澄清</w:t>
      </w:r>
      <w:r>
        <w:rPr>
          <w:rFonts w:hAnsi="宋体"/>
          <w:color w:val="auto"/>
          <w:highlight w:val="none"/>
        </w:rPr>
        <w:t>。招标采购单位对已发出的招标文件进行必要澄清、修改</w:t>
      </w:r>
      <w:r>
        <w:rPr>
          <w:rFonts w:hint="eastAsia" w:hAnsi="宋体" w:cs="Arial"/>
          <w:color w:val="auto"/>
          <w:highlight w:val="none"/>
        </w:rPr>
        <w:t>的内容可能影响投标文件编制的，</w:t>
      </w:r>
      <w:r>
        <w:rPr>
          <w:rFonts w:hAnsi="宋体"/>
          <w:color w:val="auto"/>
          <w:highlight w:val="none"/>
        </w:rPr>
        <w:t>应当在招标文件要求提交投标文件截止时间</w:t>
      </w:r>
      <w:r>
        <w:rPr>
          <w:rFonts w:hint="eastAsia" w:hAnsi="宋体"/>
          <w:color w:val="auto"/>
          <w:highlight w:val="none"/>
        </w:rPr>
        <w:t>十</w:t>
      </w:r>
      <w:r>
        <w:rPr>
          <w:rFonts w:hAnsi="宋体"/>
          <w:color w:val="auto"/>
          <w:highlight w:val="none"/>
        </w:rPr>
        <w:t>五日前，在财政部门指定的政府采购信息发布媒体上发布更正公告，并以书面形式通知所有招标文件收受人。</w:t>
      </w:r>
    </w:p>
    <w:p>
      <w:pPr>
        <w:pStyle w:val="9"/>
        <w:snapToGrid w:val="0"/>
        <w:spacing w:before="0" w:beforeLines="0" w:after="0" w:afterLines="0" w:line="360" w:lineRule="auto"/>
        <w:ind w:firstLine="480" w:firstLineChars="20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招标采购单位必须以书面形式答复投标人要求澄清的问题，并将不包含问题来源的答复书面通知所有</w:t>
      </w:r>
      <w:r>
        <w:rPr>
          <w:rFonts w:hint="eastAsia" w:hAnsi="宋体"/>
          <w:color w:val="auto"/>
          <w:highlight w:val="none"/>
        </w:rPr>
        <w:t>合法获取了</w:t>
      </w:r>
      <w:r>
        <w:rPr>
          <w:rFonts w:hAnsi="宋体"/>
          <w:color w:val="auto"/>
          <w:highlight w:val="none"/>
        </w:rPr>
        <w:t>招标文件的投标人；除书面答复以外的其他澄清方式及澄清内容均无效。</w:t>
      </w:r>
    </w:p>
    <w:p>
      <w:pPr>
        <w:pStyle w:val="9"/>
        <w:snapToGrid w:val="0"/>
        <w:spacing w:before="0" w:beforeLines="0" w:after="0" w:afterLines="0" w:line="360" w:lineRule="auto"/>
        <w:ind w:firstLine="480" w:firstLineChars="200"/>
        <w:rPr>
          <w:rFonts w:hAnsi="宋体"/>
          <w:color w:val="auto"/>
          <w:highlight w:val="none"/>
        </w:rPr>
      </w:pPr>
      <w:r>
        <w:rPr>
          <w:rFonts w:hint="eastAsia" w:hAnsi="宋体"/>
          <w:color w:val="auto"/>
          <w:highlight w:val="none"/>
        </w:rPr>
        <w:t>3.</w:t>
      </w:r>
      <w:r>
        <w:rPr>
          <w:rFonts w:hAnsi="宋体"/>
          <w:color w:val="auto"/>
          <w:highlight w:val="none"/>
        </w:rPr>
        <w:t>招标文件澄清、修改的内容为招标文件的组成部分。当招标文件与招标文件的澄清、修改通知就同一内容的表述不一致时，以最后发出的书面文件为准。</w:t>
      </w:r>
    </w:p>
    <w:p>
      <w:pPr>
        <w:pStyle w:val="9"/>
        <w:snapToGrid w:val="0"/>
        <w:spacing w:before="0" w:beforeLines="0" w:after="0" w:afterLines="0" w:line="360" w:lineRule="auto"/>
        <w:ind w:firstLine="480" w:firstLineChars="200"/>
        <w:rPr>
          <w:rFonts w:hAnsi="宋体"/>
          <w:color w:val="auto"/>
          <w:highlight w:val="none"/>
        </w:rPr>
      </w:pPr>
      <w:r>
        <w:rPr>
          <w:rFonts w:hint="eastAsia" w:hAnsi="宋体"/>
          <w:color w:val="auto"/>
          <w:highlight w:val="none"/>
        </w:rPr>
        <w:t>4.</w:t>
      </w:r>
      <w:r>
        <w:rPr>
          <w:rFonts w:hAnsi="宋体"/>
          <w:color w:val="auto"/>
          <w:highlight w:val="none"/>
        </w:rPr>
        <w:t>招标文件的澄清、修改都应该通过本代理机构发布。</w:t>
      </w:r>
    </w:p>
    <w:p>
      <w:pPr>
        <w:pStyle w:val="9"/>
        <w:snapToGrid w:val="0"/>
        <w:spacing w:beforeLines="0" w:afterLines="0" w:line="360" w:lineRule="auto"/>
        <w:ind w:firstLine="551" w:firstLineChars="196"/>
        <w:rPr>
          <w:rFonts w:hAnsi="宋体"/>
          <w:b/>
          <w:color w:val="auto"/>
          <w:sz w:val="28"/>
          <w:szCs w:val="28"/>
          <w:highlight w:val="none"/>
        </w:rPr>
      </w:pPr>
      <w:r>
        <w:rPr>
          <w:rFonts w:hAnsi="宋体"/>
          <w:b/>
          <w:color w:val="auto"/>
          <w:sz w:val="28"/>
          <w:szCs w:val="28"/>
          <w:highlight w:val="none"/>
        </w:rPr>
        <w:t>三、投标文件</w:t>
      </w:r>
    </w:p>
    <w:p>
      <w:pPr>
        <w:snapToGrid w:val="0"/>
        <w:spacing w:line="360" w:lineRule="auto"/>
        <w:ind w:firstLine="472" w:firstLineChars="196"/>
        <w:jc w:val="left"/>
        <w:rPr>
          <w:rFonts w:ascii="宋体" w:hAnsi="宋体"/>
          <w:b/>
          <w:color w:val="auto"/>
          <w:sz w:val="24"/>
          <w:szCs w:val="20"/>
          <w:highlight w:val="none"/>
        </w:rPr>
      </w:pPr>
      <w:bookmarkStart w:id="36" w:name="_Toc5828"/>
      <w:r>
        <w:rPr>
          <w:rFonts w:hint="eastAsia" w:ascii="宋体" w:hAnsi="宋体"/>
          <w:b/>
          <w:color w:val="auto"/>
          <w:sz w:val="24"/>
          <w:highlight w:val="none"/>
        </w:rPr>
        <w:t>（一）投标文件的组成</w:t>
      </w:r>
      <w:bookmarkEnd w:id="36"/>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投标文件由资格证明文件、商务技术文件、报价文件三部份组成。</w:t>
      </w:r>
    </w:p>
    <w:p>
      <w:pPr>
        <w:snapToGrid w:val="0"/>
        <w:spacing w:before="156" w:beforeLines="50" w:line="360" w:lineRule="auto"/>
        <w:ind w:firstLine="472" w:firstLineChars="196"/>
        <w:jc w:val="left"/>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.资格证明</w:t>
      </w:r>
      <w:r>
        <w:rPr>
          <w:rFonts w:ascii="宋体" w:hAnsi="宋体"/>
          <w:b/>
          <w:color w:val="auto"/>
          <w:sz w:val="24"/>
          <w:highlight w:val="none"/>
        </w:rPr>
        <w:t>文件：</w:t>
      </w:r>
    </w:p>
    <w:p>
      <w:pPr>
        <w:tabs>
          <w:tab w:val="left" w:pos="720"/>
        </w:tabs>
        <w:adjustRightInd w:val="0"/>
        <w:snapToGri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（1）法人或者其他组织的营业执照等证明文件，自然人的身份证明；</w:t>
      </w:r>
    </w:p>
    <w:p>
      <w:pPr>
        <w:tabs>
          <w:tab w:val="left" w:pos="720"/>
        </w:tabs>
        <w:adjustRightInd w:val="0"/>
        <w:snapToGri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（2）具有良好的商业信誉和健全的财务会计制度（须提供近年的第三方提供的财务审计报告，或其基本开户银行出具的资信证明，或财政部门认可的采购专业担保机构出具的投标担保函；）；</w:t>
      </w:r>
    </w:p>
    <w:p>
      <w:pPr>
        <w:tabs>
          <w:tab w:val="left" w:pos="720"/>
        </w:tabs>
        <w:adjustRightInd w:val="0"/>
        <w:snapToGri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3）具有履行合同所必需的场地、设备和专业技术能力的承诺函或相关证明资料；（须提供相关证明（说明）材料，内容格式自拟，证明材料可以是：投标人专业设备发票或代理证明或以往同类项目实施案例、专业技术人员等。）</w:t>
      </w:r>
    </w:p>
    <w:p>
      <w:pPr>
        <w:tabs>
          <w:tab w:val="left" w:pos="720"/>
        </w:tabs>
        <w:adjustRightInd w:val="0"/>
        <w:snapToGrid w:val="0"/>
        <w:spacing w:line="360" w:lineRule="auto"/>
        <w:ind w:firstLine="480" w:firstLineChars="200"/>
        <w:jc w:val="left"/>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（4）依法缴纳税收和社会保障资金的证明资料；（1、须提供税务登记证（多证合一提供营业执照复印件即可）及近期的依法缴纳税收的记录； 2、须提供社保登记证（多证合一提供营业执照复印件即可）及近期的社会保险缴纳凭据（专用收据或社会保险缴纳清单）；）</w:t>
      </w:r>
    </w:p>
    <w:p>
      <w:pPr>
        <w:tabs>
          <w:tab w:val="left" w:pos="720"/>
        </w:tabs>
        <w:adjustRightInd w:val="0"/>
        <w:snapToGrid w:val="0"/>
        <w:spacing w:line="360" w:lineRule="auto"/>
        <w:ind w:firstLine="480" w:firstLineChars="200"/>
        <w:jc w:val="left"/>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eastAsia="zh-CN"/>
        </w:rPr>
        <w:t>）联合体协议书（如有，格式自拟）</w:t>
      </w:r>
    </w:p>
    <w:p>
      <w:pPr>
        <w:tabs>
          <w:tab w:val="left" w:pos="720"/>
        </w:tabs>
        <w:adjustRightInd w:val="0"/>
        <w:snapToGrid w:val="0"/>
        <w:spacing w:line="360" w:lineRule="auto"/>
        <w:ind w:firstLine="480" w:firstLineChars="200"/>
        <w:jc w:val="left"/>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有效的电子与智能化工程专业承包贰级及以上资质和有效的安全生产许可证。</w:t>
      </w:r>
    </w:p>
    <w:p>
      <w:pPr>
        <w:snapToGrid w:val="0"/>
        <w:spacing w:line="360" w:lineRule="auto"/>
        <w:ind w:firstLine="472" w:firstLineChars="196"/>
        <w:jc w:val="left"/>
        <w:rPr>
          <w:rFonts w:hint="eastAsia" w:ascii="宋体" w:hAnsi="宋体"/>
          <w:b/>
          <w:bCs/>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.商务</w:t>
      </w:r>
      <w:r>
        <w:rPr>
          <w:rFonts w:ascii="宋体" w:hAnsi="宋体"/>
          <w:b/>
          <w:bCs/>
          <w:color w:val="auto"/>
          <w:sz w:val="24"/>
          <w:highlight w:val="none"/>
        </w:rPr>
        <w:t>技术文件</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（1）投标声明书；</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（2）法定代表人授权委托书(格式见第六章)；</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（3）中小企业的相关证明材料（如投标人和投标产品生产企业为小型或微型企业）：</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① 中小企业声明函(格式见第六章)；</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（4）残疾人福利性单位声明函（如投标人为残疾人福利性单位，格式见第六章）；</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（5）监狱企业的相关证明材料（如投标人为监狱企业）：</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① 由省级以上监狱管理局、戒毒管理局（含新疆生产建设兵团）出具的属于监狱企业的证明文件。</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（6）节能产品的相关证明材料：</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（7）环境标志产品的相关证明材料：</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（8）投标人情况介绍；</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（9）商务响应表（格式见第六章）；</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（10）投标人认为可以证明其能力或业绩的其他材料；</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（11）技术响应表（格式见第六章）；</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12）设备的详细配置及零部件清单；其中：零部件需说明制造商和国别（不含报价,格式见第六章），技术规格书、所投设备的品牌、型号规格、主要技术性能、特点、操作说明和质量水平的详细描述（不含报价）；</w:t>
      </w:r>
      <w:r>
        <w:rPr>
          <w:rFonts w:hint="eastAsia" w:ascii="宋体" w:hAnsi="宋体" w:cs="Arial"/>
          <w:color w:val="auto"/>
          <w:kern w:val="0"/>
          <w:sz w:val="24"/>
          <w:highlight w:val="none"/>
          <w:lang w:eastAsia="zh-CN"/>
        </w:rPr>
        <w:t>最新的</w:t>
      </w:r>
      <w:r>
        <w:rPr>
          <w:rFonts w:hint="eastAsia" w:ascii="宋体" w:hAnsi="宋体" w:cs="Arial"/>
          <w:color w:val="auto"/>
          <w:kern w:val="0"/>
          <w:sz w:val="24"/>
          <w:highlight w:val="none"/>
        </w:rPr>
        <w:t>产品样本说明书；（样本为英文版的，须同时提供中文版。如英文版与 中文版不一致的，以中文版为准）；</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（13）投标人建议的安装、调试、验收方法或方案；</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（14）技术服务、技术培训、售后服务的内容和措施；</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（15）项目实施人员一览表（格式见第六章）；</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 xml:space="preserve">（16）选配件、专用耗材、售后服务优惠表（格式见第六章）； </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（17）投标人对本项目的合理化建议和改进措施；</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（18）投标人需要说明的其他文件和说明；</w:t>
      </w:r>
    </w:p>
    <w:p>
      <w:pPr>
        <w:snapToGrid w:val="0"/>
        <w:spacing w:line="360" w:lineRule="auto"/>
        <w:ind w:firstLine="470" w:firstLineChars="196"/>
        <w:jc w:val="left"/>
        <w:rPr>
          <w:rFonts w:hint="eastAsia" w:ascii="宋体" w:hAnsi="宋体" w:cs="Arial"/>
          <w:color w:val="auto"/>
          <w:kern w:val="0"/>
          <w:sz w:val="24"/>
          <w:highlight w:val="none"/>
        </w:rPr>
      </w:pPr>
      <w:r>
        <w:rPr>
          <w:rFonts w:hint="eastAsia" w:ascii="宋体" w:hAnsi="宋体" w:cs="Arial"/>
          <w:color w:val="auto"/>
          <w:kern w:val="0"/>
          <w:sz w:val="24"/>
          <w:highlight w:val="none"/>
        </w:rPr>
        <w:t>（19）与评审、评分有关的其他技术资料；</w:t>
      </w:r>
    </w:p>
    <w:p>
      <w:pPr>
        <w:snapToGrid w:val="0"/>
        <w:spacing w:line="360" w:lineRule="auto"/>
        <w:ind w:firstLine="472" w:firstLineChars="196"/>
        <w:jc w:val="left"/>
        <w:rPr>
          <w:rFonts w:ascii="宋体" w:hAnsi="宋体"/>
          <w:b/>
          <w:color w:val="auto"/>
          <w:sz w:val="24"/>
          <w:szCs w:val="20"/>
          <w:highlight w:val="none"/>
        </w:rPr>
      </w:pPr>
      <w:r>
        <w:rPr>
          <w:rFonts w:ascii="宋体" w:hAnsi="宋体"/>
          <w:b/>
          <w:color w:val="auto"/>
          <w:sz w:val="24"/>
          <w:highlight w:val="none"/>
        </w:rPr>
        <w:t>3</w:t>
      </w:r>
      <w:r>
        <w:rPr>
          <w:rFonts w:hint="eastAsia" w:ascii="宋体" w:hAnsi="宋体"/>
          <w:b/>
          <w:color w:val="auto"/>
          <w:sz w:val="24"/>
          <w:highlight w:val="none"/>
        </w:rPr>
        <w:t>.</w:t>
      </w:r>
      <w:r>
        <w:rPr>
          <w:rFonts w:ascii="宋体" w:hAnsi="宋体"/>
          <w:b/>
          <w:color w:val="auto"/>
          <w:sz w:val="24"/>
          <w:highlight w:val="none"/>
        </w:rPr>
        <w:t>报价文件：</w:t>
      </w:r>
    </w:p>
    <w:p>
      <w:pPr>
        <w:tabs>
          <w:tab w:val="left" w:pos="3870"/>
          <w:tab w:val="left" w:pos="4085"/>
        </w:tabs>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（1）投标函（格式见第六章）； </w:t>
      </w:r>
    </w:p>
    <w:p>
      <w:pPr>
        <w:tabs>
          <w:tab w:val="left" w:pos="3870"/>
          <w:tab w:val="left" w:pos="4085"/>
        </w:tabs>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（2）开标一览表（格式见第六章）；</w:t>
      </w:r>
    </w:p>
    <w:p>
      <w:pPr>
        <w:tabs>
          <w:tab w:val="left" w:pos="3870"/>
          <w:tab w:val="left" w:pos="4085"/>
        </w:tabs>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（3）投标报价明细表（格式见第六章）；</w:t>
      </w:r>
    </w:p>
    <w:p>
      <w:pPr>
        <w:tabs>
          <w:tab w:val="left" w:pos="3870"/>
          <w:tab w:val="left" w:pos="4085"/>
        </w:tabs>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（4）政府采购政策情况表(格式见第六章)；</w:t>
      </w:r>
    </w:p>
    <w:p>
      <w:pPr>
        <w:tabs>
          <w:tab w:val="left" w:pos="3870"/>
          <w:tab w:val="left" w:pos="4085"/>
        </w:tabs>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（5）投标人针对报价需要说明的其他文件和说明；</w:t>
      </w:r>
    </w:p>
    <w:p>
      <w:pPr>
        <w:snapToGrid w:val="0"/>
        <w:spacing w:line="360" w:lineRule="auto"/>
        <w:ind w:firstLine="472" w:firstLineChars="196"/>
        <w:jc w:val="left"/>
        <w:rPr>
          <w:rFonts w:ascii="宋体" w:hAnsi="宋体"/>
          <w:b/>
          <w:color w:val="auto"/>
          <w:sz w:val="24"/>
          <w:szCs w:val="20"/>
          <w:highlight w:val="none"/>
        </w:rPr>
      </w:pPr>
      <w:bookmarkStart w:id="37" w:name="_Toc13182"/>
      <w:r>
        <w:rPr>
          <w:rFonts w:hint="eastAsia" w:ascii="宋体" w:hAnsi="宋体"/>
          <w:b/>
          <w:color w:val="auto"/>
          <w:sz w:val="24"/>
          <w:highlight w:val="none"/>
        </w:rPr>
        <w:t>（二）投标文件的语言及计量</w:t>
      </w:r>
      <w:bookmarkEnd w:id="37"/>
    </w:p>
    <w:p>
      <w:pPr>
        <w:snapToGrid w:val="0"/>
        <w:spacing w:line="360" w:lineRule="auto"/>
        <w:ind w:firstLine="480" w:firstLineChars="200"/>
        <w:jc w:val="left"/>
        <w:rPr>
          <w:rFonts w:hint="eastAsia" w:ascii="宋体" w:hAnsi="宋体"/>
          <w:color w:val="auto"/>
          <w:sz w:val="24"/>
          <w:szCs w:val="20"/>
          <w:highlight w:val="none"/>
        </w:rPr>
      </w:pPr>
      <w:r>
        <w:rPr>
          <w:rFonts w:ascii="宋体" w:hAnsi="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r>
        <w:rPr>
          <w:rFonts w:hint="eastAsia" w:ascii="宋体" w:hAnsi="宋体"/>
          <w:color w:val="auto"/>
          <w:sz w:val="24"/>
          <w:highlight w:val="none"/>
        </w:rPr>
        <w:t xml:space="preserve"> </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156" w:beforeLines="50" w:line="360" w:lineRule="auto"/>
        <w:ind w:firstLine="472" w:firstLineChars="196"/>
        <w:jc w:val="left"/>
        <w:rPr>
          <w:rFonts w:ascii="宋体" w:hAnsi="宋体"/>
          <w:b/>
          <w:color w:val="auto"/>
          <w:sz w:val="24"/>
          <w:szCs w:val="20"/>
          <w:highlight w:val="none"/>
        </w:rPr>
      </w:pPr>
      <w:bookmarkStart w:id="38" w:name="_Toc16931"/>
      <w:r>
        <w:rPr>
          <w:rFonts w:hint="eastAsia" w:ascii="宋体" w:hAnsi="宋体"/>
          <w:b/>
          <w:color w:val="auto"/>
          <w:sz w:val="24"/>
          <w:highlight w:val="none"/>
        </w:rPr>
        <w:t>（三）投标报价</w:t>
      </w:r>
      <w:bookmarkEnd w:id="38"/>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投标报价</w:t>
      </w:r>
      <w:r>
        <w:rPr>
          <w:rFonts w:hint="eastAsia" w:ascii="宋体" w:hAnsi="宋体"/>
          <w:color w:val="auto"/>
          <w:sz w:val="24"/>
          <w:highlight w:val="none"/>
        </w:rPr>
        <w:t>应当包括</w:t>
      </w:r>
      <w:r>
        <w:rPr>
          <w:rFonts w:ascii="宋体" w:hAnsi="宋体"/>
          <w:color w:val="auto"/>
          <w:sz w:val="24"/>
          <w:highlight w:val="none"/>
        </w:rPr>
        <w:t>履行合同的</w:t>
      </w:r>
      <w:r>
        <w:rPr>
          <w:rFonts w:hint="eastAsia" w:ascii="宋体" w:hAnsi="宋体"/>
          <w:color w:val="auto"/>
          <w:sz w:val="24"/>
          <w:highlight w:val="none"/>
        </w:rPr>
        <w:t>全部</w:t>
      </w:r>
      <w:r>
        <w:rPr>
          <w:rFonts w:ascii="宋体" w:hAnsi="宋体"/>
          <w:color w:val="auto"/>
          <w:sz w:val="24"/>
          <w:highlight w:val="none"/>
        </w:rPr>
        <w:t>价格，包括</w:t>
      </w:r>
      <w:r>
        <w:rPr>
          <w:rFonts w:hint="eastAsia" w:ascii="宋体" w:hAnsi="宋体"/>
          <w:color w:val="auto"/>
          <w:sz w:val="24"/>
          <w:highlight w:val="none"/>
        </w:rPr>
        <w:t>但不限于</w:t>
      </w:r>
      <w:r>
        <w:rPr>
          <w:rFonts w:ascii="宋体" w:hAnsi="宋体"/>
          <w:color w:val="auto"/>
          <w:sz w:val="24"/>
          <w:highlight w:val="none"/>
        </w:rPr>
        <w:t>货款、标准附件、备品备件、专用工具、包装、运输、装卸、保险、税金、货到就位以及安装、调试、培训、保修</w:t>
      </w:r>
      <w:r>
        <w:rPr>
          <w:rFonts w:hint="eastAsia" w:ascii="宋体" w:hAnsi="宋体"/>
          <w:color w:val="auto"/>
          <w:sz w:val="24"/>
          <w:highlight w:val="none"/>
        </w:rPr>
        <w:t>、</w:t>
      </w:r>
      <w:r>
        <w:rPr>
          <w:rFonts w:ascii="宋体" w:hAnsi="宋体"/>
          <w:color w:val="auto"/>
          <w:sz w:val="24"/>
          <w:highlight w:val="none"/>
        </w:rPr>
        <w:t>税金等一切费用</w:t>
      </w:r>
      <w:r>
        <w:rPr>
          <w:rFonts w:hint="eastAsia" w:ascii="宋体" w:hAnsi="宋体"/>
          <w:color w:val="auto"/>
          <w:sz w:val="24"/>
          <w:highlight w:val="none"/>
        </w:rPr>
        <w:t>，以及中标后向采购代理机构支付的代理服务费</w:t>
      </w:r>
      <w:r>
        <w:rPr>
          <w:rFonts w:ascii="宋体" w:hAnsi="宋体"/>
          <w:color w:val="auto"/>
          <w:sz w:val="24"/>
          <w:highlight w:val="none"/>
        </w:rPr>
        <w:t>。</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投标文件只允许有一个报价，有选择</w:t>
      </w:r>
      <w:r>
        <w:rPr>
          <w:rFonts w:hint="eastAsia" w:ascii="宋体" w:hAnsi="宋体"/>
          <w:color w:val="auto"/>
          <w:sz w:val="24"/>
          <w:highlight w:val="none"/>
        </w:rPr>
        <w:t>或有条件的</w:t>
      </w:r>
      <w:r>
        <w:rPr>
          <w:rFonts w:ascii="宋体" w:hAnsi="宋体"/>
          <w:color w:val="auto"/>
          <w:sz w:val="24"/>
          <w:highlight w:val="none"/>
        </w:rPr>
        <w:t>报价将不予接受</w:t>
      </w:r>
      <w:r>
        <w:rPr>
          <w:rFonts w:hint="eastAsia" w:ascii="宋体" w:hAnsi="宋体"/>
          <w:color w:val="auto"/>
          <w:sz w:val="24"/>
          <w:highlight w:val="none"/>
        </w:rPr>
        <w:t>，其</w:t>
      </w:r>
      <w:r>
        <w:rPr>
          <w:rFonts w:ascii="宋体" w:hAnsi="宋体"/>
          <w:color w:val="auto"/>
          <w:sz w:val="24"/>
          <w:highlight w:val="none"/>
        </w:rPr>
        <w:t>投标</w:t>
      </w:r>
      <w:r>
        <w:rPr>
          <w:rFonts w:hint="eastAsia" w:ascii="宋体" w:hAnsi="宋体"/>
          <w:color w:val="auto"/>
          <w:sz w:val="24"/>
          <w:highlight w:val="none"/>
        </w:rPr>
        <w:t>无效</w:t>
      </w:r>
      <w:r>
        <w:rPr>
          <w:rFonts w:ascii="宋体" w:hAnsi="宋体"/>
          <w:color w:val="auto"/>
          <w:sz w:val="24"/>
          <w:highlight w:val="none"/>
        </w:rPr>
        <w:t>。</w:t>
      </w:r>
    </w:p>
    <w:p>
      <w:pPr>
        <w:pStyle w:val="5"/>
        <w:numPr>
          <w:ilvl w:val="0"/>
          <w:numId w:val="0"/>
        </w:numPr>
        <w:tabs>
          <w:tab w:val="left" w:pos="454"/>
          <w:tab w:val="left" w:pos="720"/>
        </w:tabs>
        <w:snapToGrid w:val="0"/>
        <w:spacing w:before="156" w:beforeLines="50" w:line="360" w:lineRule="auto"/>
        <w:ind w:firstLine="413" w:firstLineChars="196"/>
        <w:rPr>
          <w:rFonts w:ascii="宋体" w:hAnsi="宋体"/>
          <w:b/>
          <w:color w:val="auto"/>
          <w:highlight w:val="none"/>
        </w:rPr>
      </w:pPr>
      <w:r>
        <w:rPr>
          <w:rFonts w:hint="eastAsia" w:ascii="宋体" w:hAnsi="宋体"/>
          <w:b/>
          <w:color w:val="auto"/>
          <w:highlight w:val="none"/>
        </w:rPr>
        <w:t>（四）投标文件的有效期</w:t>
      </w:r>
    </w:p>
    <w:p>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自投标截止日起</w:t>
      </w:r>
      <w:r>
        <w:rPr>
          <w:rFonts w:hint="eastAsia" w:ascii="宋体" w:hAnsi="宋体"/>
          <w:color w:val="auto"/>
          <w:sz w:val="24"/>
          <w:highlight w:val="none"/>
        </w:rPr>
        <w:t>90</w:t>
      </w:r>
      <w:r>
        <w:rPr>
          <w:rFonts w:ascii="宋体" w:hAnsi="宋体"/>
          <w:color w:val="auto"/>
          <w:sz w:val="24"/>
          <w:highlight w:val="none"/>
        </w:rPr>
        <w:t>天投标</w:t>
      </w:r>
      <w:r>
        <w:rPr>
          <w:rFonts w:hint="eastAsia" w:ascii="宋体" w:hAnsi="宋体"/>
          <w:color w:val="auto"/>
          <w:sz w:val="24"/>
          <w:highlight w:val="none"/>
        </w:rPr>
        <w:t>文件</w:t>
      </w:r>
      <w:r>
        <w:rPr>
          <w:rFonts w:ascii="宋体" w:hAnsi="宋体"/>
          <w:color w:val="auto"/>
          <w:sz w:val="24"/>
          <w:highlight w:val="none"/>
        </w:rPr>
        <w:t>应保持有效。有效期</w:t>
      </w:r>
      <w:r>
        <w:rPr>
          <w:rFonts w:hint="eastAsia" w:ascii="宋体" w:hAnsi="宋体"/>
          <w:color w:val="auto"/>
          <w:sz w:val="24"/>
          <w:highlight w:val="none"/>
        </w:rPr>
        <w:t>不足</w:t>
      </w:r>
      <w:r>
        <w:rPr>
          <w:rFonts w:ascii="宋体" w:hAnsi="宋体"/>
          <w:color w:val="auto"/>
          <w:sz w:val="24"/>
          <w:highlight w:val="none"/>
        </w:rPr>
        <w:t>的投标</w:t>
      </w:r>
      <w:r>
        <w:rPr>
          <w:rFonts w:hint="eastAsia" w:ascii="宋体" w:hAnsi="宋体"/>
          <w:color w:val="auto"/>
          <w:sz w:val="24"/>
          <w:highlight w:val="none"/>
        </w:rPr>
        <w:t>文件</w:t>
      </w:r>
      <w:r>
        <w:rPr>
          <w:rFonts w:ascii="宋体" w:hAnsi="宋体"/>
          <w:color w:val="auto"/>
          <w:sz w:val="24"/>
          <w:highlight w:val="none"/>
        </w:rPr>
        <w:t>将被</w:t>
      </w:r>
      <w:r>
        <w:rPr>
          <w:rFonts w:hint="eastAsia" w:ascii="宋体" w:hAnsi="宋体"/>
          <w:color w:val="auto"/>
          <w:sz w:val="24"/>
          <w:highlight w:val="none"/>
        </w:rPr>
        <w:t>视为无效</w:t>
      </w:r>
      <w:r>
        <w:rPr>
          <w:rFonts w:ascii="宋体" w:hAnsi="宋体"/>
          <w:color w:val="auto"/>
          <w:sz w:val="24"/>
          <w:highlight w:val="none"/>
        </w:rPr>
        <w:t>。</w:t>
      </w:r>
    </w:p>
    <w:p>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在特殊情况下，招标人可与投标人协商延长投标书的有效期，这种要求和答复均以书面形式进行。</w:t>
      </w:r>
    </w:p>
    <w:p>
      <w:pPr>
        <w:snapToGrid w:val="0"/>
        <w:spacing w:line="360" w:lineRule="auto"/>
        <w:ind w:firstLine="480" w:firstLineChars="200"/>
        <w:jc w:val="left"/>
        <w:rPr>
          <w:rFonts w:ascii="宋体" w:hAnsi="宋体"/>
          <w:b/>
          <w:color w:val="auto"/>
          <w:sz w:val="24"/>
          <w:szCs w:val="20"/>
          <w:highlight w:val="none"/>
        </w:rPr>
      </w:pPr>
      <w:bookmarkStart w:id="39" w:name="_Toc32299"/>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投标人可拒绝接受延期要求。同意延长有效期的</w:t>
      </w:r>
      <w:r>
        <w:rPr>
          <w:rFonts w:hint="eastAsia" w:ascii="宋体" w:hAnsi="宋体"/>
          <w:color w:val="auto"/>
          <w:sz w:val="24"/>
          <w:highlight w:val="none"/>
        </w:rPr>
        <w:t>，</w:t>
      </w:r>
      <w:r>
        <w:rPr>
          <w:rFonts w:ascii="宋体" w:hAnsi="宋体"/>
          <w:color w:val="auto"/>
          <w:sz w:val="24"/>
          <w:highlight w:val="none"/>
        </w:rPr>
        <w:t>投标人不能修改</w:t>
      </w:r>
      <w:r>
        <w:rPr>
          <w:rFonts w:hint="eastAsia" w:ascii="宋体" w:hAnsi="宋体"/>
          <w:color w:val="auto"/>
          <w:sz w:val="24"/>
          <w:highlight w:val="none"/>
        </w:rPr>
        <w:t>其</w:t>
      </w:r>
      <w:r>
        <w:rPr>
          <w:rFonts w:ascii="宋体" w:hAnsi="宋体"/>
          <w:color w:val="auto"/>
          <w:sz w:val="24"/>
          <w:highlight w:val="none"/>
        </w:rPr>
        <w:t>投标文件。</w:t>
      </w:r>
      <w:bookmarkEnd w:id="39"/>
      <w:r>
        <w:rPr>
          <w:rFonts w:ascii="宋体" w:hAnsi="宋体"/>
          <w:b/>
          <w:color w:val="auto"/>
          <w:sz w:val="24"/>
          <w:highlight w:val="none"/>
        </w:rPr>
        <w:t xml:space="preserve"> </w:t>
      </w:r>
    </w:p>
    <w:p>
      <w:pPr>
        <w:snapToGrid w:val="0"/>
        <w:spacing w:line="360" w:lineRule="auto"/>
        <w:ind w:firstLine="480" w:firstLineChars="200"/>
        <w:jc w:val="left"/>
        <w:rPr>
          <w:rFonts w:hint="eastAsia" w:ascii="宋体" w:hAnsi="宋体"/>
          <w:b/>
          <w:color w:val="auto"/>
          <w:sz w:val="24"/>
          <w:highlight w:val="none"/>
        </w:rPr>
      </w:pPr>
      <w:bookmarkStart w:id="40" w:name="_Toc3803"/>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中标人的投标文件自开标之日起至合同履行完毕止均应保持有效。</w:t>
      </w:r>
      <w:bookmarkEnd w:id="40"/>
    </w:p>
    <w:p>
      <w:pPr>
        <w:snapToGrid w:val="0"/>
        <w:spacing w:before="156" w:beforeLines="50" w:line="360" w:lineRule="auto"/>
        <w:ind w:firstLine="472" w:firstLineChars="196"/>
        <w:jc w:val="left"/>
        <w:rPr>
          <w:rFonts w:ascii="宋体" w:hAnsi="宋体"/>
          <w:b/>
          <w:color w:val="auto"/>
          <w:sz w:val="24"/>
          <w:szCs w:val="20"/>
          <w:highlight w:val="none"/>
        </w:rPr>
      </w:pPr>
      <w:bookmarkStart w:id="41" w:name="_Toc22624"/>
      <w:r>
        <w:rPr>
          <w:rFonts w:hint="eastAsia" w:ascii="宋体" w:hAnsi="宋体"/>
          <w:b/>
          <w:color w:val="auto"/>
          <w:sz w:val="24"/>
          <w:highlight w:val="none"/>
        </w:rPr>
        <w:t>（五）投标文件的编制</w:t>
      </w:r>
      <w:bookmarkEnd w:id="41"/>
    </w:p>
    <w:p>
      <w:pPr>
        <w:autoSpaceDE w:val="0"/>
        <w:autoSpaceDN w:val="0"/>
        <w:adjustRightInd w:val="0"/>
        <w:spacing w:line="360" w:lineRule="auto"/>
        <w:ind w:left="359" w:leftChars="171" w:firstLine="120" w:firstLineChars="5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1、“电子加密投标文件”：</w:t>
      </w:r>
    </w:p>
    <w:p>
      <w:pPr>
        <w:autoSpaceDE w:val="0"/>
        <w:autoSpaceDN w:val="0"/>
        <w:adjustRightInd w:val="0"/>
        <w:spacing w:line="360" w:lineRule="auto"/>
        <w:ind w:firstLine="360" w:firstLineChars="15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（1）“电子加密投标文件”是指通过“政采云电子交易客户端”完成投标文件编制后生成并加密的数据电文形式的投标文件。</w:t>
      </w:r>
    </w:p>
    <w:p>
      <w:pPr>
        <w:spacing w:line="360" w:lineRule="auto"/>
        <w:ind w:left="599" w:leftChars="171" w:hanging="240" w:hangingChars="100"/>
        <w:rPr>
          <w:rFonts w:hint="eastAsia" w:ascii="宋体" w:hAnsi="宋体" w:cs="宋体"/>
          <w:color w:val="auto"/>
          <w:sz w:val="24"/>
          <w:highlight w:val="none"/>
          <w:lang w:bidi="ar"/>
        </w:rPr>
      </w:pPr>
      <w:r>
        <w:rPr>
          <w:rFonts w:hint="eastAsia" w:ascii="宋体" w:hAnsi="宋体" w:cs="宋体"/>
          <w:color w:val="auto"/>
          <w:sz w:val="24"/>
          <w:highlight w:val="none"/>
          <w:lang w:bidi="ar"/>
        </w:rPr>
        <w:t>（2）供应商应先安装“政采云电子交易客户端”，并按照本招标文件和“政</w:t>
      </w:r>
    </w:p>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府采购云平台”的要求，通过“政采云电子交易客户端”编制并加密投标文件。</w:t>
      </w:r>
    </w:p>
    <w:p>
      <w:pPr>
        <w:spacing w:line="360" w:lineRule="auto"/>
        <w:ind w:left="359" w:leftChars="171" w:firstLine="120" w:firstLineChars="50"/>
        <w:rPr>
          <w:rFonts w:hint="eastAsia" w:ascii="宋体" w:hAnsi="宋体" w:cs="宋体"/>
          <w:color w:val="auto"/>
          <w:sz w:val="24"/>
          <w:highlight w:val="none"/>
          <w:lang w:bidi="ar"/>
        </w:rPr>
      </w:pPr>
      <w:r>
        <w:rPr>
          <w:rFonts w:hint="eastAsia" w:ascii="宋体" w:hAnsi="宋体" w:cs="宋体"/>
          <w:color w:val="auto"/>
          <w:sz w:val="24"/>
          <w:highlight w:val="none"/>
          <w:lang w:bidi="ar"/>
        </w:rPr>
        <w:t>2、“电子备份投标文件”：</w:t>
      </w:r>
    </w:p>
    <w:p>
      <w:pPr>
        <w:spacing w:line="360" w:lineRule="auto"/>
        <w:ind w:left="599" w:leftChars="171" w:hanging="240" w:hangingChars="100"/>
        <w:rPr>
          <w:rFonts w:hint="eastAsia" w:ascii="宋体" w:hAnsi="宋体" w:cs="宋体"/>
          <w:color w:val="auto"/>
          <w:sz w:val="24"/>
          <w:highlight w:val="none"/>
          <w:lang w:bidi="ar"/>
        </w:rPr>
      </w:pPr>
      <w:r>
        <w:rPr>
          <w:rFonts w:hint="eastAsia" w:ascii="宋体" w:hAnsi="宋体" w:cs="宋体"/>
          <w:color w:val="auto"/>
          <w:sz w:val="24"/>
          <w:highlight w:val="none"/>
          <w:lang w:bidi="ar"/>
        </w:rPr>
        <w:t>（1）“电子备份投标文件”是指与“电子加密投标文件”同时生成的数据电</w:t>
      </w:r>
    </w:p>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文形式的电子文件。</w:t>
      </w:r>
    </w:p>
    <w:p>
      <w:pPr>
        <w:spacing w:line="360" w:lineRule="auto"/>
        <w:ind w:left="359" w:leftChars="171"/>
        <w:rPr>
          <w:rFonts w:hint="eastAsia" w:ascii="宋体" w:hAnsi="宋体" w:cs="宋体"/>
          <w:color w:val="auto"/>
          <w:sz w:val="24"/>
          <w:highlight w:val="none"/>
          <w:lang w:bidi="ar"/>
        </w:rPr>
      </w:pPr>
      <w:r>
        <w:rPr>
          <w:rFonts w:hint="eastAsia" w:ascii="宋体" w:hAnsi="宋体" w:cs="宋体"/>
          <w:color w:val="auto"/>
          <w:sz w:val="24"/>
          <w:highlight w:val="none"/>
          <w:lang w:bidi="ar"/>
        </w:rPr>
        <w:t>（2）供应商可自主选择是否编制“电子备份投标文件”。</w:t>
      </w:r>
    </w:p>
    <w:p>
      <w:pPr>
        <w:snapToGrid w:val="0"/>
        <w:spacing w:line="360" w:lineRule="auto"/>
        <w:ind w:firstLine="360" w:firstLineChars="150"/>
        <w:jc w:val="left"/>
        <w:rPr>
          <w:rFonts w:ascii="宋体" w:hAnsi="宋体"/>
          <w:color w:val="auto"/>
          <w:sz w:val="24"/>
          <w:szCs w:val="20"/>
          <w:highlight w:val="none"/>
        </w:rPr>
      </w:pPr>
      <w:r>
        <w:rPr>
          <w:rFonts w:hint="eastAsia" w:ascii="宋体" w:hAnsi="宋体" w:cs="宋体"/>
          <w:color w:val="auto"/>
          <w:sz w:val="24"/>
          <w:highlight w:val="none"/>
          <w:lang w:bidi="ar"/>
        </w:rPr>
        <w:t>（3）其他方式编制的备份投标文件视为无效备份投标文件。</w:t>
      </w:r>
    </w:p>
    <w:p>
      <w:pPr>
        <w:snapToGrid w:val="0"/>
        <w:spacing w:before="156" w:beforeLines="50" w:line="360" w:lineRule="auto"/>
        <w:ind w:firstLine="354" w:firstLineChars="147"/>
        <w:jc w:val="left"/>
        <w:rPr>
          <w:rFonts w:hint="eastAsia" w:ascii="宋体" w:hAnsi="宋体"/>
          <w:b/>
          <w:color w:val="auto"/>
          <w:sz w:val="24"/>
          <w:highlight w:val="none"/>
        </w:rPr>
      </w:pPr>
      <w:r>
        <w:rPr>
          <w:rFonts w:hint="eastAsia" w:ascii="宋体" w:hAnsi="宋体"/>
          <w:b/>
          <w:color w:val="auto"/>
          <w:sz w:val="24"/>
          <w:highlight w:val="none"/>
        </w:rPr>
        <w:t>（六）投标文件的签章</w:t>
      </w:r>
    </w:p>
    <w:p>
      <w:pPr>
        <w:snapToGrid w:val="0"/>
        <w:spacing w:before="156" w:beforeLines="50" w:line="360" w:lineRule="auto"/>
        <w:ind w:firstLine="472" w:firstLineChars="197"/>
        <w:jc w:val="left"/>
        <w:rPr>
          <w:rFonts w:hint="eastAsia" w:ascii="宋体" w:hAnsi="宋体"/>
          <w:color w:val="auto"/>
          <w:sz w:val="24"/>
          <w:highlight w:val="none"/>
        </w:rPr>
      </w:pPr>
      <w:r>
        <w:rPr>
          <w:rFonts w:hint="eastAsia" w:ascii="宋体" w:hAnsi="宋体"/>
          <w:color w:val="auto"/>
          <w:sz w:val="24"/>
          <w:highlight w:val="none"/>
        </w:rPr>
        <w:t>采用电子签章。</w:t>
      </w:r>
    </w:p>
    <w:p>
      <w:pPr>
        <w:snapToGrid w:val="0"/>
        <w:spacing w:before="156" w:beforeLines="50" w:line="360" w:lineRule="auto"/>
        <w:ind w:firstLine="354" w:firstLineChars="147"/>
        <w:jc w:val="left"/>
        <w:rPr>
          <w:rFonts w:hint="eastAsia" w:ascii="宋体" w:hAnsi="宋体"/>
          <w:b/>
          <w:color w:val="auto"/>
          <w:sz w:val="24"/>
          <w:highlight w:val="none"/>
        </w:rPr>
      </w:pPr>
      <w:r>
        <w:rPr>
          <w:rFonts w:hint="eastAsia" w:ascii="宋体" w:hAnsi="宋体"/>
          <w:b/>
          <w:color w:val="auto"/>
          <w:sz w:val="24"/>
          <w:highlight w:val="none"/>
        </w:rPr>
        <w:t>（七）投标文件的包装、密封和递交</w:t>
      </w:r>
    </w:p>
    <w:p>
      <w:pPr>
        <w:autoSpaceDE w:val="0"/>
        <w:autoSpaceDN w:val="0"/>
        <w:snapToGrid w:val="0"/>
        <w:spacing w:line="360" w:lineRule="auto"/>
        <w:ind w:firstLine="480" w:firstLineChars="200"/>
        <w:textAlignment w:val="bottom"/>
        <w:rPr>
          <w:rFonts w:hint="eastAsia" w:ascii="宋体" w:hAnsi="宋体" w:cs="宋体"/>
          <w:color w:val="auto"/>
          <w:sz w:val="24"/>
          <w:highlight w:val="none"/>
          <w:lang w:bidi="ar"/>
        </w:rPr>
      </w:pPr>
      <w:r>
        <w:rPr>
          <w:rFonts w:hint="eastAsia" w:ascii="宋体" w:hAnsi="宋体" w:cs="宋体"/>
          <w:color w:val="auto"/>
          <w:sz w:val="24"/>
          <w:highlight w:val="none"/>
          <w:lang w:bidi="ar"/>
        </w:rPr>
        <w:t>1、“电子加密投标文件”的递交：在线上传递交。</w:t>
      </w:r>
    </w:p>
    <w:p>
      <w:pPr>
        <w:spacing w:line="360" w:lineRule="auto"/>
        <w:ind w:left="959" w:leftChars="171" w:hanging="600" w:hangingChars="250"/>
        <w:rPr>
          <w:rFonts w:hint="eastAsia" w:ascii="宋体" w:hAnsi="宋体" w:cs="宋体"/>
          <w:color w:val="auto"/>
          <w:sz w:val="24"/>
          <w:highlight w:val="none"/>
          <w:lang w:bidi="ar"/>
        </w:rPr>
      </w:pPr>
      <w:r>
        <w:rPr>
          <w:rFonts w:hint="eastAsia" w:ascii="宋体" w:hAnsi="宋体" w:cs="宋体"/>
          <w:color w:val="auto"/>
          <w:sz w:val="24"/>
          <w:highlight w:val="none"/>
          <w:lang w:bidi="ar"/>
        </w:rPr>
        <w:t>（1）供应商应在投标截止时间前将“电子加密投标文件”成功上传递交至“政</w:t>
      </w:r>
    </w:p>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府采购云平台”，否则投标无效。</w:t>
      </w:r>
    </w:p>
    <w:p>
      <w:pPr>
        <w:spacing w:line="360" w:lineRule="auto"/>
        <w:ind w:left="959" w:leftChars="171" w:hanging="600" w:hangingChars="250"/>
        <w:rPr>
          <w:rFonts w:hint="eastAsia" w:ascii="宋体" w:hAnsi="宋体" w:cs="宋体"/>
          <w:color w:val="auto"/>
          <w:sz w:val="24"/>
          <w:highlight w:val="none"/>
          <w:lang w:bidi="ar"/>
        </w:rPr>
      </w:pPr>
      <w:r>
        <w:rPr>
          <w:rFonts w:hint="eastAsia" w:ascii="宋体" w:hAnsi="宋体" w:cs="宋体"/>
          <w:color w:val="auto"/>
          <w:sz w:val="24"/>
          <w:highlight w:val="none"/>
          <w:lang w:bidi="ar"/>
        </w:rPr>
        <w:t>（2）“电子加密投标文件”成功上传递交后，供应商可自行打印投标文件接</w:t>
      </w:r>
    </w:p>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收回执。</w:t>
      </w:r>
    </w:p>
    <w:p>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2、“电子备份投标文件”的密封、包装和递交：</w:t>
      </w:r>
    </w:p>
    <w:p>
      <w:pPr>
        <w:spacing w:line="360" w:lineRule="auto"/>
        <w:ind w:firstLine="360" w:firstLineChars="150"/>
        <w:rPr>
          <w:rFonts w:hint="eastAsia" w:ascii="宋体" w:hAnsi="宋体" w:cs="宋体"/>
          <w:color w:val="auto"/>
          <w:sz w:val="24"/>
          <w:highlight w:val="none"/>
          <w:lang w:bidi="ar"/>
        </w:rPr>
      </w:pPr>
      <w:r>
        <w:rPr>
          <w:rFonts w:hint="eastAsia" w:ascii="宋体" w:hAnsi="宋体" w:cs="宋体"/>
          <w:color w:val="auto"/>
          <w:sz w:val="24"/>
          <w:highlight w:val="none"/>
          <w:lang w:bidi="ar"/>
        </w:rPr>
        <w:t>（1）供应商可自主选择是否递交“电子备份投标文件”。</w:t>
      </w:r>
    </w:p>
    <w:p>
      <w:pPr>
        <w:spacing w:line="360" w:lineRule="auto"/>
        <w:ind w:firstLine="360" w:firstLineChars="150"/>
        <w:rPr>
          <w:rFonts w:hint="eastAsia" w:ascii="宋体" w:hAnsi="宋体" w:cs="宋体"/>
          <w:color w:val="auto"/>
          <w:sz w:val="24"/>
          <w:highlight w:val="none"/>
          <w:lang w:bidi="ar"/>
        </w:rPr>
      </w:pPr>
      <w:r>
        <w:rPr>
          <w:rFonts w:hint="eastAsia" w:ascii="宋体" w:hAnsi="宋体" w:cs="宋体"/>
          <w:color w:val="auto"/>
          <w:sz w:val="24"/>
          <w:highlight w:val="none"/>
          <w:lang w:bidi="ar"/>
        </w:rPr>
        <w:t>（2）“电子备份投标文件”存入U盘（一份）。</w:t>
      </w:r>
    </w:p>
    <w:p>
      <w:pPr>
        <w:autoSpaceDE w:val="0"/>
        <w:autoSpaceDN w:val="0"/>
        <w:snapToGrid w:val="0"/>
        <w:spacing w:line="360" w:lineRule="auto"/>
        <w:ind w:firstLine="360" w:firstLineChars="150"/>
        <w:textAlignment w:val="bottom"/>
        <w:rPr>
          <w:rFonts w:hint="eastAsia" w:ascii="宋体" w:hAnsi="宋体" w:cs="宋体"/>
          <w:color w:val="auto"/>
          <w:sz w:val="24"/>
          <w:highlight w:val="none"/>
          <w:lang w:bidi="ar"/>
        </w:rPr>
      </w:pPr>
      <w:r>
        <w:rPr>
          <w:rFonts w:hint="eastAsia" w:ascii="宋体" w:hAnsi="宋体" w:cs="宋体"/>
          <w:color w:val="auto"/>
          <w:sz w:val="24"/>
          <w:highlight w:val="none"/>
          <w:lang w:bidi="ar"/>
        </w:rPr>
        <w:t>（3）“电子备份投标文件” 应当在投标截止时间前以邮寄或送达方式递交。</w:t>
      </w:r>
    </w:p>
    <w:p>
      <w:pPr>
        <w:snapToGrid w:val="0"/>
        <w:spacing w:before="156" w:beforeLines="50" w:line="360" w:lineRule="auto"/>
        <w:ind w:firstLine="352" w:firstLineChars="147"/>
        <w:jc w:val="left"/>
        <w:rPr>
          <w:rFonts w:hint="eastAsia" w:ascii="宋体" w:hAnsi="宋体"/>
          <w:b/>
          <w:color w:val="auto"/>
          <w:sz w:val="24"/>
          <w:highlight w:val="none"/>
        </w:rPr>
      </w:pPr>
      <w:r>
        <w:rPr>
          <w:rFonts w:hint="eastAsia" w:ascii="宋体" w:hAnsi="宋体" w:cs="宋体"/>
          <w:color w:val="auto"/>
          <w:sz w:val="24"/>
          <w:highlight w:val="none"/>
          <w:lang w:bidi="ar"/>
        </w:rPr>
        <w:t>（4）“电子备投标应文件”应当密封包装，并在包装上标注项目编号、采购项目名称、投标单位名称并加盖公章（详见第六章响投标件格式）。没有密封包装或者逾期送达至浙江省国际技术设备招标有限公司的“电子备份投标文件”将不予接收。</w:t>
      </w:r>
    </w:p>
    <w:p>
      <w:pPr>
        <w:snapToGrid w:val="0"/>
        <w:spacing w:before="156" w:beforeLines="50" w:line="360" w:lineRule="auto"/>
        <w:ind w:firstLine="354" w:firstLineChars="147"/>
        <w:jc w:val="left"/>
        <w:rPr>
          <w:rFonts w:ascii="宋体" w:hAnsi="宋体"/>
          <w:b/>
          <w:color w:val="auto"/>
          <w:sz w:val="24"/>
          <w:szCs w:val="20"/>
          <w:highlight w:val="none"/>
        </w:rPr>
      </w:pPr>
      <w:r>
        <w:rPr>
          <w:rFonts w:hint="eastAsia" w:ascii="宋体" w:hAnsi="宋体"/>
          <w:b/>
          <w:color w:val="auto"/>
          <w:sz w:val="24"/>
          <w:highlight w:val="none"/>
        </w:rPr>
        <w:t>（八）投标文件的修改和撤回</w:t>
      </w:r>
    </w:p>
    <w:p>
      <w:pPr>
        <w:autoSpaceDE w:val="0"/>
        <w:autoSpaceDN w:val="0"/>
        <w:snapToGrid w:val="0"/>
        <w:spacing w:line="360" w:lineRule="auto"/>
        <w:ind w:left="479" w:leftChars="228"/>
        <w:textAlignment w:val="bottom"/>
        <w:rPr>
          <w:rFonts w:hint="eastAsia" w:ascii="宋体" w:hAnsi="宋体" w:cs="宋体"/>
          <w:color w:val="auto"/>
          <w:sz w:val="24"/>
          <w:highlight w:val="none"/>
          <w:lang w:bidi="ar"/>
        </w:rPr>
      </w:pPr>
      <w:r>
        <w:rPr>
          <w:rFonts w:hint="eastAsia" w:ascii="宋体" w:hAnsi="宋体" w:cs="宋体"/>
          <w:color w:val="auto"/>
          <w:sz w:val="24"/>
          <w:highlight w:val="none"/>
          <w:lang w:bidi="ar"/>
        </w:rPr>
        <w:t>1、供应商在投标截止时间前可以补充、修改或者撤回投标文件。</w:t>
      </w:r>
    </w:p>
    <w:p>
      <w:pPr>
        <w:autoSpaceDE w:val="0"/>
        <w:autoSpaceDN w:val="0"/>
        <w:snapToGrid w:val="0"/>
        <w:spacing w:line="360" w:lineRule="auto"/>
        <w:ind w:firstLine="480" w:firstLineChars="200"/>
        <w:textAlignment w:val="bottom"/>
        <w:rPr>
          <w:rFonts w:hint="eastAsia" w:ascii="宋体" w:hAnsi="宋体" w:cs="宋体"/>
          <w:color w:val="auto"/>
          <w:sz w:val="24"/>
          <w:highlight w:val="none"/>
          <w:lang w:bidi="ar"/>
        </w:rPr>
      </w:pPr>
      <w:r>
        <w:rPr>
          <w:rFonts w:hint="eastAsia" w:ascii="宋体" w:hAnsi="宋体" w:cs="宋体"/>
          <w:color w:val="auto"/>
          <w:sz w:val="24"/>
          <w:highlight w:val="none"/>
          <w:lang w:bidi="ar"/>
        </w:rPr>
        <w:t>2、补充或者修改投标文件的，应当先行撤回原投标文件，补充、修改后重新上传递交。</w:t>
      </w:r>
    </w:p>
    <w:p>
      <w:pPr>
        <w:autoSpaceDE w:val="0"/>
        <w:autoSpaceDN w:val="0"/>
        <w:snapToGrid w:val="0"/>
        <w:spacing w:line="360" w:lineRule="auto"/>
        <w:ind w:left="479" w:leftChars="228"/>
        <w:textAlignment w:val="bottom"/>
        <w:rPr>
          <w:rFonts w:hint="eastAsia" w:ascii="宋体" w:hAnsi="宋体" w:cs="宋体"/>
          <w:color w:val="auto"/>
          <w:sz w:val="24"/>
          <w:highlight w:val="none"/>
          <w:lang w:bidi="ar"/>
        </w:rPr>
      </w:pPr>
      <w:r>
        <w:rPr>
          <w:rFonts w:hint="eastAsia" w:ascii="宋体" w:hAnsi="宋体" w:cs="宋体"/>
          <w:color w:val="auto"/>
          <w:sz w:val="24"/>
          <w:highlight w:val="none"/>
          <w:lang w:bidi="ar"/>
        </w:rPr>
        <w:t>3、投标截止时间前未完成上传的，视为撤回投标文件。</w:t>
      </w:r>
    </w:p>
    <w:p>
      <w:pPr>
        <w:pStyle w:val="2"/>
        <w:snapToGrid w:val="0"/>
        <w:spacing w:line="240" w:lineRule="auto"/>
        <w:ind w:firstLine="0"/>
        <w:rPr>
          <w:rFonts w:hAnsi="宋体"/>
          <w:b/>
          <w:snapToGrid w:val="0"/>
          <w:color w:val="auto"/>
          <w:sz w:val="24"/>
          <w:szCs w:val="24"/>
          <w:highlight w:val="none"/>
        </w:rPr>
      </w:pPr>
    </w:p>
    <w:p>
      <w:pPr>
        <w:pStyle w:val="2"/>
        <w:snapToGrid w:val="0"/>
        <w:spacing w:line="360" w:lineRule="auto"/>
        <w:ind w:firstLine="535" w:firstLineChars="196"/>
        <w:rPr>
          <w:rFonts w:hint="eastAsia" w:hAnsi="宋体"/>
          <w:b/>
          <w:color w:val="auto"/>
          <w:sz w:val="28"/>
          <w:szCs w:val="28"/>
          <w:highlight w:val="none"/>
        </w:rPr>
      </w:pPr>
      <w:r>
        <w:rPr>
          <w:rFonts w:hint="eastAsia" w:hAnsi="宋体"/>
          <w:b/>
          <w:color w:val="auto"/>
          <w:sz w:val="28"/>
          <w:szCs w:val="28"/>
          <w:highlight w:val="none"/>
        </w:rPr>
        <w:t>四、开标</w:t>
      </w:r>
    </w:p>
    <w:p>
      <w:pPr>
        <w:pStyle w:val="4"/>
        <w:spacing w:before="0" w:after="0"/>
        <w:ind w:left="720" w:hanging="720"/>
        <w:rPr>
          <w:rFonts w:hint="eastAsia" w:ascii="宋体" w:hAnsi="宋体"/>
          <w:color w:val="auto"/>
          <w:sz w:val="24"/>
          <w:szCs w:val="24"/>
          <w:highlight w:val="none"/>
        </w:rPr>
      </w:pPr>
      <w:r>
        <w:rPr>
          <w:rFonts w:hint="eastAsia" w:ascii="宋体" w:hAnsi="宋体" w:cs="宋体"/>
          <w:color w:val="auto"/>
          <w:sz w:val="24"/>
          <w:szCs w:val="24"/>
          <w:highlight w:val="none"/>
        </w:rPr>
        <w:t>（一）</w:t>
      </w:r>
      <w:r>
        <w:rPr>
          <w:rFonts w:hint="eastAsia" w:ascii="宋体" w:hAnsi="宋体"/>
          <w:color w:val="auto"/>
          <w:sz w:val="24"/>
          <w:szCs w:val="24"/>
          <w:highlight w:val="none"/>
        </w:rPr>
        <w:t>开标</w:t>
      </w:r>
      <w:r>
        <w:rPr>
          <w:rFonts w:hint="eastAsia" w:ascii="宋体" w:hAnsi="宋体" w:cs="宋体"/>
          <w:color w:val="auto"/>
          <w:sz w:val="24"/>
          <w:szCs w:val="24"/>
          <w:highlight w:val="none"/>
        </w:rPr>
        <w:t>形式</w:t>
      </w:r>
    </w:p>
    <w:p>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1、 采购组织机构将按照招标文件规定的时间通过“政府采购云平台”组织在线开标，所有供应商均应当准时在线参加。</w:t>
      </w:r>
    </w:p>
    <w:p>
      <w:pPr>
        <w:pStyle w:val="4"/>
        <w:spacing w:before="0" w:after="0"/>
        <w:ind w:left="720" w:hanging="720"/>
        <w:rPr>
          <w:rFonts w:ascii="宋体" w:hAnsi="宋体"/>
          <w:color w:val="auto"/>
          <w:sz w:val="24"/>
          <w:szCs w:val="24"/>
          <w:highlight w:val="none"/>
        </w:rPr>
      </w:pPr>
      <w:r>
        <w:rPr>
          <w:rFonts w:hint="eastAsia" w:ascii="宋体" w:hAnsi="宋体" w:cs="宋体"/>
          <w:color w:val="auto"/>
          <w:sz w:val="24"/>
          <w:szCs w:val="24"/>
          <w:highlight w:val="none"/>
        </w:rPr>
        <w:t>（二）</w:t>
      </w:r>
      <w:r>
        <w:rPr>
          <w:rFonts w:hint="eastAsia" w:ascii="宋体" w:hAnsi="宋体"/>
          <w:color w:val="auto"/>
          <w:sz w:val="24"/>
          <w:szCs w:val="24"/>
          <w:highlight w:val="none"/>
        </w:rPr>
        <w:t xml:space="preserve"> </w:t>
      </w:r>
      <w:r>
        <w:rPr>
          <w:rFonts w:ascii="宋体" w:hAnsi="宋体"/>
          <w:color w:val="auto"/>
          <w:sz w:val="24"/>
          <w:szCs w:val="24"/>
          <w:highlight w:val="none"/>
        </w:rPr>
        <w:t>开标准备</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1、开标的准备工作由采购组织机构负责落实。</w:t>
      </w:r>
    </w:p>
    <w:p>
      <w:pPr>
        <w:spacing w:line="360" w:lineRule="auto"/>
        <w:ind w:firstLine="422" w:firstLineChars="176"/>
        <w:rPr>
          <w:rFonts w:hint="eastAsia" w:ascii="宋体" w:hAnsi="宋体" w:cs="Arial"/>
          <w:color w:val="auto"/>
          <w:kern w:val="0"/>
          <w:sz w:val="24"/>
          <w:highlight w:val="none"/>
        </w:rPr>
      </w:pPr>
      <w:r>
        <w:rPr>
          <w:rFonts w:ascii="宋体" w:hAnsi="宋体" w:cs="Arial"/>
          <w:color w:val="auto"/>
          <w:kern w:val="0"/>
          <w:sz w:val="24"/>
          <w:highlight w:val="none"/>
        </w:rPr>
        <w:t>2</w:t>
      </w:r>
      <w:r>
        <w:rPr>
          <w:rFonts w:hint="eastAsia" w:ascii="宋体" w:hAnsi="宋体" w:cs="Arial"/>
          <w:color w:val="auto"/>
          <w:kern w:val="0"/>
          <w:sz w:val="24"/>
          <w:highlight w:val="none"/>
        </w:rPr>
        <w:t>、</w:t>
      </w:r>
      <w:r>
        <w:rPr>
          <w:rFonts w:hint="eastAsia" w:ascii="宋体" w:hAnsi="宋体"/>
          <w:color w:val="auto"/>
          <w:sz w:val="24"/>
          <w:highlight w:val="none"/>
        </w:rPr>
        <w:t>采购组织机构将按照招标文件规定的时间通过“政府采购云平台”组织开标，所有供应商均应当准时在线参加。</w:t>
      </w:r>
      <w:r>
        <w:rPr>
          <w:rFonts w:hint="eastAsia" w:ascii="宋体" w:hAnsi="宋体" w:cs="Arial"/>
          <w:color w:val="auto"/>
          <w:kern w:val="0"/>
          <w:sz w:val="24"/>
          <w:highlight w:val="none"/>
        </w:rPr>
        <w:t>供应商自行承担因</w:t>
      </w:r>
      <w:r>
        <w:rPr>
          <w:rFonts w:ascii="宋体" w:hAnsi="宋体" w:cs="Arial"/>
          <w:color w:val="auto"/>
          <w:kern w:val="0"/>
          <w:sz w:val="24"/>
          <w:highlight w:val="none"/>
        </w:rPr>
        <w:t>不</w:t>
      </w:r>
      <w:r>
        <w:rPr>
          <w:rFonts w:hint="eastAsia" w:ascii="宋体" w:hAnsi="宋体" w:cs="Arial"/>
          <w:color w:val="auto"/>
          <w:kern w:val="0"/>
          <w:sz w:val="24"/>
          <w:highlight w:val="none"/>
        </w:rPr>
        <w:t>参加在线</w:t>
      </w:r>
      <w:r>
        <w:rPr>
          <w:rFonts w:ascii="宋体" w:hAnsi="宋体" w:cs="Arial"/>
          <w:color w:val="auto"/>
          <w:kern w:val="0"/>
          <w:sz w:val="24"/>
          <w:highlight w:val="none"/>
        </w:rPr>
        <w:t>开标</w:t>
      </w:r>
      <w:r>
        <w:rPr>
          <w:rFonts w:hint="eastAsia" w:ascii="宋体" w:hAnsi="宋体" w:cs="Arial"/>
          <w:color w:val="auto"/>
          <w:kern w:val="0"/>
          <w:sz w:val="24"/>
          <w:highlight w:val="none"/>
        </w:rPr>
        <w:t>而产生的不利后果。</w:t>
      </w:r>
    </w:p>
    <w:p>
      <w:pPr>
        <w:pStyle w:val="4"/>
        <w:spacing w:before="0" w:after="0"/>
        <w:ind w:left="720" w:hanging="720"/>
        <w:rPr>
          <w:rFonts w:ascii="宋体" w:hAnsi="宋体"/>
          <w:color w:val="auto"/>
          <w:sz w:val="24"/>
          <w:szCs w:val="24"/>
          <w:highlight w:val="none"/>
        </w:rPr>
      </w:pPr>
      <w:r>
        <w:rPr>
          <w:rFonts w:hint="eastAsia" w:ascii="宋体" w:hAnsi="宋体" w:cs="宋体"/>
          <w:color w:val="auto"/>
          <w:sz w:val="24"/>
          <w:szCs w:val="24"/>
          <w:highlight w:val="none"/>
        </w:rPr>
        <w:t>（三）</w:t>
      </w:r>
      <w:r>
        <w:rPr>
          <w:rFonts w:ascii="宋体" w:hAnsi="宋体"/>
          <w:color w:val="auto"/>
          <w:sz w:val="24"/>
          <w:szCs w:val="24"/>
          <w:highlight w:val="none"/>
        </w:rPr>
        <w:t>开标</w:t>
      </w:r>
      <w:r>
        <w:rPr>
          <w:rFonts w:hint="eastAsia" w:ascii="宋体" w:hAnsi="宋体"/>
          <w:color w:val="auto"/>
          <w:sz w:val="24"/>
          <w:szCs w:val="24"/>
          <w:highlight w:val="none"/>
        </w:rPr>
        <w:t>流程</w:t>
      </w:r>
    </w:p>
    <w:p>
      <w:pPr>
        <w:spacing w:line="360" w:lineRule="auto"/>
        <w:ind w:firstLine="426" w:firstLineChars="177"/>
        <w:jc w:val="left"/>
        <w:rPr>
          <w:rFonts w:hint="eastAsia" w:ascii="宋体" w:hAnsi="宋体" w:cs="Arial"/>
          <w:b/>
          <w:color w:val="auto"/>
          <w:kern w:val="0"/>
          <w:sz w:val="24"/>
          <w:highlight w:val="none"/>
        </w:rPr>
      </w:pPr>
      <w:r>
        <w:rPr>
          <w:rFonts w:hint="eastAsia" w:ascii="宋体" w:hAnsi="宋体" w:cs="Arial"/>
          <w:b/>
          <w:color w:val="auto"/>
          <w:kern w:val="0"/>
          <w:sz w:val="24"/>
          <w:highlight w:val="none"/>
        </w:rPr>
        <w:t>1、开标第一阶段</w:t>
      </w:r>
    </w:p>
    <w:p>
      <w:pPr>
        <w:spacing w:line="360" w:lineRule="auto"/>
        <w:ind w:firstLine="424" w:firstLineChars="177"/>
        <w:jc w:val="left"/>
        <w:rPr>
          <w:rFonts w:hint="eastAsia" w:ascii="宋体" w:hAnsi="宋体" w:cs="宋体"/>
          <w:color w:val="auto"/>
          <w:sz w:val="24"/>
          <w:highlight w:val="none"/>
          <w:lang w:bidi="ar"/>
        </w:rPr>
      </w:pPr>
      <w:r>
        <w:rPr>
          <w:rFonts w:hint="eastAsia" w:ascii="宋体" w:hAnsi="宋体" w:cs="Arial"/>
          <w:color w:val="auto"/>
          <w:kern w:val="0"/>
          <w:sz w:val="24"/>
          <w:highlight w:val="none"/>
        </w:rPr>
        <w:t>（</w:t>
      </w:r>
      <w:r>
        <w:rPr>
          <w:rFonts w:ascii="宋体" w:hAnsi="宋体" w:cs="Arial"/>
          <w:color w:val="auto"/>
          <w:kern w:val="0"/>
          <w:sz w:val="24"/>
          <w:highlight w:val="none"/>
        </w:rPr>
        <w:t>1</w:t>
      </w:r>
      <w:r>
        <w:rPr>
          <w:rFonts w:hint="eastAsia" w:ascii="宋体" w:hAnsi="宋体" w:cs="Arial"/>
          <w:color w:val="auto"/>
          <w:kern w:val="0"/>
          <w:sz w:val="24"/>
          <w:highlight w:val="none"/>
        </w:rPr>
        <w:t>）向各投标供应商发出电子加密投标文件【开始解密】通知，</w:t>
      </w:r>
      <w:r>
        <w:rPr>
          <w:rFonts w:hint="eastAsia" w:ascii="宋体" w:hAnsi="宋体" w:cs="宋体"/>
          <w:color w:val="auto"/>
          <w:sz w:val="24"/>
          <w:highlight w:val="none"/>
          <w:lang w:bidi="ar"/>
        </w:rPr>
        <w:t>各投标供应商代表应当在接到解密通知后</w:t>
      </w:r>
      <w:r>
        <w:rPr>
          <w:rFonts w:hint="eastAsia" w:ascii="宋体" w:hAnsi="宋体" w:cs="宋体"/>
          <w:i/>
          <w:color w:val="auto"/>
          <w:sz w:val="24"/>
          <w:highlight w:val="none"/>
          <w:u w:val="single"/>
          <w:lang w:bidi="ar"/>
        </w:rPr>
        <w:t>30</w:t>
      </w:r>
      <w:r>
        <w:rPr>
          <w:rFonts w:hint="eastAsia" w:ascii="宋体" w:hAnsi="宋体" w:cs="宋体"/>
          <w:color w:val="auto"/>
          <w:sz w:val="24"/>
          <w:highlight w:val="none"/>
          <w:lang w:bidi="ar"/>
        </w:rPr>
        <w:t>分钟内自行完成“电子加密投标文件”的在线解密。</w:t>
      </w:r>
      <w:r>
        <w:rPr>
          <w:rFonts w:hint="eastAsia" w:ascii="宋体" w:hAnsi="宋体" w:cs="Arial"/>
          <w:color w:val="auto"/>
          <w:kern w:val="0"/>
          <w:sz w:val="24"/>
          <w:highlight w:val="none"/>
        </w:rPr>
        <w:t>投标供应商在规定的时间内无法完成“电子加密投标文件”解密的，</w:t>
      </w:r>
      <w:r>
        <w:rPr>
          <w:rFonts w:hint="eastAsia" w:ascii="宋体" w:hAnsi="宋体" w:cs="宋体"/>
          <w:color w:val="auto"/>
          <w:sz w:val="24"/>
          <w:highlight w:val="none"/>
          <w:lang w:bidi="ar"/>
        </w:rPr>
        <w:t>如投标供应商按规定递交 “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pP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（2）开启</w:t>
      </w:r>
      <w:r>
        <w:rPr>
          <w:rFonts w:hint="eastAsia" w:ascii="宋体" w:hAnsi="宋体" w:cs="Arial"/>
          <w:color w:val="auto"/>
          <w:sz w:val="24"/>
          <w:highlight w:val="none"/>
        </w:rPr>
        <w:t>资格证明文件、商务技术文件</w:t>
      </w:r>
      <w:r>
        <w:rPr>
          <w:rFonts w:hint="eastAsia" w:ascii="宋体" w:hAnsi="宋体" w:cs="Arial"/>
          <w:color w:val="auto"/>
          <w:kern w:val="0"/>
          <w:sz w:val="24"/>
          <w:highlight w:val="none"/>
        </w:rPr>
        <w:t>。</w:t>
      </w:r>
    </w:p>
    <w:p>
      <w:pP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（3）进行资格审查。对通过资格审查的投标供应商进行符合性审查、商务技术评审；</w:t>
      </w:r>
    </w:p>
    <w:p>
      <w:pPr>
        <w:spacing w:line="360" w:lineRule="auto"/>
        <w:ind w:firstLine="426" w:firstLineChars="177"/>
        <w:jc w:val="left"/>
        <w:rPr>
          <w:rFonts w:hint="eastAsia" w:ascii="宋体" w:hAnsi="宋体" w:cs="Arial"/>
          <w:b/>
          <w:color w:val="auto"/>
          <w:kern w:val="0"/>
          <w:sz w:val="24"/>
          <w:highlight w:val="none"/>
        </w:rPr>
      </w:pPr>
      <w:r>
        <w:rPr>
          <w:rFonts w:hint="eastAsia" w:ascii="宋体" w:hAnsi="宋体" w:cs="Arial"/>
          <w:b/>
          <w:color w:val="auto"/>
          <w:kern w:val="0"/>
          <w:sz w:val="24"/>
          <w:highlight w:val="none"/>
        </w:rPr>
        <w:t>2、开标第二阶段</w:t>
      </w:r>
    </w:p>
    <w:p>
      <w:pP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（1）资格审查、符合性审查、商务技术评审结束后，进入开标第二阶段。</w:t>
      </w:r>
    </w:p>
    <w:p>
      <w:pP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（2）通过</w:t>
      </w:r>
      <w:r>
        <w:rPr>
          <w:rFonts w:hint="eastAsia" w:ascii="宋体" w:hAnsi="宋体"/>
          <w:color w:val="auto"/>
          <w:sz w:val="24"/>
          <w:highlight w:val="none"/>
        </w:rPr>
        <w:t>电子交易平台</w:t>
      </w:r>
      <w:r>
        <w:rPr>
          <w:rFonts w:hint="eastAsia" w:ascii="宋体" w:hAnsi="宋体" w:cs="Arial"/>
          <w:color w:val="auto"/>
          <w:kern w:val="0"/>
          <w:sz w:val="24"/>
          <w:highlight w:val="none"/>
        </w:rPr>
        <w:t>公布无效供应商名单及导致无效的原因</w:t>
      </w:r>
      <w:r>
        <w:rPr>
          <w:rFonts w:ascii="宋体" w:hAnsi="宋体" w:cs="Arial"/>
          <w:color w:val="auto"/>
          <w:kern w:val="0"/>
          <w:sz w:val="24"/>
          <w:highlight w:val="none"/>
        </w:rPr>
        <w:t>；公布</w:t>
      </w:r>
      <w:r>
        <w:rPr>
          <w:rFonts w:hint="eastAsia" w:ascii="宋体" w:hAnsi="宋体" w:cs="Arial"/>
          <w:color w:val="auto"/>
          <w:kern w:val="0"/>
          <w:sz w:val="24"/>
          <w:highlight w:val="none"/>
        </w:rPr>
        <w:t>有效</w:t>
      </w:r>
      <w:r>
        <w:rPr>
          <w:rFonts w:ascii="宋体" w:hAnsi="宋体" w:cs="Arial"/>
          <w:color w:val="auto"/>
          <w:kern w:val="0"/>
          <w:sz w:val="24"/>
          <w:highlight w:val="none"/>
        </w:rPr>
        <w:t>供应商</w:t>
      </w:r>
      <w:r>
        <w:rPr>
          <w:rFonts w:hint="eastAsia" w:ascii="宋体" w:hAnsi="宋体" w:cs="Arial"/>
          <w:color w:val="auto"/>
          <w:kern w:val="0"/>
          <w:sz w:val="24"/>
          <w:highlight w:val="none"/>
        </w:rPr>
        <w:t>的</w:t>
      </w:r>
      <w:r>
        <w:rPr>
          <w:rFonts w:ascii="宋体" w:hAnsi="宋体" w:cs="Arial"/>
          <w:color w:val="auto"/>
          <w:kern w:val="0"/>
          <w:sz w:val="24"/>
          <w:highlight w:val="none"/>
        </w:rPr>
        <w:t>名单</w:t>
      </w:r>
      <w:r>
        <w:rPr>
          <w:rFonts w:hint="eastAsia" w:ascii="宋体" w:hAnsi="宋体" w:cs="Arial"/>
          <w:color w:val="auto"/>
          <w:kern w:val="0"/>
          <w:sz w:val="24"/>
          <w:highlight w:val="none"/>
        </w:rPr>
        <w:t>及其资信</w:t>
      </w:r>
      <w:r>
        <w:rPr>
          <w:rFonts w:ascii="宋体" w:hAnsi="宋体" w:cs="Arial"/>
          <w:color w:val="auto"/>
          <w:kern w:val="0"/>
          <w:sz w:val="24"/>
          <w:highlight w:val="none"/>
        </w:rPr>
        <w:t>商务</w:t>
      </w:r>
      <w:r>
        <w:rPr>
          <w:rFonts w:hint="eastAsia" w:ascii="宋体" w:hAnsi="宋体" w:cs="Arial"/>
          <w:color w:val="auto"/>
          <w:kern w:val="0"/>
          <w:sz w:val="24"/>
          <w:highlight w:val="none"/>
        </w:rPr>
        <w:t>得分、</w:t>
      </w:r>
      <w:r>
        <w:rPr>
          <w:rFonts w:ascii="宋体" w:hAnsi="宋体" w:cs="Arial"/>
          <w:color w:val="auto"/>
          <w:kern w:val="0"/>
          <w:sz w:val="24"/>
          <w:highlight w:val="none"/>
        </w:rPr>
        <w:t>技术得分</w:t>
      </w:r>
      <w:r>
        <w:rPr>
          <w:rFonts w:hint="eastAsia" w:ascii="宋体" w:hAnsi="宋体" w:cs="Arial"/>
          <w:color w:val="auto"/>
          <w:kern w:val="0"/>
          <w:sz w:val="24"/>
          <w:highlight w:val="none"/>
        </w:rPr>
        <w:t>。</w:t>
      </w:r>
    </w:p>
    <w:p>
      <w:pP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（3）开启有效供应商的《报价文件》，系统形成开标记录。</w:t>
      </w:r>
    </w:p>
    <w:p>
      <w:pP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（4）价格评审。价格评审结束后，通过</w:t>
      </w:r>
      <w:r>
        <w:rPr>
          <w:rFonts w:hint="eastAsia" w:ascii="宋体" w:hAnsi="宋体"/>
          <w:color w:val="auto"/>
          <w:sz w:val="24"/>
          <w:highlight w:val="none"/>
        </w:rPr>
        <w:t>电子交易平台</w:t>
      </w:r>
      <w:r>
        <w:rPr>
          <w:rFonts w:hint="eastAsia" w:ascii="宋体" w:hAnsi="宋体" w:cs="Arial"/>
          <w:color w:val="auto"/>
          <w:kern w:val="0"/>
          <w:sz w:val="24"/>
          <w:highlight w:val="none"/>
        </w:rPr>
        <w:t>公布中标候选供应商名单。</w:t>
      </w:r>
    </w:p>
    <w:p>
      <w:pPr>
        <w:pStyle w:val="9"/>
        <w:snapToGrid w:val="0"/>
        <w:spacing w:beforeLines="0" w:afterLines="0" w:line="360" w:lineRule="auto"/>
        <w:ind w:left="842" w:leftChars="267" w:hanging="281" w:hangingChars="100"/>
        <w:rPr>
          <w:rFonts w:hint="eastAsia" w:hAnsi="宋体"/>
          <w:b/>
          <w:color w:val="auto"/>
          <w:sz w:val="28"/>
          <w:szCs w:val="28"/>
          <w:highlight w:val="none"/>
        </w:rPr>
      </w:pPr>
      <w:r>
        <w:rPr>
          <w:rFonts w:hint="eastAsia" w:hAnsi="宋体"/>
          <w:b/>
          <w:color w:val="auto"/>
          <w:sz w:val="28"/>
          <w:szCs w:val="28"/>
          <w:highlight w:val="none"/>
        </w:rPr>
        <w:t>五、评标</w:t>
      </w:r>
    </w:p>
    <w:p>
      <w:pPr>
        <w:pStyle w:val="9"/>
        <w:snapToGrid w:val="0"/>
        <w:spacing w:beforeLines="0" w:afterLines="0" w:line="360" w:lineRule="auto"/>
        <w:ind w:left="720" w:leftChars="228" w:hanging="241" w:hangingChars="100"/>
        <w:rPr>
          <w:rFonts w:hAnsi="宋体"/>
          <w:b/>
          <w:color w:val="auto"/>
          <w:highlight w:val="none"/>
        </w:rPr>
      </w:pPr>
      <w:r>
        <w:rPr>
          <w:rFonts w:hAnsi="宋体"/>
          <w:b/>
          <w:color w:val="auto"/>
          <w:highlight w:val="none"/>
        </w:rPr>
        <w:t>（一）组建评标委员会</w:t>
      </w:r>
    </w:p>
    <w:p>
      <w:pPr>
        <w:pStyle w:val="9"/>
        <w:snapToGrid w:val="0"/>
        <w:spacing w:beforeLines="0" w:afterLines="0" w:line="360" w:lineRule="auto"/>
        <w:ind w:firstLine="480" w:firstLineChars="200"/>
        <w:rPr>
          <w:rFonts w:hAnsi="宋体"/>
          <w:color w:val="auto"/>
          <w:highlight w:val="none"/>
        </w:rPr>
      </w:pPr>
      <w:r>
        <w:rPr>
          <w:rFonts w:ascii="Arial" w:hAnsi="Arial" w:cs="Arial"/>
          <w:color w:val="auto"/>
          <w:highlight w:val="none"/>
        </w:rPr>
        <w:t>评</w:t>
      </w:r>
      <w:r>
        <w:rPr>
          <w:rFonts w:hint="eastAsia" w:ascii="Arial" w:hAnsi="Arial" w:cs="Arial"/>
          <w:color w:val="auto"/>
          <w:highlight w:val="none"/>
        </w:rPr>
        <w:t>标</w:t>
      </w:r>
      <w:r>
        <w:rPr>
          <w:rFonts w:ascii="Arial" w:hAnsi="Arial" w:cs="Arial"/>
          <w:color w:val="auto"/>
          <w:highlight w:val="none"/>
        </w:rPr>
        <w:t>委员会由采购人代表和有关技术、经济等方面的专家组成,成员人数应当为五人以上单数。其中</w:t>
      </w:r>
      <w:r>
        <w:rPr>
          <w:rFonts w:hAnsi="宋体" w:cs="Arial"/>
          <w:color w:val="auto"/>
          <w:highlight w:val="none"/>
        </w:rPr>
        <w:t>,</w:t>
      </w:r>
      <w:r>
        <w:rPr>
          <w:rFonts w:ascii="Arial" w:hAnsi="Arial" w:cs="Arial"/>
          <w:color w:val="auto"/>
          <w:highlight w:val="none"/>
        </w:rPr>
        <w:t>技术、经济等方面的专家不得少于成员总数的三分之二。</w:t>
      </w:r>
    </w:p>
    <w:p>
      <w:pPr>
        <w:pStyle w:val="9"/>
        <w:snapToGrid w:val="0"/>
        <w:spacing w:beforeLines="0" w:afterLines="0" w:line="360" w:lineRule="auto"/>
        <w:ind w:left="720" w:leftChars="228" w:hanging="241" w:hangingChars="100"/>
        <w:rPr>
          <w:rFonts w:hint="eastAsia" w:hAnsi="宋体"/>
          <w:b/>
          <w:color w:val="auto"/>
          <w:highlight w:val="none"/>
        </w:rPr>
      </w:pPr>
      <w:r>
        <w:rPr>
          <w:rFonts w:hAnsi="宋体"/>
          <w:b/>
          <w:color w:val="auto"/>
          <w:highlight w:val="none"/>
        </w:rPr>
        <w:t>（</w:t>
      </w:r>
      <w:r>
        <w:rPr>
          <w:rFonts w:hint="eastAsia" w:hAnsi="宋体"/>
          <w:b/>
          <w:color w:val="auto"/>
          <w:highlight w:val="none"/>
        </w:rPr>
        <w:t>二</w:t>
      </w:r>
      <w:r>
        <w:rPr>
          <w:rFonts w:hAnsi="宋体"/>
          <w:b/>
          <w:color w:val="auto"/>
          <w:highlight w:val="none"/>
        </w:rPr>
        <w:t>）评标程序</w:t>
      </w:r>
    </w:p>
    <w:p>
      <w:pPr>
        <w:pStyle w:val="9"/>
        <w:snapToGrid w:val="0"/>
        <w:spacing w:beforeLines="0" w:afterLines="0" w:line="360" w:lineRule="auto"/>
        <w:ind w:firstLine="470" w:firstLineChars="196"/>
        <w:rPr>
          <w:rFonts w:hint="eastAsia" w:hAnsi="宋体"/>
          <w:color w:val="auto"/>
          <w:highlight w:val="none"/>
        </w:rPr>
      </w:pPr>
      <w:r>
        <w:rPr>
          <w:rFonts w:hint="eastAsia" w:hAnsi="宋体"/>
          <w:color w:val="auto"/>
          <w:highlight w:val="none"/>
        </w:rPr>
        <w:t>1.</w:t>
      </w:r>
      <w:r>
        <w:rPr>
          <w:rFonts w:hAnsi="宋体"/>
          <w:color w:val="auto"/>
          <w:highlight w:val="none"/>
        </w:rPr>
        <w:t>在评审专家中推选评审小组组长。</w:t>
      </w:r>
    </w:p>
    <w:p>
      <w:pPr>
        <w:pStyle w:val="9"/>
        <w:snapToGrid w:val="0"/>
        <w:spacing w:beforeLines="0" w:afterLines="0" w:line="360" w:lineRule="auto"/>
        <w:ind w:firstLine="470" w:firstLineChars="196"/>
        <w:rPr>
          <w:rFonts w:hint="eastAsia" w:hAnsi="宋体"/>
          <w:color w:val="auto"/>
          <w:highlight w:val="none"/>
        </w:rPr>
      </w:pPr>
      <w:r>
        <w:rPr>
          <w:rFonts w:hint="eastAsia" w:hAnsi="宋体"/>
          <w:color w:val="auto"/>
          <w:highlight w:val="none"/>
        </w:rPr>
        <w:t>2.</w:t>
      </w:r>
      <w:r>
        <w:rPr>
          <w:rFonts w:hAnsi="宋体"/>
          <w:color w:val="auto"/>
          <w:highlight w:val="none"/>
        </w:rPr>
        <w:t>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pStyle w:val="9"/>
        <w:snapToGrid w:val="0"/>
        <w:spacing w:beforeLines="0" w:afterLines="0" w:line="360" w:lineRule="auto"/>
        <w:ind w:firstLine="470" w:firstLineChars="196"/>
        <w:rPr>
          <w:rFonts w:hint="eastAsia" w:hAnsi="宋体"/>
          <w:color w:val="auto"/>
          <w:highlight w:val="none"/>
        </w:rPr>
      </w:pPr>
      <w:r>
        <w:rPr>
          <w:rFonts w:hint="eastAsia" w:hAnsi="宋体"/>
          <w:color w:val="auto"/>
          <w:highlight w:val="none"/>
        </w:rPr>
        <w:t>3.</w:t>
      </w:r>
      <w:r>
        <w:rPr>
          <w:rFonts w:hint="eastAsia"/>
          <w:color w:val="auto"/>
          <w:highlight w:val="none"/>
        </w:rPr>
        <w:t>招标人或者招标代理机构对</w:t>
      </w:r>
      <w:r>
        <w:rPr>
          <w:rFonts w:hAnsi="宋体"/>
          <w:color w:val="auto"/>
          <w:highlight w:val="none"/>
        </w:rPr>
        <w:t>各</w:t>
      </w:r>
      <w:r>
        <w:rPr>
          <w:rFonts w:hint="eastAsia"/>
          <w:color w:val="auto"/>
          <w:highlight w:val="none"/>
        </w:rPr>
        <w:t>投标人的资格进行审查</w:t>
      </w:r>
      <w:r>
        <w:rPr>
          <w:rFonts w:hint="eastAsia" w:hAnsi="宋体"/>
          <w:color w:val="auto"/>
          <w:highlight w:val="none"/>
        </w:rPr>
        <w:t>，</w:t>
      </w:r>
      <w:r>
        <w:rPr>
          <w:rFonts w:hint="eastAsia"/>
          <w:color w:val="auto"/>
          <w:highlight w:val="none"/>
        </w:rPr>
        <w:t>投标人</w:t>
      </w:r>
      <w:r>
        <w:rPr>
          <w:rFonts w:hint="eastAsia" w:hAnsi="宋体"/>
          <w:color w:val="auto"/>
          <w:highlight w:val="none"/>
        </w:rPr>
        <w:t>资格条件不符合招标文件要求的投标无效，</w:t>
      </w:r>
      <w:r>
        <w:rPr>
          <w:rFonts w:hint="eastAsia" w:hAnsi="宋体"/>
          <w:bCs/>
          <w:color w:val="auto"/>
          <w:highlight w:val="none"/>
        </w:rPr>
        <w:t>不再进入符合性审查。</w:t>
      </w:r>
    </w:p>
    <w:p>
      <w:pPr>
        <w:pStyle w:val="9"/>
        <w:snapToGrid w:val="0"/>
        <w:spacing w:beforeLines="0" w:afterLines="0" w:line="360" w:lineRule="auto"/>
        <w:ind w:firstLine="470" w:firstLineChars="196"/>
        <w:rPr>
          <w:rFonts w:hint="eastAsia" w:hAnsi="宋体"/>
          <w:color w:val="auto"/>
          <w:highlight w:val="none"/>
        </w:rPr>
      </w:pPr>
      <w:r>
        <w:rPr>
          <w:rFonts w:hint="eastAsia" w:hAnsi="宋体"/>
          <w:color w:val="auto"/>
          <w:highlight w:val="none"/>
        </w:rPr>
        <w:t>4.</w:t>
      </w:r>
      <w:r>
        <w:rPr>
          <w:rFonts w:hAnsi="宋体"/>
          <w:color w:val="auto"/>
          <w:highlight w:val="none"/>
        </w:rPr>
        <w:t>评审小组</w:t>
      </w:r>
      <w:r>
        <w:rPr>
          <w:rFonts w:hint="eastAsia" w:hAnsi="宋体"/>
          <w:color w:val="auto"/>
          <w:highlight w:val="none"/>
        </w:rPr>
        <w:t>对各</w:t>
      </w:r>
      <w:r>
        <w:rPr>
          <w:rFonts w:hAnsi="宋体"/>
          <w:color w:val="auto"/>
          <w:highlight w:val="none"/>
        </w:rPr>
        <w:t>投标文件的</w:t>
      </w:r>
      <w:r>
        <w:rPr>
          <w:rFonts w:hint="eastAsia" w:hAnsi="宋体"/>
          <w:color w:val="auto"/>
          <w:highlight w:val="none"/>
        </w:rPr>
        <w:t>符合</w:t>
      </w:r>
      <w:r>
        <w:rPr>
          <w:rFonts w:hAnsi="宋体"/>
          <w:color w:val="auto"/>
          <w:highlight w:val="none"/>
        </w:rPr>
        <w:t>性进行审查，确定是否对招标文件</w:t>
      </w:r>
      <w:r>
        <w:rPr>
          <w:rFonts w:hint="eastAsia" w:hAnsi="宋体"/>
          <w:color w:val="auto"/>
          <w:highlight w:val="none"/>
        </w:rPr>
        <w:t>作出了实质性响应</w:t>
      </w:r>
      <w:r>
        <w:rPr>
          <w:rFonts w:hAnsi="宋体"/>
          <w:color w:val="auto"/>
          <w:highlight w:val="none"/>
        </w:rPr>
        <w:t>。</w:t>
      </w:r>
      <w:r>
        <w:rPr>
          <w:rFonts w:hint="eastAsia" w:hAnsi="宋体"/>
          <w:bCs/>
          <w:color w:val="auto"/>
          <w:highlight w:val="none"/>
        </w:rPr>
        <w:t>实质上没有响应招标文件要求的投标将被视为无效投标，不再进入下一阶段的评审。</w:t>
      </w:r>
    </w:p>
    <w:p>
      <w:pPr>
        <w:pStyle w:val="9"/>
        <w:snapToGrid w:val="0"/>
        <w:spacing w:beforeLines="0" w:afterLines="0" w:line="240" w:lineRule="auto"/>
        <w:ind w:left="719" w:leftChars="228" w:hanging="240" w:hangingChars="100"/>
        <w:rPr>
          <w:rFonts w:hint="eastAsia" w:hAnsi="宋体"/>
          <w:color w:val="auto"/>
          <w:highlight w:val="none"/>
        </w:rPr>
      </w:pPr>
      <w:r>
        <w:rPr>
          <w:rFonts w:hint="eastAsia" w:hAnsi="宋体"/>
          <w:color w:val="auto"/>
          <w:highlight w:val="none"/>
        </w:rPr>
        <w:t>5.</w:t>
      </w:r>
      <w:r>
        <w:rPr>
          <w:rFonts w:hAnsi="宋体"/>
          <w:color w:val="auto"/>
          <w:highlight w:val="none"/>
        </w:rPr>
        <w:t>评审人员按招标文件规定的评审方法和评审标准，依法独立对供应商投</w:t>
      </w:r>
    </w:p>
    <w:p>
      <w:pPr>
        <w:pStyle w:val="9"/>
        <w:snapToGrid w:val="0"/>
        <w:spacing w:beforeLines="0" w:afterLines="0" w:line="240" w:lineRule="auto"/>
        <w:rPr>
          <w:rFonts w:hint="eastAsia" w:hAnsi="宋体"/>
          <w:color w:val="auto"/>
          <w:highlight w:val="none"/>
        </w:rPr>
      </w:pPr>
      <w:r>
        <w:rPr>
          <w:rFonts w:hAnsi="宋体"/>
          <w:color w:val="auto"/>
          <w:highlight w:val="none"/>
        </w:rPr>
        <w:t>标文件进行评估、比较，并给予评价或打分，不受任何单位和个人的干预。</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6.</w:t>
      </w:r>
      <w:r>
        <w:rPr>
          <w:rFonts w:ascii="宋体" w:hAnsi="宋体"/>
          <w:color w:val="auto"/>
          <w:sz w:val="24"/>
          <w:highlight w:val="none"/>
        </w:rPr>
        <w:t>各投标人的得分为所有评委的有效评分的算术平均数</w:t>
      </w:r>
      <w:r>
        <w:rPr>
          <w:rFonts w:hint="eastAsia" w:ascii="宋体" w:hAnsi="宋体"/>
          <w:color w:val="auto"/>
          <w:sz w:val="24"/>
          <w:highlight w:val="none"/>
        </w:rPr>
        <w:t>，</w:t>
      </w:r>
      <w:r>
        <w:rPr>
          <w:rFonts w:ascii="宋体" w:hAnsi="宋体"/>
          <w:color w:val="auto"/>
          <w:sz w:val="24"/>
          <w:highlight w:val="none"/>
        </w:rPr>
        <w:t>由指定专人进行计算复核。</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评标委员会完成评标后,评委对各部分得分汇总,</w:t>
      </w:r>
      <w:r>
        <w:rPr>
          <w:rFonts w:hint="eastAsia" w:ascii="宋体" w:hAnsi="宋体"/>
          <w:color w:val="auto"/>
          <w:sz w:val="24"/>
          <w:highlight w:val="none"/>
        </w:rPr>
        <w:t>计算</w:t>
      </w:r>
      <w:r>
        <w:rPr>
          <w:rFonts w:ascii="宋体" w:hAnsi="宋体"/>
          <w:color w:val="auto"/>
          <w:sz w:val="24"/>
          <w:highlight w:val="none"/>
        </w:rPr>
        <w:t>出本项目</w:t>
      </w:r>
      <w:r>
        <w:rPr>
          <w:rFonts w:hint="eastAsia" w:ascii="宋体" w:hAnsi="宋体"/>
          <w:color w:val="auto"/>
          <w:sz w:val="24"/>
          <w:highlight w:val="none"/>
        </w:rPr>
        <w:t>最终得分</w:t>
      </w:r>
      <w:r>
        <w:rPr>
          <w:rFonts w:ascii="宋体" w:hAnsi="宋体"/>
          <w:color w:val="auto"/>
          <w:sz w:val="24"/>
          <w:highlight w:val="none"/>
        </w:rPr>
        <w:t>。评标委员会按评标原则推荐中标候选人</w:t>
      </w:r>
      <w:r>
        <w:rPr>
          <w:rFonts w:hint="eastAsia" w:ascii="宋体" w:hAnsi="宋体"/>
          <w:color w:val="auto"/>
          <w:sz w:val="24"/>
          <w:highlight w:val="none"/>
        </w:rPr>
        <w:t>，</w:t>
      </w:r>
      <w:r>
        <w:rPr>
          <w:rFonts w:ascii="宋体" w:hAnsi="宋体"/>
          <w:color w:val="auto"/>
          <w:sz w:val="24"/>
          <w:highlight w:val="none"/>
        </w:rPr>
        <w:t>同时起草评标报告。</w:t>
      </w:r>
    </w:p>
    <w:p>
      <w:pPr>
        <w:snapToGrid w:val="0"/>
        <w:spacing w:line="360" w:lineRule="auto"/>
        <w:ind w:firstLine="480" w:firstLineChars="200"/>
        <w:rPr>
          <w:rFonts w:hint="eastAsia" w:ascii="宋体" w:hAnsi="宋体"/>
          <w:color w:val="auto"/>
          <w:sz w:val="24"/>
          <w:szCs w:val="20"/>
          <w:highlight w:val="none"/>
        </w:rPr>
      </w:pPr>
      <w:r>
        <w:rPr>
          <w:rFonts w:hint="eastAsia" w:ascii="宋体" w:hAnsi="宋体"/>
          <w:color w:val="auto"/>
          <w:sz w:val="24"/>
          <w:highlight w:val="none"/>
        </w:rPr>
        <w:t>8.实质上响应招标文件要求的投标人</w:t>
      </w:r>
      <w:r>
        <w:rPr>
          <w:rFonts w:hint="eastAsia" w:ascii="宋体" w:hAnsi="宋体"/>
          <w:bCs/>
          <w:color w:val="auto"/>
          <w:sz w:val="24"/>
          <w:highlight w:val="none"/>
        </w:rPr>
        <w:t>不足三家的，除财政部门另有规定外，应当作废标处理。</w:t>
      </w:r>
    </w:p>
    <w:p>
      <w:pPr>
        <w:snapToGrid w:val="0"/>
        <w:spacing w:line="360" w:lineRule="auto"/>
        <w:ind w:firstLine="482" w:firstLineChars="200"/>
        <w:rPr>
          <w:rFonts w:ascii="宋体" w:hAnsi="宋体"/>
          <w:b/>
          <w:color w:val="auto"/>
          <w:sz w:val="24"/>
          <w:szCs w:val="20"/>
          <w:highlight w:val="none"/>
        </w:rPr>
      </w:pPr>
      <w:r>
        <w:rPr>
          <w:rFonts w:hint="eastAsia" w:ascii="宋体" w:hAnsi="宋体"/>
          <w:b/>
          <w:color w:val="auto"/>
          <w:sz w:val="24"/>
          <w:highlight w:val="none"/>
        </w:rPr>
        <w:t>（三）澄清问题的形式</w:t>
      </w:r>
    </w:p>
    <w:p>
      <w:pPr>
        <w:autoSpaceDE w:val="0"/>
        <w:autoSpaceDN w:val="0"/>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pPr>
        <w:autoSpaceDE w:val="0"/>
        <w:autoSpaceDN w:val="0"/>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评标委员会发出澄清内容后，供应商应当在</w:t>
      </w:r>
      <w:r>
        <w:rPr>
          <w:rFonts w:hint="eastAsia" w:ascii="宋体" w:hAnsi="宋体"/>
          <w:i/>
          <w:color w:val="auto"/>
          <w:sz w:val="24"/>
          <w:highlight w:val="none"/>
          <w:u w:val="single"/>
        </w:rPr>
        <w:t>规定的时间内</w:t>
      </w:r>
      <w:r>
        <w:rPr>
          <w:rFonts w:hint="eastAsia" w:ascii="宋体" w:hAnsi="宋体"/>
          <w:color w:val="auto"/>
          <w:sz w:val="24"/>
          <w:highlight w:val="none"/>
        </w:rPr>
        <w:t>钟内提交澄清说明或补正，否则视为供应商放弃答复，并</w:t>
      </w:r>
      <w:r>
        <w:rPr>
          <w:rFonts w:hint="eastAsia" w:ascii="宋体" w:hAnsi="宋体" w:cs="Arial"/>
          <w:color w:val="auto"/>
          <w:kern w:val="0"/>
          <w:sz w:val="24"/>
          <w:highlight w:val="none"/>
        </w:rPr>
        <w:t>自行承担因此而产生的不利后果。</w:t>
      </w:r>
      <w:r>
        <w:rPr>
          <w:rFonts w:hint="eastAsia" w:ascii="宋体" w:hAnsi="宋体"/>
          <w:color w:val="auto"/>
          <w:sz w:val="24"/>
          <w:highlight w:val="none"/>
        </w:rPr>
        <w:t>澄清、说明或者补正不得超出投标文件的范围或者改变投标文件的实质性内容。</w:t>
      </w:r>
    </w:p>
    <w:p>
      <w:pPr>
        <w:pStyle w:val="9"/>
        <w:snapToGrid w:val="0"/>
        <w:spacing w:beforeLines="0" w:afterLines="0" w:line="360" w:lineRule="auto"/>
        <w:ind w:left="720" w:leftChars="228" w:hanging="241" w:hangingChars="100"/>
        <w:rPr>
          <w:rFonts w:hAnsi="宋体"/>
          <w:b/>
          <w:color w:val="auto"/>
          <w:highlight w:val="none"/>
        </w:rPr>
      </w:pPr>
      <w:r>
        <w:rPr>
          <w:rFonts w:hAnsi="宋体"/>
          <w:b/>
          <w:color w:val="auto"/>
          <w:highlight w:val="none"/>
        </w:rPr>
        <w:t>（</w:t>
      </w:r>
      <w:r>
        <w:rPr>
          <w:rFonts w:hint="eastAsia" w:hAnsi="宋体"/>
          <w:b/>
          <w:color w:val="auto"/>
          <w:highlight w:val="none"/>
        </w:rPr>
        <w:t>四</w:t>
      </w:r>
      <w:r>
        <w:rPr>
          <w:rFonts w:hAnsi="宋体"/>
          <w:b/>
          <w:color w:val="auto"/>
          <w:highlight w:val="none"/>
        </w:rPr>
        <w:t>）错误修正</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投标文件如果出现计算或表达上的错误，修正错误的原则如下：</w:t>
      </w:r>
    </w:p>
    <w:p>
      <w:pPr>
        <w:spacing w:line="360" w:lineRule="auto"/>
        <w:ind w:firstLine="480" w:firstLineChars="200"/>
        <w:rPr>
          <w:rFonts w:hint="eastAsia"/>
          <w:color w:val="auto"/>
          <w:sz w:val="24"/>
          <w:highlight w:val="none"/>
        </w:rPr>
      </w:pPr>
      <w:r>
        <w:rPr>
          <w:rFonts w:hint="eastAsia"/>
          <w:color w:val="auto"/>
          <w:sz w:val="24"/>
          <w:highlight w:val="none"/>
        </w:rPr>
        <w:t>1.电子交易平台生成的开标记录表内容与投标文件中相应内容不一致的，以电子交易平台生成的开标记录表为准；</w:t>
      </w:r>
    </w:p>
    <w:p>
      <w:pPr>
        <w:spacing w:line="360" w:lineRule="auto"/>
        <w:ind w:firstLine="480" w:firstLineChars="200"/>
        <w:rPr>
          <w:rFonts w:hint="eastAsia"/>
          <w:color w:val="auto"/>
          <w:sz w:val="24"/>
          <w:highlight w:val="none"/>
        </w:rPr>
      </w:pPr>
      <w:r>
        <w:rPr>
          <w:rFonts w:hint="eastAsia"/>
          <w:color w:val="auto"/>
          <w:sz w:val="24"/>
          <w:highlight w:val="none"/>
        </w:rPr>
        <w:t>2.大写金额和小写金额不一致的，以大写金额为准；</w:t>
      </w:r>
    </w:p>
    <w:p>
      <w:pPr>
        <w:spacing w:line="360" w:lineRule="auto"/>
        <w:ind w:firstLine="480" w:firstLineChars="200"/>
        <w:rPr>
          <w:rFonts w:hint="eastAsia"/>
          <w:color w:val="auto"/>
          <w:sz w:val="24"/>
          <w:highlight w:val="none"/>
        </w:rPr>
      </w:pPr>
      <w:r>
        <w:rPr>
          <w:rFonts w:hint="eastAsia"/>
          <w:color w:val="auto"/>
          <w:sz w:val="24"/>
          <w:highlight w:val="none"/>
        </w:rPr>
        <w:t>3.单价金额小数点或者百分比有明显错位的，以开标一览表的总价为准，并修改单价；</w:t>
      </w:r>
    </w:p>
    <w:p>
      <w:pPr>
        <w:spacing w:line="360" w:lineRule="auto"/>
        <w:ind w:firstLine="480" w:firstLineChars="200"/>
        <w:rPr>
          <w:rFonts w:hint="eastAsia"/>
          <w:color w:val="auto"/>
          <w:sz w:val="24"/>
          <w:highlight w:val="none"/>
        </w:rPr>
      </w:pPr>
      <w:r>
        <w:rPr>
          <w:rFonts w:hint="eastAsia"/>
          <w:color w:val="auto"/>
          <w:sz w:val="24"/>
          <w:highlight w:val="none"/>
        </w:rPr>
        <w:t>4.总价金额与按单价汇总金额不一致的，以单价金额计算结果为准。</w:t>
      </w:r>
    </w:p>
    <w:p>
      <w:pPr>
        <w:snapToGrid w:val="0"/>
        <w:spacing w:line="360" w:lineRule="auto"/>
        <w:ind w:firstLine="480" w:firstLineChars="200"/>
        <w:rPr>
          <w:rFonts w:hint="eastAsia" w:ascii="宋体" w:hAnsi="宋体"/>
          <w:color w:val="auto"/>
          <w:sz w:val="24"/>
          <w:highlight w:val="none"/>
        </w:rPr>
      </w:pPr>
      <w:r>
        <w:rPr>
          <w:rFonts w:hint="eastAsia"/>
          <w:color w:val="auto"/>
          <w:sz w:val="24"/>
          <w:highlight w:val="none"/>
        </w:rPr>
        <w:t>同时出现两种以上不一致的，按照前款规定的顺序修正。评标委员会应当通过电子交易平台要求投标人对修正后的报价予以确认并对投标人产生约束力。投标人不接受修正或</w:t>
      </w:r>
      <w:r>
        <w:rPr>
          <w:rFonts w:hint="eastAsia" w:ascii="宋体" w:hAnsi="宋体"/>
          <w:color w:val="auto"/>
          <w:sz w:val="24"/>
          <w:highlight w:val="none"/>
        </w:rPr>
        <w:t>在</w:t>
      </w:r>
      <w:r>
        <w:rPr>
          <w:rFonts w:hint="eastAsia" w:ascii="宋体" w:hAnsi="宋体"/>
          <w:i/>
          <w:color w:val="auto"/>
          <w:sz w:val="24"/>
          <w:highlight w:val="none"/>
          <w:u w:val="single"/>
        </w:rPr>
        <w:t>规定的时间</w:t>
      </w:r>
      <w:r>
        <w:rPr>
          <w:rFonts w:hint="eastAsia" w:hAnsi="宋体"/>
          <w:color w:val="auto"/>
          <w:sz w:val="24"/>
          <w:highlight w:val="none"/>
        </w:rPr>
        <w:t>内</w:t>
      </w:r>
      <w:r>
        <w:rPr>
          <w:rFonts w:hint="eastAsia"/>
          <w:color w:val="auto"/>
          <w:sz w:val="24"/>
          <w:highlight w:val="none"/>
        </w:rPr>
        <w:t>不予确认的，其投标无效。</w:t>
      </w:r>
    </w:p>
    <w:p>
      <w:pPr>
        <w:pStyle w:val="9"/>
        <w:tabs>
          <w:tab w:val="left" w:pos="630"/>
        </w:tabs>
        <w:snapToGrid w:val="0"/>
        <w:spacing w:beforeLines="0" w:afterLines="0" w:line="360" w:lineRule="auto"/>
        <w:ind w:firstLine="472" w:firstLineChars="196"/>
        <w:rPr>
          <w:rFonts w:hAnsi="宋体"/>
          <w:b/>
          <w:color w:val="auto"/>
          <w:highlight w:val="none"/>
        </w:rPr>
      </w:pPr>
      <w:r>
        <w:rPr>
          <w:rFonts w:hAnsi="宋体"/>
          <w:b/>
          <w:color w:val="auto"/>
          <w:highlight w:val="none"/>
        </w:rPr>
        <w:t>（</w:t>
      </w:r>
      <w:r>
        <w:rPr>
          <w:rFonts w:hint="eastAsia" w:hAnsi="宋体"/>
          <w:b/>
          <w:color w:val="auto"/>
          <w:highlight w:val="none"/>
        </w:rPr>
        <w:t>五</w:t>
      </w:r>
      <w:r>
        <w:rPr>
          <w:rFonts w:hAnsi="宋体"/>
          <w:b/>
          <w:color w:val="auto"/>
          <w:highlight w:val="none"/>
        </w:rPr>
        <w:t>）评标原则和评标办法</w:t>
      </w:r>
    </w:p>
    <w:p>
      <w:pPr>
        <w:pStyle w:val="9"/>
        <w:snapToGrid w:val="0"/>
        <w:spacing w:beforeLines="0" w:afterLines="0" w:line="360" w:lineRule="auto"/>
        <w:ind w:firstLine="480" w:firstLineChars="200"/>
        <w:rPr>
          <w:rFonts w:hint="eastAsia"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pPr>
        <w:widowControl/>
        <w:spacing w:line="360" w:lineRule="auto"/>
        <w:ind w:firstLine="480" w:firstLineChars="200"/>
        <w:jc w:val="left"/>
        <w:rPr>
          <w:rFonts w:hint="eastAsia"/>
          <w:color w:val="auto"/>
          <w:sz w:val="24"/>
          <w:highlight w:val="none"/>
        </w:rPr>
      </w:pPr>
      <w:r>
        <w:rPr>
          <w:rFonts w:hint="eastAsia" w:ascii="宋体" w:hAnsi="宋体" w:cs="宋体"/>
          <w:color w:val="auto"/>
          <w:kern w:val="0"/>
          <w:sz w:val="24"/>
          <w:highlight w:val="none"/>
        </w:rPr>
        <w:t>2.</w:t>
      </w:r>
      <w:r>
        <w:rPr>
          <w:rFonts w:hint="eastAsia"/>
          <w:color w:val="auto"/>
          <w:sz w:val="24"/>
          <w:highlight w:val="none"/>
        </w:rPr>
        <w:t>采用最低评标价法的采购项目，提供相同品牌产品的不同投标人参加同一合同项下投标的，以其中通过资格审查、符合性审查且报价最低的参加评标；报价相同的，</w:t>
      </w:r>
      <w:r>
        <w:rPr>
          <w:rFonts w:hint="eastAsia"/>
          <w:i/>
          <w:color w:val="auto"/>
          <w:sz w:val="24"/>
          <w:highlight w:val="none"/>
        </w:rPr>
        <w:t>采取随机抽取方式确定（或其他招标文件规定的方式），</w:t>
      </w:r>
      <w:r>
        <w:rPr>
          <w:rFonts w:hint="eastAsia"/>
          <w:color w:val="auto"/>
          <w:sz w:val="24"/>
          <w:highlight w:val="none"/>
        </w:rPr>
        <w:t>其他投标无效。</w:t>
      </w:r>
    </w:p>
    <w:p>
      <w:pPr>
        <w:spacing w:line="360" w:lineRule="auto"/>
        <w:ind w:firstLine="470" w:firstLineChars="196"/>
        <w:rPr>
          <w:rFonts w:hint="eastAsia"/>
          <w:color w:val="auto"/>
          <w:sz w:val="24"/>
          <w:highlight w:val="none"/>
        </w:rPr>
      </w:pPr>
      <w:r>
        <w:rPr>
          <w:rFonts w:hint="eastAsia"/>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i/>
          <w:color w:val="auto"/>
          <w:sz w:val="24"/>
          <w:highlight w:val="none"/>
        </w:rPr>
        <w:t>采取随机抽取方式（或招标文件规定的其他方式）</w:t>
      </w:r>
      <w:r>
        <w:rPr>
          <w:rFonts w:hint="eastAsia"/>
          <w:color w:val="auto"/>
          <w:sz w:val="24"/>
          <w:highlight w:val="none"/>
        </w:rPr>
        <w:t>确定一个投标人获得中标人推荐资格，其他同品牌投标人不作为中标候选人。</w:t>
      </w:r>
    </w:p>
    <w:p>
      <w:pPr>
        <w:spacing w:line="360" w:lineRule="auto"/>
        <w:ind w:firstLine="713" w:firstLineChars="296"/>
        <w:rPr>
          <w:rFonts w:hint="eastAsia"/>
          <w:b/>
          <w:bCs/>
          <w:color w:val="auto"/>
          <w:sz w:val="24"/>
          <w:highlight w:val="none"/>
          <w:u w:val="single"/>
        </w:rPr>
      </w:pPr>
      <w:r>
        <w:rPr>
          <w:rFonts w:hint="eastAsia"/>
          <w:b/>
          <w:bCs/>
          <w:color w:val="auto"/>
          <w:sz w:val="24"/>
          <w:highlight w:val="none"/>
          <w:u w:val="single"/>
        </w:rPr>
        <w:t>核心产品</w:t>
      </w:r>
      <w:r>
        <w:rPr>
          <w:rFonts w:hint="eastAsia"/>
          <w:b/>
          <w:bCs/>
          <w:color w:val="auto"/>
          <w:sz w:val="24"/>
          <w:highlight w:val="none"/>
          <w:u w:val="single"/>
          <w:lang w:eastAsia="zh-CN"/>
        </w:rPr>
        <w:t>详见采购需求表</w:t>
      </w:r>
      <w:r>
        <w:rPr>
          <w:rFonts w:hint="eastAsia"/>
          <w:b/>
          <w:bCs/>
          <w:color w:val="auto"/>
          <w:sz w:val="24"/>
          <w:highlight w:val="none"/>
          <w:u w:val="single"/>
        </w:rPr>
        <w:t>。多家投标人提供的核心产品品牌</w:t>
      </w:r>
      <w:r>
        <w:rPr>
          <w:rFonts w:hint="eastAsia"/>
          <w:b/>
          <w:bCs/>
          <w:color w:val="auto"/>
          <w:sz w:val="24"/>
          <w:highlight w:val="none"/>
          <w:u w:val="single"/>
          <w:lang w:eastAsia="zh-CN"/>
        </w:rPr>
        <w:t>均</w:t>
      </w:r>
      <w:r>
        <w:rPr>
          <w:rFonts w:hint="eastAsia"/>
          <w:b/>
          <w:bCs/>
          <w:color w:val="auto"/>
          <w:sz w:val="24"/>
          <w:highlight w:val="none"/>
          <w:u w:val="single"/>
        </w:rPr>
        <w:t>相同的，按前两款规定处理。</w:t>
      </w:r>
    </w:p>
    <w:p>
      <w:pPr>
        <w:pStyle w:val="9"/>
        <w:snapToGrid w:val="0"/>
        <w:spacing w:beforeLines="0" w:afterLines="0" w:line="360" w:lineRule="auto"/>
        <w:ind w:firstLine="480" w:firstLineChars="200"/>
        <w:rPr>
          <w:rFonts w:hAnsi="宋体"/>
          <w:color w:val="auto"/>
          <w:highlight w:val="none"/>
        </w:rPr>
      </w:pPr>
      <w:r>
        <w:rPr>
          <w:rFonts w:hint="eastAsia" w:hAnsi="宋体"/>
          <w:color w:val="auto"/>
          <w:highlight w:val="none"/>
        </w:rPr>
        <w:t>3.</w:t>
      </w:r>
      <w:r>
        <w:rPr>
          <w:rFonts w:hAnsi="宋体"/>
          <w:color w:val="auto"/>
          <w:highlight w:val="none"/>
        </w:rPr>
        <w:t>本项目评标办法是</w:t>
      </w:r>
      <w:r>
        <w:rPr>
          <w:rFonts w:hint="eastAsia" w:hAnsi="宋体"/>
          <w:color w:val="auto"/>
          <w:highlight w:val="none"/>
        </w:rPr>
        <w:t>综合评分法/</w:t>
      </w:r>
      <w:r>
        <w:rPr>
          <w:rFonts w:ascii="Arial" w:hAnsi="Arial" w:cs="Arial"/>
          <w:color w:val="auto"/>
          <w:highlight w:val="none"/>
        </w:rPr>
        <w:t>最低评标价法</w:t>
      </w:r>
      <w:r>
        <w:rPr>
          <w:rFonts w:hAnsi="宋体"/>
          <w:color w:val="auto"/>
          <w:highlight w:val="none"/>
        </w:rPr>
        <w:t>，具体评标内容及评分标准等详见第</w:t>
      </w:r>
      <w:r>
        <w:rPr>
          <w:rFonts w:hint="eastAsia" w:hAnsi="宋体"/>
          <w:color w:val="auto"/>
          <w:highlight w:val="none"/>
        </w:rPr>
        <w:t>三</w:t>
      </w:r>
      <w:r>
        <w:rPr>
          <w:rFonts w:hAnsi="宋体"/>
          <w:color w:val="auto"/>
          <w:highlight w:val="none"/>
        </w:rPr>
        <w:t>章《评标办法》。</w:t>
      </w:r>
    </w:p>
    <w:p>
      <w:pPr>
        <w:pStyle w:val="9"/>
        <w:snapToGrid w:val="0"/>
        <w:spacing w:beforeLines="0" w:afterLines="0" w:line="360" w:lineRule="auto"/>
        <w:ind w:firstLine="551" w:firstLineChars="196"/>
        <w:rPr>
          <w:rFonts w:hint="eastAsia" w:hAnsi="宋体"/>
          <w:b/>
          <w:color w:val="auto"/>
          <w:sz w:val="28"/>
          <w:szCs w:val="28"/>
          <w:highlight w:val="none"/>
        </w:rPr>
      </w:pPr>
      <w:r>
        <w:rPr>
          <w:rFonts w:hint="eastAsia" w:hAnsi="宋体"/>
          <w:b/>
          <w:color w:val="auto"/>
          <w:sz w:val="28"/>
          <w:szCs w:val="28"/>
          <w:highlight w:val="none"/>
        </w:rPr>
        <w:t>六、定标</w:t>
      </w:r>
    </w:p>
    <w:p>
      <w:pPr>
        <w:pStyle w:val="9"/>
        <w:snapToGrid w:val="0"/>
        <w:spacing w:before="0" w:beforeLines="0" w:after="0" w:afterLines="0" w:line="360" w:lineRule="auto"/>
        <w:ind w:firstLine="472" w:firstLineChars="196"/>
        <w:rPr>
          <w:rFonts w:hAnsi="宋体"/>
          <w:b/>
          <w:bCs/>
          <w:color w:val="auto"/>
          <w:szCs w:val="20"/>
          <w:highlight w:val="none"/>
        </w:rPr>
      </w:pPr>
      <w:r>
        <w:rPr>
          <w:rFonts w:hint="eastAsia" w:hAnsi="宋体"/>
          <w:b/>
          <w:bCs/>
          <w:color w:val="auto"/>
          <w:highlight w:val="none"/>
        </w:rPr>
        <w:t>（一）确定中标人</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1.采购人依法确定中标人后</w:t>
      </w:r>
      <w:r>
        <w:rPr>
          <w:rFonts w:ascii="宋体" w:hAnsi="宋体"/>
          <w:color w:val="auto"/>
          <w:sz w:val="24"/>
          <w:highlight w:val="none"/>
        </w:rPr>
        <w:t>2个工作日内，采购代理机构以书面形式发出《中标通知书》</w:t>
      </w:r>
      <w:r>
        <w:rPr>
          <w:rFonts w:hint="eastAsia" w:ascii="宋体" w:hAnsi="宋体"/>
          <w:color w:val="auto"/>
          <w:sz w:val="24"/>
          <w:highlight w:val="none"/>
        </w:rPr>
        <w:t>和《</w:t>
      </w:r>
      <w:r>
        <w:rPr>
          <w:rFonts w:hint="eastAsia" w:ascii="宋体" w:hAnsi="宋体" w:cs="Arial"/>
          <w:color w:val="auto"/>
          <w:kern w:val="0"/>
          <w:sz w:val="24"/>
          <w:highlight w:val="none"/>
        </w:rPr>
        <w:t>招标结果通知书</w:t>
      </w:r>
      <w:r>
        <w:rPr>
          <w:rFonts w:hint="eastAsia" w:ascii="宋体" w:hAnsi="宋体"/>
          <w:color w:val="auto"/>
          <w:sz w:val="24"/>
          <w:highlight w:val="none"/>
        </w:rPr>
        <w:t>》</w:t>
      </w:r>
      <w:r>
        <w:rPr>
          <w:rFonts w:ascii="宋体" w:hAnsi="宋体"/>
          <w:color w:val="auto"/>
          <w:sz w:val="24"/>
          <w:highlight w:val="none"/>
        </w:rPr>
        <w:t>,并同时在相关网站上发布中标公告。</w:t>
      </w:r>
    </w:p>
    <w:p>
      <w:pPr>
        <w:pStyle w:val="9"/>
        <w:snapToGrid w:val="0"/>
        <w:spacing w:beforeLines="0" w:afterLines="0" w:line="360" w:lineRule="auto"/>
        <w:ind w:firstLine="551" w:firstLineChars="196"/>
        <w:rPr>
          <w:rFonts w:hAnsi="宋体"/>
          <w:b/>
          <w:color w:val="auto"/>
          <w:sz w:val="28"/>
          <w:szCs w:val="28"/>
          <w:highlight w:val="none"/>
        </w:rPr>
      </w:pPr>
      <w:r>
        <w:rPr>
          <w:rFonts w:hint="eastAsia" w:hAnsi="宋体"/>
          <w:b/>
          <w:color w:val="auto"/>
          <w:sz w:val="28"/>
          <w:szCs w:val="28"/>
          <w:highlight w:val="none"/>
        </w:rPr>
        <w:t>七、合同授予</w:t>
      </w:r>
    </w:p>
    <w:p>
      <w:pPr>
        <w:snapToGrid w:val="0"/>
        <w:spacing w:line="360" w:lineRule="auto"/>
        <w:ind w:firstLine="472" w:firstLineChars="196"/>
        <w:rPr>
          <w:rFonts w:ascii="宋体" w:hAnsi="宋体"/>
          <w:b/>
          <w:bCs/>
          <w:color w:val="auto"/>
          <w:sz w:val="24"/>
          <w:szCs w:val="20"/>
          <w:highlight w:val="none"/>
        </w:rPr>
      </w:pPr>
      <w:r>
        <w:rPr>
          <w:rFonts w:hint="eastAsia" w:ascii="宋体" w:hAnsi="宋体"/>
          <w:b/>
          <w:bCs/>
          <w:color w:val="auto"/>
          <w:sz w:val="24"/>
          <w:highlight w:val="none"/>
        </w:rPr>
        <w:t>（一）签订合同</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ascii="宋体" w:hAnsi="宋体"/>
          <w:color w:val="auto"/>
          <w:sz w:val="24"/>
          <w:highlight w:val="none"/>
        </w:rPr>
        <w:t>中标人应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》发出之日起30日内签订政府采购合同。</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中标人拖延、拒签合同的,将被取消中标资格。</w:t>
      </w:r>
    </w:p>
    <w:p>
      <w:pPr>
        <w:pStyle w:val="9"/>
        <w:snapToGrid w:val="0"/>
        <w:spacing w:beforeLines="0" w:afterLines="0" w:line="360" w:lineRule="auto"/>
        <w:ind w:firstLine="472" w:firstLineChars="196"/>
        <w:rPr>
          <w:rFonts w:hAnsi="宋体"/>
          <w:b/>
          <w:color w:val="auto"/>
          <w:highlight w:val="none"/>
        </w:rPr>
      </w:pPr>
      <w:r>
        <w:rPr>
          <w:rFonts w:hAnsi="宋体"/>
          <w:b/>
          <w:color w:val="auto"/>
          <w:highlight w:val="none"/>
        </w:rPr>
        <w:t>（二）履约保证金</w:t>
      </w:r>
    </w:p>
    <w:p>
      <w:pPr>
        <w:pStyle w:val="9"/>
        <w:snapToGrid w:val="0"/>
        <w:spacing w:beforeLines="0" w:afterLines="0" w:line="360" w:lineRule="auto"/>
        <w:ind w:firstLine="480" w:firstLineChars="200"/>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中标人应按招标文件确定的履约保证金金额，向采购</w:t>
      </w:r>
      <w:r>
        <w:rPr>
          <w:rFonts w:hint="eastAsia" w:hAnsi="宋体"/>
          <w:color w:val="auto"/>
          <w:highlight w:val="none"/>
        </w:rPr>
        <w:t>人</w:t>
      </w:r>
      <w:r>
        <w:rPr>
          <w:rFonts w:hAnsi="宋体"/>
          <w:color w:val="auto"/>
          <w:highlight w:val="none"/>
        </w:rPr>
        <w:t>交纳履约保证金。</w:t>
      </w:r>
    </w:p>
    <w:p>
      <w:pPr>
        <w:pStyle w:val="9"/>
        <w:snapToGrid w:val="0"/>
        <w:spacing w:beforeLines="0" w:afterLines="0" w:line="360" w:lineRule="auto"/>
        <w:ind w:firstLine="480" w:firstLineChars="20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签订合同后，如中标人不按双方合同约定履约，则没收其全部履约保证金。</w:t>
      </w:r>
    </w:p>
    <w:p>
      <w:pPr>
        <w:snapToGrid w:val="0"/>
        <w:spacing w:line="360" w:lineRule="auto"/>
        <w:ind w:left="238"/>
        <w:jc w:val="center"/>
        <w:rPr>
          <w:rFonts w:hint="eastAsia"/>
          <w:color w:val="auto"/>
          <w:szCs w:val="21"/>
          <w:highlight w:val="none"/>
        </w:rPr>
      </w:pPr>
      <w:r>
        <w:rPr>
          <w:color w:val="auto"/>
          <w:highlight w:val="none"/>
        </w:rPr>
        <w:br w:type="page"/>
      </w:r>
    </w:p>
    <w:p>
      <w:pPr>
        <w:pStyle w:val="9"/>
        <w:snapToGrid w:val="0"/>
        <w:spacing w:beforeLines="0" w:afterLines="0" w:line="360" w:lineRule="auto"/>
        <w:ind w:firstLine="600" w:firstLineChars="200"/>
        <w:jc w:val="center"/>
        <w:outlineLvl w:val="0"/>
        <w:rPr>
          <w:rFonts w:hint="eastAsia" w:hAnsi="宋体"/>
          <w:color w:val="auto"/>
          <w:highlight w:val="none"/>
        </w:rPr>
      </w:pPr>
      <w:bookmarkStart w:id="42" w:name="_Toc44755896"/>
      <w:r>
        <w:rPr>
          <w:rFonts w:hint="eastAsia" w:ascii="黑体" w:hAnsi="宋体" w:eastAsia="黑体"/>
          <w:color w:val="auto"/>
          <w:sz w:val="30"/>
          <w:szCs w:val="30"/>
          <w:highlight w:val="none"/>
        </w:rPr>
        <w:t>第三章  评标办法</w:t>
      </w:r>
      <w:bookmarkEnd w:id="42"/>
    </w:p>
    <w:p>
      <w:pPr>
        <w:spacing w:before="156" w:beforeLines="50" w:after="156" w:afterLines="50" w:line="360" w:lineRule="auto"/>
        <w:ind w:firstLine="420"/>
        <w:rPr>
          <w:rFonts w:hint="eastAsia" w:ascii="宋体" w:hAnsi="宋体"/>
          <w:color w:val="auto"/>
          <w:sz w:val="24"/>
          <w:highlight w:val="none"/>
        </w:rPr>
      </w:pPr>
    </w:p>
    <w:p>
      <w:pPr>
        <w:spacing w:before="156" w:beforeLines="50" w:after="156" w:afterLines="50" w:line="360" w:lineRule="auto"/>
        <w:ind w:firstLine="420"/>
        <w:rPr>
          <w:rFonts w:hint="eastAsia" w:ascii="宋体" w:hAnsi="宋体"/>
          <w:color w:val="auto"/>
          <w:sz w:val="24"/>
          <w:highlight w:val="none"/>
        </w:rPr>
      </w:pPr>
      <w:r>
        <w:rPr>
          <w:rFonts w:hint="eastAsia" w:ascii="宋体" w:hAnsi="宋体"/>
          <w:color w:val="auto"/>
          <w:sz w:val="24"/>
          <w:highlight w:val="none"/>
        </w:rPr>
        <w:t>为公正、公平、科学地选择中标人，根据《中华人民共和国政府采购法》等有关法律法规的规定，并结合本项目的实际，制定本办法。</w:t>
      </w:r>
    </w:p>
    <w:p>
      <w:pPr>
        <w:spacing w:before="156" w:beforeLines="50" w:after="156" w:afterLines="50" w:line="360" w:lineRule="auto"/>
        <w:ind w:firstLine="420"/>
        <w:rPr>
          <w:rFonts w:hint="eastAsia" w:ascii="宋体" w:hAnsi="宋体"/>
          <w:bCs/>
          <w:color w:val="auto"/>
          <w:sz w:val="24"/>
          <w:szCs w:val="48"/>
          <w:highlight w:val="none"/>
        </w:rPr>
      </w:pPr>
      <w:r>
        <w:rPr>
          <w:rFonts w:hint="eastAsia" w:ascii="宋体" w:hAnsi="宋体"/>
          <w:color w:val="auto"/>
          <w:sz w:val="24"/>
          <w:highlight w:val="none"/>
        </w:rPr>
        <w:t>本办法适用于</w:t>
      </w:r>
      <w:r>
        <w:rPr>
          <w:rFonts w:hint="eastAsia" w:ascii="宋体" w:hAnsi="宋体"/>
          <w:color w:val="auto"/>
          <w:sz w:val="24"/>
          <w:highlight w:val="none"/>
          <w:u w:val="single"/>
          <w:lang w:eastAsia="zh-CN"/>
        </w:rPr>
        <w:t>校园安全处良渚校区安防系统建设（一期）</w:t>
      </w:r>
      <w:r>
        <w:rPr>
          <w:rFonts w:hint="eastAsia" w:ascii="宋体" w:hAnsi="宋体"/>
          <w:bCs/>
          <w:color w:val="auto"/>
          <w:sz w:val="24"/>
          <w:szCs w:val="48"/>
          <w:highlight w:val="none"/>
        </w:rPr>
        <w:t>项目的评标。</w:t>
      </w:r>
    </w:p>
    <w:p>
      <w:pPr>
        <w:spacing w:before="156" w:beforeLines="50" w:after="156" w:afterLines="50" w:line="360" w:lineRule="auto"/>
        <w:ind w:firstLine="551" w:firstLineChars="196"/>
        <w:rPr>
          <w:rFonts w:hint="eastAsia" w:ascii="宋体" w:hAnsi="宋体"/>
          <w:b/>
          <w:color w:val="auto"/>
          <w:sz w:val="28"/>
          <w:szCs w:val="28"/>
          <w:highlight w:val="none"/>
        </w:rPr>
      </w:pPr>
      <w:r>
        <w:rPr>
          <w:rFonts w:hint="eastAsia" w:ascii="宋体" w:hAnsi="宋体"/>
          <w:b/>
          <w:color w:val="auto"/>
          <w:sz w:val="28"/>
          <w:szCs w:val="28"/>
          <w:highlight w:val="none"/>
        </w:rPr>
        <w:t>一、总则</w:t>
      </w:r>
    </w:p>
    <w:p>
      <w:pPr>
        <w:spacing w:before="156" w:beforeLines="50" w:after="156" w:afterLines="50" w:line="360" w:lineRule="auto"/>
        <w:ind w:firstLine="480" w:firstLineChars="200"/>
        <w:rPr>
          <w:rFonts w:hint="eastAsia" w:ascii="宋体" w:hAnsi="宋体"/>
          <w:bCs/>
          <w:color w:val="auto"/>
          <w:sz w:val="24"/>
          <w:highlight w:val="none"/>
        </w:rPr>
      </w:pPr>
      <w:r>
        <w:rPr>
          <w:rFonts w:hint="eastAsia" w:ascii="宋体" w:hAnsi="宋体"/>
          <w:color w:val="auto"/>
          <w:sz w:val="24"/>
          <w:highlight w:val="none"/>
        </w:rPr>
        <w:t>本次评标采用综合评分法，总分为100分，其中价格分</w:t>
      </w:r>
      <w:r>
        <w:rPr>
          <w:rFonts w:hint="eastAsia" w:ascii="宋体" w:hAnsi="宋体"/>
          <w:color w:val="auto"/>
          <w:sz w:val="24"/>
          <w:highlight w:val="none"/>
          <w:u w:val="single"/>
        </w:rPr>
        <w:t xml:space="preserve"> 30 </w:t>
      </w:r>
      <w:r>
        <w:rPr>
          <w:rFonts w:hint="eastAsia" w:ascii="宋体" w:hAnsi="宋体"/>
          <w:color w:val="auto"/>
          <w:sz w:val="24"/>
          <w:highlight w:val="none"/>
        </w:rPr>
        <w:t>分、</w:t>
      </w:r>
      <w:r>
        <w:rPr>
          <w:rFonts w:hint="eastAsia" w:ascii="宋体" w:hAnsi="宋体" w:eastAsia="宋体" w:cs="Times New Roman"/>
          <w:color w:val="auto"/>
          <w:kern w:val="2"/>
          <w:sz w:val="24"/>
          <w:szCs w:val="24"/>
          <w:highlight w:val="none"/>
          <w:lang w:val="en-US" w:eastAsia="zh-CN" w:bidi="ar"/>
        </w:rPr>
        <w:t>资信及商务分</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cs="Times New Roman"/>
          <w:color w:val="auto"/>
          <w:kern w:val="2"/>
          <w:sz w:val="24"/>
          <w:szCs w:val="24"/>
          <w:highlight w:val="none"/>
          <w:u w:val="single"/>
          <w:lang w:val="en-US" w:eastAsia="zh-CN" w:bidi="ar"/>
        </w:rPr>
        <w:t>10</w:t>
      </w:r>
      <w:r>
        <w:rPr>
          <w:rFonts w:hint="eastAsia" w:ascii="宋体" w:hAnsi="宋体" w:eastAsia="宋体" w:cs="Times New Roman"/>
          <w:color w:val="auto"/>
          <w:kern w:val="2"/>
          <w:sz w:val="24"/>
          <w:szCs w:val="24"/>
          <w:highlight w:val="none"/>
          <w:lang w:val="en-US" w:eastAsia="zh-CN" w:bidi="ar"/>
        </w:rPr>
        <w:t>分</w:t>
      </w:r>
      <w:r>
        <w:rPr>
          <w:rFonts w:hint="eastAsia" w:ascii="宋体" w:hAnsi="宋体" w:cs="Times New Roman"/>
          <w:color w:val="auto"/>
          <w:kern w:val="2"/>
          <w:sz w:val="24"/>
          <w:szCs w:val="24"/>
          <w:highlight w:val="none"/>
          <w:lang w:val="en-US" w:eastAsia="zh-CN" w:bidi="ar"/>
        </w:rPr>
        <w:t>、</w:t>
      </w:r>
      <w:r>
        <w:rPr>
          <w:rFonts w:hint="eastAsia" w:ascii="宋体" w:hAnsi="宋体" w:eastAsia="宋体" w:cs="Times New Roman"/>
          <w:color w:val="auto"/>
          <w:kern w:val="2"/>
          <w:sz w:val="24"/>
          <w:szCs w:val="24"/>
          <w:highlight w:val="none"/>
          <w:lang w:val="en-US" w:eastAsia="zh-CN" w:bidi="ar"/>
        </w:rPr>
        <w:t>技术分</w:t>
      </w:r>
      <w:r>
        <w:rPr>
          <w:rFonts w:hint="eastAsia" w:ascii="宋体" w:hAnsi="宋体" w:cs="Times New Roman"/>
          <w:color w:val="auto"/>
          <w:kern w:val="2"/>
          <w:sz w:val="24"/>
          <w:szCs w:val="24"/>
          <w:highlight w:val="none"/>
          <w:u w:val="single"/>
          <w:lang w:val="en-US" w:eastAsia="zh-CN" w:bidi="ar"/>
        </w:rPr>
        <w:t>60</w:t>
      </w:r>
      <w:r>
        <w:rPr>
          <w:rFonts w:hint="eastAsia" w:ascii="宋体" w:hAnsi="宋体" w:eastAsia="宋体" w:cs="Times New Roman"/>
          <w:color w:val="auto"/>
          <w:kern w:val="2"/>
          <w:sz w:val="24"/>
          <w:szCs w:val="24"/>
          <w:highlight w:val="none"/>
          <w:lang w:val="en-US" w:eastAsia="zh-CN" w:bidi="ar"/>
        </w:rPr>
        <w:t>分三部分</w:t>
      </w:r>
      <w:r>
        <w:rPr>
          <w:rFonts w:hint="eastAsia" w:ascii="宋体" w:hAnsi="宋体"/>
          <w:color w:val="auto"/>
          <w:sz w:val="24"/>
          <w:highlight w:val="none"/>
        </w:rPr>
        <w:t>。合格投标人的评标得分为各项目汇总得分，中标候选资格按评标得分由高到低顺序排列，得分相同的，按投标报价由低到高顺序排列；得分且投标报价相同的，按技术得分由高到低顺序排列。</w:t>
      </w:r>
      <w:r>
        <w:rPr>
          <w:rFonts w:hint="eastAsia" w:ascii="宋体" w:hAnsi="宋体"/>
          <w:bCs/>
          <w:color w:val="auto"/>
          <w:sz w:val="24"/>
          <w:highlight w:val="none"/>
        </w:rPr>
        <w:t>评分过程中采用四舍五入法，并保留小数2位。除财政部门另有规定外，评标委员会推荐</w:t>
      </w:r>
      <w:r>
        <w:rPr>
          <w:rFonts w:hint="eastAsia" w:ascii="宋体" w:hAnsi="宋体"/>
          <w:color w:val="auto"/>
          <w:sz w:val="24"/>
          <w:highlight w:val="none"/>
        </w:rPr>
        <w:t>得分</w:t>
      </w:r>
      <w:r>
        <w:rPr>
          <w:rFonts w:hint="eastAsia" w:ascii="宋体" w:hAnsi="宋体"/>
          <w:bCs/>
          <w:color w:val="auto"/>
          <w:sz w:val="24"/>
          <w:highlight w:val="none"/>
        </w:rPr>
        <w:t>排列前</w:t>
      </w:r>
      <w:r>
        <w:rPr>
          <w:rFonts w:hint="eastAsia" w:ascii="宋体" w:hAnsi="宋体"/>
          <w:bCs/>
          <w:i/>
          <w:color w:val="auto"/>
          <w:sz w:val="24"/>
          <w:highlight w:val="none"/>
          <w:u w:val="single"/>
        </w:rPr>
        <w:t xml:space="preserve"> 3 </w:t>
      </w:r>
      <w:r>
        <w:rPr>
          <w:rFonts w:hint="eastAsia" w:ascii="宋体" w:hAnsi="宋体"/>
          <w:bCs/>
          <w:i/>
          <w:color w:val="auto"/>
          <w:sz w:val="24"/>
          <w:highlight w:val="none"/>
        </w:rPr>
        <w:t>名</w:t>
      </w:r>
      <w:r>
        <w:rPr>
          <w:rFonts w:hint="eastAsia" w:ascii="宋体" w:hAnsi="宋体"/>
          <w:bCs/>
          <w:color w:val="auto"/>
          <w:sz w:val="24"/>
          <w:highlight w:val="none"/>
        </w:rPr>
        <w:t>的投标人为中标候选人。</w:t>
      </w:r>
    </w:p>
    <w:p>
      <w:pPr>
        <w:spacing w:before="156" w:beforeLines="50" w:after="156" w:afterLines="5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技术、</w:t>
      </w:r>
      <w:r>
        <w:rPr>
          <w:rFonts w:hint="eastAsia" w:ascii="宋体" w:hAnsi="宋体"/>
          <w:bCs/>
          <w:color w:val="auto"/>
          <w:sz w:val="24"/>
          <w:highlight w:val="none"/>
        </w:rPr>
        <w:t>资信及</w:t>
      </w:r>
      <w:r>
        <w:rPr>
          <w:rFonts w:hint="eastAsia" w:ascii="宋体" w:hAnsi="宋体"/>
          <w:color w:val="auto"/>
          <w:sz w:val="24"/>
          <w:highlight w:val="none"/>
        </w:rPr>
        <w:t>商务分=评标委员会所有成员评分合计数/评标委员会组成人员数</w:t>
      </w:r>
    </w:p>
    <w:p>
      <w:pPr>
        <w:spacing w:before="156" w:beforeLines="50" w:after="156" w:afterLines="50" w:line="360" w:lineRule="auto"/>
        <w:ind w:firstLine="480" w:firstLineChars="200"/>
        <w:rPr>
          <w:rFonts w:hint="eastAsia" w:ascii="宋体" w:hAnsi="宋体"/>
          <w:bCs/>
          <w:color w:val="auto"/>
          <w:sz w:val="24"/>
          <w:highlight w:val="none"/>
        </w:rPr>
      </w:pPr>
      <w:r>
        <w:rPr>
          <w:rFonts w:hint="eastAsia" w:ascii="宋体" w:hAnsi="宋体"/>
          <w:color w:val="auto"/>
          <w:sz w:val="24"/>
          <w:highlight w:val="none"/>
        </w:rPr>
        <w:t>投标人评标</w:t>
      </w:r>
      <w:r>
        <w:rPr>
          <w:rFonts w:hint="eastAsia" w:ascii="宋体" w:hAnsi="宋体"/>
          <w:bCs/>
          <w:color w:val="auto"/>
          <w:sz w:val="24"/>
          <w:highlight w:val="none"/>
        </w:rPr>
        <w:t>综合得分=价格分+技术分+资信及商务分</w:t>
      </w:r>
    </w:p>
    <w:p>
      <w:pPr>
        <w:spacing w:before="156" w:beforeLines="50" w:after="156" w:afterLines="50" w:line="360" w:lineRule="auto"/>
        <w:ind w:firstLine="562" w:firstLineChars="200"/>
        <w:rPr>
          <w:rFonts w:hint="eastAsia" w:ascii="宋体" w:hAnsi="宋体"/>
          <w:b/>
          <w:color w:val="auto"/>
          <w:sz w:val="28"/>
          <w:szCs w:val="28"/>
          <w:highlight w:val="none"/>
        </w:rPr>
      </w:pPr>
      <w:r>
        <w:rPr>
          <w:rFonts w:hint="eastAsia" w:ascii="宋体" w:hAnsi="宋体"/>
          <w:b/>
          <w:color w:val="auto"/>
          <w:sz w:val="28"/>
          <w:szCs w:val="28"/>
          <w:highlight w:val="none"/>
        </w:rPr>
        <w:t>二、资格审查</w:t>
      </w:r>
    </w:p>
    <w:p>
      <w:pPr>
        <w:spacing w:before="156" w:beforeLines="50" w:after="156" w:afterLines="50" w:line="360" w:lineRule="auto"/>
        <w:ind w:firstLine="480" w:firstLineChars="200"/>
        <w:rPr>
          <w:rFonts w:hint="eastAsia"/>
          <w:color w:val="auto"/>
          <w:sz w:val="24"/>
          <w:highlight w:val="none"/>
        </w:rPr>
      </w:pPr>
      <w:r>
        <w:rPr>
          <w:rFonts w:hint="eastAsia"/>
          <w:color w:val="auto"/>
          <w:sz w:val="24"/>
          <w:highlight w:val="none"/>
        </w:rPr>
        <w:t>招标人或者招标代理机构对</w:t>
      </w:r>
      <w:r>
        <w:rPr>
          <w:rFonts w:hAnsi="宋体"/>
          <w:color w:val="auto"/>
          <w:sz w:val="24"/>
          <w:highlight w:val="none"/>
        </w:rPr>
        <w:t>各</w:t>
      </w:r>
      <w:r>
        <w:rPr>
          <w:rFonts w:hint="eastAsia"/>
          <w:color w:val="auto"/>
          <w:sz w:val="24"/>
          <w:highlight w:val="none"/>
        </w:rPr>
        <w:t>投标人的资格进行审查</w:t>
      </w:r>
      <w:r>
        <w:rPr>
          <w:rFonts w:hint="eastAsia" w:hAnsi="宋体"/>
          <w:color w:val="auto"/>
          <w:highlight w:val="none"/>
        </w:rPr>
        <w:t>，</w:t>
      </w:r>
      <w:r>
        <w:rPr>
          <w:rFonts w:hint="eastAsia"/>
          <w:color w:val="auto"/>
          <w:sz w:val="24"/>
          <w:highlight w:val="none"/>
        </w:rPr>
        <w:t>投标人资格条件不符合招标文件要求的投标无效，不再进入符合性审查。</w:t>
      </w:r>
    </w:p>
    <w:p>
      <w:pPr>
        <w:snapToGrid w:val="0"/>
        <w:spacing w:before="156" w:beforeLines="50" w:line="360" w:lineRule="auto"/>
        <w:ind w:firstLine="551" w:firstLineChars="196"/>
        <w:rPr>
          <w:rFonts w:hint="eastAsia" w:ascii="宋体" w:hAnsi="宋体"/>
          <w:b/>
          <w:color w:val="auto"/>
          <w:sz w:val="28"/>
          <w:szCs w:val="28"/>
          <w:highlight w:val="none"/>
        </w:rPr>
      </w:pPr>
      <w:r>
        <w:rPr>
          <w:rFonts w:hint="eastAsia" w:ascii="宋体" w:hAnsi="宋体"/>
          <w:b/>
          <w:color w:val="auto"/>
          <w:sz w:val="28"/>
          <w:szCs w:val="28"/>
          <w:highlight w:val="none"/>
        </w:rPr>
        <w:t>三、符合性审查</w:t>
      </w:r>
    </w:p>
    <w:p>
      <w:pPr>
        <w:snapToGrid w:val="0"/>
        <w:spacing w:line="360" w:lineRule="auto"/>
        <w:ind w:firstLine="480" w:firstLineChars="200"/>
        <w:rPr>
          <w:rFonts w:ascii="宋体" w:hAnsi="宋体"/>
          <w:bCs/>
          <w:color w:val="auto"/>
          <w:sz w:val="24"/>
          <w:szCs w:val="20"/>
          <w:highlight w:val="none"/>
        </w:rPr>
      </w:pPr>
      <w:r>
        <w:rPr>
          <w:rFonts w:hint="eastAsia" w:ascii="宋体" w:hAnsi="宋体"/>
          <w:bCs/>
          <w:color w:val="auto"/>
          <w:sz w:val="24"/>
          <w:highlight w:val="none"/>
        </w:rPr>
        <w:t>评标委员会</w:t>
      </w:r>
      <w:r>
        <w:rPr>
          <w:rFonts w:ascii="宋体" w:hAnsi="宋体"/>
          <w:bCs/>
          <w:color w:val="auto"/>
          <w:sz w:val="24"/>
          <w:highlight w:val="none"/>
        </w:rPr>
        <w:t>对</w:t>
      </w:r>
      <w:r>
        <w:rPr>
          <w:rFonts w:hint="eastAsia" w:ascii="宋体" w:hAnsi="宋体"/>
          <w:bCs/>
          <w:color w:val="auto"/>
          <w:sz w:val="24"/>
          <w:highlight w:val="none"/>
        </w:rPr>
        <w:t>资格审查合格的</w:t>
      </w:r>
      <w:r>
        <w:rPr>
          <w:rFonts w:ascii="宋体" w:hAnsi="宋体"/>
          <w:bCs/>
          <w:color w:val="auto"/>
          <w:sz w:val="24"/>
          <w:highlight w:val="none"/>
        </w:rPr>
        <w:t>投标文件进行</w:t>
      </w:r>
      <w:r>
        <w:rPr>
          <w:rFonts w:hint="eastAsia" w:ascii="宋体" w:hAnsi="宋体"/>
          <w:bCs/>
          <w:color w:val="auto"/>
          <w:sz w:val="24"/>
          <w:highlight w:val="none"/>
        </w:rPr>
        <w:t>符合</w:t>
      </w:r>
      <w:r>
        <w:rPr>
          <w:rFonts w:ascii="宋体" w:hAnsi="宋体"/>
          <w:bCs/>
          <w:color w:val="auto"/>
          <w:sz w:val="24"/>
          <w:highlight w:val="none"/>
        </w:rPr>
        <w:t>性审查，确定是否对招标文件</w:t>
      </w:r>
      <w:r>
        <w:rPr>
          <w:rFonts w:hint="eastAsia" w:ascii="宋体" w:hAnsi="宋体"/>
          <w:bCs/>
          <w:color w:val="auto"/>
          <w:sz w:val="24"/>
          <w:highlight w:val="none"/>
        </w:rPr>
        <w:t>作出了实质性响应</w:t>
      </w:r>
      <w:r>
        <w:rPr>
          <w:rFonts w:ascii="宋体" w:hAnsi="宋体"/>
          <w:bCs/>
          <w:color w:val="auto"/>
          <w:sz w:val="24"/>
          <w:highlight w:val="none"/>
        </w:rPr>
        <w:t>。</w:t>
      </w:r>
      <w:r>
        <w:rPr>
          <w:rFonts w:hint="eastAsia" w:ascii="宋体" w:hAnsi="宋体"/>
          <w:bCs/>
          <w:color w:val="auto"/>
          <w:sz w:val="24"/>
          <w:highlight w:val="none"/>
        </w:rPr>
        <w:t>符合性审查不合格的投标无效，不再</w:t>
      </w:r>
      <w:r>
        <w:rPr>
          <w:rFonts w:hint="eastAsia"/>
          <w:color w:val="auto"/>
          <w:sz w:val="24"/>
          <w:highlight w:val="none"/>
        </w:rPr>
        <w:t>进行商务和技术评估、综合比较与评价。</w:t>
      </w:r>
      <w:r>
        <w:rPr>
          <w:rFonts w:hint="eastAsia" w:ascii="宋体" w:hAnsi="宋体"/>
          <w:bCs/>
          <w:color w:val="auto"/>
          <w:sz w:val="24"/>
          <w:highlight w:val="none"/>
        </w:rPr>
        <w:t>投标人不得通过修正或撤消不合要求的偏离或保留从而使其投标成为有效投标，但经评标委员会认定属于投标人疏忽、笔误所造成的差错，应当允许其在评标结束之前进行修改或者补正（可以是复印件、传真件等）。修改或者补正投标文件必须通过电子交易平台进行，并应在中标结果公告之前查核原件。限期内不补正或经补正后仍不符合招标文件要求的，应认定其投标无效。</w:t>
      </w:r>
    </w:p>
    <w:p>
      <w:pPr>
        <w:snapToGrid w:val="0"/>
        <w:spacing w:line="360" w:lineRule="auto"/>
        <w:ind w:firstLine="472" w:firstLineChars="196"/>
        <w:rPr>
          <w:rFonts w:hint="eastAsia"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在商务</w:t>
      </w:r>
      <w:r>
        <w:rPr>
          <w:rFonts w:hint="eastAsia" w:ascii="宋体" w:hAnsi="宋体"/>
          <w:b/>
          <w:bCs/>
          <w:color w:val="auto"/>
          <w:sz w:val="24"/>
          <w:highlight w:val="none"/>
        </w:rPr>
        <w:t>、技术</w:t>
      </w:r>
      <w:r>
        <w:rPr>
          <w:rFonts w:ascii="宋体" w:hAnsi="宋体"/>
          <w:b/>
          <w:bCs/>
          <w:color w:val="auto"/>
          <w:sz w:val="24"/>
          <w:highlight w:val="none"/>
        </w:rPr>
        <w:t>评审时，如发现下列情形之一的，投标</w:t>
      </w:r>
      <w:r>
        <w:rPr>
          <w:rFonts w:hint="eastAsia" w:ascii="宋体" w:hAnsi="宋体"/>
          <w:b/>
          <w:bCs/>
          <w:color w:val="auto"/>
          <w:sz w:val="24"/>
          <w:highlight w:val="none"/>
        </w:rPr>
        <w:t>文件</w:t>
      </w:r>
      <w:r>
        <w:rPr>
          <w:rFonts w:ascii="宋体" w:hAnsi="宋体"/>
          <w:b/>
          <w:bCs/>
          <w:color w:val="auto"/>
          <w:sz w:val="24"/>
          <w:highlight w:val="none"/>
        </w:rPr>
        <w:t>将被视为无效：</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（1）单位负责人为同一人或者存在直接控股、管理关系的不同供应商，同时参加同一合同项下投标的。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（2）为项目提供整体设计、规范编制或者项目管理、监理、检测等服务的供应商，再参加本采购项目的其他采购活动的。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截至投标文件递交截止前1日历天17:00（北京时间），投标人被列入“信用中国”网(www.creditchina.gov.cn)和“中国政府采购网”（www.ccgp.gov.cn）失信被执行人、重大税收违法案件当事人名单、政府采购严重违法失信行为记录名单且尚处于禁止参加政府采购活动期内的。联合体成员存在上述不良信用记录的，视同联合体存在不良信用记录。</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（4）投标文件未按招标文件要求盖章的；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（5）未提供投标声明书或填写项目不齐全的；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（6）投标有效期不满足招标文件要求的；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（7）招标文件不接受联合体投标而采用联合体投标的；以联合体形式进行投标的，在投标文件中未提交联合体协议的；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（8）未提供或未如实提供投标货物的技术参数，或者投标文件标明的商务、技术响应与事实不符或虚假投标的；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（9）未响应招标文件标注“▲”的实质性要求的；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（10）允许偏离的技术、性能指标或者功能发生负偏离达 6 项（含）以上的；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（11）投标技术方案不明确，存在一个或一个以上备选（替代）投标方案的；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（12）投标文件含有采购人不能接受的附加条件的；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（13）不同投标人的投标文件由同一单位或者个人编制的；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（14）不同投标人委托同一单位或者个人办理投标事宜的；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（15） 不同投标人的投标文件载明的项目管理成员或者联系人员为同一人的；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（16）不同投标人的投标文件异常一致或者投标报价呈规律性差异的；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（17）不同投标人的投标文件相互混装的；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（18）法律、法规和招标文件规定的其他无效情形。</w:t>
      </w:r>
    </w:p>
    <w:p>
      <w:pPr>
        <w:pStyle w:val="2"/>
        <w:snapToGrid w:val="0"/>
        <w:spacing w:line="360" w:lineRule="auto"/>
        <w:ind w:firstLine="457" w:firstLineChars="196"/>
        <w:rPr>
          <w:rFonts w:hAnsi="宋体"/>
          <w:b/>
          <w:bCs/>
          <w:color w:val="auto"/>
          <w:sz w:val="24"/>
          <w:highlight w:val="none"/>
        </w:rPr>
      </w:pPr>
      <w:r>
        <w:rPr>
          <w:rFonts w:hint="eastAsia" w:hAnsi="宋体"/>
          <w:b/>
          <w:bCs/>
          <w:color w:val="auto"/>
          <w:sz w:val="24"/>
          <w:highlight w:val="none"/>
        </w:rPr>
        <w:t>2.</w:t>
      </w:r>
      <w:r>
        <w:rPr>
          <w:rFonts w:hAnsi="宋体"/>
          <w:b/>
          <w:bCs/>
          <w:color w:val="auto"/>
          <w:sz w:val="24"/>
          <w:highlight w:val="none"/>
        </w:rPr>
        <w:t>在报价评审时，如发现下列情形之一的，投标将被视为无效：</w:t>
      </w:r>
    </w:p>
    <w:p>
      <w:pPr>
        <w:pStyle w:val="2"/>
        <w:snapToGrid w:val="0"/>
        <w:spacing w:line="360" w:lineRule="auto"/>
        <w:ind w:firstLine="464" w:firstLineChars="200"/>
        <w:rPr>
          <w:rFonts w:hint="eastAsia" w:hAnsi="宋体"/>
          <w:color w:val="auto"/>
          <w:sz w:val="24"/>
          <w:highlight w:val="none"/>
        </w:rPr>
      </w:pPr>
      <w:r>
        <w:rPr>
          <w:rFonts w:hint="eastAsia" w:hAnsi="宋体"/>
          <w:color w:val="auto"/>
          <w:sz w:val="24"/>
          <w:highlight w:val="none"/>
        </w:rPr>
        <w:t>（1）报价超过招标文件中规定的预算金额/最高限价的；</w:t>
      </w:r>
    </w:p>
    <w:p>
      <w:pPr>
        <w:pStyle w:val="2"/>
        <w:snapToGrid w:val="0"/>
        <w:spacing w:line="360" w:lineRule="auto"/>
        <w:ind w:firstLine="464" w:firstLineChars="200"/>
        <w:rPr>
          <w:rFonts w:hint="eastAsia" w:hAnsi="宋体"/>
          <w:color w:val="auto"/>
          <w:sz w:val="24"/>
          <w:highlight w:val="none"/>
        </w:rPr>
      </w:pPr>
      <w:r>
        <w:rPr>
          <w:rFonts w:hint="eastAsia" w:hAnsi="宋体"/>
          <w:color w:val="auto"/>
          <w:sz w:val="24"/>
          <w:highlight w:val="none"/>
        </w:rPr>
        <w:t>（2）投标报价具有选择性的；</w:t>
      </w:r>
    </w:p>
    <w:p>
      <w:pPr>
        <w:pStyle w:val="2"/>
        <w:snapToGrid w:val="0"/>
        <w:spacing w:line="360" w:lineRule="auto"/>
        <w:ind w:firstLine="464" w:firstLineChars="200"/>
        <w:rPr>
          <w:rFonts w:hint="eastAsia" w:hAnsi="宋体"/>
          <w:color w:val="auto"/>
          <w:sz w:val="24"/>
          <w:highlight w:val="none"/>
        </w:rPr>
      </w:pPr>
      <w:r>
        <w:rPr>
          <w:rFonts w:hint="eastAsia" w:hAnsi="宋体"/>
          <w:color w:val="auto"/>
          <w:sz w:val="24"/>
          <w:highlight w:val="none"/>
        </w:rPr>
        <w:t>（3）</w:t>
      </w:r>
      <w:r>
        <w:rPr>
          <w:rFonts w:hAnsi="宋体"/>
          <w:color w:val="auto"/>
          <w:sz w:val="24"/>
          <w:highlight w:val="none"/>
        </w:rPr>
        <w:t>不接受</w:t>
      </w:r>
      <w:r>
        <w:rPr>
          <w:rFonts w:hint="eastAsia" w:hAnsi="宋体"/>
          <w:color w:val="auto"/>
          <w:sz w:val="24"/>
          <w:highlight w:val="none"/>
        </w:rPr>
        <w:t>按招标文件规定的</w:t>
      </w:r>
      <w:r>
        <w:rPr>
          <w:rFonts w:hAnsi="宋体"/>
          <w:color w:val="auto"/>
          <w:sz w:val="24"/>
          <w:highlight w:val="none"/>
        </w:rPr>
        <w:t>修正错误原则修正后的报价</w:t>
      </w:r>
      <w:r>
        <w:rPr>
          <w:rFonts w:hint="eastAsia" w:hAnsi="宋体"/>
          <w:color w:val="auto"/>
          <w:sz w:val="24"/>
          <w:highlight w:val="none"/>
        </w:rPr>
        <w:t>的；</w:t>
      </w:r>
    </w:p>
    <w:p>
      <w:pPr>
        <w:pStyle w:val="2"/>
        <w:snapToGrid w:val="0"/>
        <w:spacing w:line="360" w:lineRule="auto"/>
        <w:ind w:firstLine="454" w:firstLineChars="196"/>
        <w:rPr>
          <w:rFonts w:hint="eastAsia"/>
          <w:color w:val="auto"/>
          <w:sz w:val="24"/>
          <w:szCs w:val="24"/>
          <w:highlight w:val="none"/>
        </w:rPr>
      </w:pPr>
      <w:r>
        <w:rPr>
          <w:rFonts w:hint="eastAsia"/>
          <w:color w:val="auto"/>
          <w:sz w:val="24"/>
          <w:szCs w:val="24"/>
          <w:highlight w:val="none"/>
        </w:rPr>
        <w:t>（4）报价明显低于其他通过符合性审查投标人的报价，且投标人不能证明其报价合理性，有可能影响产品质量或者不能诚信履约的；</w:t>
      </w:r>
    </w:p>
    <w:p>
      <w:pPr>
        <w:pStyle w:val="2"/>
        <w:snapToGrid w:val="0"/>
        <w:spacing w:line="360" w:lineRule="auto"/>
        <w:ind w:firstLine="464" w:firstLineChars="200"/>
        <w:rPr>
          <w:rFonts w:hint="eastAsia" w:hAnsi="宋体"/>
          <w:color w:val="auto"/>
          <w:sz w:val="24"/>
          <w:highlight w:val="none"/>
        </w:rPr>
      </w:pPr>
      <w:r>
        <w:rPr>
          <w:rFonts w:hint="eastAsia" w:hAnsi="宋体"/>
          <w:color w:val="auto"/>
          <w:sz w:val="24"/>
          <w:highlight w:val="none"/>
        </w:rPr>
        <w:t>（5）</w:t>
      </w:r>
      <w:r>
        <w:rPr>
          <w:rFonts w:hint="eastAsia"/>
          <w:color w:val="auto"/>
          <w:sz w:val="24"/>
          <w:szCs w:val="24"/>
          <w:highlight w:val="none"/>
        </w:rPr>
        <w:t>法律、法规和招标文件规定的其他无效情形。</w:t>
      </w:r>
    </w:p>
    <w:p>
      <w:pPr>
        <w:spacing w:before="156" w:beforeLines="50" w:after="156" w:afterLines="50" w:line="360" w:lineRule="auto"/>
        <w:ind w:firstLine="562" w:firstLineChars="200"/>
        <w:rPr>
          <w:rFonts w:hint="eastAsia" w:ascii="宋体" w:hAnsi="宋体"/>
          <w:b/>
          <w:color w:val="auto"/>
          <w:sz w:val="28"/>
          <w:szCs w:val="28"/>
          <w:highlight w:val="none"/>
        </w:rPr>
      </w:pPr>
      <w:r>
        <w:rPr>
          <w:rFonts w:hint="eastAsia" w:ascii="宋体" w:hAnsi="宋体"/>
          <w:b/>
          <w:color w:val="auto"/>
          <w:sz w:val="28"/>
          <w:szCs w:val="28"/>
          <w:highlight w:val="none"/>
        </w:rPr>
        <w:t xml:space="preserve">四、评审内容及标准 </w:t>
      </w:r>
    </w:p>
    <w:tbl>
      <w:tblPr>
        <w:tblStyle w:val="15"/>
        <w:tblW w:w="9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874"/>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评审因素</w:t>
            </w: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分值</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pStyle w:val="26"/>
              <w:spacing w:line="240" w:lineRule="auto"/>
              <w:ind w:firstLine="458" w:firstLineChars="200"/>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0" w:type="dxa"/>
            <w:gridSpan w:val="3"/>
            <w:tcBorders>
              <w:top w:val="single" w:color="auto" w:sz="4" w:space="0"/>
              <w:left w:val="single" w:color="auto" w:sz="4" w:space="0"/>
              <w:bottom w:val="single" w:color="auto" w:sz="4" w:space="0"/>
              <w:right w:val="single" w:color="auto" w:sz="4" w:space="0"/>
            </w:tcBorders>
            <w:noWrap w:val="0"/>
            <w:vAlign w:val="center"/>
          </w:tcPr>
          <w:p>
            <w:pPr>
              <w:pStyle w:val="26"/>
              <w:spacing w:line="240" w:lineRule="auto"/>
              <w:jc w:val="both"/>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商务分（1</w:t>
            </w:r>
            <w:r>
              <w:rPr>
                <w:rFonts w:hint="eastAsia" w:ascii="宋体" w:hAnsi="宋体" w:eastAsia="宋体" w:cs="宋体"/>
                <w:b/>
                <w:color w:val="auto"/>
                <w:spacing w:val="-6"/>
                <w:sz w:val="24"/>
                <w:szCs w:val="24"/>
                <w:highlight w:val="none"/>
                <w:lang w:val="en-US" w:eastAsia="zh-CN"/>
              </w:rPr>
              <w:t>0</w:t>
            </w:r>
            <w:r>
              <w:rPr>
                <w:rFonts w:hint="eastAsia" w:ascii="宋体" w:hAnsi="宋体" w:eastAsia="宋体" w:cs="宋体"/>
                <w:b/>
                <w:color w:val="auto"/>
                <w:spacing w:val="-6"/>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质保期</w:t>
            </w: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2</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质保期满足招标文件</w:t>
            </w:r>
            <w:r>
              <w:rPr>
                <w:rFonts w:hint="eastAsia" w:ascii="宋体" w:hAnsi="宋体" w:eastAsia="宋体" w:cs="宋体"/>
                <w:color w:val="auto"/>
                <w:sz w:val="24"/>
                <w:szCs w:val="24"/>
                <w:highlight w:val="none"/>
                <w:lang w:val="en-US" w:eastAsia="zh-CN"/>
              </w:rPr>
              <w:t>要求不得分</w:t>
            </w:r>
            <w:r>
              <w:rPr>
                <w:rFonts w:hint="eastAsia" w:ascii="宋体" w:hAnsi="宋体" w:eastAsia="宋体" w:cs="宋体"/>
                <w:color w:val="auto"/>
                <w:sz w:val="24"/>
                <w:szCs w:val="24"/>
                <w:highlight w:val="none"/>
              </w:rPr>
              <w:t>，每延长半年加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分，延长时间不足半年的不计入加分，质保期不满足招标文件要求的得0分。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认证证书</w:t>
            </w: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3</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具有有效期内的：</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质量管理体系认证证书得1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信息安全管理体系认证证书（安防监控）</w:t>
            </w:r>
            <w:r>
              <w:rPr>
                <w:rFonts w:hint="eastAsia" w:ascii="宋体" w:hAnsi="宋体" w:eastAsia="宋体" w:cs="宋体"/>
                <w:color w:val="auto"/>
                <w:sz w:val="24"/>
                <w:szCs w:val="24"/>
                <w:highlight w:val="none"/>
              </w:rPr>
              <w:t>得1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业绩</w:t>
            </w: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月1日以来（以合同签订时间为准）同类项目业绩（以提供的中标通知书</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合同复印件</w:t>
            </w:r>
            <w:r>
              <w:rPr>
                <w:rFonts w:hint="eastAsia" w:ascii="宋体" w:hAnsi="宋体" w:eastAsia="宋体" w:cs="宋体"/>
                <w:color w:val="auto"/>
                <w:sz w:val="24"/>
                <w:szCs w:val="24"/>
                <w:highlight w:val="none"/>
                <w:lang w:eastAsia="zh-CN"/>
              </w:rPr>
              <w:t>为准</w:t>
            </w:r>
            <w:r>
              <w:rPr>
                <w:rFonts w:hint="eastAsia" w:ascii="宋体" w:hAnsi="宋体" w:eastAsia="宋体" w:cs="宋体"/>
                <w:color w:val="auto"/>
                <w:sz w:val="24"/>
                <w:szCs w:val="24"/>
                <w:highlight w:val="none"/>
              </w:rPr>
              <w:t>）：每提供1个同类业绩得1分，最高得3分。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政策功能</w:t>
            </w: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主要</w:t>
            </w:r>
            <w:r>
              <w:rPr>
                <w:rFonts w:hint="eastAsia" w:ascii="宋体" w:hAnsi="宋体" w:eastAsia="宋体" w:cs="宋体"/>
                <w:color w:val="auto"/>
                <w:sz w:val="24"/>
                <w:szCs w:val="24"/>
                <w:highlight w:val="none"/>
              </w:rPr>
              <w:t>产品属于品目清单范围，且提供国家确定的认证机构出具的处于有效期之内的节能产品认证证书（加盖公章），得1分；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主要</w:t>
            </w:r>
            <w:r>
              <w:rPr>
                <w:rFonts w:hint="eastAsia" w:ascii="宋体" w:hAnsi="宋体" w:eastAsia="宋体" w:cs="宋体"/>
                <w:color w:val="auto"/>
                <w:sz w:val="24"/>
                <w:szCs w:val="24"/>
                <w:highlight w:val="none"/>
              </w:rPr>
              <w:t>产品属于品目清单范围，且提供国家确定的认证机构出具的处于有效期之内的环境标志产品认证证书（加盖公章），得1分；</w:t>
            </w:r>
          </w:p>
          <w:p>
            <w:pPr>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0" w:type="dxa"/>
            <w:gridSpan w:val="3"/>
            <w:tcBorders>
              <w:top w:val="single" w:color="auto" w:sz="4" w:space="0"/>
              <w:left w:val="single" w:color="auto" w:sz="4" w:space="0"/>
              <w:bottom w:val="single" w:color="auto" w:sz="4" w:space="0"/>
              <w:right w:val="single" w:color="auto" w:sz="4" w:space="0"/>
            </w:tcBorders>
            <w:noWrap w:val="0"/>
            <w:vAlign w:val="center"/>
          </w:tcPr>
          <w:p>
            <w:pPr>
              <w:pStyle w:val="26"/>
              <w:spacing w:line="240" w:lineRule="auto"/>
              <w:jc w:val="both"/>
              <w:rPr>
                <w:rFonts w:hint="eastAsia" w:ascii="宋体" w:hAnsi="宋体" w:eastAsia="宋体" w:cs="宋体"/>
                <w:b/>
                <w:bCs/>
                <w:color w:val="auto"/>
                <w:spacing w:val="-6"/>
                <w:kern w:val="2"/>
                <w:sz w:val="24"/>
                <w:szCs w:val="24"/>
                <w:highlight w:val="none"/>
              </w:rPr>
            </w:pPr>
            <w:r>
              <w:rPr>
                <w:rFonts w:hint="eastAsia" w:ascii="宋体" w:hAnsi="宋体" w:eastAsia="宋体" w:cs="宋体"/>
                <w:b/>
                <w:bCs/>
                <w:color w:val="auto"/>
                <w:spacing w:val="-6"/>
                <w:kern w:val="2"/>
                <w:sz w:val="24"/>
                <w:szCs w:val="24"/>
                <w:highlight w:val="none"/>
              </w:rPr>
              <w:t>技术分（</w:t>
            </w:r>
            <w:r>
              <w:rPr>
                <w:rFonts w:hint="eastAsia" w:ascii="宋体" w:hAnsi="宋体" w:eastAsia="宋体" w:cs="宋体"/>
                <w:b/>
                <w:bCs/>
                <w:color w:val="auto"/>
                <w:spacing w:val="-6"/>
                <w:kern w:val="2"/>
                <w:sz w:val="24"/>
                <w:szCs w:val="24"/>
                <w:highlight w:val="none"/>
                <w:lang w:val="en-US" w:eastAsia="zh-CN"/>
              </w:rPr>
              <w:t>60</w:t>
            </w:r>
            <w:r>
              <w:rPr>
                <w:rFonts w:hint="eastAsia" w:ascii="宋体" w:hAnsi="宋体" w:eastAsia="宋体" w:cs="宋体"/>
                <w:b/>
                <w:bCs/>
                <w:color w:val="auto"/>
                <w:spacing w:val="-6"/>
                <w:kern w:val="2"/>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产品的响应程度</w:t>
            </w: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lang w:val="en-US" w:eastAsia="zh-CN"/>
              </w:rPr>
              <w:t>6</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不符合（负偏离）技术要求中标注“▲”条款（不可偏离）的响应无效，</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响应产品全部满足磋商文件明确的技术条款要求，得1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允许偏离的技术条款低于技术要求（负偏离）或未提供检测报告的，每条扣2分</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lang w:val="en-US" w:eastAsia="zh-CN"/>
              </w:rPr>
              <w:t>扣完</w:t>
            </w:r>
            <w:r>
              <w:rPr>
                <w:rFonts w:hint="eastAsia" w:ascii="宋体" w:hAnsi="宋体" w:cs="宋体"/>
                <w:color w:val="auto"/>
                <w:sz w:val="24"/>
                <w:szCs w:val="24"/>
                <w:highlight w:val="none"/>
                <w:lang w:val="en-US" w:eastAsia="zh-CN"/>
              </w:rPr>
              <w:t>为止</w:t>
            </w:r>
            <w:r>
              <w:rPr>
                <w:rFonts w:hint="eastAsia" w:ascii="宋体" w:hAnsi="宋体" w:eastAsia="宋体" w:cs="宋体"/>
                <w:color w:val="auto"/>
                <w:spacing w:val="-6"/>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产品功能及配置</w:t>
            </w: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根据响应产品功能、配置的先进性、完整性和适用性。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项目实施方案</w:t>
            </w: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根据资金安排、货物供货、验货、关键步骤的思路和要点以及组织机构、工作时间进度表、工作程序和步骤思路等</w:t>
            </w:r>
            <w:r>
              <w:rPr>
                <w:rFonts w:hint="eastAsia" w:ascii="宋体" w:hAnsi="宋体" w:cs="宋体"/>
                <w:color w:val="auto"/>
                <w:sz w:val="24"/>
                <w:szCs w:val="24"/>
                <w:highlight w:val="none"/>
                <w:lang w:eastAsia="zh-CN"/>
              </w:rPr>
              <w:t>进行评分</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38"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对本项目建设需求的理解程度、重点难点的解决方案的完整性</w:t>
            </w:r>
            <w:r>
              <w:rPr>
                <w:rFonts w:hint="eastAsia" w:ascii="宋体" w:hAnsi="宋体" w:cs="宋体"/>
                <w:color w:val="auto"/>
                <w:sz w:val="24"/>
                <w:szCs w:val="24"/>
                <w:highlight w:val="none"/>
                <w:lang w:eastAsia="zh-CN"/>
              </w:rPr>
              <w:t>进行评分</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8"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pacing w:val="-6"/>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针对本项目提供完整的系统建设方案，包括系统架构设计方案、人脸识别系统方案、存储方案等，根据方案的完整性、可行性等</w:t>
            </w:r>
            <w:r>
              <w:rPr>
                <w:rFonts w:hint="eastAsia" w:ascii="宋体" w:hAnsi="宋体" w:cs="宋体"/>
                <w:color w:val="auto"/>
                <w:sz w:val="24"/>
                <w:szCs w:val="24"/>
                <w:highlight w:val="none"/>
                <w:lang w:eastAsia="zh-CN"/>
              </w:rPr>
              <w:t>进行评分</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8" w:type="dxa"/>
            <w:tcBorders>
              <w:left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平台对接方案</w:t>
            </w: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6</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根据</w:t>
            </w:r>
            <w:r>
              <w:rPr>
                <w:rFonts w:hint="eastAsia" w:ascii="宋体" w:hAnsi="宋体" w:eastAsia="宋体" w:cs="宋体"/>
                <w:bCs/>
                <w:color w:val="auto"/>
                <w:spacing w:val="-6"/>
                <w:sz w:val="24"/>
                <w:szCs w:val="24"/>
                <w:highlight w:val="none"/>
                <w:lang w:val="en-US" w:eastAsia="zh-CN"/>
              </w:rPr>
              <w:t>投标人</w:t>
            </w:r>
            <w:r>
              <w:rPr>
                <w:rFonts w:hint="eastAsia" w:ascii="宋体" w:hAnsi="宋体" w:eastAsia="宋体" w:cs="宋体"/>
                <w:bCs/>
                <w:color w:val="auto"/>
                <w:spacing w:val="-6"/>
                <w:sz w:val="24"/>
                <w:szCs w:val="24"/>
                <w:highlight w:val="none"/>
              </w:rPr>
              <w:t>提供的与</w:t>
            </w:r>
            <w:r>
              <w:rPr>
                <w:rFonts w:hint="eastAsia" w:ascii="宋体" w:hAnsi="宋体" w:eastAsia="宋体" w:cs="宋体"/>
                <w:bCs/>
                <w:color w:val="auto"/>
                <w:spacing w:val="-6"/>
                <w:sz w:val="24"/>
                <w:szCs w:val="24"/>
                <w:highlight w:val="none"/>
                <w:lang w:val="en-US" w:eastAsia="zh-CN"/>
              </w:rPr>
              <w:t>南山校区、象山校区、山北生活区监控中心系统、访客</w:t>
            </w:r>
            <w:r>
              <w:rPr>
                <w:rFonts w:hint="eastAsia" w:ascii="宋体" w:hAnsi="宋体" w:eastAsia="宋体" w:cs="宋体"/>
                <w:bCs/>
                <w:color w:val="auto"/>
                <w:spacing w:val="-6"/>
                <w:sz w:val="24"/>
                <w:szCs w:val="24"/>
                <w:highlight w:val="none"/>
              </w:rPr>
              <w:t>系统对接方案</w:t>
            </w:r>
            <w:r>
              <w:rPr>
                <w:rFonts w:hint="eastAsia" w:ascii="宋体" w:hAnsi="宋体" w:cs="宋体"/>
                <w:bCs/>
                <w:color w:val="auto"/>
                <w:spacing w:val="-6"/>
                <w:sz w:val="24"/>
                <w:szCs w:val="24"/>
                <w:highlight w:val="none"/>
                <w:lang w:eastAsia="zh-CN"/>
              </w:rPr>
              <w:t>（</w:t>
            </w:r>
            <w:r>
              <w:rPr>
                <w:rFonts w:hint="eastAsia" w:ascii="宋体" w:hAnsi="宋体" w:cs="宋体"/>
                <w:bCs/>
                <w:color w:val="auto"/>
                <w:spacing w:val="-6"/>
                <w:sz w:val="24"/>
                <w:szCs w:val="24"/>
                <w:highlight w:val="none"/>
                <w:lang w:val="en-US" w:eastAsia="zh-CN"/>
              </w:rPr>
              <w:t>0-3分</w:t>
            </w:r>
            <w:r>
              <w:rPr>
                <w:rFonts w:hint="eastAsia" w:ascii="宋体" w:hAnsi="宋体" w:cs="宋体"/>
                <w:bCs/>
                <w:color w:val="auto"/>
                <w:spacing w:val="-6"/>
                <w:sz w:val="24"/>
                <w:szCs w:val="24"/>
                <w:highlight w:val="none"/>
                <w:lang w:eastAsia="zh-CN"/>
              </w:rPr>
              <w:t>）</w:t>
            </w:r>
            <w:r>
              <w:rPr>
                <w:rFonts w:hint="eastAsia" w:ascii="宋体" w:hAnsi="宋体" w:eastAsia="宋体" w:cs="宋体"/>
                <w:bCs/>
                <w:color w:val="auto"/>
                <w:spacing w:val="-6"/>
                <w:sz w:val="24"/>
                <w:szCs w:val="24"/>
                <w:highlight w:val="none"/>
                <w:lang w:val="en-US" w:eastAsia="zh-CN"/>
              </w:rPr>
              <w:t>及与网络中心门禁系统对接</w:t>
            </w:r>
            <w:r>
              <w:rPr>
                <w:rFonts w:hint="eastAsia" w:ascii="宋体" w:hAnsi="宋体" w:eastAsia="宋体" w:cs="宋体"/>
                <w:bCs/>
                <w:color w:val="auto"/>
                <w:spacing w:val="-6"/>
                <w:sz w:val="24"/>
                <w:szCs w:val="24"/>
                <w:highlight w:val="none"/>
              </w:rPr>
              <w:t>方案</w:t>
            </w:r>
            <w:r>
              <w:rPr>
                <w:rFonts w:hint="eastAsia" w:ascii="宋体" w:hAnsi="宋体" w:cs="宋体"/>
                <w:bCs/>
                <w:color w:val="auto"/>
                <w:spacing w:val="-6"/>
                <w:sz w:val="24"/>
                <w:szCs w:val="24"/>
                <w:highlight w:val="none"/>
                <w:lang w:eastAsia="zh-CN"/>
              </w:rPr>
              <w:t>（</w:t>
            </w:r>
            <w:r>
              <w:rPr>
                <w:rFonts w:hint="eastAsia" w:ascii="宋体" w:hAnsi="宋体" w:cs="宋体"/>
                <w:bCs/>
                <w:color w:val="auto"/>
                <w:spacing w:val="-6"/>
                <w:sz w:val="24"/>
                <w:szCs w:val="24"/>
                <w:highlight w:val="none"/>
                <w:lang w:val="en-US" w:eastAsia="zh-CN"/>
              </w:rPr>
              <w:t>0-3分</w:t>
            </w:r>
            <w:r>
              <w:rPr>
                <w:rFonts w:hint="eastAsia" w:ascii="宋体" w:hAnsi="宋体" w:cs="宋体"/>
                <w:bCs/>
                <w:color w:val="auto"/>
                <w:spacing w:val="-6"/>
                <w:sz w:val="24"/>
                <w:szCs w:val="24"/>
                <w:highlight w:val="none"/>
                <w:lang w:eastAsia="zh-CN"/>
              </w:rPr>
              <w:t>）</w:t>
            </w:r>
            <w:r>
              <w:rPr>
                <w:rFonts w:hint="eastAsia" w:ascii="宋体" w:hAnsi="宋体" w:eastAsia="宋体" w:cs="宋体"/>
                <w:bCs/>
                <w:color w:val="auto"/>
                <w:spacing w:val="-6"/>
                <w:sz w:val="24"/>
                <w:szCs w:val="24"/>
                <w:highlight w:val="none"/>
              </w:rPr>
              <w:t>的合理、可行程度。（须提供相关平台对接支持材料证明，未提供不得分）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施工设计方案</w:t>
            </w: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提供的施工设计方案（施工设计方案需包括系统网络拓扑图、每个点位接线图、设备安装图纸等）的合理性、详细程度等</w:t>
            </w:r>
            <w:r>
              <w:rPr>
                <w:rFonts w:hint="eastAsia" w:ascii="宋体" w:hAnsi="宋体" w:cs="宋体"/>
                <w:color w:val="auto"/>
                <w:sz w:val="24"/>
                <w:szCs w:val="24"/>
                <w:highlight w:val="none"/>
                <w:lang w:eastAsia="zh-CN"/>
              </w:rPr>
              <w:t>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3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拟投入本项目人员</w:t>
            </w: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项目负责人具备</w:t>
            </w:r>
            <w:r>
              <w:rPr>
                <w:rFonts w:hint="eastAsia" w:ascii="宋体" w:hAnsi="宋体" w:eastAsia="宋体" w:cs="宋体"/>
                <w:color w:val="auto"/>
                <w:sz w:val="24"/>
                <w:szCs w:val="24"/>
                <w:highlight w:val="none"/>
                <w:lang w:val="en-US" w:eastAsia="zh-CN"/>
              </w:rPr>
              <w:t>高级项目经理资格的</w:t>
            </w:r>
            <w:r>
              <w:rPr>
                <w:rFonts w:hint="eastAsia" w:ascii="宋体" w:hAnsi="宋体" w:eastAsia="宋体" w:cs="宋体"/>
                <w:color w:val="auto"/>
                <w:sz w:val="24"/>
                <w:szCs w:val="24"/>
                <w:highlight w:val="none"/>
              </w:rPr>
              <w:t>证书，且在有效期内的，得2分，不提供不得分。（须提供相关证书及本单位在职社保证明）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8"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项目技术服务团队人员（不含项目负责人）中项目实施人员具备项目管理工程师中级及以上证书，且在有效期内</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2人及以上</w:t>
            </w:r>
            <w:r>
              <w:rPr>
                <w:rFonts w:hint="eastAsia" w:ascii="宋体" w:hAnsi="宋体" w:eastAsia="宋体" w:cs="宋体"/>
                <w:color w:val="auto"/>
                <w:sz w:val="24"/>
                <w:szCs w:val="24"/>
                <w:highlight w:val="none"/>
              </w:rPr>
              <w:t>的，得2分，不提供不得分。（须提供相关证书及本单位在职社保证明）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3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根据拟派驻的驻场项目工程师的相关工作经验情况，并提供驻场项目工程师简历及本单位连续三个月的社保证明。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售后服务方案</w:t>
            </w: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根据售后服务方案的有完整性、合理性、针对性，专业服务力量和服务保障方案的详细程度。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8"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spacing w:val="-6"/>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质保期内外的后续技术支持和维护能力情况，配件、附件、备品备件的准备和保障措施。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安装调试验收方案</w:t>
            </w: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根据安装、调试、验收方法或方案的详细完整度、合理可行性。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技术服务、培训</w:t>
            </w:r>
          </w:p>
        </w:tc>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根据技术服务、培训计划内容合理性、详细程度，培训范围，实施计划的针对性。</w:t>
            </w:r>
          </w:p>
        </w:tc>
      </w:tr>
    </w:tbl>
    <w:p>
      <w:pPr>
        <w:pStyle w:val="2"/>
        <w:spacing w:before="156" w:beforeLines="50" w:after="156" w:afterLines="50" w:line="360" w:lineRule="auto"/>
        <w:ind w:left="0" w:leftChars="0" w:firstLine="0" w:firstLineChars="0"/>
        <w:rPr>
          <w:rFonts w:hAnsi="宋体"/>
          <w:b/>
          <w:color w:val="auto"/>
          <w:sz w:val="24"/>
          <w:highlight w:val="none"/>
        </w:rPr>
      </w:pPr>
    </w:p>
    <w:p>
      <w:pPr>
        <w:pStyle w:val="2"/>
        <w:spacing w:before="156" w:beforeLines="50" w:after="156" w:afterLines="50" w:line="360" w:lineRule="auto"/>
        <w:ind w:firstLine="466" w:firstLineChars="200"/>
        <w:rPr>
          <w:rFonts w:hAnsi="宋体"/>
          <w:b/>
          <w:bCs/>
          <w:color w:val="auto"/>
          <w:sz w:val="24"/>
          <w:highlight w:val="none"/>
        </w:rPr>
      </w:pPr>
      <w:r>
        <w:rPr>
          <w:rFonts w:hAnsi="宋体"/>
          <w:b/>
          <w:color w:val="auto"/>
          <w:sz w:val="24"/>
          <w:highlight w:val="none"/>
        </w:rPr>
        <w:t>（</w:t>
      </w:r>
      <w:r>
        <w:rPr>
          <w:rFonts w:hint="eastAsia" w:hAnsi="宋体"/>
          <w:b/>
          <w:color w:val="auto"/>
          <w:sz w:val="24"/>
          <w:highlight w:val="none"/>
        </w:rPr>
        <w:t>二</w:t>
      </w:r>
      <w:r>
        <w:rPr>
          <w:rFonts w:hAnsi="宋体"/>
          <w:b/>
          <w:color w:val="auto"/>
          <w:sz w:val="24"/>
          <w:highlight w:val="none"/>
        </w:rPr>
        <w:t>）</w:t>
      </w:r>
      <w:r>
        <w:rPr>
          <w:rFonts w:hAnsi="宋体"/>
          <w:b/>
          <w:bCs/>
          <w:color w:val="auto"/>
          <w:sz w:val="24"/>
          <w:highlight w:val="none"/>
        </w:rPr>
        <w:t>价格</w:t>
      </w:r>
      <w:r>
        <w:rPr>
          <w:rFonts w:hint="eastAsia" w:hAnsi="宋体"/>
          <w:b/>
          <w:bCs/>
          <w:color w:val="auto"/>
          <w:sz w:val="24"/>
          <w:highlight w:val="none"/>
        </w:rPr>
        <w:t>部分</w:t>
      </w:r>
      <w:r>
        <w:rPr>
          <w:rFonts w:hAnsi="宋体"/>
          <w:b/>
          <w:bCs/>
          <w:color w:val="auto"/>
          <w:sz w:val="24"/>
          <w:highlight w:val="none"/>
        </w:rPr>
        <w:t>（</w:t>
      </w:r>
      <w:r>
        <w:rPr>
          <w:rFonts w:hint="eastAsia" w:hAnsi="宋体"/>
          <w:b/>
          <w:bCs/>
          <w:color w:val="auto"/>
          <w:sz w:val="24"/>
          <w:highlight w:val="none"/>
          <w:u w:val="single"/>
        </w:rPr>
        <w:t>30</w:t>
      </w:r>
      <w:r>
        <w:rPr>
          <w:rFonts w:hAnsi="宋体"/>
          <w:b/>
          <w:bCs/>
          <w:color w:val="auto"/>
          <w:sz w:val="24"/>
          <w:highlight w:val="none"/>
        </w:rPr>
        <w:t>分）</w:t>
      </w:r>
    </w:p>
    <w:p>
      <w:pPr>
        <w:pStyle w:val="2"/>
        <w:spacing w:before="156" w:beforeLines="50" w:after="156" w:afterLines="50" w:line="360" w:lineRule="auto"/>
        <w:ind w:firstLine="464" w:firstLineChars="200"/>
        <w:rPr>
          <w:rFonts w:hint="eastAsia" w:hAnsi="宋体"/>
          <w:bCs/>
          <w:color w:val="auto"/>
          <w:sz w:val="24"/>
          <w:szCs w:val="24"/>
          <w:highlight w:val="none"/>
        </w:rPr>
      </w:pPr>
      <w:r>
        <w:rPr>
          <w:rFonts w:hint="eastAsia" w:hAnsi="宋体"/>
          <w:bCs/>
          <w:color w:val="auto"/>
          <w:sz w:val="24"/>
          <w:highlight w:val="none"/>
        </w:rPr>
        <w:t>价格分</w:t>
      </w:r>
      <w:r>
        <w:rPr>
          <w:rFonts w:hint="eastAsia" w:hAnsi="宋体"/>
          <w:bCs/>
          <w:color w:val="auto"/>
          <w:sz w:val="24"/>
          <w:szCs w:val="24"/>
          <w:highlight w:val="none"/>
        </w:rPr>
        <w:t>采用低价优先法计算，即满足招标文件要求且投标价格最低的投标报价为评标基准价，其价格分为满分。其他投标人的价格分按照下列公式计算：</w:t>
      </w:r>
    </w:p>
    <w:p>
      <w:pPr>
        <w:spacing w:before="156" w:beforeLines="50" w:after="156" w:afterLines="5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u w:val="single"/>
        </w:rPr>
        <w:t>30</w:t>
      </w:r>
      <w:r>
        <w:rPr>
          <w:rFonts w:hint="eastAsia" w:ascii="宋体" w:hAnsi="宋体"/>
          <w:color w:val="auto"/>
          <w:sz w:val="24"/>
          <w:highlight w:val="none"/>
        </w:rPr>
        <w:t>%×100</w:t>
      </w:r>
    </w:p>
    <w:p>
      <w:pPr>
        <w:adjustRightInd w:val="0"/>
        <w:snapToGrid w:val="0"/>
        <w:spacing w:line="360" w:lineRule="auto"/>
        <w:ind w:firstLine="480" w:firstLineChars="200"/>
        <w:rPr>
          <w:rFonts w:hint="eastAsia" w:ascii="宋体" w:hAnsi="宋体"/>
          <w:color w:val="auto"/>
          <w:sz w:val="24"/>
          <w:highlight w:val="none"/>
        </w:rPr>
      </w:pPr>
    </w:p>
    <w:p>
      <w:pPr>
        <w:adjustRightInd w:val="0"/>
        <w:snapToGrid w:val="0"/>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注：“</w:t>
      </w:r>
      <w:r>
        <w:rPr>
          <w:rFonts w:ascii="宋体" w:hAnsi="宋体"/>
          <w:color w:val="auto"/>
          <w:sz w:val="24"/>
          <w:highlight w:val="none"/>
        </w:rPr>
        <w:t>促进中小企业发展</w:t>
      </w:r>
      <w:r>
        <w:rPr>
          <w:rFonts w:hint="eastAsia" w:ascii="宋体" w:hAnsi="宋体"/>
          <w:color w:val="auto"/>
          <w:sz w:val="24"/>
          <w:highlight w:val="none"/>
        </w:rPr>
        <w:t>”可按以下内容编写：</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w:t>
      </w:r>
      <w:r>
        <w:rPr>
          <w:rFonts w:ascii="宋体" w:hAnsi="宋体"/>
          <w:color w:val="auto"/>
          <w:sz w:val="24"/>
          <w:highlight w:val="none"/>
        </w:rPr>
        <w:t>《政府采购促进中小企业发展暂行办法》</w:t>
      </w:r>
      <w:r>
        <w:rPr>
          <w:rFonts w:hint="eastAsia" w:ascii="宋体" w:hAnsi="宋体"/>
          <w:color w:val="auto"/>
          <w:sz w:val="24"/>
          <w:highlight w:val="none"/>
        </w:rPr>
        <w:t>（</w:t>
      </w:r>
      <w:r>
        <w:rPr>
          <w:rFonts w:ascii="宋体" w:hAnsi="宋体"/>
          <w:color w:val="auto"/>
          <w:sz w:val="24"/>
          <w:highlight w:val="none"/>
        </w:rPr>
        <w:t>财库[2011]181号</w:t>
      </w:r>
      <w:r>
        <w:rPr>
          <w:rFonts w:hint="eastAsia" w:ascii="宋体" w:hAnsi="宋体"/>
          <w:color w:val="auto"/>
          <w:sz w:val="24"/>
          <w:highlight w:val="none"/>
        </w:rPr>
        <w:t>），对小型或微型企业参加投标且投标</w:t>
      </w:r>
      <w:r>
        <w:rPr>
          <w:rFonts w:hint="eastAsia" w:ascii="宋体" w:hAnsi="宋体"/>
          <w:i/>
          <w:color w:val="auto"/>
          <w:sz w:val="24"/>
          <w:highlight w:val="none"/>
          <w:u w:val="single"/>
        </w:rPr>
        <w:t>货物/工程/服务</w:t>
      </w:r>
      <w:r>
        <w:rPr>
          <w:rFonts w:hint="eastAsia" w:ascii="宋体" w:hAnsi="宋体"/>
          <w:color w:val="auto"/>
          <w:sz w:val="24"/>
          <w:highlight w:val="none"/>
        </w:rPr>
        <w:t>为小型或微型企业</w:t>
      </w:r>
      <w:r>
        <w:rPr>
          <w:rFonts w:hint="eastAsia" w:ascii="宋体" w:hAnsi="宋体"/>
          <w:i/>
          <w:color w:val="auto"/>
          <w:sz w:val="24"/>
          <w:highlight w:val="none"/>
          <w:u w:val="single"/>
        </w:rPr>
        <w:t>生产/提供</w:t>
      </w:r>
      <w:r>
        <w:rPr>
          <w:rFonts w:hint="eastAsia" w:ascii="宋体" w:hAnsi="宋体"/>
          <w:color w:val="auto"/>
          <w:sz w:val="24"/>
          <w:highlight w:val="none"/>
        </w:rPr>
        <w:t>的，价格给予</w:t>
      </w:r>
      <w:r>
        <w:rPr>
          <w:rFonts w:hint="eastAsia" w:ascii="宋体" w:hAnsi="宋体"/>
          <w:i/>
          <w:color w:val="auto"/>
          <w:sz w:val="24"/>
          <w:highlight w:val="none"/>
          <w:u w:val="single"/>
        </w:rPr>
        <w:t>（6）</w:t>
      </w:r>
      <w:r>
        <w:rPr>
          <w:rFonts w:hint="eastAsia" w:ascii="宋体" w:hAnsi="宋体"/>
          <w:color w:val="auto"/>
          <w:sz w:val="24"/>
          <w:highlight w:val="none"/>
          <w:u w:val="single"/>
        </w:rPr>
        <w:t>%</w:t>
      </w:r>
      <w:r>
        <w:rPr>
          <w:rFonts w:hint="eastAsia" w:ascii="宋体" w:hAnsi="宋体"/>
          <w:color w:val="auto"/>
          <w:sz w:val="24"/>
          <w:highlight w:val="none"/>
        </w:rPr>
        <w:t>的</w:t>
      </w:r>
      <w:r>
        <w:rPr>
          <w:rFonts w:ascii="宋体" w:hAnsi="宋体"/>
          <w:color w:val="auto"/>
          <w:sz w:val="24"/>
          <w:highlight w:val="none"/>
        </w:rPr>
        <w:t>扣除，用扣除后的价格参与</w:t>
      </w:r>
      <w:r>
        <w:rPr>
          <w:rFonts w:hint="eastAsia" w:ascii="宋体" w:hAnsi="宋体"/>
          <w:color w:val="auto"/>
          <w:sz w:val="24"/>
          <w:highlight w:val="none"/>
        </w:rPr>
        <w:t>价格</w:t>
      </w:r>
      <w:r>
        <w:rPr>
          <w:rFonts w:ascii="宋体" w:hAnsi="宋体"/>
          <w:color w:val="auto"/>
          <w:sz w:val="24"/>
          <w:highlight w:val="none"/>
        </w:rPr>
        <w:t>评</w:t>
      </w:r>
      <w:r>
        <w:rPr>
          <w:rFonts w:hint="eastAsia" w:ascii="宋体" w:hAnsi="宋体"/>
          <w:color w:val="auto"/>
          <w:sz w:val="24"/>
          <w:highlight w:val="none"/>
        </w:rPr>
        <w:t>分。</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小型、微型企业以联合体参加投标的，联合体协议中约定，小型、微型企业产品的协议合同金额占到联合体协议合同总金额30%以上的，投标报价给予</w:t>
      </w:r>
      <w:r>
        <w:rPr>
          <w:rFonts w:hint="eastAsia" w:ascii="宋体" w:hAnsi="宋体"/>
          <w:i/>
          <w:color w:val="auto"/>
          <w:sz w:val="24"/>
          <w:highlight w:val="none"/>
          <w:u w:val="single"/>
        </w:rPr>
        <w:t>（2）</w:t>
      </w:r>
      <w:r>
        <w:rPr>
          <w:rFonts w:hint="eastAsia" w:ascii="宋体" w:hAnsi="宋体"/>
          <w:color w:val="auto"/>
          <w:sz w:val="24"/>
          <w:highlight w:val="none"/>
          <w:u w:val="single"/>
        </w:rPr>
        <w:t>%</w:t>
      </w:r>
      <w:r>
        <w:rPr>
          <w:rFonts w:hint="eastAsia" w:ascii="宋体" w:hAnsi="宋体"/>
          <w:color w:val="auto"/>
          <w:sz w:val="24"/>
          <w:highlight w:val="none"/>
        </w:rPr>
        <w:t>的扣除，并用扣除后的价格计算价格评分。组成联合体的大中型企业和其他自然人、法人或者其他组织，与小型、微型企业之间不得存在投资关系，否则不予价格扣除。</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投标文件中提供的《中小企业声明函》是评标委员会的评标依据。</w:t>
      </w:r>
    </w:p>
    <w:p>
      <w:pPr>
        <w:adjustRightInd w:val="0"/>
        <w:snapToGrid w:val="0"/>
        <w:spacing w:line="360" w:lineRule="auto"/>
        <w:ind w:left="105" w:leftChars="50" w:firstLine="360" w:firstLineChars="150"/>
        <w:rPr>
          <w:rFonts w:hint="eastAsia" w:ascii="宋体" w:hAnsi="宋体"/>
          <w:color w:val="auto"/>
          <w:sz w:val="24"/>
          <w:highlight w:val="none"/>
        </w:rPr>
      </w:pPr>
    </w:p>
    <w:p>
      <w:pPr>
        <w:adjustRightInd w:val="0"/>
        <w:snapToGrid w:val="0"/>
        <w:spacing w:line="360" w:lineRule="auto"/>
        <w:ind w:left="105" w:leftChars="50" w:firstLine="360" w:firstLineChars="150"/>
        <w:rPr>
          <w:rFonts w:hint="eastAsia" w:ascii="宋体" w:hAnsi="宋体"/>
          <w:color w:val="auto"/>
          <w:sz w:val="24"/>
          <w:highlight w:val="none"/>
        </w:rPr>
      </w:pPr>
      <w:r>
        <w:rPr>
          <w:rFonts w:hint="eastAsia" w:ascii="宋体" w:hAnsi="宋体"/>
          <w:color w:val="auto"/>
          <w:sz w:val="24"/>
          <w:highlight w:val="none"/>
        </w:rPr>
        <w:t>残疾人福利性单位视同小微企业，其产品参加本项目投标的，享受小微企业同等的价格扣除。</w:t>
      </w:r>
    </w:p>
    <w:p>
      <w:pPr>
        <w:adjustRightInd w:val="0"/>
        <w:snapToGrid w:val="0"/>
        <w:spacing w:line="360" w:lineRule="auto"/>
        <w:ind w:left="105" w:leftChars="50" w:firstLine="360" w:firstLineChars="150"/>
        <w:rPr>
          <w:rFonts w:hint="eastAsia" w:ascii="宋体" w:hAnsi="宋体"/>
          <w:color w:val="auto"/>
          <w:sz w:val="24"/>
          <w:highlight w:val="none"/>
        </w:rPr>
      </w:pPr>
      <w:r>
        <w:rPr>
          <w:rFonts w:hint="eastAsia" w:ascii="宋体" w:hAnsi="宋体"/>
          <w:color w:val="auto"/>
          <w:sz w:val="24"/>
          <w:highlight w:val="none"/>
        </w:rPr>
        <w:t>残疾人福利性单位应当同时满足以下条件：</w:t>
      </w:r>
    </w:p>
    <w:p>
      <w:pPr>
        <w:adjustRightInd w:val="0"/>
        <w:snapToGrid w:val="0"/>
        <w:spacing w:line="360" w:lineRule="auto"/>
        <w:ind w:left="105" w:leftChars="50" w:firstLine="360" w:firstLineChars="150"/>
        <w:rPr>
          <w:rFonts w:hint="eastAsia" w:ascii="宋体" w:hAnsi="宋体"/>
          <w:color w:val="auto"/>
          <w:sz w:val="24"/>
          <w:highlight w:val="none"/>
        </w:rPr>
      </w:pPr>
      <w:r>
        <w:rPr>
          <w:rFonts w:hint="eastAsia" w:ascii="宋体" w:hAnsi="宋体"/>
          <w:color w:val="auto"/>
          <w:sz w:val="24"/>
          <w:highlight w:val="none"/>
        </w:rPr>
        <w:t>① 安置的残疾人占本单位在职职工人数的比例不低于25%（含25%），并且安置的残疾人人数不少于10人（含10人）；</w:t>
      </w:r>
    </w:p>
    <w:p>
      <w:pPr>
        <w:adjustRightInd w:val="0"/>
        <w:snapToGrid w:val="0"/>
        <w:spacing w:line="360" w:lineRule="auto"/>
        <w:ind w:left="105" w:leftChars="50" w:firstLine="360" w:firstLineChars="150"/>
        <w:rPr>
          <w:rFonts w:hint="eastAsia" w:ascii="宋体" w:hAnsi="宋体"/>
          <w:color w:val="auto"/>
          <w:sz w:val="24"/>
          <w:highlight w:val="none"/>
        </w:rPr>
      </w:pPr>
      <w:r>
        <w:rPr>
          <w:rFonts w:hint="eastAsia" w:ascii="宋体" w:hAnsi="宋体"/>
          <w:color w:val="auto"/>
          <w:sz w:val="24"/>
          <w:highlight w:val="none"/>
        </w:rPr>
        <w:t>② 依法与安置的每位残疾人签订了一年以上（含一年）的劳动合同或服务协议；</w:t>
      </w:r>
    </w:p>
    <w:p>
      <w:pPr>
        <w:adjustRightInd w:val="0"/>
        <w:snapToGrid w:val="0"/>
        <w:spacing w:line="360" w:lineRule="auto"/>
        <w:ind w:left="105" w:leftChars="50" w:firstLine="360" w:firstLineChars="150"/>
        <w:rPr>
          <w:rFonts w:hint="eastAsia" w:ascii="宋体" w:hAnsi="宋体"/>
          <w:color w:val="auto"/>
          <w:sz w:val="24"/>
          <w:highlight w:val="none"/>
        </w:rPr>
      </w:pPr>
      <w:r>
        <w:rPr>
          <w:rFonts w:hint="eastAsia" w:ascii="宋体" w:hAnsi="宋体"/>
          <w:color w:val="auto"/>
          <w:sz w:val="24"/>
          <w:highlight w:val="none"/>
        </w:rPr>
        <w:t>③ 为安置的每位残疾人按月足额缴纳了基本养老保险、基本医疗保险、失业保险、工伤保险和生育保险等社会保险费；</w:t>
      </w:r>
    </w:p>
    <w:p>
      <w:pPr>
        <w:adjustRightInd w:val="0"/>
        <w:snapToGrid w:val="0"/>
        <w:spacing w:line="360" w:lineRule="auto"/>
        <w:ind w:left="105" w:leftChars="50" w:firstLine="360" w:firstLineChars="150"/>
        <w:rPr>
          <w:rFonts w:hint="eastAsia" w:ascii="宋体" w:hAnsi="宋体"/>
          <w:color w:val="auto"/>
          <w:sz w:val="24"/>
          <w:highlight w:val="none"/>
        </w:rPr>
      </w:pPr>
      <w:r>
        <w:rPr>
          <w:rFonts w:hint="eastAsia" w:ascii="宋体" w:hAnsi="宋体"/>
          <w:color w:val="auto"/>
          <w:sz w:val="24"/>
          <w:highlight w:val="none"/>
        </w:rPr>
        <w:t>④ 通过银行等金融机构向安置的每位残疾人，按月支付了不低于单位所在区县适用的经省级人民政府批准的月最低工资标准的工资；</w:t>
      </w:r>
    </w:p>
    <w:p>
      <w:pPr>
        <w:adjustRightInd w:val="0"/>
        <w:snapToGrid w:val="0"/>
        <w:spacing w:line="360" w:lineRule="auto"/>
        <w:ind w:left="105" w:leftChars="50" w:firstLine="360" w:firstLineChars="150"/>
        <w:rPr>
          <w:rFonts w:hint="eastAsia" w:ascii="宋体" w:hAnsi="宋体"/>
          <w:color w:val="auto"/>
          <w:sz w:val="24"/>
          <w:highlight w:val="none"/>
        </w:rPr>
      </w:pPr>
      <w:r>
        <w:rPr>
          <w:rFonts w:hint="eastAsia" w:ascii="宋体" w:hAnsi="宋体"/>
          <w:color w:val="auto"/>
          <w:sz w:val="24"/>
          <w:highlight w:val="none"/>
        </w:rPr>
        <w:t>⑤ 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left="105" w:leftChars="50" w:firstLine="360" w:firstLineChars="150"/>
        <w:rPr>
          <w:rFonts w:hint="eastAsia" w:ascii="宋体" w:hAnsi="宋体"/>
          <w:color w:val="auto"/>
          <w:sz w:val="24"/>
          <w:highlight w:val="none"/>
        </w:rPr>
      </w:pPr>
      <w:r>
        <w:rPr>
          <w:rFonts w:hint="eastAsia" w:ascii="宋体" w:hAnsi="宋体"/>
          <w:color w:val="auto"/>
          <w:sz w:val="24"/>
          <w:highlight w:val="none"/>
        </w:rPr>
        <w:t>提供《残疾人福利性单位</w:t>
      </w:r>
      <w:r>
        <w:rPr>
          <w:rFonts w:ascii="宋体" w:hAnsi="宋体"/>
          <w:color w:val="auto"/>
          <w:sz w:val="24"/>
          <w:highlight w:val="none"/>
        </w:rPr>
        <w:t>声明函</w:t>
      </w:r>
      <w:r>
        <w:rPr>
          <w:rFonts w:hint="eastAsia" w:ascii="宋体" w:hAnsi="宋体"/>
          <w:color w:val="auto"/>
          <w:sz w:val="24"/>
          <w:highlight w:val="none"/>
        </w:rPr>
        <w:t>》的投标人被认定为残疾人福利性单位。</w:t>
      </w:r>
    </w:p>
    <w:p>
      <w:pPr>
        <w:spacing w:before="156" w:beforeLines="50" w:after="156" w:afterLines="50" w:line="360" w:lineRule="auto"/>
        <w:ind w:firstLine="480" w:firstLineChars="200"/>
        <w:rPr>
          <w:rFonts w:hint="eastAsia" w:ascii="宋体" w:hAnsi="宋体"/>
          <w:color w:val="auto"/>
          <w:sz w:val="24"/>
          <w:highlight w:val="none"/>
        </w:rPr>
      </w:pPr>
    </w:p>
    <w:p>
      <w:pPr>
        <w:spacing w:before="156" w:beforeLines="50" w:after="156" w:afterLines="5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监狱企业视同小微企业，其产品参加本项目投标的，享受小微企业同等的价格扣除。</w:t>
      </w:r>
    </w:p>
    <w:p>
      <w:pPr>
        <w:spacing w:before="156" w:beforeLines="50" w:after="156" w:afterLines="5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提供以下证明材料的投标人被认定为监狱企业：</w:t>
      </w:r>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省级以上监狱管理局、戒毒管理局（含新疆生产建设兵团）出具的属于监狱企业的证明文件。</w:t>
      </w:r>
    </w:p>
    <w:p>
      <w:pPr>
        <w:spacing w:before="156" w:beforeLines="50" w:after="156" w:afterLines="50" w:line="360" w:lineRule="auto"/>
        <w:ind w:firstLine="480" w:firstLineChars="200"/>
        <w:rPr>
          <w:rFonts w:hint="eastAsia" w:ascii="宋体" w:hAnsi="宋体"/>
          <w:color w:val="auto"/>
          <w:sz w:val="24"/>
          <w:highlight w:val="none"/>
        </w:rPr>
      </w:pPr>
      <w:r>
        <w:rPr>
          <w:rFonts w:ascii="宋体" w:hAnsi="宋体" w:cs="宋体"/>
          <w:color w:val="auto"/>
          <w:kern w:val="0"/>
          <w:sz w:val="24"/>
          <w:highlight w:val="none"/>
        </w:rPr>
        <w:br w:type="page"/>
      </w:r>
    </w:p>
    <w:p>
      <w:pPr>
        <w:snapToGrid w:val="0"/>
        <w:spacing w:line="360" w:lineRule="auto"/>
        <w:ind w:left="238"/>
        <w:jc w:val="center"/>
        <w:outlineLvl w:val="0"/>
        <w:rPr>
          <w:rFonts w:hint="eastAsia" w:ascii="黑体" w:hAnsi="宋体" w:eastAsia="黑体"/>
          <w:color w:val="auto"/>
          <w:sz w:val="30"/>
          <w:szCs w:val="30"/>
          <w:highlight w:val="none"/>
        </w:rPr>
      </w:pPr>
      <w:bookmarkStart w:id="43" w:name="_Toc44755897"/>
      <w:r>
        <w:rPr>
          <w:rFonts w:hint="eastAsia" w:ascii="黑体" w:hAnsi="宋体" w:eastAsia="黑体"/>
          <w:color w:val="auto"/>
          <w:sz w:val="30"/>
          <w:szCs w:val="30"/>
          <w:highlight w:val="none"/>
        </w:rPr>
        <w:t xml:space="preserve">第四章  </w:t>
      </w:r>
      <w:r>
        <w:rPr>
          <w:rFonts w:hint="eastAsia" w:ascii="宋体" w:hAnsi="宋体"/>
          <w:b/>
          <w:color w:val="auto"/>
          <w:sz w:val="30"/>
          <w:highlight w:val="none"/>
        </w:rPr>
        <w:t>招标内容及需求</w:t>
      </w:r>
      <w:bookmarkEnd w:id="43"/>
    </w:p>
    <w:p>
      <w:pPr>
        <w:snapToGrid w:val="0"/>
        <w:spacing w:line="360" w:lineRule="auto"/>
        <w:ind w:left="238"/>
        <w:rPr>
          <w:rFonts w:hint="eastAsia" w:ascii="宋体" w:hAnsi="宋体" w:cs="宋体"/>
          <w:color w:val="auto"/>
          <w:sz w:val="24"/>
          <w:highlight w:val="none"/>
        </w:rPr>
      </w:pPr>
      <w:r>
        <w:rPr>
          <w:rFonts w:hint="eastAsia" w:ascii="宋体" w:hAnsi="宋体" w:cs="宋体"/>
          <w:color w:val="auto"/>
          <w:sz w:val="24"/>
          <w:highlight w:val="none"/>
          <w:lang w:bidi="ar"/>
        </w:rPr>
        <w:t>（一）．概述</w:t>
      </w:r>
    </w:p>
    <w:p>
      <w:pPr>
        <w:snapToGrid w:val="0"/>
        <w:spacing w:line="360" w:lineRule="auto"/>
        <w:ind w:left="238"/>
        <w:rPr>
          <w:rFonts w:hint="eastAsia" w:ascii="宋体" w:hAnsi="宋体" w:cs="宋体"/>
          <w:color w:val="auto"/>
          <w:sz w:val="24"/>
          <w:highlight w:val="none"/>
        </w:rPr>
      </w:pPr>
      <w:r>
        <w:rPr>
          <w:rFonts w:hint="eastAsia" w:ascii="宋体" w:hAnsi="宋体" w:cs="宋体"/>
          <w:color w:val="auto"/>
          <w:sz w:val="24"/>
          <w:highlight w:val="none"/>
          <w:lang w:bidi="ar"/>
        </w:rPr>
        <w:t>1.1本次采购的货物必须是合格的、未曾使用过的全新产品，均须符合相应的国家标准和行业标准的要求。结构美观、牢固、耐用、能长期使用而不变形，零件、组件之间互换性强。所有的结构件表面光整，各传动、转动部位灵活，无阻滞，运动时无异声；各连接处牢固、可靠。供应商对所提供设备的技术资料、质量、使用性能负责，对所提供的所有设备及部件的售后服务完全负责。</w:t>
      </w:r>
    </w:p>
    <w:p>
      <w:pPr>
        <w:snapToGrid w:val="0"/>
        <w:spacing w:line="360" w:lineRule="auto"/>
        <w:ind w:left="238"/>
        <w:rPr>
          <w:rFonts w:hint="eastAsia" w:ascii="宋体" w:hAnsi="宋体" w:cs="宋体"/>
          <w:color w:val="auto"/>
          <w:sz w:val="24"/>
          <w:highlight w:val="none"/>
        </w:rPr>
      </w:pPr>
      <w:r>
        <w:rPr>
          <w:rFonts w:hint="eastAsia" w:ascii="宋体" w:hAnsi="宋体" w:cs="宋体"/>
          <w:color w:val="auto"/>
          <w:sz w:val="24"/>
          <w:highlight w:val="none"/>
          <w:lang w:bidi="ar"/>
        </w:rPr>
        <w:t>1.2工作范围及须提供的技术服务：</w:t>
      </w:r>
    </w:p>
    <w:p>
      <w:pPr>
        <w:snapToGrid w:val="0"/>
        <w:spacing w:line="360" w:lineRule="auto"/>
        <w:ind w:left="238"/>
        <w:rPr>
          <w:rFonts w:hint="eastAsia" w:ascii="宋体" w:hAnsi="宋体" w:cs="宋体"/>
          <w:color w:val="auto"/>
          <w:sz w:val="24"/>
          <w:highlight w:val="none"/>
        </w:rPr>
      </w:pPr>
      <w:r>
        <w:rPr>
          <w:rFonts w:hint="eastAsia" w:ascii="宋体" w:hAnsi="宋体" w:cs="宋体"/>
          <w:color w:val="auto"/>
          <w:sz w:val="24"/>
          <w:highlight w:val="none"/>
          <w:lang w:bidi="ar"/>
        </w:rPr>
        <w:t>（1）完成货物的设计、制造、运输、组装、安装、调试、检验、验收、技术资料、技术服务等，包括所有系统和安装材料、辅材辅料，报价中包含以上各阶段所需的全部费用，本项目按交钥匙工程方式供货、提供相关服务，并报价。</w:t>
      </w:r>
    </w:p>
    <w:p>
      <w:pPr>
        <w:snapToGrid w:val="0"/>
        <w:spacing w:line="360" w:lineRule="auto"/>
        <w:ind w:left="238"/>
        <w:rPr>
          <w:rFonts w:hint="eastAsia" w:ascii="宋体" w:hAnsi="宋体" w:cs="宋体"/>
          <w:color w:val="auto"/>
          <w:sz w:val="24"/>
          <w:highlight w:val="none"/>
        </w:rPr>
      </w:pPr>
      <w:r>
        <w:rPr>
          <w:rFonts w:hint="eastAsia" w:ascii="宋体" w:hAnsi="宋体" w:cs="宋体"/>
          <w:color w:val="auto"/>
          <w:sz w:val="24"/>
          <w:highlight w:val="none"/>
          <w:lang w:bidi="ar"/>
        </w:rPr>
        <w:t>（2）所有</w:t>
      </w:r>
      <w:r>
        <w:rPr>
          <w:rFonts w:hint="eastAsia" w:ascii="宋体" w:hAnsi="宋体" w:cs="宋体"/>
          <w:color w:val="auto"/>
          <w:sz w:val="24"/>
          <w:highlight w:val="none"/>
          <w:lang w:eastAsia="zh-CN" w:bidi="ar"/>
        </w:rPr>
        <w:t>投标产品</w:t>
      </w:r>
      <w:r>
        <w:rPr>
          <w:rFonts w:hint="eastAsia" w:ascii="宋体" w:hAnsi="宋体" w:cs="宋体"/>
          <w:color w:val="auto"/>
          <w:sz w:val="24"/>
          <w:highlight w:val="none"/>
          <w:lang w:bidi="ar"/>
        </w:rPr>
        <w:t>必须是全新的，未曾使用过的。采购文件已列明的技术规格要求只是一些原则性要求，并不是详尽的要求，供应商须对其所供产品的符合技术规范和标准、满足用户要求负责。</w:t>
      </w:r>
    </w:p>
    <w:p>
      <w:pPr>
        <w:snapToGrid w:val="0"/>
        <w:spacing w:line="360" w:lineRule="auto"/>
        <w:ind w:left="238"/>
        <w:rPr>
          <w:rFonts w:hint="eastAsia" w:ascii="宋体" w:hAnsi="宋体" w:cs="宋体"/>
          <w:color w:val="auto"/>
          <w:sz w:val="24"/>
          <w:highlight w:val="none"/>
        </w:rPr>
      </w:pPr>
      <w:r>
        <w:rPr>
          <w:rFonts w:hint="eastAsia" w:ascii="宋体" w:hAnsi="宋体" w:cs="宋体"/>
          <w:color w:val="auto"/>
          <w:sz w:val="24"/>
          <w:highlight w:val="none"/>
          <w:lang w:bidi="ar"/>
        </w:rPr>
        <w:t>（3）供应商需依据采购需求及安装现场的具体情况进行深化设计，并提供相关技术说明。深化设计及部分需要按安装现场特定条件特制、定做等所需要的费用由供应商考虑，并包含在</w:t>
      </w:r>
      <w:r>
        <w:rPr>
          <w:rFonts w:hint="eastAsia" w:ascii="宋体" w:hAnsi="宋体" w:cs="宋体"/>
          <w:color w:val="auto"/>
          <w:sz w:val="24"/>
          <w:highlight w:val="none"/>
          <w:lang w:eastAsia="zh-CN" w:bidi="ar"/>
        </w:rPr>
        <w:t>投标产品</w:t>
      </w:r>
      <w:r>
        <w:rPr>
          <w:rFonts w:hint="eastAsia" w:ascii="宋体" w:hAnsi="宋体" w:cs="宋体"/>
          <w:color w:val="auto"/>
          <w:sz w:val="24"/>
          <w:highlight w:val="none"/>
          <w:lang w:bidi="ar"/>
        </w:rPr>
        <w:t>报价中，</w:t>
      </w:r>
      <w:r>
        <w:rPr>
          <w:rFonts w:hint="eastAsia" w:ascii="宋体" w:hAnsi="宋体" w:cs="宋体"/>
          <w:color w:val="auto"/>
          <w:sz w:val="24"/>
          <w:highlight w:val="none"/>
          <w:lang w:eastAsia="zh-CN" w:bidi="ar"/>
        </w:rPr>
        <w:t>中标</w:t>
      </w:r>
      <w:r>
        <w:rPr>
          <w:rFonts w:hint="eastAsia" w:ascii="宋体" w:hAnsi="宋体" w:cs="宋体"/>
          <w:color w:val="auto"/>
          <w:sz w:val="24"/>
          <w:highlight w:val="none"/>
          <w:lang w:bidi="ar"/>
        </w:rPr>
        <w:t>后，不得因此类工作增加调整单价或总价。</w:t>
      </w:r>
    </w:p>
    <w:p>
      <w:pPr>
        <w:snapToGrid w:val="0"/>
        <w:spacing w:line="360" w:lineRule="auto"/>
        <w:ind w:left="238"/>
        <w:rPr>
          <w:rFonts w:hint="eastAsia" w:ascii="宋体" w:hAnsi="宋体" w:cs="宋体"/>
          <w:color w:val="auto"/>
          <w:sz w:val="24"/>
          <w:highlight w:val="none"/>
        </w:rPr>
      </w:pPr>
      <w:r>
        <w:rPr>
          <w:rFonts w:hint="eastAsia" w:ascii="宋体" w:hAnsi="宋体" w:cs="宋体"/>
          <w:color w:val="auto"/>
          <w:sz w:val="24"/>
          <w:highlight w:val="none"/>
          <w:lang w:bidi="ar"/>
        </w:rPr>
        <w:t>（4）</w:t>
      </w:r>
      <w:r>
        <w:rPr>
          <w:rFonts w:hint="eastAsia" w:ascii="宋体" w:hAnsi="宋体" w:cs="宋体"/>
          <w:color w:val="auto"/>
          <w:sz w:val="24"/>
          <w:highlight w:val="none"/>
          <w:lang w:eastAsia="zh-CN" w:bidi="ar"/>
        </w:rPr>
        <w:t>中标人</w:t>
      </w:r>
      <w:r>
        <w:rPr>
          <w:rFonts w:hint="eastAsia" w:ascii="宋体" w:hAnsi="宋体" w:cs="宋体"/>
          <w:color w:val="auto"/>
          <w:sz w:val="24"/>
          <w:highlight w:val="none"/>
          <w:lang w:bidi="ar"/>
        </w:rPr>
        <w:t>应向采购人提供用于产品安装调试和使用、维修的专用工具、质保期内的全部备品配件，其分项报价包括在</w:t>
      </w:r>
      <w:r>
        <w:rPr>
          <w:rFonts w:hint="eastAsia" w:ascii="宋体" w:hAnsi="宋体" w:cs="宋体"/>
          <w:color w:val="auto"/>
          <w:sz w:val="24"/>
          <w:highlight w:val="none"/>
          <w:lang w:eastAsia="zh-CN" w:bidi="ar"/>
        </w:rPr>
        <w:t>投标</w:t>
      </w:r>
      <w:r>
        <w:rPr>
          <w:rFonts w:hint="eastAsia" w:ascii="宋体" w:hAnsi="宋体" w:cs="宋体"/>
          <w:color w:val="auto"/>
          <w:sz w:val="24"/>
          <w:highlight w:val="none"/>
          <w:lang w:bidi="ar"/>
        </w:rPr>
        <w:t>总价内。</w:t>
      </w:r>
    </w:p>
    <w:p>
      <w:pPr>
        <w:snapToGrid w:val="0"/>
        <w:spacing w:line="360" w:lineRule="auto"/>
        <w:ind w:left="238"/>
        <w:rPr>
          <w:rFonts w:hint="eastAsia" w:ascii="宋体" w:hAnsi="宋体" w:cs="宋体"/>
          <w:color w:val="auto"/>
          <w:sz w:val="24"/>
          <w:highlight w:val="none"/>
        </w:rPr>
      </w:pPr>
      <w:r>
        <w:rPr>
          <w:rFonts w:hint="eastAsia" w:ascii="宋体" w:hAnsi="宋体" w:cs="宋体"/>
          <w:color w:val="auto"/>
          <w:sz w:val="24"/>
          <w:highlight w:val="none"/>
          <w:lang w:bidi="ar"/>
        </w:rPr>
        <w:t>（5）</w:t>
      </w:r>
      <w:r>
        <w:rPr>
          <w:rFonts w:hint="eastAsia" w:ascii="宋体" w:hAnsi="宋体" w:cs="宋体"/>
          <w:color w:val="auto"/>
          <w:sz w:val="24"/>
          <w:highlight w:val="none"/>
          <w:lang w:eastAsia="zh-CN" w:bidi="ar"/>
        </w:rPr>
        <w:t>中标人</w:t>
      </w:r>
      <w:r>
        <w:rPr>
          <w:rFonts w:hint="eastAsia" w:ascii="宋体" w:hAnsi="宋体" w:cs="宋体"/>
          <w:color w:val="auto"/>
          <w:sz w:val="24"/>
          <w:highlight w:val="none"/>
          <w:lang w:bidi="ar"/>
        </w:rPr>
        <w:t>供货至采购人指定的安装地点，负责卸货，完</w:t>
      </w:r>
      <w:r>
        <w:rPr>
          <w:rFonts w:hint="eastAsia" w:ascii="宋体" w:hAnsi="宋体" w:cs="宋体"/>
          <w:color w:val="auto"/>
          <w:sz w:val="24"/>
          <w:highlight w:val="none"/>
          <w:lang w:eastAsia="zh-CN" w:bidi="ar"/>
        </w:rPr>
        <w:t>中标</w:t>
      </w:r>
      <w:r>
        <w:rPr>
          <w:rFonts w:hint="eastAsia" w:ascii="宋体" w:hAnsi="宋体" w:cs="宋体"/>
          <w:color w:val="auto"/>
          <w:sz w:val="24"/>
          <w:highlight w:val="none"/>
          <w:lang w:bidi="ar"/>
        </w:rPr>
        <w:t>货验收，并派遣技术熟练、资质能力相当的工程技术人员和安装人员到现场进行组装、安装和调试，各项技术措施费用和组织措施费用等均包括在</w:t>
      </w:r>
      <w:r>
        <w:rPr>
          <w:rFonts w:hint="eastAsia" w:ascii="宋体" w:hAnsi="宋体" w:cs="宋体"/>
          <w:color w:val="auto"/>
          <w:sz w:val="24"/>
          <w:highlight w:val="none"/>
          <w:lang w:eastAsia="zh-CN" w:bidi="ar"/>
        </w:rPr>
        <w:t>投标</w:t>
      </w:r>
      <w:r>
        <w:rPr>
          <w:rFonts w:hint="eastAsia" w:ascii="宋体" w:hAnsi="宋体" w:cs="宋体"/>
          <w:color w:val="auto"/>
          <w:sz w:val="24"/>
          <w:highlight w:val="none"/>
          <w:lang w:bidi="ar"/>
        </w:rPr>
        <w:t>总价内。</w:t>
      </w:r>
    </w:p>
    <w:p>
      <w:pPr>
        <w:snapToGrid w:val="0"/>
        <w:spacing w:line="360" w:lineRule="auto"/>
        <w:ind w:left="238"/>
        <w:rPr>
          <w:rFonts w:hint="eastAsia" w:ascii="宋体" w:hAnsi="宋体" w:cs="宋体"/>
          <w:color w:val="auto"/>
          <w:sz w:val="24"/>
          <w:highlight w:val="none"/>
        </w:rPr>
      </w:pPr>
      <w:r>
        <w:rPr>
          <w:rFonts w:hint="eastAsia" w:ascii="宋体" w:hAnsi="宋体" w:cs="宋体"/>
          <w:color w:val="auto"/>
          <w:sz w:val="24"/>
          <w:highlight w:val="none"/>
          <w:lang w:bidi="ar"/>
        </w:rPr>
        <w:t>（6）供应商应充分了解招标内容涉及的各项工作，无论采购文件中是否明示，作为一个有经验的供应商应将按交钥匙方式供货需要的所有的功能与配置以及需要发生的各种费用和可能发生的费用以及各种风险费用等均考虑并包含在</w:t>
      </w:r>
      <w:r>
        <w:rPr>
          <w:rFonts w:hint="eastAsia" w:ascii="宋体" w:hAnsi="宋体" w:cs="宋体"/>
          <w:color w:val="auto"/>
          <w:sz w:val="24"/>
          <w:highlight w:val="none"/>
          <w:lang w:eastAsia="zh-CN" w:bidi="ar"/>
        </w:rPr>
        <w:t>投标</w:t>
      </w:r>
      <w:r>
        <w:rPr>
          <w:rFonts w:hint="eastAsia" w:ascii="宋体" w:hAnsi="宋体" w:cs="宋体"/>
          <w:color w:val="auto"/>
          <w:sz w:val="24"/>
          <w:highlight w:val="none"/>
          <w:lang w:bidi="ar"/>
        </w:rPr>
        <w:t>报价中。</w:t>
      </w:r>
    </w:p>
    <w:p>
      <w:pPr>
        <w:snapToGrid w:val="0"/>
        <w:spacing w:line="360" w:lineRule="auto"/>
        <w:ind w:left="238"/>
        <w:rPr>
          <w:rFonts w:hint="eastAsia" w:ascii="宋体" w:hAnsi="宋体" w:cs="宋体"/>
          <w:color w:val="auto"/>
          <w:sz w:val="24"/>
          <w:highlight w:val="none"/>
        </w:rPr>
      </w:pPr>
      <w:r>
        <w:rPr>
          <w:rFonts w:hint="eastAsia" w:ascii="宋体" w:hAnsi="宋体" w:cs="宋体"/>
          <w:color w:val="auto"/>
          <w:sz w:val="24"/>
          <w:highlight w:val="none"/>
          <w:lang w:bidi="ar"/>
        </w:rPr>
        <w:t>（7）</w:t>
      </w:r>
      <w:r>
        <w:rPr>
          <w:rFonts w:hint="eastAsia" w:ascii="宋体" w:hAnsi="宋体" w:cs="宋体"/>
          <w:color w:val="auto"/>
          <w:sz w:val="24"/>
          <w:highlight w:val="none"/>
          <w:lang w:eastAsia="zh-CN" w:bidi="ar"/>
        </w:rPr>
        <w:t>投标产品</w:t>
      </w:r>
      <w:r>
        <w:rPr>
          <w:rFonts w:hint="eastAsia" w:ascii="宋体" w:hAnsi="宋体" w:cs="宋体"/>
          <w:color w:val="auto"/>
          <w:sz w:val="24"/>
          <w:highlight w:val="none"/>
          <w:lang w:bidi="ar"/>
        </w:rPr>
        <w:t>的供货、安装、检验、验收、维修改造等必须符合国家相关的法规、标准和技术规范的规定。</w:t>
      </w:r>
    </w:p>
    <w:p>
      <w:pPr>
        <w:snapToGrid w:val="0"/>
        <w:spacing w:line="360" w:lineRule="auto"/>
        <w:ind w:left="238"/>
        <w:rPr>
          <w:rFonts w:hint="eastAsia" w:ascii="宋体" w:hAnsi="宋体" w:cs="宋体"/>
          <w:color w:val="auto"/>
          <w:sz w:val="24"/>
          <w:highlight w:val="none"/>
        </w:rPr>
      </w:pPr>
      <w:r>
        <w:rPr>
          <w:rFonts w:hint="eastAsia" w:ascii="宋体" w:hAnsi="宋体" w:cs="宋体"/>
          <w:color w:val="auto"/>
          <w:sz w:val="24"/>
          <w:highlight w:val="none"/>
          <w:lang w:bidi="ar"/>
        </w:rPr>
        <w:t>（8）供应商应安排踏勘现场，了解与本次</w:t>
      </w:r>
      <w:r>
        <w:rPr>
          <w:rFonts w:hint="eastAsia" w:ascii="宋体" w:hAnsi="宋体" w:cs="宋体"/>
          <w:color w:val="auto"/>
          <w:sz w:val="24"/>
          <w:highlight w:val="none"/>
          <w:lang w:eastAsia="zh-CN" w:bidi="ar"/>
        </w:rPr>
        <w:t>投标</w:t>
      </w:r>
      <w:r>
        <w:rPr>
          <w:rFonts w:hint="eastAsia" w:ascii="宋体" w:hAnsi="宋体" w:cs="宋体"/>
          <w:color w:val="auto"/>
          <w:sz w:val="24"/>
          <w:highlight w:val="none"/>
          <w:lang w:bidi="ar"/>
        </w:rPr>
        <w:t>相关的情况，所发生的费用均由供应商自行考虑。</w:t>
      </w:r>
    </w:p>
    <w:p>
      <w:pPr>
        <w:snapToGrid w:val="0"/>
        <w:spacing w:line="360" w:lineRule="auto"/>
        <w:ind w:left="238"/>
        <w:rPr>
          <w:rFonts w:hint="eastAsia" w:ascii="宋体" w:hAnsi="宋体" w:cs="宋体"/>
          <w:color w:val="auto"/>
          <w:sz w:val="24"/>
          <w:highlight w:val="none"/>
        </w:rPr>
      </w:pPr>
      <w:r>
        <w:rPr>
          <w:rFonts w:hint="eastAsia" w:ascii="宋体" w:hAnsi="宋体" w:cs="宋体"/>
          <w:color w:val="auto"/>
          <w:sz w:val="24"/>
          <w:highlight w:val="none"/>
          <w:lang w:bidi="ar"/>
        </w:rPr>
        <w:t>（9）本项目实施过程中，供应商应保护好各项已有或在建设施,如损坏地面、墙面和其他设施，由供应商负责修复。</w:t>
      </w:r>
    </w:p>
    <w:p>
      <w:pPr>
        <w:snapToGrid w:val="0"/>
        <w:spacing w:line="360" w:lineRule="auto"/>
        <w:ind w:left="238"/>
        <w:rPr>
          <w:rFonts w:hint="eastAsia" w:ascii="宋体" w:hAnsi="宋体" w:cs="宋体"/>
          <w:color w:val="auto"/>
          <w:sz w:val="24"/>
          <w:highlight w:val="none"/>
        </w:rPr>
      </w:pPr>
      <w:r>
        <w:rPr>
          <w:rFonts w:hint="eastAsia" w:ascii="宋体" w:hAnsi="宋体" w:cs="宋体"/>
          <w:color w:val="auto"/>
          <w:sz w:val="24"/>
          <w:highlight w:val="none"/>
          <w:lang w:bidi="ar"/>
        </w:rPr>
        <w:t>（10）</w:t>
      </w:r>
      <w:r>
        <w:rPr>
          <w:rFonts w:hint="eastAsia" w:ascii="宋体" w:hAnsi="宋体" w:cs="宋体"/>
          <w:color w:val="auto"/>
          <w:sz w:val="24"/>
          <w:highlight w:val="none"/>
          <w:lang w:eastAsia="zh-CN" w:bidi="ar"/>
        </w:rPr>
        <w:t>中标人</w:t>
      </w:r>
      <w:r>
        <w:rPr>
          <w:rFonts w:hint="eastAsia" w:ascii="宋体" w:hAnsi="宋体" w:cs="宋体"/>
          <w:color w:val="auto"/>
          <w:sz w:val="24"/>
          <w:highlight w:val="none"/>
          <w:lang w:bidi="ar"/>
        </w:rPr>
        <w:t>应提供产品所有的技术文件，包括质量证明文件、合格证、深化设计后的最终图纸、安装过程中的相关记录、所供产品的检测报告、国家强制性认证证书等，其价格已包括在</w:t>
      </w:r>
      <w:r>
        <w:rPr>
          <w:rFonts w:hint="eastAsia" w:ascii="宋体" w:hAnsi="宋体" w:cs="宋体"/>
          <w:color w:val="auto"/>
          <w:sz w:val="24"/>
          <w:highlight w:val="none"/>
          <w:lang w:eastAsia="zh-CN" w:bidi="ar"/>
        </w:rPr>
        <w:t>投标</w:t>
      </w:r>
      <w:r>
        <w:rPr>
          <w:rFonts w:hint="eastAsia" w:ascii="宋体" w:hAnsi="宋体" w:cs="宋体"/>
          <w:color w:val="auto"/>
          <w:sz w:val="24"/>
          <w:highlight w:val="none"/>
          <w:lang w:bidi="ar"/>
        </w:rPr>
        <w:t>总价内。</w:t>
      </w:r>
    </w:p>
    <w:p>
      <w:pPr>
        <w:snapToGrid w:val="0"/>
        <w:spacing w:line="360" w:lineRule="auto"/>
        <w:ind w:left="238"/>
        <w:rPr>
          <w:rFonts w:hint="eastAsia" w:ascii="宋体" w:hAnsi="宋体" w:cs="宋体"/>
          <w:color w:val="auto"/>
          <w:sz w:val="24"/>
          <w:highlight w:val="none"/>
        </w:rPr>
      </w:pPr>
      <w:r>
        <w:rPr>
          <w:rFonts w:hint="eastAsia" w:ascii="宋体" w:hAnsi="宋体" w:cs="宋体"/>
          <w:color w:val="auto"/>
          <w:sz w:val="24"/>
          <w:highlight w:val="none"/>
          <w:lang w:bidi="ar"/>
        </w:rPr>
        <w:t>（11）</w:t>
      </w:r>
      <w:r>
        <w:rPr>
          <w:rFonts w:hint="eastAsia" w:ascii="宋体" w:hAnsi="宋体" w:cs="宋体"/>
          <w:color w:val="auto"/>
          <w:sz w:val="24"/>
          <w:highlight w:val="none"/>
          <w:lang w:eastAsia="zh-CN" w:bidi="ar"/>
        </w:rPr>
        <w:t>中标人</w:t>
      </w:r>
      <w:r>
        <w:rPr>
          <w:rFonts w:hint="eastAsia" w:ascii="宋体" w:hAnsi="宋体" w:cs="宋体"/>
          <w:color w:val="auto"/>
          <w:sz w:val="24"/>
          <w:highlight w:val="none"/>
          <w:lang w:bidi="ar"/>
        </w:rPr>
        <w:t>按采购要求和</w:t>
      </w:r>
      <w:r>
        <w:rPr>
          <w:rFonts w:hint="eastAsia" w:ascii="宋体" w:hAnsi="宋体" w:cs="宋体"/>
          <w:color w:val="auto"/>
          <w:sz w:val="24"/>
          <w:highlight w:val="none"/>
          <w:lang w:eastAsia="zh-CN" w:bidi="ar"/>
        </w:rPr>
        <w:t>投标</w:t>
      </w:r>
      <w:r>
        <w:rPr>
          <w:rFonts w:hint="eastAsia" w:ascii="宋体" w:hAnsi="宋体" w:cs="宋体"/>
          <w:color w:val="auto"/>
          <w:sz w:val="24"/>
          <w:highlight w:val="none"/>
          <w:lang w:bidi="ar"/>
        </w:rPr>
        <w:t>承诺完成质保期内的全部维保等服务工作，并在在质保期满前1个月内派技术人员到采购人项目现场对全部产品进行一次全面检修，免费更换损坏零部件及易损件，此工作所发生费用应由</w:t>
      </w:r>
      <w:r>
        <w:rPr>
          <w:rFonts w:hint="eastAsia" w:ascii="宋体" w:hAnsi="宋体" w:cs="宋体"/>
          <w:color w:val="auto"/>
          <w:sz w:val="24"/>
          <w:highlight w:val="none"/>
          <w:lang w:eastAsia="zh-CN" w:bidi="ar"/>
        </w:rPr>
        <w:t>中标人</w:t>
      </w:r>
      <w:r>
        <w:rPr>
          <w:rFonts w:hint="eastAsia" w:ascii="宋体" w:hAnsi="宋体" w:cs="宋体"/>
          <w:color w:val="auto"/>
          <w:sz w:val="24"/>
          <w:highlight w:val="none"/>
          <w:lang w:bidi="ar"/>
        </w:rPr>
        <w:t>自行承担。</w:t>
      </w:r>
    </w:p>
    <w:p>
      <w:pPr>
        <w:snapToGrid w:val="0"/>
        <w:spacing w:line="360" w:lineRule="auto"/>
        <w:ind w:left="238"/>
        <w:rPr>
          <w:rFonts w:hint="eastAsia" w:ascii="宋体" w:hAnsi="宋体" w:cs="宋体"/>
          <w:color w:val="auto"/>
          <w:sz w:val="24"/>
          <w:highlight w:val="none"/>
        </w:rPr>
      </w:pPr>
      <w:r>
        <w:rPr>
          <w:rFonts w:hint="eastAsia" w:ascii="宋体" w:hAnsi="宋体" w:cs="宋体"/>
          <w:color w:val="auto"/>
          <w:sz w:val="24"/>
          <w:highlight w:val="none"/>
          <w:lang w:bidi="ar"/>
        </w:rPr>
        <w:t>（12）售后服务：提供质保期内的免费保修和所有设备的终身维修，确保设备的正常使用，其他要求详见合同及采购文件相关章节。</w:t>
      </w:r>
    </w:p>
    <w:p>
      <w:pPr>
        <w:snapToGrid w:val="0"/>
        <w:spacing w:line="360" w:lineRule="auto"/>
        <w:ind w:firstLine="236" w:firstLineChars="98"/>
        <w:rPr>
          <w:rFonts w:hint="eastAsia" w:ascii="宋体" w:hAnsi="宋体" w:cs="宋体"/>
          <w:b/>
          <w:color w:val="auto"/>
          <w:sz w:val="24"/>
          <w:highlight w:val="none"/>
          <w:lang w:bidi="ar"/>
        </w:rPr>
      </w:pPr>
      <w:r>
        <w:rPr>
          <w:rFonts w:hint="eastAsia" w:ascii="宋体" w:hAnsi="宋体" w:cs="宋体"/>
          <w:b/>
          <w:color w:val="auto"/>
          <w:sz w:val="24"/>
          <w:highlight w:val="none"/>
          <w:lang w:bidi="ar"/>
        </w:rPr>
        <w:t>1.3交货期(工期)：合同签订后</w:t>
      </w:r>
      <w:r>
        <w:rPr>
          <w:rFonts w:hint="eastAsia" w:ascii="宋体" w:hAnsi="宋体" w:cs="宋体"/>
          <w:b/>
          <w:color w:val="auto"/>
          <w:sz w:val="24"/>
          <w:highlight w:val="none"/>
          <w:lang w:val="en-US" w:eastAsia="zh-CN" w:bidi="ar"/>
        </w:rPr>
        <w:t>90</w:t>
      </w:r>
      <w:r>
        <w:rPr>
          <w:rFonts w:hint="eastAsia" w:ascii="宋体" w:hAnsi="宋体" w:cs="宋体"/>
          <w:b/>
          <w:color w:val="auto"/>
          <w:sz w:val="24"/>
          <w:highlight w:val="none"/>
          <w:lang w:bidi="ar"/>
        </w:rPr>
        <w:t>天内完工并验收合格、交付采购人使用。</w:t>
      </w:r>
    </w:p>
    <w:p>
      <w:pPr>
        <w:snapToGrid w:val="0"/>
        <w:spacing w:line="360" w:lineRule="auto"/>
        <w:ind w:firstLine="236" w:firstLineChars="98"/>
        <w:rPr>
          <w:rFonts w:hint="default" w:ascii="宋体" w:hAnsi="宋体" w:cs="宋体"/>
          <w:b/>
          <w:color w:val="auto"/>
          <w:sz w:val="24"/>
          <w:highlight w:val="none"/>
          <w:lang w:val="en-US" w:eastAsia="zh-CN" w:bidi="ar"/>
        </w:rPr>
      </w:pPr>
      <w:r>
        <w:rPr>
          <w:rFonts w:hint="eastAsia" w:ascii="宋体" w:hAnsi="宋体" w:cs="宋体"/>
          <w:b/>
          <w:color w:val="auto"/>
          <w:sz w:val="24"/>
          <w:highlight w:val="none"/>
          <w:lang w:bidi="ar"/>
        </w:rPr>
        <w:t>1.4质保期：▲验收合格交付采购人使用之日起，整个系统质保期不少于2年（含2年）</w:t>
      </w:r>
      <w:r>
        <w:rPr>
          <w:rFonts w:hint="eastAsia" w:ascii="宋体" w:hAnsi="宋体" w:cs="宋体"/>
          <w:b/>
          <w:color w:val="auto"/>
          <w:sz w:val="24"/>
          <w:highlight w:val="none"/>
          <w:lang w:eastAsia="zh-CN" w:bidi="ar"/>
        </w:rPr>
        <w:t>，</w:t>
      </w:r>
      <w:r>
        <w:rPr>
          <w:rFonts w:hint="eastAsia" w:ascii="宋体" w:hAnsi="宋体" w:cs="宋体"/>
          <w:b/>
          <w:color w:val="auto"/>
          <w:sz w:val="24"/>
          <w:highlight w:val="none"/>
          <w:lang w:val="en-US" w:eastAsia="zh-CN" w:bidi="ar"/>
        </w:rPr>
        <w:t>质保期内至少有一人驻场服务。</w:t>
      </w:r>
    </w:p>
    <w:p>
      <w:pPr>
        <w:snapToGrid w:val="0"/>
        <w:spacing w:line="360" w:lineRule="auto"/>
        <w:ind w:firstLine="236" w:firstLineChars="98"/>
        <w:rPr>
          <w:rFonts w:hint="eastAsia" w:ascii="宋体" w:hAnsi="宋体" w:cs="宋体"/>
          <w:b/>
          <w:color w:val="auto"/>
          <w:sz w:val="24"/>
          <w:highlight w:val="none"/>
          <w:lang w:bidi="ar"/>
        </w:rPr>
      </w:pPr>
      <w:r>
        <w:rPr>
          <w:rFonts w:hint="eastAsia" w:ascii="宋体" w:hAnsi="宋体" w:cs="宋体"/>
          <w:b/>
          <w:color w:val="auto"/>
          <w:sz w:val="24"/>
          <w:highlight w:val="none"/>
          <w:lang w:bidi="ar"/>
        </w:rPr>
        <w:t>▲注：本次采购的系统中的产品如国家或行业已有标准规定质保期大于2年的，则</w:t>
      </w:r>
      <w:r>
        <w:rPr>
          <w:rFonts w:hint="eastAsia" w:ascii="宋体" w:hAnsi="宋体" w:cs="宋体"/>
          <w:b/>
          <w:color w:val="auto"/>
          <w:sz w:val="24"/>
          <w:highlight w:val="none"/>
          <w:lang w:eastAsia="zh-CN" w:bidi="ar"/>
        </w:rPr>
        <w:t>中标</w:t>
      </w:r>
      <w:r>
        <w:rPr>
          <w:rFonts w:hint="eastAsia" w:ascii="宋体" w:hAnsi="宋体" w:cs="宋体"/>
          <w:b/>
          <w:color w:val="auto"/>
          <w:sz w:val="24"/>
          <w:highlight w:val="none"/>
          <w:lang w:bidi="ar"/>
        </w:rPr>
        <w:t>供应商在在履行合同过程中无条件按标准执行，</w:t>
      </w:r>
      <w:r>
        <w:rPr>
          <w:rFonts w:hint="eastAsia" w:ascii="宋体" w:hAnsi="宋体" w:cs="宋体"/>
          <w:b/>
          <w:color w:val="auto"/>
          <w:sz w:val="24"/>
          <w:highlight w:val="none"/>
          <w:lang w:val="en-US" w:eastAsia="zh-CN" w:bidi="ar"/>
        </w:rPr>
        <w:t>包括中标单位和基础建设总包单位的配合问题，</w:t>
      </w:r>
      <w:r>
        <w:rPr>
          <w:rFonts w:hint="eastAsia" w:ascii="宋体" w:hAnsi="宋体" w:cs="宋体"/>
          <w:b/>
          <w:color w:val="auto"/>
          <w:sz w:val="24"/>
          <w:highlight w:val="none"/>
          <w:lang w:bidi="ar"/>
        </w:rPr>
        <w:t>所需的费用均包含在总报价中，无论是否在报价表中单列。</w:t>
      </w:r>
    </w:p>
    <w:p>
      <w:pPr>
        <w:snapToGrid w:val="0"/>
        <w:spacing w:line="360" w:lineRule="auto"/>
        <w:ind w:firstLine="236" w:firstLineChars="98"/>
        <w:rPr>
          <w:rFonts w:hint="eastAsia" w:ascii="宋体" w:hAnsi="宋体" w:cs="宋体"/>
          <w:b/>
          <w:color w:val="auto"/>
          <w:sz w:val="24"/>
          <w:highlight w:val="none"/>
        </w:rPr>
      </w:pPr>
      <w:r>
        <w:rPr>
          <w:rFonts w:hint="eastAsia" w:ascii="宋体" w:hAnsi="宋体" w:cs="宋体"/>
          <w:b/>
          <w:color w:val="auto"/>
          <w:sz w:val="24"/>
          <w:highlight w:val="none"/>
          <w:lang w:bidi="ar"/>
        </w:rPr>
        <w:t>1.5特别说明：本技术要求中及采购文件的其他章节中如有任何涉及特定产品信息的内容仅是采购人从项目的建设和使用需要考虑对产品档次及技术规格参数的最低需求，供应商可以提供相当的或更优的产品，并在</w:t>
      </w:r>
      <w:r>
        <w:rPr>
          <w:rFonts w:hint="eastAsia" w:ascii="宋体" w:hAnsi="宋体" w:cs="宋体"/>
          <w:b/>
          <w:color w:val="auto"/>
          <w:sz w:val="24"/>
          <w:highlight w:val="none"/>
          <w:lang w:eastAsia="zh-CN" w:bidi="ar"/>
        </w:rPr>
        <w:t>投标</w:t>
      </w:r>
      <w:r>
        <w:rPr>
          <w:rFonts w:hint="eastAsia" w:ascii="宋体" w:hAnsi="宋体" w:cs="宋体"/>
          <w:b/>
          <w:color w:val="auto"/>
          <w:sz w:val="24"/>
          <w:highlight w:val="none"/>
          <w:lang w:bidi="ar"/>
        </w:rPr>
        <w:t>文件中详细说明。</w:t>
      </w:r>
    </w:p>
    <w:p>
      <w:pPr>
        <w:snapToGrid w:val="0"/>
        <w:spacing w:line="360" w:lineRule="auto"/>
        <w:ind w:firstLine="482" w:firstLineChars="200"/>
        <w:rPr>
          <w:rFonts w:hint="default" w:eastAsia="宋体"/>
          <w:color w:val="auto"/>
          <w:highlight w:val="none"/>
          <w:lang w:val="en-US" w:eastAsia="zh-CN"/>
        </w:rPr>
      </w:pPr>
      <w:r>
        <w:rPr>
          <w:rFonts w:hint="eastAsia" w:ascii="宋体" w:hAnsi="宋体" w:cs="宋体"/>
          <w:b/>
          <w:color w:val="auto"/>
          <w:sz w:val="24"/>
          <w:highlight w:val="none"/>
          <w:lang w:bidi="ar"/>
        </w:rPr>
        <w:t>在项目实施过程中、项目验收时，将专门针对各系统主要内容、各类设备、辅材等原厂商进行真伪查验校对，产品主要参数、功能校对，质保期查验校对，并将详细确认售后服务权益方名称。对于校对后不符合项目清单要求，</w:t>
      </w:r>
      <w:r>
        <w:rPr>
          <w:rFonts w:hint="eastAsia" w:ascii="宋体" w:hAnsi="宋体" w:cs="宋体"/>
          <w:b/>
          <w:color w:val="auto"/>
          <w:sz w:val="24"/>
          <w:highlight w:val="none"/>
          <w:lang w:eastAsia="zh-CN" w:bidi="ar"/>
        </w:rPr>
        <w:t>中标</w:t>
      </w:r>
      <w:r>
        <w:rPr>
          <w:rFonts w:hint="eastAsia" w:ascii="宋体" w:hAnsi="宋体" w:cs="宋体"/>
          <w:b/>
          <w:color w:val="auto"/>
          <w:sz w:val="24"/>
          <w:highlight w:val="none"/>
          <w:lang w:bidi="ar"/>
        </w:rPr>
        <w:t>方需承担一切后果。</w:t>
      </w:r>
    </w:p>
    <w:p>
      <w:pPr>
        <w:snapToGrid w:val="0"/>
        <w:spacing w:line="360" w:lineRule="auto"/>
        <w:ind w:firstLine="482" w:firstLineChars="200"/>
        <w:rPr>
          <w:rFonts w:hint="eastAsia" w:ascii="宋体" w:hAnsi="宋体" w:cs="宋体"/>
          <w:b/>
          <w:color w:val="auto"/>
          <w:sz w:val="24"/>
          <w:highlight w:val="none"/>
          <w:lang w:bidi="ar"/>
        </w:rPr>
      </w:pPr>
      <w:r>
        <w:rPr>
          <w:rFonts w:hint="eastAsia" w:ascii="宋体" w:hAnsi="宋体" w:cs="宋体"/>
          <w:b/>
          <w:color w:val="auto"/>
          <w:sz w:val="24"/>
          <w:highlight w:val="none"/>
          <w:lang w:bidi="ar"/>
        </w:rPr>
        <w:t>（二）. 货物技术指标性能等要求及相关要求</w:t>
      </w:r>
    </w:p>
    <w:p>
      <w:pPr>
        <w:snapToGrid w:val="0"/>
        <w:spacing w:line="360" w:lineRule="auto"/>
        <w:ind w:firstLine="482" w:firstLineChars="200"/>
        <w:rPr>
          <w:rFonts w:hint="eastAsia" w:ascii="宋体" w:hAnsi="宋体" w:cs="宋体"/>
          <w:b/>
          <w:color w:val="auto"/>
          <w:sz w:val="24"/>
          <w:highlight w:val="none"/>
          <w:lang w:bidi="ar"/>
        </w:rPr>
        <w:sectPr>
          <w:headerReference r:id="rId6" w:type="default"/>
          <w:footerReference r:id="rId7" w:type="default"/>
          <w:footerReference r:id="rId8" w:type="even"/>
          <w:pgSz w:w="11906" w:h="16838"/>
          <w:pgMar w:top="1091" w:right="1588" w:bottom="1418" w:left="1588" w:header="851" w:footer="992" w:gutter="0"/>
          <w:cols w:space="720" w:num="1"/>
          <w:docGrid w:type="lines" w:linePitch="312" w:charSpace="0"/>
        </w:sectPr>
      </w:pPr>
    </w:p>
    <w:p>
      <w:pPr>
        <w:numPr>
          <w:ilvl w:val="0"/>
          <w:numId w:val="2"/>
        </w:numPr>
        <w:snapToGrid w:val="0"/>
        <w:spacing w:line="360" w:lineRule="auto"/>
        <w:ind w:firstLine="482" w:firstLineChars="200"/>
        <w:rPr>
          <w:rFonts w:hint="eastAsia" w:ascii="宋体" w:hAnsi="宋体" w:cs="宋体"/>
          <w:b/>
          <w:color w:val="auto"/>
          <w:sz w:val="24"/>
          <w:highlight w:val="none"/>
          <w:lang w:val="en-US" w:eastAsia="zh-CN" w:bidi="ar"/>
        </w:rPr>
      </w:pPr>
      <w:r>
        <w:rPr>
          <w:rFonts w:hint="eastAsia" w:ascii="宋体" w:hAnsi="宋体" w:cs="宋体"/>
          <w:b/>
          <w:color w:val="auto"/>
          <w:sz w:val="24"/>
          <w:highlight w:val="none"/>
          <w:lang w:val="en-US" w:eastAsia="zh-CN" w:bidi="ar"/>
        </w:rPr>
        <w:t>货物需求一览表</w:t>
      </w:r>
    </w:p>
    <w:p>
      <w:pPr>
        <w:pStyle w:val="2"/>
        <w:widowControl w:val="0"/>
        <w:numPr>
          <w:ilvl w:val="0"/>
          <w:numId w:val="0"/>
        </w:numPr>
        <w:spacing w:line="200" w:lineRule="exact"/>
        <w:jc w:val="both"/>
        <w:rPr>
          <w:rFonts w:hint="eastAsia"/>
          <w:color w:val="auto"/>
          <w:highlight w:val="none"/>
          <w:lang w:val="en-US" w:eastAsia="zh-CN"/>
        </w:rPr>
      </w:pPr>
    </w:p>
    <w:tbl>
      <w:tblPr>
        <w:tblStyle w:val="15"/>
        <w:tblW w:w="0" w:type="auto"/>
        <w:tblInd w:w="0" w:type="dxa"/>
        <w:tblLayout w:type="fixed"/>
        <w:tblCellMar>
          <w:top w:w="0" w:type="dxa"/>
          <w:left w:w="0" w:type="dxa"/>
          <w:bottom w:w="0" w:type="dxa"/>
          <w:right w:w="0" w:type="dxa"/>
        </w:tblCellMar>
      </w:tblPr>
      <w:tblGrid>
        <w:gridCol w:w="637"/>
        <w:gridCol w:w="2888"/>
        <w:gridCol w:w="1316"/>
        <w:gridCol w:w="7462"/>
        <w:gridCol w:w="578"/>
        <w:gridCol w:w="614"/>
        <w:gridCol w:w="864"/>
      </w:tblGrid>
      <w:tr>
        <w:tblPrEx>
          <w:tblCellMar>
            <w:top w:w="0" w:type="dxa"/>
            <w:left w:w="0" w:type="dxa"/>
            <w:bottom w:w="0" w:type="dxa"/>
            <w:right w:w="0" w:type="dxa"/>
          </w:tblCellMar>
        </w:tblPrEx>
        <w:trPr>
          <w:trHeight w:val="345" w:hRule="atLeast"/>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设备名称</w:t>
            </w:r>
          </w:p>
        </w:tc>
        <w:tc>
          <w:tcPr>
            <w:tcW w:w="1316"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cs="宋体"/>
                <w:b/>
                <w:i w:val="0"/>
                <w:color w:val="auto"/>
                <w:kern w:val="0"/>
                <w:sz w:val="24"/>
                <w:szCs w:val="24"/>
                <w:highlight w:val="none"/>
                <w:u w:val="none"/>
                <w:lang w:val="en-US" w:eastAsia="zh-CN" w:bidi="ar"/>
              </w:rPr>
              <w:t>参考</w:t>
            </w:r>
            <w:r>
              <w:rPr>
                <w:rFonts w:hint="eastAsia" w:ascii="宋体" w:hAnsi="宋体" w:eastAsia="宋体" w:cs="宋体"/>
                <w:b/>
                <w:i w:val="0"/>
                <w:color w:val="auto"/>
                <w:kern w:val="0"/>
                <w:sz w:val="24"/>
                <w:szCs w:val="24"/>
                <w:highlight w:val="none"/>
                <w:u w:val="none"/>
                <w:lang w:val="en-US" w:eastAsia="zh-CN" w:bidi="ar"/>
              </w:rPr>
              <w:t>品牌</w:t>
            </w:r>
          </w:p>
        </w:tc>
        <w:tc>
          <w:tcPr>
            <w:tcW w:w="7462"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支出用途概述</w:t>
            </w:r>
          </w:p>
        </w:tc>
        <w:tc>
          <w:tcPr>
            <w:tcW w:w="578"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单位</w:t>
            </w:r>
          </w:p>
        </w:tc>
        <w:tc>
          <w:tcPr>
            <w:tcW w:w="61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数量</w:t>
            </w:r>
          </w:p>
        </w:tc>
        <w:tc>
          <w:tcPr>
            <w:tcW w:w="86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备注</w:t>
            </w:r>
          </w:p>
        </w:tc>
      </w:tr>
      <w:tr>
        <w:tblPrEx>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2888" w:type="dxa"/>
            <w:tcBorders>
              <w:top w:val="single" w:color="000000" w:sz="4" w:space="0"/>
              <w:left w:val="nil"/>
              <w:bottom w:val="single" w:color="000000" w:sz="4" w:space="0"/>
              <w:right w:val="single" w:color="000000" w:sz="4" w:space="0"/>
            </w:tcBorders>
            <w:shd w:val="clear" w:color="auto" w:fill="00B0F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前端产品</w:t>
            </w:r>
          </w:p>
        </w:tc>
        <w:tc>
          <w:tcPr>
            <w:tcW w:w="1316"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7462"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i w:val="0"/>
                <w:color w:val="auto"/>
                <w:sz w:val="16"/>
                <w:szCs w:val="16"/>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i w:val="0"/>
                <w:color w:val="auto"/>
                <w:sz w:val="16"/>
                <w:szCs w:val="16"/>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tblCellMar>
            <w:top w:w="0" w:type="dxa"/>
            <w:left w:w="0" w:type="dxa"/>
            <w:bottom w:w="0" w:type="dxa"/>
            <w:right w:w="0" w:type="dxa"/>
          </w:tblCellMar>
        </w:tblPrEx>
        <w:trPr>
          <w:trHeight w:val="9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400万星光级智能筒型摄像机</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 具有400万像素 CMOS传感器，具有不小于1/1.8"靶面尺寸。电动变焦镜头：3.3~9 mm。像元尺寸不小于2.9um×2.9um。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★内置2个麦克风、1个扬声器；内置2颗白光灯（1颗远光灯、1颗近光灯）。（公安部检验报告证明）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★镜头支持电动变焦，并可对拍摄物体进行自动聚焦，光圈大小为F1.0。（公安部检验报告证明）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在彩色模式下，当环境照度降低至设定阈值，可自动开启白光补光灯，在白天、夜晚均可输出彩色视频图像。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最低照度彩色不大于0.0002 lx，黑白不大于0.0001 lx。</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宽动态能力不小于120dB。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设备水平中心分辨力不小于1500TVL。</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 支持H.264、H.265、MJPEG视频编码格式，且具有High Profile编码能力。</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信噪比不小于58dB。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在分辨率1920x1080 @ 25fps，延时不大于70ms。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 需支持四码流技术，主码流分辨率不小于2560x1440@25fps，子码流不小于704x576@25fps，第三码流不小于1920x1080@25fps，第四码流不小于704x576@25fps。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 支持声光报警功能，当报警产生时，可在布防时间内联动声音警报和/或白光闪烁。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 ★支持声音报警功能，报警声音类型不小于11种，报警音量和重复次数可设置。需具备智能分析抗干扰功能，当篮球、小狗、树摇晃等情况经过检测区域时，不会触发报警。（公安部检验报告证明）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 同一静止场景相同图像质量下，设备在H.265编码方式时，开启智能编码功能和不开启智能编码相比，码率节约80%。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 需支持IP67防尘防水。</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 需同时支持DC12V和POE供电，且在不小于DC12V±30%范围内变化时可以正常工作。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 需支持本地SD卡存储，最大支持256G，并支持存储卡可使用时长显示。支持对存储卡进行读写锁定，锁定后的存储卡在移动终端需要密码才能访问。</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69</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517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400万星光级智能半球型摄像机</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 具有400万像素 CMOS传感器。电动变焦镜头:2.7-12mm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内置GPU芯片。内置麦克风和喇叭。</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最低照度彩色：0.0005 lx，黑白:0.0001 lx，最大亮度鉴别等级（灰度等级）不小于11级。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红外补光距离不小于100米。</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支持H.264、H.265、MJPEG视频编码格式，其中H.264支持Baseline/Main/High Profile。</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信噪比不小于62dB。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支持检出两眼瞳距20像素点以上的人脸图片。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 ★支持最佳抓拍和快速抓拍2种人脸图片抓拍模式设置选项。（公安部检验报告证明）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需具备区域入侵、越界入侵、进入区域、离开区域等功能，并可将分析目标设置为人、车辆、人和车辆三种，可对布防时间和联动报警方式进行设置。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★支持声音报警功能，报警声音类型不小于10种，报警声级及报警次数可设置。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 需具备智能分析抗干扰功能，当篮球、小狗、树叶等非人或车辆目标经过检测区域时，不会触发报警。（公安部检验报告证明）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 支持快捷配置功能，可在预览画面开启/关闭“快捷配置”页面，对曝光参数、OSD、智能资源分配模式等参数进行配置，并可一键恢复为默认设置。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 支持像素显示功能，可实时显示监控画面上选定区域的水平像素大小和垂直像素大小。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 不低于IP67防尘防水等级。不低于IK10防暴等级。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 需支持DC12V供电，且在不小于DC12V±30%范围内变化时可以正常工作。</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113</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607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400万全彩枪球一体机（核心产品）</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 ★内置2个镜头，可以输出两路视频图像，1路全景视频图像、1路细节视频图像；内置2颗GPU芯片（以公安部检验报告为准）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视频输出支持2560×1440@25fps，分辨力不小于1400TVL，红外距离可达300米</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设备支持可见光补光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支持最低照度可达彩色0.0002Lux，黑白0.0001Lux</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支持水平手控速度不小于550°/S，垂直速度不小于120°/S，云台定位精度为±0.1°</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水平旋转范围为360°连续旋转，垂直旋转范围为-20°~90°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支持对镜头前盖玻璃加热，去除玻璃上的冰状和水状附着物。</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 需具备智能分析抗干扰功能，当篮球、小狗、树叶等非人或车辆目标经过检测区域时，不会触发报警。</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支持快捷配置功能，可在预览画面开启/关闭“快捷配置”页面，对曝光参数、OSD、智能资源分配模式等参数进行配置，并可一键恢复为默认设置。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★支持循环跟踪功能，当全景视频图像中有多个目标触发报警事件后，细节视频图像可联动对多个目标循环跟踪。（公安部检验报告证明）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 支持300个预置位，可按照所设置的预置位完成不小于8条巡航路径，支持不小于4条模式路径设置，支持预置位视频冻结功能；可实现RS485接口优先或RJ45网络接口优先控制功能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 支持智能红外、透雾、强光抑制、电子防抖、数字降噪、防红外过曝功能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 支持定位联动功能，在全景视频图像中点击或者框选任意区域后，细节视频图像可将该区域处于视频图像中央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 球机应具备本机存储功能，支持SD卡热插拔，最大支持256GB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 支持采用H.265、H.264视频编码标准，H.264编码支持Baseline/Main/High Profile，音频编码支持G.711ulaw/G.711alaw/G.726/G.722.1</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 具备较好的防护性能环境适应性，支持IP67，6kV防浪涌，工作温度范围可达-40℃-70℃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 具备较好的电源适应性，电压在DC36V±30%范围内变化时，设备可正常工作</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9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400万室外网络黑光球机（核心产品）</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【400万像素8寸混合补光网络高清高速智能球机】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 支持三种智能资源切换：Smart事件、道路监控、人脸抓拍</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Smart事件：越界侦测,区域入侵侦测,进入/离开区域侦测等智能侦测功能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道路监控：支持车辆检测(支持车牌识别,车型/车身颜色/车牌颜色识别)和混行检测，车牌捕获及检索、多场景巡航检测、云存储服务功能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人脸抓拍：支持同时抓拍30张人脸，支持对运动人脸进行检测、跟踪、抓拍、评分、筛选，输出最优的人脸抓图</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摄像机具有双路视频融合功能，可分别输出黑白及彩色图像，并对视频图像进行融合输出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采用无光污染的混合补光技术，可有效提升整体监控效果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★摄像机具体两个图像传感器，靶面尺寸不小于1/1.8英寸，视频图像分辨率不小于2560×1440（以公安部检验报告为准）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最低照度: 低照度：彩色：0.0004Lux @ (F1.6，AGC ON), 黑白：0.0001Lux @ (F1.6，AGC ON), 0Lux with IR,</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宽动态: 支持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光学变倍: 35倍；焦距: 5.9-206.5mm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 水平范围: 360°；垂直范围: -20°-90°(自动翻转)</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水平速度: 水平键控速度：0.1°-210°/s,速度可设;水平预置点速度：280°/s；垂直速度: 垂直键控速度：0.1°-150°/s,速度可设;垂直预置点速度：250°/s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主码流帧率分辨率: 50Hz: 25fps (2560 × 1440); 60Hz: 30fps (2560 × 1440)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 视频压缩标准: H.265,H.264,MJPEG</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 网络接口: RJ45网口，自适应10M/100M网络数据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 SD卡扩展: 支持Micro SD(即TF卡)/Micro SDHC/Micro SDXC卡,最大支持256G</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 报警输入: 7路报警输入，报警输出: 2路报警输出，音频输入: 1路音频输入，音频输出: 1路音频输出，具有RS485接口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 红外照射距离: 250m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 供电方式: AC24V；电流及功耗: 62W max（其中加热5Wmax，红外灯15W max）</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 工作温湿度: -40℃-70℃；湿度小于95%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18. 防护: IP67</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450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3200万室内低空全景拼接摄像机（核心产品）</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 最高分辨率可达3200万像素。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水平视场角不小于180°，垂直视场角不小于90°。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最低照度彩色：0.002 lx，黑白:0.0008 lx，最大亮度鉴别等级（灰度等级）不小于11级。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红外距离不小于50米。</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可通过IE浏览器或客户端软件远程调节每颗红外灯亮度。</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动态范围不小于120dB。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★支持全景+ePTZ、全景图像、原始图像、全景分割4种码流输出模式。全景+ePTZ模式支持不小于5路ePTZ画面。（公安部检验报告证明）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 ★全景+ePTZ模式下，全景码流支持3840x2160@25fps，ePTZ码流支持1920x1080@25fps。全景图像模式下，主码流支持8160x3616@25fps。原始图像模式下，4个通道均支持3840x2160@25fps。全景分割模式下，4个通道均支持2032x3616@25fps。（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水平中心分辨力不小于2000TVL。</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支持H.264、H.265视频编码格式，且具有High Profile编码能力。</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 信噪比不小于60dB。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 摄像机能够在-40~70摄氏度，湿度小于93%环境下稳定工作。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 不低于IP67防尘防水和IK10防暴等级。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 同一静止场景相同图像质量下，设备在H.265编码方式时，开启智能编码功能和不开启智能编码相比，码率节约80%。</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675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400万人脸抓拍筒型摄像机</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 具有400万像素 CMOS传感器，具有不小于1/1.8"靶面尺寸。变焦镜头：3.3~9 mm。像元尺寸不小于2.9um×2.9um。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★内置2个麦克风、1个扬声器；内置2颗白光灯（1颗远光灯、1颗近光灯）。（公安部检验报告证明）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★镜头支持电动变焦，并可对拍摄物体进行自动聚焦，光圈大小为F1.0。（公安部检验报告证明）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人脸抓拍：支持对运动人脸进行检测、跟踪、抓拍、评分、筛选，输出最优的人脸抓图，最多同时检测30张人脸</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在彩色模式下，当环境照度降低至设定阈值，可自动开启白光补光灯，在白天、夜晚均可输出彩色视频图像。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最低照度彩色不大于0.0002 lx，黑白不大于0.0001 lx。</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宽动态能力不小于120dB。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 支持H.264、H.265、MJPEG视频编码格式，且具有High Profile编码能力。</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信噪比不小于58dB。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在分辨率1920x1080 @ 25fps，延时不大于70ms。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 需支持四码流技术，主码流分辨率不小于2560x1440@25fps，子码流不小于704x576@25fps，第三码流不小于1920x1080@25fps，第四码流不小于704x576@25fps。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 支持声光报警功能，当报警产生时，可在布防时间内联动声音警报和/或白光闪烁。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 1★支持声音报警功能，报警声音类型不小于11种，报警音量和重复次数可设置。需具备智能分析抗干扰功能，当篮球、小狗、树摇晃等情况经过检测区域时，不会触发报警。（公安部检验报告证明）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 同一静止场景相同图像质量下，设备在H.265编码方式时，开启智能编码功能和不开启智能编码相比，码率节约80%。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 需支持IP67防尘防水。</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 需同时支持DC12V和POE供电，且在不小于DC12V±30%范围内变化时可以正常工作。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 需支持本地SD卡存储，最大支持256G，并支持存储卡可使用时长显示。支持对存储卡进行读写锁定，锁定后的存储卡在移动终端需要密码才能访问。</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9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400万人脸抓拍半球摄像机</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 400万 1/1.8"  AI智能全彩海螺网络摄像机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内嵌深度学习算法，以海量图片及视频资源为路基，通过机器自身提取目标特征，形成深层可供学习的人脸图像，极大的提升了目标人脸的检出率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支持3种智能资源模式切换：Smart事件（智能声光警戒）、人脸抓拍、道路监控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人脸抓拍：支持对运动人脸进行检测、跟踪、抓拍、评分、筛选，输出最优的人脸抓图，最多同时检测30张人脸</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道路监控：支持车型/车身颜色/车牌颜色识别，检测正向行驶的车辆以及行人和非机动车，自动对车辆牌照进行识别</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Smart事件：支持越界侦测，区域入侵侦测，进入区域侦测，离开区域侦测，徘徊侦测，人员聚集侦测，快速运动侦测，停车侦测，物品遗留侦测，物品拿取侦测</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支持10种联动方式，支持联动声音报警和闪光报警灯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最低照度: 彩色：0.0005 Lux @（F1.0，AGC ON）；黑白：0.0001 Lux @（F1.0，AGC ON），0 Lux with Light</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宽动态: 超宽动态范围达120 dB，室内逆光环境下监控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调节角度: 水平：0°~360°，垂直：0°~75°，旋转：0°~360°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 焦距&amp;视场角: （变焦）3.3~9 mm @F1.0，水平视场角：92.3°~48°，垂直视场角：48.4°~27°，对角线视场角：112.2°~55°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白光距离: 最远可达30 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视频压缩标准: H.265/H.264/MJPEG</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 网络存储: 支持Micro SD(即TF卡)/Micro SDHC /Micro SDXC卡（最大256 GB）断网本地存储及断网续传，NAS（NFS，SMB/CIFS均支持），配合海康黑卡支持SD卡加密及SD卡状态检测</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 音频: 1路输入（Line in）（3.5 mm）；1路输出（3.5 mm）；2个内置麦克风（拾音范围最远7 m），1个内置扬声器（覆盖范围最大100 ㎡）。报警: 2路输入，2路输出（报警输出最大支持DC12 V，30 mA）。1个RS-485。网络: 1个RJ45 10 M/100 M自适应以太网口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 电源输出: DC12 V，100 mA，用于拾音器供电</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 供电方式: DC：12 V ± 20%；PoE：802.3at，Class 4</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 电流及功耗: DC：12 V，0.96 A，最大功耗：11.5 W；PoE：802.3at，42.5 V~57 V，0.32 A~0.23 A，最大功耗：13.5 W</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 防护: IP66</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495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双舱人脸抓拍摄像机（核心产品）</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 ★内置双镜头，图像传感器均不小于1/1.8"靶面尺寸。（公安部检验报告证明）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双镜头均具有不小于400万像素 CMOS传感器。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★内置GPU芯片。内置2个麦克风、1个扬声器、1个风扇。内置混合补光灯（均由红外灯、白光灯组成），支持混合补光、白光补光和关闭模式，可根据被摄物的距离自动调节混合灯亮度。（公安部检验报告证明）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最低照度彩色不大于0.0002 lx，黑白不大于0.0001 lx。</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信噪比不小于60dB。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在分辨率1920x1080 @ 25fps，延时不大于70ms。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支持亮度异常、清晰度异常、花屏、雪花、偏色、画面冻结、增益失衡、画面抖动、条纹干扰、信号丢失、视频遮挡、光晕、紫边等故障报警功能。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 在2560x1440 @ 25fps下，清晰度均不小于1400TVL。</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支持检出两眼瞳距20像素点以上的人脸图片。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支持侧脸过滤功能，可过滤上下、左右角度达到预设值的人脸。支持单场景同时检出不少于40张人脸图片。（公安部检验报告证明）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 同一静止场景相同图像质量下，设备在H.265编码方式时，开启智能编码功能和不开启智能编码相比，码率节约80%。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 内置eMMC存储，支持开启、关闭eMMC保护功能。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 不低于IP66防护等级。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 具有DC12V电压输出接口。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 ★支持对镜头前盖玻璃加热，去除玻璃上的冰状和水状附着物。（公安部检验报告证明）</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9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全局人脸抓拍摄像机（核心产品）</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 设备具有1个RJ45网络接口，可输出两路视频图像：通道1、通道2。</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摄像机定焦镜头、变焦镜头靶面尺寸均不小于1/1.8英寸。</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内置不少于2个GPU芯片。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两路视频输出分别支持分辨率设置为2560x1440，帧率设置为25fps，分辨力不小于1500线。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支持最低照度可达彩色0.0002Lux，黑白0.0001Lux。</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★设备一共有8个补光灯，其中特写摄像机的每个补光灯均包含红外补光模块和白光补光模块。（以公安部检验报告为准）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设备支持混合补光，可对红外灯及白光灯进行选择性开启。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 ★支持对镜头前盖玻璃加热，去除玻璃上的冰状和水状附着物。（以公安部检验报告为准）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在设定的侦测区域内有目标移动时，设备可联动开启白光灯并抓拍图像。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支持水平、垂直旋转，水平手控速度不小于240°/s，定位准确度不大于0.1°。</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 设备可同时对行人、非机动车、机动车进行检测、跟踪及抓拍；可支持人脸、车牌的抠图及人脸与人体、车牌与车辆的关联显示。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 设备支持看清80米处人体轮廓，并可生成人体小图。</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 可通过客户端软件显示行人的属性，包括上衣颜色、下装颜色、是/否戴眼镜、是/否背包、是/否戴帽子。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 支持检出两眼瞳距20像素点以上的人脸图片，人脸检出率不小于99%，支持单场景同时检出不少于30张人脸图片，并支持面部跟踪。</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 ★设备可对30米处的行人进行人脸抓拍，并可生成分辨率不小于110×120的人脸图片,图片中人脸两眼瞳距应≥40像素。（以公安部检验报告为准）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 在距离设备30米处，人脸抓拍准确率不小于95%，人体抓拍准确率不小于95%。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 ★通道1检测到且框出移动目标至通道2摄像机开始转动的时间不大于0.2秒。（以公安部检验报告为准）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18. 支持本机存储功能，支持SD卡热插拔，SD卡最大支持256GB。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19. 电压在DC36V±25%范围内变化时，设备可正常工作，工作温度范围可达-45℃-70℃，支持IP67。</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20. 设备支持创建10个人脸库，可导入不少于15万张人脸图片。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21. ★设备支持人脸抓拍去重功能，去重后在所有人脸抓拍图片中，同一人脸抓拍图的数量占比应≤1%。（以公安部检验报告为准）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22. 设备可将车辆抓拍模式设置为不抓拍未悬挂车牌车辆。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23. ★设备细节画面支持快速聚焦，从聚焦开始到聚焦结束用时不超过0.01s。（以公安部检验报告为准）</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495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400万周界摄像机</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 具有400万像素 CMOS传感器。电动变焦镜头:2.7-12mm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内置GPU芯片。内置麦克风和喇叭。</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最低照度彩色：0.0005 lx，黑白:0.0001 lx，最大亮度鉴别等级（灰度等级）不小于11级。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红外补光距离不小于100米。</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支持H.264、H.265、MJPEG视频编码格式，其中H.264支持Baseline/Main/High Profile。</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信噪比不小于62dB。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支持检出两眼瞳距20像素点以上的人脸图片。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 ★支持最佳抓拍和快速抓拍2种人脸图片抓拍模式设置选项。（公安部检验报告证明）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需具备区域入侵、越界入侵、进入区域、离开区域等功能，并可将分析目标设置为人、车辆、人和车辆三种，可对布防时间和联动报警方式进行设置。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★支持声音报警功能，报警声音类型不小于10种，报警声级及报警次数可设置。需具备智能分析抗干扰功能，当篮球、小狗、树叶等非人或车辆目标经过检测区域时，不会触发报警。（公安部检验报告证明）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 需具备镜头控制功能，可通过IE控制镜头的ZOOM和FOCUS，并支持自动聚焦功能，在变焦过程中不会虚焦。</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 支持像素显示功能，可实时显示监控画面上选定区域的水平像素大小和垂直像素大小。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 不低于IP67防尘防水等级。不低于IK10防暴等级。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 需支持DC12V供电，且在不小于DC12V±30%范围内变化时可以正常工作。</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495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400万ICR日夜型半球型网络摄像机；</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 400万1/3”CMOS ICR日夜型半球型网络摄像机；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最小照度 0.07Lux @(F1.2,AGC ON) ,0 Lux with IR；0.19 Lux @(F2.0,AGC ON), 0 Lux with IR；</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快门 1/3秒至1/100,000秒；</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镜头 4mm, 水平视场角:78°(2.8mm,6mm,8mm可选)；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调整角度 水平-30~30°,垂直0~80°,旋转0~360°；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宽动态范围 120dB；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视频压缩标准 H.265 / H.264 / MJPEG；</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 帧率 50Hz: 25fps(2560×1440, 2048 × 1536, 1920 × 1080, 1280 × 720)；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ROI支持三码流分别设置1个固定区域；</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支持智能后检索，配合NVR支持事件的二次检索分析；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 存储功能 支持Micro SD(即TF卡)/Micro SDHC/Micro SDXC卡(128G)断网本地存储,NAS(NFS,SMB/CIFS均支持)；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 智能报警：场景变更侦测,人脸侦测,虚焦侦测,越界侦测,区域入侵侦测，音频异常侦测；</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 工作温度和湿度 -30℃~60℃,湿度小于95%(无凝结)；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 电源供应 DC12V±25% / PoE(802.3af)；</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 功耗 5W MAX (ICR切换瞬间7W)；</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 红外照射距离 10-30米；</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 1个音频输出接口（插线式）、一个内置麦克风、1对报警输入/输出（三极管：超过30毫安建议加继电器）接口</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472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288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400万 1/1.8"  高空抛物智能筒型摄像机</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 400万 1/1.8"  高空抛物智能筒型摄像机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专用于高空抛物监控场景，分变焦2.8-12mm和8-32mm镜头两款产品，应对不同高度的监控覆盖需求</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针对高空抛物场景优化图像效果，有效解决逆光、反射光和杂光等问题</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宽动态: 超宽动态范围达120 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最低照度: 彩色：0.0005 Lux @（F1.2，AGC ON）；黑白：0.0001 Lux @（F1.2，AGC ON），0 Lux with IR</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焦距&amp;视场角: （变焦）2.8~12 mm @F1.2，水平视场角：100.0°~39.8°，垂直视场角：52.0°~22.4°，对角线视场角：120.0°~45.7°</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最大图像尺寸: 2688 × 1520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 视频压缩标准: H.265/H.264/MJPEG</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网络存储: 支持Micro SD(即TF卡)/Micro SDHC /Micro SDXC卡（最大256 GB）断网本地存储及断网续传，NAS（NFS，SMB/CIFS均支持），配合海康黑卡支持SD卡加密及SD卡状态检测</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网络: 1个RJ45 10 M/100 M/1000 M自适应以太网口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 电流及功耗: DC：12 V，0.87 A，最大功耗：10.5 W ；PoE：802.3at，42.5 V~57 V，0.24 A~0.31 A，最大功耗：13.2 W</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 电源接口类型: 三芯电源接口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 供电方式: DC：12 V ± 20% ，支持防反接保护；PoE：802.3at，Class 4</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 启动及工作温湿度: -30 ℃~60 ℃，湿度小于95%（无凝结）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 防护: IP67</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2888"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多目标跟踪系统</w:t>
            </w:r>
          </w:p>
        </w:tc>
        <w:tc>
          <w:tcPr>
            <w:tcW w:w="1316"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7462"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r>
      <w:tr>
        <w:tblPrEx>
          <w:tblCellMar>
            <w:top w:w="0" w:type="dxa"/>
            <w:left w:w="0" w:type="dxa"/>
            <w:bottom w:w="0" w:type="dxa"/>
            <w:right w:w="0" w:type="dxa"/>
          </w:tblCellMar>
        </w:tblPrEx>
        <w:trPr>
          <w:trHeight w:val="720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全景跟踪摄像机（核心产品）</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海康、大华、博聪</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用于河边周界防范，全局监控河边情况防止意外落水事件发生。对进入河边安全防范区域人员进行实时跟踪。                                                     1、全景摄像机视场角范围：水平视场角≥180°，垂直视场角≥140°；（以公安部检验报告为准）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2、动态范围≥105dB，宽动态能力综合评价得分≥140；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3、应具有自动增益功能，使视频信号随目标亮度的变化自动调整视频输出；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4、水平中心分辨率不小于1100TVL；最低照度：彩色≤0.001lx，黑白≤0.0001lx；灰度等级不小于11级；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5、具有2个RJ45网络接口，1路报警输出接口，1个内置TF卡槽；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6、★自动定标有效点：全景摄像机画面区域支持不少于40个定标点；（以公安部检验报告为准）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7、★自动定标精度：在全景摄像机画面点击80米处参照物中心点，球型摄像机自动转到对应的地理位置，球型摄像机画面位置中心点距离参照物中心点小于1米；（以公安部检验报告为准）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8、通过IE浏览器圈定监视画面中的任意区域，在旋转角度范围内允许的条件下，可将该区域处于屏幕中心位置并对该区域进行放大或缩小。（以公安部检验报告为准）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9、旋转范围：水平0~360°连续旋转，垂直0°~90°自动翻转180°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10、跟踪联动响应时间：在全景摄像机画面中点击或框选移动目标至球型摄像机开始转动的时间小于0.5秒；全景摄像机检测到且框出移动目标至球型摄像机开始转动的时间小于0.5秒；</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11、★通过客户端软件可设置跟踪灵敏度，可设置在1到5级。（以公安部检验报告为准）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13、★警戒线功能：对全景摄像机画面中的目标从单向或双向触发警戒线的行为进行锁定跟踪并提示，支持设置不少于50条警戒线；（以公安部检验报告为准）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12、★目标跟踪时间可以在2秒-999秒任意设置；（以公安部检验报告为准）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13、统一网络接口：可通过单个IP地址同时访问全景摄像机和球型摄像机。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14、具备较好的环境适应性，工作温度范围可达-40℃-70℃。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全景摄像机最多支持三级区域告警级别设置，不在不同区域同时有移动目标（人或车）入侵时，球机则优先跟踪级别高的区域内的运动目标，告警区域最大可包含全部监控画面，每一级警戒区数量可设置不少于20个。（以公安部检验报告为准）</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562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多目标智能跟踪处理器（核心产品）</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海康、大华、博聪</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r>
              <w:rPr>
                <w:rFonts w:ascii="Arial" w:hAnsi="Arial" w:eastAsia="宋体" w:cs="Arial"/>
                <w:i w:val="0"/>
                <w:color w:val="auto"/>
                <w:kern w:val="0"/>
                <w:sz w:val="18"/>
                <w:szCs w:val="18"/>
                <w:highlight w:val="none"/>
                <w:u w:val="none"/>
                <w:lang w:val="en-US" w:eastAsia="zh-CN" w:bidi="ar"/>
              </w:rPr>
              <w:t xml:space="preserve"> </w:t>
            </w:r>
            <w:r>
              <w:rPr>
                <w:rStyle w:val="21"/>
                <w:color w:val="auto"/>
                <w:highlight w:val="none"/>
                <w:lang w:val="en-US" w:eastAsia="zh-CN" w:bidi="ar"/>
              </w:rPr>
              <w:t>枪机：200万 1/1.8"CMOS 星光级超宽动态日夜型筒形网络摄像机。</w:t>
            </w:r>
            <w:r>
              <w:rPr>
                <w:rStyle w:val="21"/>
                <w:color w:val="auto"/>
                <w:highlight w:val="none"/>
                <w:lang w:val="en-US" w:eastAsia="zh-CN" w:bidi="ar"/>
              </w:rPr>
              <w:br w:type="textWrapping"/>
            </w:r>
            <w:r>
              <w:rPr>
                <w:rStyle w:val="21"/>
                <w:color w:val="auto"/>
                <w:highlight w:val="none"/>
                <w:lang w:val="en-US" w:eastAsia="zh-CN" w:bidi="ar"/>
              </w:rPr>
              <w:t>(2)</w:t>
            </w:r>
            <w:r>
              <w:rPr>
                <w:rFonts w:ascii="Arial" w:hAnsi="Arial" w:eastAsia="宋体" w:cs="Arial"/>
                <w:i w:val="0"/>
                <w:color w:val="auto"/>
                <w:kern w:val="0"/>
                <w:sz w:val="18"/>
                <w:szCs w:val="18"/>
                <w:highlight w:val="none"/>
                <w:u w:val="none"/>
                <w:lang w:val="en-US" w:eastAsia="zh-CN" w:bidi="ar"/>
              </w:rPr>
              <w:t xml:space="preserve"> </w:t>
            </w:r>
            <w:r>
              <w:rPr>
                <w:rStyle w:val="21"/>
                <w:color w:val="auto"/>
                <w:highlight w:val="none"/>
                <w:lang w:val="en-US" w:eastAsia="zh-CN" w:bidi="ar"/>
              </w:rPr>
              <w:t>图像感应器:1/1.8" Progressive Scan CMOS</w:t>
            </w:r>
            <w:r>
              <w:rPr>
                <w:rStyle w:val="21"/>
                <w:color w:val="auto"/>
                <w:highlight w:val="none"/>
                <w:lang w:val="en-US" w:eastAsia="zh-CN" w:bidi="ar"/>
              </w:rPr>
              <w:br w:type="textWrapping"/>
            </w:r>
            <w:r>
              <w:rPr>
                <w:rStyle w:val="21"/>
                <w:color w:val="auto"/>
                <w:highlight w:val="none"/>
                <w:lang w:val="en-US" w:eastAsia="zh-CN" w:bidi="ar"/>
              </w:rPr>
              <w:t>(3)</w:t>
            </w:r>
            <w:r>
              <w:rPr>
                <w:rFonts w:ascii="Arial" w:hAnsi="Arial" w:eastAsia="宋体" w:cs="Arial"/>
                <w:i w:val="0"/>
                <w:color w:val="auto"/>
                <w:kern w:val="0"/>
                <w:sz w:val="18"/>
                <w:szCs w:val="18"/>
                <w:highlight w:val="none"/>
                <w:u w:val="none"/>
                <w:lang w:val="en-US" w:eastAsia="zh-CN" w:bidi="ar"/>
              </w:rPr>
              <w:t xml:space="preserve"> </w:t>
            </w:r>
            <w:r>
              <w:rPr>
                <w:rStyle w:val="21"/>
                <w:color w:val="auto"/>
                <w:highlight w:val="none"/>
                <w:lang w:val="en-US" w:eastAsia="zh-CN" w:bidi="ar"/>
              </w:rPr>
              <w:t>最低照度:0.001Lux @(F1.2,AGC ON) ,0 Lux with IR</w:t>
            </w:r>
            <w:r>
              <w:rPr>
                <w:rStyle w:val="21"/>
                <w:color w:val="auto"/>
                <w:highlight w:val="none"/>
                <w:lang w:val="en-US" w:eastAsia="zh-CN" w:bidi="ar"/>
              </w:rPr>
              <w:br w:type="textWrapping"/>
            </w:r>
            <w:r>
              <w:rPr>
                <w:rStyle w:val="21"/>
                <w:color w:val="auto"/>
                <w:highlight w:val="none"/>
                <w:lang w:val="en-US" w:eastAsia="zh-CN" w:bidi="ar"/>
              </w:rPr>
              <w:t>(4)</w:t>
            </w:r>
            <w:r>
              <w:rPr>
                <w:rFonts w:ascii="Arial" w:hAnsi="Arial" w:eastAsia="宋体" w:cs="Arial"/>
                <w:i w:val="0"/>
                <w:color w:val="auto"/>
                <w:kern w:val="0"/>
                <w:sz w:val="18"/>
                <w:szCs w:val="18"/>
                <w:highlight w:val="none"/>
                <w:u w:val="none"/>
                <w:lang w:val="en-US" w:eastAsia="zh-CN" w:bidi="ar"/>
              </w:rPr>
              <w:t xml:space="preserve"> </w:t>
            </w:r>
            <w:r>
              <w:rPr>
                <w:rStyle w:val="21"/>
                <w:color w:val="auto"/>
                <w:highlight w:val="none"/>
                <w:lang w:val="en-US" w:eastAsia="zh-CN" w:bidi="ar"/>
              </w:rPr>
              <w:t>高速跟踪球机分辨不低于200万像素，最低照度彩色：彩色：0.002Lux @ (F1.2，AGC ON)，黑白：0.0002Lux @(F1.2，AGC ON)， 30倍光学变焦，1/2.8" progressive scan CMOS。</w:t>
            </w:r>
            <w:r>
              <w:rPr>
                <w:rStyle w:val="21"/>
                <w:color w:val="auto"/>
                <w:highlight w:val="none"/>
                <w:lang w:val="en-US" w:eastAsia="zh-CN" w:bidi="ar"/>
              </w:rPr>
              <w:br w:type="textWrapping"/>
            </w:r>
            <w:r>
              <w:rPr>
                <w:rStyle w:val="21"/>
                <w:color w:val="auto"/>
                <w:highlight w:val="none"/>
                <w:lang w:val="en-US" w:eastAsia="zh-CN" w:bidi="ar"/>
              </w:rPr>
              <w:br w:type="textWrapping"/>
            </w:r>
            <w:r>
              <w:rPr>
                <w:rStyle w:val="21"/>
                <w:color w:val="auto"/>
                <w:highlight w:val="none"/>
                <w:lang w:val="en-US" w:eastAsia="zh-CN" w:bidi="ar"/>
              </w:rPr>
              <w:t>(5)</w:t>
            </w:r>
            <w:r>
              <w:rPr>
                <w:rFonts w:ascii="Arial" w:hAnsi="Arial" w:eastAsia="宋体" w:cs="Arial"/>
                <w:i w:val="0"/>
                <w:color w:val="auto"/>
                <w:kern w:val="0"/>
                <w:sz w:val="18"/>
                <w:szCs w:val="18"/>
                <w:highlight w:val="none"/>
                <w:u w:val="none"/>
                <w:lang w:val="en-US" w:eastAsia="zh-CN" w:bidi="ar"/>
              </w:rPr>
              <w:t xml:space="preserve"> </w:t>
            </w:r>
            <w:r>
              <w:rPr>
                <w:rStyle w:val="21"/>
                <w:color w:val="auto"/>
                <w:highlight w:val="none"/>
                <w:lang w:val="en-US" w:eastAsia="zh-CN" w:bidi="ar"/>
              </w:rPr>
              <w:t>★支持对单侧或双侧触发警戒线的行为进行锁定跟踪并提示,系统支持设置警戒线数量大于或等于50条（提供相关检测机构报告复印件）。</w:t>
            </w:r>
            <w:r>
              <w:rPr>
                <w:rStyle w:val="21"/>
                <w:color w:val="auto"/>
                <w:highlight w:val="none"/>
                <w:lang w:val="en-US" w:eastAsia="zh-CN" w:bidi="ar"/>
              </w:rPr>
              <w:br w:type="textWrapping"/>
            </w:r>
            <w:r>
              <w:rPr>
                <w:rStyle w:val="21"/>
                <w:color w:val="auto"/>
                <w:highlight w:val="none"/>
                <w:lang w:val="en-US" w:eastAsia="zh-CN" w:bidi="ar"/>
              </w:rPr>
              <w:t>(6)</w:t>
            </w:r>
            <w:r>
              <w:rPr>
                <w:rFonts w:ascii="Arial" w:hAnsi="Arial" w:eastAsia="宋体" w:cs="Arial"/>
                <w:i w:val="0"/>
                <w:color w:val="auto"/>
                <w:kern w:val="0"/>
                <w:sz w:val="18"/>
                <w:szCs w:val="18"/>
                <w:highlight w:val="none"/>
                <w:u w:val="none"/>
                <w:lang w:val="en-US" w:eastAsia="zh-CN" w:bidi="ar"/>
              </w:rPr>
              <w:t xml:space="preserve"> </w:t>
            </w:r>
            <w:r>
              <w:rPr>
                <w:rStyle w:val="21"/>
                <w:color w:val="auto"/>
                <w:highlight w:val="none"/>
                <w:lang w:val="en-US" w:eastAsia="zh-CN" w:bidi="ar"/>
              </w:rPr>
              <w:t>★支持三级警戒区设置，分优先级跟踪不同警戒区域内的目标,每一级警戒区可设置区域不少于10个（提供相关检测机构报告复印件）</w:t>
            </w:r>
            <w:r>
              <w:rPr>
                <w:rStyle w:val="21"/>
                <w:color w:val="auto"/>
                <w:highlight w:val="none"/>
                <w:lang w:val="en-US" w:eastAsia="zh-CN" w:bidi="ar"/>
              </w:rPr>
              <w:br w:type="textWrapping"/>
            </w:r>
            <w:r>
              <w:rPr>
                <w:rStyle w:val="21"/>
                <w:color w:val="auto"/>
                <w:highlight w:val="none"/>
                <w:lang w:val="en-US" w:eastAsia="zh-CN" w:bidi="ar"/>
              </w:rPr>
              <w:t>(7)</w:t>
            </w:r>
            <w:r>
              <w:rPr>
                <w:rFonts w:ascii="Arial" w:hAnsi="Arial" w:eastAsia="宋体" w:cs="Arial"/>
                <w:i w:val="0"/>
                <w:color w:val="auto"/>
                <w:kern w:val="0"/>
                <w:sz w:val="18"/>
                <w:szCs w:val="18"/>
                <w:highlight w:val="none"/>
                <w:u w:val="none"/>
                <w:lang w:val="en-US" w:eastAsia="zh-CN" w:bidi="ar"/>
              </w:rPr>
              <w:t xml:space="preserve"> </w:t>
            </w:r>
            <w:r>
              <w:rPr>
                <w:rStyle w:val="21"/>
                <w:color w:val="auto"/>
                <w:highlight w:val="none"/>
                <w:lang w:val="en-US" w:eastAsia="zh-CN" w:bidi="ar"/>
              </w:rPr>
              <w:t>★自动定标成功后，定标点位置偏差小于1米（提供相关检测机构报告复印件）。</w:t>
            </w:r>
            <w:r>
              <w:rPr>
                <w:rStyle w:val="21"/>
                <w:color w:val="auto"/>
                <w:highlight w:val="none"/>
                <w:lang w:val="en-US" w:eastAsia="zh-CN" w:bidi="ar"/>
              </w:rPr>
              <w:br w:type="textWrapping"/>
            </w:r>
            <w:r>
              <w:rPr>
                <w:rStyle w:val="21"/>
                <w:color w:val="auto"/>
                <w:highlight w:val="none"/>
                <w:lang w:val="en-US" w:eastAsia="zh-CN" w:bidi="ar"/>
              </w:rPr>
              <w:t>(8)</w:t>
            </w:r>
            <w:r>
              <w:rPr>
                <w:rFonts w:ascii="Arial" w:hAnsi="Arial" w:eastAsia="宋体" w:cs="Arial"/>
                <w:i w:val="0"/>
                <w:color w:val="auto"/>
                <w:kern w:val="0"/>
                <w:sz w:val="18"/>
                <w:szCs w:val="18"/>
                <w:highlight w:val="none"/>
                <w:u w:val="none"/>
                <w:lang w:val="en-US" w:eastAsia="zh-CN" w:bidi="ar"/>
              </w:rPr>
              <w:t xml:space="preserve"> </w:t>
            </w:r>
            <w:r>
              <w:rPr>
                <w:rStyle w:val="21"/>
                <w:color w:val="auto"/>
                <w:highlight w:val="none"/>
                <w:lang w:val="en-US" w:eastAsia="zh-CN" w:bidi="ar"/>
              </w:rPr>
              <w:t>报警功能支持报警联动信号输出。</w:t>
            </w:r>
            <w:r>
              <w:rPr>
                <w:rStyle w:val="21"/>
                <w:color w:val="auto"/>
                <w:highlight w:val="none"/>
                <w:lang w:val="en-US" w:eastAsia="zh-CN" w:bidi="ar"/>
              </w:rPr>
              <w:br w:type="textWrapping"/>
            </w:r>
            <w:r>
              <w:rPr>
                <w:rStyle w:val="21"/>
                <w:color w:val="auto"/>
                <w:highlight w:val="none"/>
                <w:lang w:val="en-US" w:eastAsia="zh-CN" w:bidi="ar"/>
              </w:rPr>
              <w:t>(9)</w:t>
            </w:r>
            <w:r>
              <w:rPr>
                <w:rFonts w:ascii="Arial" w:hAnsi="Arial" w:eastAsia="宋体" w:cs="Arial"/>
                <w:i w:val="0"/>
                <w:color w:val="auto"/>
                <w:kern w:val="0"/>
                <w:sz w:val="18"/>
                <w:szCs w:val="18"/>
                <w:highlight w:val="none"/>
                <w:u w:val="none"/>
                <w:lang w:val="en-US" w:eastAsia="zh-CN" w:bidi="ar"/>
              </w:rPr>
              <w:t xml:space="preserve"> </w:t>
            </w:r>
            <w:r>
              <w:rPr>
                <w:rStyle w:val="21"/>
                <w:color w:val="auto"/>
                <w:highlight w:val="none"/>
                <w:lang w:val="en-US" w:eastAsia="zh-CN" w:bidi="ar"/>
              </w:rPr>
              <w:t>★支持多目标自动跟踪、自动单目标持续跟踪及一点即视的三种跟踪模式</w:t>
            </w:r>
            <w:r>
              <w:rPr>
                <w:rStyle w:val="21"/>
                <w:color w:val="auto"/>
                <w:highlight w:val="none"/>
                <w:lang w:val="en-US" w:eastAsia="zh-CN" w:bidi="ar"/>
              </w:rPr>
              <w:br w:type="textWrapping"/>
            </w:r>
            <w:r>
              <w:rPr>
                <w:rStyle w:val="21"/>
                <w:color w:val="auto"/>
                <w:highlight w:val="none"/>
                <w:lang w:val="en-US" w:eastAsia="zh-CN" w:bidi="ar"/>
              </w:rPr>
              <w:t>(10)</w:t>
            </w:r>
            <w:r>
              <w:rPr>
                <w:rFonts w:ascii="Arial" w:hAnsi="Arial" w:eastAsia="宋体" w:cs="Arial"/>
                <w:i w:val="0"/>
                <w:color w:val="auto"/>
                <w:kern w:val="0"/>
                <w:sz w:val="18"/>
                <w:szCs w:val="18"/>
                <w:highlight w:val="none"/>
                <w:u w:val="none"/>
                <w:lang w:val="en-US" w:eastAsia="zh-CN" w:bidi="ar"/>
              </w:rPr>
              <w:t xml:space="preserve"> </w:t>
            </w:r>
            <w:r>
              <w:rPr>
                <w:rStyle w:val="21"/>
                <w:color w:val="auto"/>
                <w:highlight w:val="none"/>
                <w:lang w:val="en-US" w:eastAsia="zh-CN" w:bidi="ar"/>
              </w:rPr>
              <w:t>★能够对进入枪机画面警戒区域内的多个移动目标进行锁定,自动驱动球机按设定时间逐个跟踪警戒区域内的移动目标并放大特写</w:t>
            </w:r>
            <w:r>
              <w:rPr>
                <w:rStyle w:val="21"/>
                <w:color w:val="auto"/>
                <w:highlight w:val="none"/>
                <w:lang w:val="en-US" w:eastAsia="zh-CN" w:bidi="ar"/>
              </w:rPr>
              <w:br w:type="textWrapping"/>
            </w:r>
            <w:r>
              <w:rPr>
                <w:rStyle w:val="21"/>
                <w:color w:val="auto"/>
                <w:highlight w:val="none"/>
                <w:lang w:val="en-US" w:eastAsia="zh-CN" w:bidi="ar"/>
              </w:rPr>
              <w:t>(11)</w:t>
            </w:r>
            <w:r>
              <w:rPr>
                <w:rFonts w:ascii="Arial" w:hAnsi="Arial" w:eastAsia="宋体" w:cs="Arial"/>
                <w:i w:val="0"/>
                <w:color w:val="auto"/>
                <w:kern w:val="0"/>
                <w:sz w:val="18"/>
                <w:szCs w:val="18"/>
                <w:highlight w:val="none"/>
                <w:u w:val="none"/>
                <w:lang w:val="en-US" w:eastAsia="zh-CN" w:bidi="ar"/>
              </w:rPr>
              <w:t xml:space="preserve"> </w:t>
            </w:r>
            <w:r>
              <w:rPr>
                <w:rStyle w:val="21"/>
                <w:color w:val="auto"/>
                <w:highlight w:val="none"/>
                <w:lang w:val="en-US" w:eastAsia="zh-CN" w:bidi="ar"/>
              </w:rPr>
              <w:t>★能够通过人工在枪机画面用鼠标选定某个特定的移动目标，自动驱动球机对此移动目标进行持续跟踪（提供相关检测机构报告复印件）。</w:t>
            </w:r>
            <w:r>
              <w:rPr>
                <w:rStyle w:val="21"/>
                <w:color w:val="auto"/>
                <w:highlight w:val="none"/>
                <w:lang w:val="en-US" w:eastAsia="zh-CN" w:bidi="ar"/>
              </w:rPr>
              <w:br w:type="textWrapping"/>
            </w:r>
            <w:r>
              <w:rPr>
                <w:rStyle w:val="21"/>
                <w:color w:val="auto"/>
                <w:highlight w:val="none"/>
                <w:lang w:val="en-US" w:eastAsia="zh-CN" w:bidi="ar"/>
              </w:rPr>
              <w:t>(12)</w:t>
            </w:r>
            <w:r>
              <w:rPr>
                <w:rFonts w:ascii="Arial" w:hAnsi="Arial" w:eastAsia="宋体" w:cs="Arial"/>
                <w:i w:val="0"/>
                <w:color w:val="auto"/>
                <w:kern w:val="0"/>
                <w:sz w:val="18"/>
                <w:szCs w:val="18"/>
                <w:highlight w:val="none"/>
                <w:u w:val="none"/>
                <w:lang w:val="en-US" w:eastAsia="zh-CN" w:bidi="ar"/>
              </w:rPr>
              <w:t xml:space="preserve"> </w:t>
            </w:r>
            <w:r>
              <w:rPr>
                <w:rStyle w:val="21"/>
                <w:color w:val="auto"/>
                <w:highlight w:val="none"/>
                <w:lang w:val="en-US" w:eastAsia="zh-CN" w:bidi="ar"/>
              </w:rPr>
              <w:t>印件并加盖厂家公章验证。</w:t>
            </w:r>
            <w:r>
              <w:rPr>
                <w:rStyle w:val="21"/>
                <w:color w:val="auto"/>
                <w:highlight w:val="none"/>
                <w:lang w:val="en-US" w:eastAsia="zh-CN" w:bidi="ar"/>
              </w:rPr>
              <w:br w:type="textWrapping"/>
            </w:r>
            <w:r>
              <w:rPr>
                <w:rStyle w:val="21"/>
                <w:color w:val="auto"/>
                <w:highlight w:val="none"/>
                <w:lang w:val="en-US" w:eastAsia="zh-CN" w:bidi="ar"/>
              </w:rPr>
              <w:t>(13)</w:t>
            </w:r>
            <w:r>
              <w:rPr>
                <w:rFonts w:ascii="Arial" w:hAnsi="Arial" w:eastAsia="宋体" w:cs="Arial"/>
                <w:i w:val="0"/>
                <w:color w:val="auto"/>
                <w:kern w:val="0"/>
                <w:sz w:val="18"/>
                <w:szCs w:val="18"/>
                <w:highlight w:val="none"/>
                <w:u w:val="none"/>
                <w:lang w:val="en-US" w:eastAsia="zh-CN" w:bidi="ar"/>
              </w:rPr>
              <w:t xml:space="preserve"> </w:t>
            </w:r>
            <w:r>
              <w:rPr>
                <w:rStyle w:val="21"/>
                <w:color w:val="auto"/>
                <w:highlight w:val="none"/>
                <w:lang w:val="en-US" w:eastAsia="zh-CN" w:bidi="ar"/>
              </w:rPr>
              <w:t>★跟踪灵敏度可以在1-5级之间进行调节（提供相关检测机构报告复印件）</w:t>
            </w:r>
            <w:r>
              <w:rPr>
                <w:rStyle w:val="21"/>
                <w:color w:val="auto"/>
                <w:highlight w:val="none"/>
                <w:lang w:val="en-US" w:eastAsia="zh-CN" w:bidi="ar"/>
              </w:rPr>
              <w:br w:type="textWrapping"/>
            </w:r>
            <w:r>
              <w:rPr>
                <w:rStyle w:val="21"/>
                <w:color w:val="auto"/>
                <w:highlight w:val="none"/>
                <w:lang w:val="en-US" w:eastAsia="zh-CN" w:bidi="ar"/>
              </w:rPr>
              <w:t>(14)</w:t>
            </w:r>
            <w:r>
              <w:rPr>
                <w:rFonts w:ascii="Arial" w:hAnsi="Arial" w:eastAsia="宋体" w:cs="Arial"/>
                <w:i w:val="0"/>
                <w:color w:val="auto"/>
                <w:kern w:val="0"/>
                <w:sz w:val="18"/>
                <w:szCs w:val="18"/>
                <w:highlight w:val="none"/>
                <w:u w:val="none"/>
                <w:lang w:val="en-US" w:eastAsia="zh-CN" w:bidi="ar"/>
              </w:rPr>
              <w:t xml:space="preserve"> </w:t>
            </w:r>
            <w:r>
              <w:rPr>
                <w:rStyle w:val="21"/>
                <w:color w:val="auto"/>
                <w:highlight w:val="none"/>
                <w:lang w:val="en-US" w:eastAsia="zh-CN" w:bidi="ar"/>
              </w:rPr>
              <w:t>★屏蔽区设置：在每一级警戒区内，允许设置的屏蔽区个数不少于20个。（提供相关检测机构报告复印件）</w:t>
            </w:r>
            <w:r>
              <w:rPr>
                <w:rStyle w:val="21"/>
                <w:color w:val="auto"/>
                <w:highlight w:val="none"/>
                <w:lang w:val="en-US" w:eastAsia="zh-CN" w:bidi="ar"/>
              </w:rPr>
              <w:br w:type="textWrapping"/>
            </w:r>
            <w:r>
              <w:rPr>
                <w:rStyle w:val="21"/>
                <w:color w:val="auto"/>
                <w:highlight w:val="none"/>
                <w:lang w:val="en-US" w:eastAsia="zh-CN" w:bidi="ar"/>
              </w:rPr>
              <w:t>(15)</w:t>
            </w:r>
            <w:r>
              <w:rPr>
                <w:rFonts w:ascii="Arial" w:hAnsi="Arial" w:eastAsia="宋体" w:cs="Arial"/>
                <w:i w:val="0"/>
                <w:color w:val="auto"/>
                <w:kern w:val="0"/>
                <w:sz w:val="18"/>
                <w:szCs w:val="18"/>
                <w:highlight w:val="none"/>
                <w:u w:val="none"/>
                <w:lang w:val="en-US" w:eastAsia="zh-CN" w:bidi="ar"/>
              </w:rPr>
              <w:t xml:space="preserve"> </w:t>
            </w:r>
            <w:r>
              <w:rPr>
                <w:rStyle w:val="21"/>
                <w:color w:val="auto"/>
                <w:highlight w:val="none"/>
                <w:lang w:val="en-US" w:eastAsia="zh-CN" w:bidi="ar"/>
              </w:rPr>
              <w:t>★目标跟踪时间可以在2-999秒任意设置（提供相关检测机构报告复印件）</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制高点立杆(含基础)</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国产优质定制</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定制方型外挑，壁厚不小于6mm，黑色防锈喷柒（定制国美特色）</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337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智能多目标自动跟踪软件（核心产品）</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海康、大华、博聪</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与跟踪摄像机配套使用实现多目标跟踪功能                                      ★自动定标有效点：全景摄像机画面区域支持不少于40个定标点；</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★自动定标精度：在全景摄像机画面点击80米处参照物中心点，球型摄像机自动转到对应的地理位置，球型摄像机画面位置中心点距离参照物中心点小于1米；      ★支持多目标自动跟踪、自动单目标持续跟踪及一点即视的三种跟踪模式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★能够对进入枪机画面警戒区域内的多个移动目标进行锁定,自动驱动球机按设定时间逐个跟踪警戒区域内的移动目标并放大特写</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★能够通过人工在枪机画面用鼠标选定某个特定的移动目标，自动驱动球机对此移动目标进行持续跟踪。</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★跟踪灵敏度可以在1-5级之间进行调节。</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★屏蔽区设置：在每一级警戒区内，允许设置的屏蔽区个数不少于20个。</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★目标跟踪时间可以在2-999秒任意设置                                     ★全景摄像机最多支持三级区域告警级别设置，不在不同区域同时有移动目标（人或车）入侵时，球机则优先跟踪级别高的区域内的运动目标，告警区域最大可包含全部监控画面，每一级警戒区数量可设置不少于20个。</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2888"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传输产品</w:t>
            </w:r>
          </w:p>
        </w:tc>
        <w:tc>
          <w:tcPr>
            <w:tcW w:w="1316"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7462"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r>
      <w:tr>
        <w:tblPrEx>
          <w:tblCellMar>
            <w:top w:w="0" w:type="dxa"/>
            <w:left w:w="0" w:type="dxa"/>
            <w:bottom w:w="0" w:type="dxa"/>
            <w:right w:w="0" w:type="dxa"/>
          </w:tblCellMar>
        </w:tblPrEx>
        <w:trPr>
          <w:trHeight w:val="9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网管汇聚交换机（POE）</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华三、华为、锐捷</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24口千兆全网管二层交换机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机架式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24个千兆电口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4个千兆光口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支持通过console口管理。交换容量256Gbps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包转发率42Mpps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1U高度</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19英寸宽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工作温度：0℃～40℃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支持220v交流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满负荷功耗23W；支持VLAN</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流量控制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ACL</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QOS支持SNMP V1/V2c/V3网管。</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382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8口接入交换机</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华三、华为、锐捷</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轻网管提供8个百兆PoE电口，1个千兆网络电口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支持IEEE 802.3at/af标准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支持IEEE 802.3、IEEE 802.3u、IEEE 802.3x、IEEE 802.3ab标准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支持iVMS-4200客户端管理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支持云管APP管理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支持安防网络拓扑管理、端口管理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支持远程升级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支持8芯供电</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支持最远250 m传输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支持6 KV防浪涌（PoE口）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支持PoE输出功率管理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百兆网络接入设计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线速转发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存储转发交换方式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坚固式高强度金属外壳</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无风扇设计，高可靠性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POE最大供电功率：110 W</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157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光模块</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华三、华为、锐捷</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千兆20公里单模单纤接收端模块</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TX1550nm/1.25G</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RX1310nm/1.25G</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LC</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20km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0～70℃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SFP</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112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电梯网桥</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华三、华为、锐捷</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5.8G电梯网桥，802.11ac制式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成对包装，距离500米</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3网口设计，支持路由功能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定向天线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成对包装</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w:t>
            </w:r>
          </w:p>
        </w:tc>
        <w:tc>
          <w:tcPr>
            <w:tcW w:w="2888"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一键报警系统</w:t>
            </w:r>
          </w:p>
        </w:tc>
        <w:tc>
          <w:tcPr>
            <w:tcW w:w="1316"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7462"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r>
      <w:tr>
        <w:tblPrEx>
          <w:tblCellMar>
            <w:top w:w="0" w:type="dxa"/>
            <w:left w:w="0" w:type="dxa"/>
            <w:bottom w:w="0" w:type="dxa"/>
            <w:right w:w="0" w:type="dxa"/>
          </w:tblCellMar>
        </w:tblPrEx>
        <w:trPr>
          <w:trHeight w:val="9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紧急报警柱</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一键式紧急报警柱</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 200w像素视频采集，支持红外补光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采用嵌入式Linux操作系统,高性能嵌入式SOC处理器，系统运行稳定可靠；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前置环形红色背光灯机械按键，环形红色背光灯能定时闪烁，报警按钮处具有“紧急报警”明显标示说明，呼叫接通后的通话过程中按键的红色环形背光灯闪烁频率应加快，指示为当前处于通话状态；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设备支持双网口链路、PSTN电话链路传输；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设备支持2路音频输入和2路音频输出；音频输入和音频输出关系可自由配置，内部含高灵敏度麦克风，拾音距离应达到10米，语音清晰，内置30W扬声器；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设备支持将防拆报警、防区报警等报警信息通过网线传送到管理中心，并形成日志文件；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支持呼叫转移功能：设备呼叫中心管理机时，可通过呼叫转移功能将呼叫信息转移到其他中心管理机上；</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 支持可视对讲功能：按下紧急求助按键后呼叫中心管理机，呼叫过程中能听到相应提示音；通话过程中中心能看到设备处实时视频，支持实时全双工双向语音对讲和视频通话功能；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支持同时进行多方实时对讲通话，多台前端设备与多台中心管理机实时多方通话；</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支持将音视频同步存储到设备SD卡中，当在双向对讲通话时录像存储为双向通过混音的音视频复合流；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 支持红外补光，在光照强度0.1Lx时，红外补光距离应不小于10米；支持日夜模式自动切换：通过ICR红外滤片实现自动切换，实现真正的日夜模式监控；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 彩色图像：图像分辨力≥280TVL，亮度鉴别等级≥8级；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 支持中心管理机控制前端设备警灯打开和关闭功能；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 支持语音播报、分组广播功能；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 支持外界噪音侦测报警；外界噪音≥60DB（可设置），内置振动探测器接口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 支持本地钥匙开锁；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 支持巡更刷卡功能；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18. 支持GPS实时定位功能；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19. 支持网络远程在线升级功能；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20. 集成8口交换机；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21. 防护等级：IP65；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22. 工作环境:温度-40℃～70℃,湿度小于93%环境下稳定工作</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70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紧急报警盒</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可视化紧急求助报警盒</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 一键报警，200w像素视频采集，支持红外补光，支持语音对讲、广播；支持双网口；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设备支持2路音频输入和2路音频输出；音频输入和音频输出关系可自由配置，内部含高灵敏度麦克风，拾音距离应达到10米，语音清晰，内置3W扬声器；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支持呼叫转移功能：设备呼叫中心管理机的时候，应可通过呼叫转移功能将呼叫信息转移到其他中心管理机上；</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支持同时进行多方实时对讲通话，多台前端设备与多台中心管理机实时多方通话；</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支持红外补光，在光照强度0.1Lx时，红外补光距离应不小于10米；支持日夜模式自动切换：通过ICR红外滤片实现自动切换，实现真正的日夜模式监控；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工作环境:温度-40℃～70℃,湿度小于93%环境下稳定工作</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157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紧急报警管理机</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 10.1寸触摸屏紧急报警管理机；集成视频查看、双向对讲、呼叫前端等功能，用于管理前端一键求助报警产品。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支持1080P视频显示，支持H.264/H.265解码，支持最大128G Micro SD卡存储；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支持4路开关量输入，4路继电器输出；支持VGA、HDMI同源输出；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支持1路3.5mm音频输入，1路3.5mm音频输出；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话柄、鹅颈话筒杆可拆卸，支持DC12V、PoE(IEEE 802.3 at/af)供电。</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w:t>
            </w:r>
          </w:p>
        </w:tc>
        <w:tc>
          <w:tcPr>
            <w:tcW w:w="2888"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测速系统</w:t>
            </w:r>
          </w:p>
        </w:tc>
        <w:tc>
          <w:tcPr>
            <w:tcW w:w="1316"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7462"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r>
      <w:tr>
        <w:tblPrEx>
          <w:tblCellMar>
            <w:top w:w="0" w:type="dxa"/>
            <w:left w:w="0" w:type="dxa"/>
            <w:bottom w:w="0" w:type="dxa"/>
            <w:right w:w="0" w:type="dxa"/>
          </w:tblCellMar>
        </w:tblPrEx>
        <w:trPr>
          <w:trHeight w:val="9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w:t>
            </w:r>
          </w:p>
        </w:tc>
        <w:tc>
          <w:tcPr>
            <w:tcW w:w="288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雷达视频一体机（核心产品）</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【雷达视频测速一体机】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 77GHz高频段毫米波雷达 &amp; 400万低照度摄像机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支持机动车测速，卡口图片抓拍</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支持联动屏幕，实时显示车牌号、车速值</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4. 测速距离最大100米，车牌识别距离最大22米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支持透雾、强光抑制、宽动态，并具有多种白平衡模式，适合各种场景需求</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雷达、视频和抓拍一体化设备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安装调试方便，正装最大支持三车道园区测速，侧装两车道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 支持基于视频的车牌、车辆特征识别：车型、车辆主品牌、子品牌、车身颜色等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★支持图片字符叠加功能，可在抓拍图片上叠加时间（精确到毫秒）、地点、车道号、限速值、车辆品牌、车速、车身颜色、车牌号码等信息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10.★支持自动区分机动车（不含摩托车）、二轮车（摩托车、自行车，电动二轮车）、三轮车和行人，类型区分准确率不低于95%。</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337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w:t>
            </w:r>
          </w:p>
        </w:tc>
        <w:tc>
          <w:tcPr>
            <w:tcW w:w="288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常亮补光灯</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【暖光】【28颗】LED常亮灯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 发光角度：40°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最佳补光距离：16米～25米</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响应时间：≤20us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4. 日夜功能：支持环境亮度检测，低照度下自动开启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亮度控制：两档亮度控制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补光灯故障检测信号输出：当灯处于开启模式时，补光灯输出电流过大或过小时，故障输出端口输出高电压（典型值5V）</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设计寿命：≥50000小时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 外壳材质：压铸铝</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电源：AC220V±20%，47Hz~63Hz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功率：最大60W，低亮档30W （实际功率与控制方式相关）</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 工作环境：工作温度-40℃～+70℃，工作湿度10%～90%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 防护等级：IP66</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 安装方式：正装（支架旋转角度-90°~+90°）</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9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w:t>
            </w:r>
          </w:p>
        </w:tc>
        <w:tc>
          <w:tcPr>
            <w:tcW w:w="288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车牌车速提示牌</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【园区测速提示牌】【车速显示】【车牌显示】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包含：测速牌、抱箍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外壳材质：铝板折边、表面喷塑贴反光膜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工作电压：AC 220V±44V，50Hz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总功率：≤25W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通讯接口：RJ45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测速显示数值：红199～1；绿199～1</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LED中心亮度：红&gt;5000 cd/㎡；黄&gt;5000 cd/㎡ ；绿&gt;5000 cd/㎡</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LED波长：红:628nm±1nm；黄:590nm±1nm；绿:505nm±1nm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LED直径：Φ5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单管电流：≤20mA</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LED寿命：≥100000小时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反光膜等级：3级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反光膜寿命：≥10年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可视距离：≥500m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可视角度：&gt;30°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防护等级：IP53</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安装方式：立杆安装</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【车牌显示单元】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像素：96*32</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像素组成：1R1G</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点间距：10mm；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单元尺寸：960mm*320mm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文字内容；可显示红、黄、绿三种颜色的任意文字</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模组亮度：4500-5000cd/㎡</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水平可视角度：110°±10°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垂直可视角度：60°±10°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最佳观看距离：10-100m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平均无故障时间：≥10000小时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使用寿命：100000小时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盲点率：小于万分之一，出厂无盲点</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块</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w:t>
            </w:r>
          </w:p>
        </w:tc>
        <w:tc>
          <w:tcPr>
            <w:tcW w:w="2888"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云镜系统</w:t>
            </w:r>
          </w:p>
        </w:tc>
        <w:tc>
          <w:tcPr>
            <w:tcW w:w="1316"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7462"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r>
      <w:tr>
        <w:tblPrEx>
          <w:tblCellMar>
            <w:top w:w="0" w:type="dxa"/>
            <w:left w:w="0" w:type="dxa"/>
            <w:bottom w:w="0" w:type="dxa"/>
            <w:right w:w="0" w:type="dxa"/>
          </w:tblCellMar>
        </w:tblPrEx>
        <w:trPr>
          <w:trHeight w:val="9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w:t>
            </w:r>
          </w:p>
        </w:tc>
        <w:tc>
          <w:tcPr>
            <w:tcW w:w="288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AR鹰眼（核心产品）</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 ★具备AR视频标签添加，修改，删除和标准等系列管理功能，支持全景通道添加不少于800个标签，细节通道添加不少于400个标签；标签类型包括：**站视频标签，建筑物视频标签，卡口视频标签，普通视频标签等（以公安部检验报告为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具备标签跟踪功能，可对全景和细节通道的移动标签进行跟踪，移动标签始终位于画面中心，且跟踪时间和倍率可设置。（以公安部检验报告为准）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具备标签同步功能，在细节通道添加或删除指定标签时，全景通道应自动添加或删除该标签。</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★自带镜头，另配6个图像采集模块，可输出1路主视频图像和6路辅视频图像。可将辅视频图像进行无缝拼接，拼接后的辅视频图像：水平视场角为270°，垂直视场角为80°（以公安部型式检验报告为准）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主视频图像：2560×1440@25fps，辅视频图像：8160×2400@30fps，其中主视频图像分辨力不小于1600线。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★内置不少于3个GPU芯片 。（以公安部型式检验报告为准）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★全景通道采用6个靶面尺寸为 1/1.8＂的镜头，分辨率为均为2560×1440，细节通道采用1个 靶面尺寸为1/1.8＂的镜头，分辨率为2560×1440。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 主视频支持不小于40倍光学变倍，支持检测当前镜头指向方向与地平面夹角，并可根据夹角变化自动调整倍率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彩色：0.0003lux；黑白：0.0001lux</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支持水平手控速度不小于240°/S，云台定位精度为不大于0.1°。垂直手控速度不小于200°/S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 水平连续360°旋转。垂直旋转范围为-20°~90°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 支持7路报警输入接口，2路报警输出接口，支持1路音频输入，1路输出接口。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 支持500个预置位，支持32条巡航扫描，每条巡航路径可设置16个预置点。</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 支持三码流输出，主码流球机摄像机通道支持输出2560×1440@25fps图像、全景通道支持输出8160×2400@25fps图像；第三码流球机摄像机通道支持输出1920×1080@25ps图像、全景通道支持输出4096×1200@25fps图像。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 产品支持畸变调整功能，支持通过客户端对辅助视频图像的全景画面进行远，中，近3种畸变调整。支持画面调整功能，支持通过客户端对辅助视频图像的全景画面进行上，下，左，右平移和三维空间旋转，进而调整视场画面。</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 产品支持人员密度功能，支持通过IE浏览器对辅助视频的全景画面设备不少于6个检测框，检测区域人数可通过OSD叠加的形式显示，并且可设置3个等级的人数，当检测框中的人数在3个等级之间变化时可触发报警。支持热度图叠加显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 电源具有较强适应性，电源电压在DC36V±47%范围内变化时，摄像机可以正常工作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18. 具备较好防护性能和环境适应性，支持IP67，10KV防浪涌，工作温度范围可达-45℃-75℃。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19. 样机支持快速聚集功能，分辨率设置为2560×1440@25fps，码率为2Mbps，样机可跟踪行人或机动车等移动目标并录像，单帧回放录像文件，每一帧清晰可见。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20. 可对距设备100米处的人脸进行抓拍。</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21. 可通过IE浏览器设置8个场景进行人脸抓拍，可设置每个场景的布防时间。</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22. 支持车辆拥堵检测功能；全景通道可对监控画面中多边形区域内的车辆拥堵情况进行检测，当车辆所占面积超过设定的阈值时，会产生拥堵报警提示，当拥堵报警持续时间超过设定阈值时，可抓拍图片；报警持续时间阈值可设定。</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23. 支持偏色矫正功能，可通过手动或自动方式对样机视频采集模块进行偏正矫正。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24. ★在全景通道中，可对距离样机至少700米处的不大于1.7米x0.5米的移动目标进行检测并联动细节通道进行跟踪。（以公安部检验报告为准）</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36</w:t>
            </w:r>
          </w:p>
        </w:tc>
        <w:tc>
          <w:tcPr>
            <w:tcW w:w="288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AR鹰眼支架立杆</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与AR鹰眼配套.立杆含，基础长壁装/铂晶灰/铝合金/</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37</w:t>
            </w:r>
          </w:p>
        </w:tc>
        <w:tc>
          <w:tcPr>
            <w:tcW w:w="288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AR实景地图应用</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提供高低点视频预览，云台控制、多画面轮巡，标签同步回放，标签管理、标签分层、数据可视化展示等功能。</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w:t>
            </w:r>
          </w:p>
        </w:tc>
        <w:tc>
          <w:tcPr>
            <w:tcW w:w="2888"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巡更系统</w:t>
            </w:r>
          </w:p>
        </w:tc>
        <w:tc>
          <w:tcPr>
            <w:tcW w:w="1316"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7462"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r>
      <w:tr>
        <w:tblPrEx>
          <w:tblCellMar>
            <w:top w:w="0" w:type="dxa"/>
            <w:left w:w="0" w:type="dxa"/>
            <w:bottom w:w="0" w:type="dxa"/>
            <w:right w:w="0" w:type="dxa"/>
          </w:tblCellMar>
        </w:tblPrEx>
        <w:trPr>
          <w:trHeight w:val="303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39</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巡更棒</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优质国产</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after="180" w:afterAutospacing="0"/>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1</w:t>
            </w:r>
            <w:r>
              <w:rPr>
                <w:rStyle w:val="21"/>
                <w:color w:val="auto"/>
                <w:highlight w:val="none"/>
                <w:lang w:val="en-US" w:eastAsia="zh-CN" w:bidi="ar"/>
              </w:rPr>
              <w:t>、外壳结构：超强合金外壳，全方位硅胶内胆包裹，内六角螺栓固定，接缝处防水密封圈。</w:t>
            </w:r>
            <w:r>
              <w:rPr>
                <w:rStyle w:val="21"/>
                <w:color w:val="auto"/>
                <w:highlight w:val="none"/>
                <w:lang w:val="en-US" w:eastAsia="zh-CN" w:bidi="ar"/>
              </w:rPr>
              <w:br w:type="textWrapping"/>
            </w:r>
            <w:r>
              <w:rPr>
                <w:rStyle w:val="19"/>
                <w:rFonts w:eastAsia="宋体"/>
                <w:color w:val="auto"/>
                <w:highlight w:val="none"/>
                <w:lang w:val="en-US" w:eastAsia="zh-CN" w:bidi="ar"/>
              </w:rPr>
              <w:t>2</w:t>
            </w:r>
            <w:r>
              <w:rPr>
                <w:rStyle w:val="21"/>
                <w:color w:val="auto"/>
                <w:highlight w:val="none"/>
                <w:lang w:val="en-US" w:eastAsia="zh-CN" w:bidi="ar"/>
              </w:rPr>
              <w:t>、大容量存储：可存储巡检记录</w:t>
            </w:r>
            <w:r>
              <w:rPr>
                <w:rStyle w:val="19"/>
                <w:rFonts w:eastAsia="宋体"/>
                <w:color w:val="auto"/>
                <w:highlight w:val="none"/>
                <w:lang w:val="en-US" w:eastAsia="zh-CN" w:bidi="ar"/>
              </w:rPr>
              <w:t>60000</w:t>
            </w:r>
            <w:r>
              <w:rPr>
                <w:rStyle w:val="21"/>
                <w:color w:val="auto"/>
                <w:highlight w:val="none"/>
                <w:lang w:val="en-US" w:eastAsia="zh-CN" w:bidi="ar"/>
              </w:rPr>
              <w:t>条，每天读卡</w:t>
            </w:r>
            <w:r>
              <w:rPr>
                <w:rStyle w:val="19"/>
                <w:rFonts w:eastAsia="宋体"/>
                <w:color w:val="auto"/>
                <w:highlight w:val="none"/>
                <w:lang w:val="en-US" w:eastAsia="zh-CN" w:bidi="ar"/>
              </w:rPr>
              <w:t>300</w:t>
            </w:r>
            <w:r>
              <w:rPr>
                <w:rStyle w:val="21"/>
                <w:color w:val="auto"/>
                <w:highlight w:val="none"/>
                <w:lang w:val="en-US" w:eastAsia="zh-CN" w:bidi="ar"/>
              </w:rPr>
              <w:t>次，可以储存</w:t>
            </w:r>
            <w:r>
              <w:rPr>
                <w:rStyle w:val="19"/>
                <w:rFonts w:eastAsia="宋体"/>
                <w:color w:val="auto"/>
                <w:highlight w:val="none"/>
                <w:lang w:val="en-US" w:eastAsia="zh-CN" w:bidi="ar"/>
              </w:rPr>
              <w:t>6</w:t>
            </w:r>
            <w:r>
              <w:rPr>
                <w:rStyle w:val="21"/>
                <w:color w:val="auto"/>
                <w:highlight w:val="none"/>
                <w:lang w:val="en-US" w:eastAsia="zh-CN" w:bidi="ar"/>
              </w:rPr>
              <w:t>个多月的数据，不会因为巡更故障出现数据丢失。</w:t>
            </w:r>
            <w:r>
              <w:rPr>
                <w:rStyle w:val="21"/>
                <w:color w:val="auto"/>
                <w:highlight w:val="none"/>
                <w:lang w:val="en-US" w:eastAsia="zh-CN" w:bidi="ar"/>
              </w:rPr>
              <w:br w:type="textWrapping"/>
            </w:r>
            <w:r>
              <w:rPr>
                <w:rStyle w:val="19"/>
                <w:rFonts w:eastAsia="宋体"/>
                <w:color w:val="auto"/>
                <w:highlight w:val="none"/>
                <w:lang w:val="en-US" w:eastAsia="zh-CN" w:bidi="ar"/>
              </w:rPr>
              <w:t>3</w:t>
            </w:r>
            <w:r>
              <w:rPr>
                <w:rStyle w:val="21"/>
                <w:color w:val="auto"/>
                <w:highlight w:val="none"/>
                <w:lang w:val="en-US" w:eastAsia="zh-CN" w:bidi="ar"/>
              </w:rPr>
              <w:t>、通讯座通讯模式，无需安装驱动，即插即用，下载数据速度超快，直接充电，方便实用。</w:t>
            </w:r>
            <w:r>
              <w:rPr>
                <w:rStyle w:val="21"/>
                <w:color w:val="auto"/>
                <w:highlight w:val="none"/>
                <w:lang w:val="en-US" w:eastAsia="zh-CN" w:bidi="ar"/>
              </w:rPr>
              <w:br w:type="textWrapping"/>
            </w:r>
            <w:r>
              <w:rPr>
                <w:rStyle w:val="19"/>
                <w:rFonts w:eastAsia="宋体"/>
                <w:color w:val="auto"/>
                <w:highlight w:val="none"/>
                <w:lang w:val="en-US" w:eastAsia="zh-CN" w:bidi="ar"/>
              </w:rPr>
              <w:t>4</w:t>
            </w:r>
            <w:r>
              <w:rPr>
                <w:rStyle w:val="21"/>
                <w:color w:val="auto"/>
                <w:highlight w:val="none"/>
                <w:lang w:val="en-US" w:eastAsia="zh-CN" w:bidi="ar"/>
              </w:rPr>
              <w:t>、读卡提示：读卡后屏幕显示巡检点编号，正常读卡完成后，有声音和灯光提示。</w:t>
            </w:r>
            <w:r>
              <w:rPr>
                <w:rStyle w:val="21"/>
                <w:color w:val="auto"/>
                <w:highlight w:val="none"/>
                <w:lang w:val="en-US" w:eastAsia="zh-CN" w:bidi="ar"/>
              </w:rPr>
              <w:br w:type="textWrapping"/>
            </w:r>
            <w:r>
              <w:rPr>
                <w:rStyle w:val="19"/>
                <w:rFonts w:eastAsia="宋体"/>
                <w:color w:val="auto"/>
                <w:highlight w:val="none"/>
                <w:lang w:val="en-US" w:eastAsia="zh-CN" w:bidi="ar"/>
              </w:rPr>
              <w:t>5</w:t>
            </w:r>
            <w:r>
              <w:rPr>
                <w:rStyle w:val="21"/>
                <w:color w:val="auto"/>
                <w:highlight w:val="none"/>
                <w:lang w:val="en-US" w:eastAsia="zh-CN" w:bidi="ar"/>
              </w:rPr>
              <w:t>、长</w:t>
            </w:r>
            <w:r>
              <w:rPr>
                <w:rStyle w:val="19"/>
                <w:rFonts w:eastAsia="宋体"/>
                <w:color w:val="auto"/>
                <w:highlight w:val="none"/>
                <w:lang w:val="en-US" w:eastAsia="zh-CN" w:bidi="ar"/>
              </w:rPr>
              <w:t>x</w:t>
            </w:r>
            <w:r>
              <w:rPr>
                <w:rStyle w:val="21"/>
                <w:color w:val="auto"/>
                <w:highlight w:val="none"/>
                <w:lang w:val="en-US" w:eastAsia="zh-CN" w:bidi="ar"/>
              </w:rPr>
              <w:t>宽</w:t>
            </w:r>
            <w:r>
              <w:rPr>
                <w:rStyle w:val="19"/>
                <w:rFonts w:eastAsia="宋体"/>
                <w:color w:val="auto"/>
                <w:highlight w:val="none"/>
                <w:lang w:val="en-US" w:eastAsia="zh-CN" w:bidi="ar"/>
              </w:rPr>
              <w:t>x</w:t>
            </w:r>
            <w:r>
              <w:rPr>
                <w:rStyle w:val="21"/>
                <w:color w:val="auto"/>
                <w:highlight w:val="none"/>
                <w:lang w:val="en-US" w:eastAsia="zh-CN" w:bidi="ar"/>
              </w:rPr>
              <w:t>高：</w:t>
            </w:r>
            <w:r>
              <w:rPr>
                <w:rStyle w:val="19"/>
                <w:rFonts w:eastAsia="宋体"/>
                <w:color w:val="auto"/>
                <w:highlight w:val="none"/>
                <w:lang w:val="en-US" w:eastAsia="zh-CN" w:bidi="ar"/>
              </w:rPr>
              <w:t>147mmx42mmx22mm</w:t>
            </w:r>
            <w:r>
              <w:rPr>
                <w:rStyle w:val="19"/>
                <w:rFonts w:eastAsia="宋体"/>
                <w:color w:val="auto"/>
                <w:highlight w:val="none"/>
                <w:lang w:val="en-US" w:eastAsia="zh-CN" w:bidi="ar"/>
              </w:rPr>
              <w:br w:type="textWrapping"/>
            </w:r>
            <w:r>
              <w:rPr>
                <w:rStyle w:val="19"/>
                <w:rFonts w:eastAsia="宋体"/>
                <w:color w:val="auto"/>
                <w:highlight w:val="none"/>
                <w:lang w:val="en-US" w:eastAsia="zh-CN" w:bidi="ar"/>
              </w:rPr>
              <w:t>6</w:t>
            </w:r>
            <w:r>
              <w:rPr>
                <w:rStyle w:val="21"/>
                <w:color w:val="auto"/>
                <w:highlight w:val="none"/>
                <w:lang w:val="en-US" w:eastAsia="zh-CN" w:bidi="ar"/>
              </w:rPr>
              <w:t>、重</w:t>
            </w:r>
            <w:r>
              <w:rPr>
                <w:rStyle w:val="19"/>
                <w:rFonts w:eastAsia="宋体"/>
                <w:color w:val="auto"/>
                <w:highlight w:val="none"/>
                <w:lang w:val="en-US" w:eastAsia="zh-CN" w:bidi="ar"/>
              </w:rPr>
              <w:t xml:space="preserve">      </w:t>
            </w:r>
            <w:r>
              <w:rPr>
                <w:rStyle w:val="21"/>
                <w:color w:val="auto"/>
                <w:highlight w:val="none"/>
                <w:lang w:val="en-US" w:eastAsia="zh-CN" w:bidi="ar"/>
              </w:rPr>
              <w:t>量：</w:t>
            </w:r>
            <w:r>
              <w:rPr>
                <w:rStyle w:val="19"/>
                <w:rFonts w:eastAsia="宋体"/>
                <w:color w:val="auto"/>
                <w:highlight w:val="none"/>
                <w:lang w:val="en-US" w:eastAsia="zh-CN" w:bidi="ar"/>
              </w:rPr>
              <w:t>185g</w:t>
            </w:r>
            <w:r>
              <w:rPr>
                <w:rStyle w:val="19"/>
                <w:rFonts w:eastAsia="宋体"/>
                <w:color w:val="auto"/>
                <w:highlight w:val="none"/>
                <w:lang w:val="en-US" w:eastAsia="zh-CN" w:bidi="ar"/>
              </w:rPr>
              <w:br w:type="textWrapping"/>
            </w:r>
            <w:r>
              <w:rPr>
                <w:rStyle w:val="19"/>
                <w:rFonts w:eastAsia="宋体"/>
                <w:color w:val="auto"/>
                <w:highlight w:val="none"/>
                <w:lang w:val="en-US" w:eastAsia="zh-CN" w:bidi="ar"/>
              </w:rPr>
              <w:t>7</w:t>
            </w:r>
            <w:r>
              <w:rPr>
                <w:rStyle w:val="21"/>
                <w:color w:val="auto"/>
                <w:highlight w:val="none"/>
                <w:lang w:val="en-US" w:eastAsia="zh-CN" w:bidi="ar"/>
              </w:rPr>
              <w:t>、容</w:t>
            </w:r>
            <w:r>
              <w:rPr>
                <w:rStyle w:val="19"/>
                <w:rFonts w:eastAsia="宋体"/>
                <w:color w:val="auto"/>
                <w:highlight w:val="none"/>
                <w:lang w:val="en-US" w:eastAsia="zh-CN" w:bidi="ar"/>
              </w:rPr>
              <w:t xml:space="preserve">      </w:t>
            </w:r>
            <w:r>
              <w:rPr>
                <w:rStyle w:val="21"/>
                <w:color w:val="auto"/>
                <w:highlight w:val="none"/>
                <w:lang w:val="en-US" w:eastAsia="zh-CN" w:bidi="ar"/>
              </w:rPr>
              <w:t>量：</w:t>
            </w:r>
            <w:r>
              <w:rPr>
                <w:rStyle w:val="19"/>
                <w:rFonts w:eastAsia="宋体"/>
                <w:color w:val="auto"/>
                <w:highlight w:val="none"/>
                <w:lang w:val="en-US" w:eastAsia="zh-CN" w:bidi="ar"/>
              </w:rPr>
              <w:t>16MB</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数据通讯座</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优质国产</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功能</w:t>
            </w:r>
            <w:r>
              <w:rPr>
                <w:rStyle w:val="19"/>
                <w:rFonts w:eastAsia="宋体"/>
                <w:color w:val="auto"/>
                <w:highlight w:val="none"/>
                <w:lang w:val="en-US" w:eastAsia="zh-CN" w:bidi="ar"/>
              </w:rPr>
              <w:t>:</w:t>
            </w:r>
            <w:r>
              <w:rPr>
                <w:rStyle w:val="21"/>
                <w:color w:val="auto"/>
                <w:highlight w:val="none"/>
                <w:lang w:val="en-US" w:eastAsia="zh-CN" w:bidi="ar"/>
              </w:rPr>
              <w:t>与计算机通过</w:t>
            </w:r>
            <w:r>
              <w:rPr>
                <w:rStyle w:val="19"/>
                <w:rFonts w:eastAsia="宋体"/>
                <w:color w:val="auto"/>
                <w:highlight w:val="none"/>
                <w:lang w:val="en-US" w:eastAsia="zh-CN" w:bidi="ar"/>
              </w:rPr>
              <w:t>USB</w:t>
            </w:r>
            <w:r>
              <w:rPr>
                <w:rStyle w:val="21"/>
                <w:color w:val="auto"/>
                <w:highlight w:val="none"/>
                <w:lang w:val="en-US" w:eastAsia="zh-CN" w:bidi="ar"/>
              </w:rPr>
              <w:t>通讯，起稳定快速传输和转换数据的功能</w:t>
            </w:r>
            <w:r>
              <w:rPr>
                <w:rStyle w:val="19"/>
                <w:rFonts w:eastAsia="宋体"/>
                <w:color w:val="auto"/>
                <w:highlight w:val="none"/>
                <w:lang w:val="en-US" w:eastAsia="zh-CN" w:bidi="ar"/>
              </w:rPr>
              <w:t>.</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72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巡更点</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优质国产</w:t>
            </w:r>
          </w:p>
        </w:tc>
        <w:tc>
          <w:tcPr>
            <w:tcW w:w="746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 xml:space="preserve"> </w:t>
            </w:r>
            <w:r>
              <w:rPr>
                <w:rStyle w:val="21"/>
                <w:color w:val="auto"/>
                <w:highlight w:val="none"/>
                <w:lang w:val="en-US" w:eastAsia="zh-CN" w:bidi="ar"/>
              </w:rPr>
              <w:t>由工程塑料封装存储芯片，具有防水</w:t>
            </w:r>
            <w:r>
              <w:rPr>
                <w:rStyle w:val="19"/>
                <w:rFonts w:eastAsia="宋体"/>
                <w:color w:val="auto"/>
                <w:highlight w:val="none"/>
                <w:lang w:val="en-US" w:eastAsia="zh-CN" w:bidi="ar"/>
              </w:rPr>
              <w:t>.</w:t>
            </w:r>
            <w:r>
              <w:rPr>
                <w:rStyle w:val="21"/>
                <w:color w:val="auto"/>
                <w:highlight w:val="none"/>
                <w:lang w:val="en-US" w:eastAsia="zh-CN" w:bidi="ar"/>
              </w:rPr>
              <w:t>防震</w:t>
            </w:r>
            <w:r>
              <w:rPr>
                <w:rStyle w:val="19"/>
                <w:rFonts w:eastAsia="宋体"/>
                <w:color w:val="auto"/>
                <w:highlight w:val="none"/>
                <w:lang w:val="en-US" w:eastAsia="zh-CN" w:bidi="ar"/>
              </w:rPr>
              <w:t>.</w:t>
            </w:r>
            <w:r>
              <w:rPr>
                <w:rStyle w:val="21"/>
                <w:color w:val="auto"/>
                <w:highlight w:val="none"/>
                <w:lang w:val="en-US" w:eastAsia="zh-CN" w:bidi="ar"/>
              </w:rPr>
              <w:t>防撬，安装简便、耐用、自带夜光功能、提示标帖等功能。可埋入墙体内隐蔽安装，内置不可修改的</w:t>
            </w:r>
            <w:r>
              <w:rPr>
                <w:rStyle w:val="19"/>
                <w:rFonts w:eastAsia="宋体"/>
                <w:color w:val="auto"/>
                <w:highlight w:val="none"/>
                <w:lang w:val="en-US" w:eastAsia="zh-CN" w:bidi="ar"/>
              </w:rPr>
              <w:t>ID</w:t>
            </w:r>
            <w:r>
              <w:rPr>
                <w:rStyle w:val="21"/>
                <w:color w:val="auto"/>
                <w:highlight w:val="none"/>
                <w:lang w:val="en-US" w:eastAsia="zh-CN" w:bidi="ar"/>
              </w:rPr>
              <w:t>码。</w:t>
            </w:r>
            <w:r>
              <w:rPr>
                <w:rStyle w:val="19"/>
                <w:rFonts w:eastAsia="宋体"/>
                <w:color w:val="auto"/>
                <w:highlight w:val="none"/>
                <w:lang w:val="en-US" w:eastAsia="zh-CN" w:bidi="ar"/>
              </w:rPr>
              <w:t xml:space="preserve"> ID</w:t>
            </w:r>
            <w:r>
              <w:rPr>
                <w:rStyle w:val="21"/>
                <w:color w:val="auto"/>
                <w:highlight w:val="none"/>
                <w:lang w:val="en-US" w:eastAsia="zh-CN" w:bidi="ar"/>
              </w:rPr>
              <w:t>卡序列号具有唯一性。巡更、夜光、标识三合一功能，注：直径</w:t>
            </w:r>
            <w:r>
              <w:rPr>
                <w:rStyle w:val="19"/>
                <w:rFonts w:eastAsia="宋体"/>
                <w:color w:val="auto"/>
                <w:highlight w:val="none"/>
                <w:lang w:val="en-US" w:eastAsia="zh-CN" w:bidi="ar"/>
              </w:rPr>
              <w:t>5</w:t>
            </w:r>
            <w:r>
              <w:rPr>
                <w:rStyle w:val="21"/>
                <w:color w:val="auto"/>
                <w:highlight w:val="none"/>
                <w:lang w:val="en-US" w:eastAsia="zh-CN" w:bidi="ar"/>
              </w:rPr>
              <w:t>厘米的是自带夜光的</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70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软件</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优质国产</w:t>
            </w:r>
          </w:p>
        </w:tc>
        <w:tc>
          <w:tcPr>
            <w:tcW w:w="7462" w:type="dxa"/>
            <w:tcBorders>
              <w:top w:val="nil"/>
              <w:left w:val="nil"/>
              <w:bottom w:val="nil"/>
              <w:right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 xml:space="preserve"> </w:t>
            </w:r>
            <w:r>
              <w:rPr>
                <w:rStyle w:val="21"/>
                <w:color w:val="auto"/>
                <w:highlight w:val="none"/>
                <w:lang w:val="en-US" w:eastAsia="zh-CN" w:bidi="ar"/>
              </w:rPr>
              <w:t>软件为全中文显示，有良好的人机界面，功能完善，能够为管理者提供充足的数据，以便于全方面的统计和考核</w:t>
            </w:r>
            <w:r>
              <w:rPr>
                <w:rStyle w:val="19"/>
                <w:rFonts w:eastAsia="宋体"/>
                <w:color w:val="auto"/>
                <w:highlight w:val="none"/>
                <w:lang w:val="en-US" w:eastAsia="zh-CN" w:bidi="ar"/>
              </w:rPr>
              <w:t>(</w:t>
            </w:r>
            <w:r>
              <w:rPr>
                <w:rStyle w:val="21"/>
                <w:color w:val="auto"/>
                <w:highlight w:val="none"/>
                <w:lang w:val="en-US" w:eastAsia="zh-CN" w:bidi="ar"/>
              </w:rPr>
              <w:t>详情请参阅系统软件说明</w:t>
            </w:r>
            <w:r>
              <w:rPr>
                <w:rStyle w:val="19"/>
                <w:rFonts w:eastAsia="宋体"/>
                <w:color w:val="auto"/>
                <w:highlight w:val="none"/>
                <w:lang w:val="en-US" w:eastAsia="zh-CN" w:bidi="ar"/>
              </w:rPr>
              <w:t>)</w:t>
            </w:r>
            <w:r>
              <w:rPr>
                <w:rStyle w:val="21"/>
                <w:color w:val="auto"/>
                <w:highlight w:val="none"/>
                <w:lang w:val="en-US" w:eastAsia="zh-CN" w:bidi="ar"/>
              </w:rPr>
              <w:t>。运用于</w:t>
            </w:r>
            <w:r>
              <w:rPr>
                <w:rStyle w:val="19"/>
                <w:rFonts w:eastAsia="宋体"/>
                <w:color w:val="auto"/>
                <w:highlight w:val="none"/>
                <w:lang w:val="en-US" w:eastAsia="zh-CN" w:bidi="ar"/>
              </w:rPr>
              <w:t>XP</w:t>
            </w:r>
            <w:r>
              <w:rPr>
                <w:rStyle w:val="21"/>
                <w:color w:val="auto"/>
                <w:highlight w:val="none"/>
                <w:lang w:val="en-US" w:eastAsia="zh-CN" w:bidi="ar"/>
              </w:rPr>
              <w:t>、</w:t>
            </w:r>
            <w:r>
              <w:rPr>
                <w:rStyle w:val="19"/>
                <w:rFonts w:eastAsia="宋体"/>
                <w:color w:val="auto"/>
                <w:highlight w:val="none"/>
                <w:lang w:val="en-US" w:eastAsia="zh-CN" w:bidi="ar"/>
              </w:rPr>
              <w:t>win7</w:t>
            </w:r>
            <w:r>
              <w:rPr>
                <w:rStyle w:val="21"/>
                <w:color w:val="auto"/>
                <w:highlight w:val="none"/>
                <w:lang w:val="en-US" w:eastAsia="zh-CN" w:bidi="ar"/>
              </w:rPr>
              <w:t>、</w:t>
            </w:r>
            <w:r>
              <w:rPr>
                <w:rStyle w:val="19"/>
                <w:rFonts w:eastAsia="宋体"/>
                <w:color w:val="auto"/>
                <w:highlight w:val="none"/>
                <w:lang w:val="en-US" w:eastAsia="zh-CN" w:bidi="ar"/>
              </w:rPr>
              <w:t>win8</w:t>
            </w:r>
            <w:r>
              <w:rPr>
                <w:rStyle w:val="21"/>
                <w:color w:val="auto"/>
                <w:highlight w:val="none"/>
                <w:lang w:val="en-US" w:eastAsia="zh-CN" w:bidi="ar"/>
              </w:rPr>
              <w:t>以上版本</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w:t>
            </w:r>
          </w:p>
        </w:tc>
        <w:tc>
          <w:tcPr>
            <w:tcW w:w="2888"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机柜</w:t>
            </w:r>
          </w:p>
        </w:tc>
        <w:tc>
          <w:tcPr>
            <w:tcW w:w="1316" w:type="dxa"/>
            <w:tcBorders>
              <w:top w:val="nil"/>
              <w:left w:val="single" w:color="000000" w:sz="4" w:space="0"/>
              <w:bottom w:val="single" w:color="000000" w:sz="4" w:space="0"/>
              <w:right w:val="nil"/>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7462"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机柜</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优质国产</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600*1000*2000,42U, 标准19"柜体</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w:t>
            </w:r>
          </w:p>
        </w:tc>
        <w:tc>
          <w:tcPr>
            <w:tcW w:w="2888"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人员闸机系统</w:t>
            </w:r>
          </w:p>
        </w:tc>
        <w:tc>
          <w:tcPr>
            <w:tcW w:w="1316"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7462"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tblCellMar>
            <w:top w:w="0" w:type="dxa"/>
            <w:left w:w="0" w:type="dxa"/>
            <w:bottom w:w="0" w:type="dxa"/>
            <w:right w:w="0" w:type="dxa"/>
          </w:tblCellMar>
        </w:tblPrEx>
        <w:trPr>
          <w:trHeight w:val="562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46</w:t>
            </w:r>
          </w:p>
        </w:tc>
        <w:tc>
          <w:tcPr>
            <w:tcW w:w="288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单机芯左边道</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1、产品尺寸：1500mm*200mm*990mm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2、通行速度：20-60人每分钟，受人员情况和通行模式影响</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3、通道宽度：550mm—1100mm（可以定制1200/1300/1400mm三种通道宽度尺寸，费用+40%限价）</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4、外红/门翼：12对红外检测/门翼亚克力、不锈钢可选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5、工作环境：室内外/工作电压220V/工作温度范围-25℃~70℃/500万次无障碍运行次数</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6、高级功能：翻越报警/分时段管控，最多支持8个时段常开、常闭模式设定/反潜回功能，单通道反潜回，多通道跨主机反潜回                                                                                                       ★7、增加二维码识别模块，可识别校园通行二维码。识读码制 二维：QRCODE、PDF417等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 一维：EAN-8、EAN-13、ISBN-10、ISBN-13、CODE39、CODE93、CODE128、UPC、ITF、Code Bar、等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图像传感器 30万像素 CMOS传感芯片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最大分辨率 640*480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读取方向JIAOJIAOJIAODU 倾斜±40°，旋转±360°，偏转±30°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视场角度 水平：77°    垂直：60°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识别模式 主动识读/被动识读，可切换</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符号反差 ≥25%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识读精度 ≥5mil</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读取速度 70ms（平均）,支持连续读取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读取距离 0mm-100mm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扫码反馈 蜂鸣提示；LED指示灯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刷卡支持 可选配（仅支持读取物理卡号）</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562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47</w:t>
            </w:r>
          </w:p>
        </w:tc>
        <w:tc>
          <w:tcPr>
            <w:tcW w:w="288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双机芯中间道</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1、产品尺寸：1500mm*200mm*990mm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2、通行速度：20-60人每分钟，受人员情况和通行模式影响</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3、通道宽度：550mm—1100mm（可以定制1200/1300/1400mm三种通道宽度尺寸，费用+40%限价）</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4、外红/门翼：12对红外检测/门翼亚克力、不锈钢可选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5、工作环境：室内外/工作电压220V/工作温度范围-25℃~70℃/500万次无障碍运行次数</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6、高级功能：翻越报警/分时段管控，最多支持8个时段常开、常闭模式设定/反潜回功能，单通道反潜回，多通道跨主机反潜回                                  ★7、增加二维码识别模块，可识别校园通行二维码。识读码制 二维：QRCODE、PDF417等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 一维：EAN-8、EAN-13、ISBN-10、ISBN-13、CODE39、CODE93、CODE128、UPC、ITF、Code Bar、等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图像传感器 30万像素 CMOS传感芯片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最大分辨率 640*480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读取方向JIAOJIAOJIAODU 倾斜±40°，旋转±360°，偏转±30°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视场角度 水平：77°    垂直：60°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识别模式 主动识读/被动识读，可切换</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符号反差 ≥25%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识读精度 ≥5mil</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读取速度 70ms（平均）,支持连续读取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读取距离 0mm-100mm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扫码反馈 蜂鸣提示；LED指示灯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刷卡支持 可选配（仅支持读取物理卡号）</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562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单机芯右边道</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1、产品尺寸：1500mm*200mm*990mm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2、通行速度：20-60人每分钟，受人员情况和通行模式影响</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3、通道宽度：550mm—1100mm（可以定制1200/1300/1400mm三种通道宽度尺寸，费用+40%限价）</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4、外红/门翼：12对红外检测/门翼亚克力、不锈钢可选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5、工作环境：室内外/工作电压220V/工作温度范围-25℃~70℃/500万次无障碍运行次数</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6、高级功能：翻越报警/分时段管控，最多支持8个时段常开、常闭模式设定/反潜回功能，单通道反潜回，多通道跨主机反潜回                                   ★7、增加二维码识别模块，可识别校园通行二维码。识读码制 二维：QRCODE、PDF417等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 一维：EAN-8、EAN-13、ISBN-10、ISBN-13、CODE39、CODE93、CODE128、UPC、ITF、Code Bar、等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图像传感器 30万像素 CMOS传感芯片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最大分辨率 640*480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读取方向JIAOJIAOJIAODU 倾斜±40°，旋转±360°，偏转±30°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视场角度 水平：77°    垂直：60°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识别模式 主动识读/被动识读，可切换</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符号反差 ≥25%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识读精度 ≥5mil</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读取速度 70ms（平均）,支持连续读取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读取距离 0mm-100mm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扫码反馈 蜂鸣提示；LED指示灯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刷卡支持 可选配（仅支持读取物理卡号）</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9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49</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Koala 人脸通行业务主机（核心产品）</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旷视、商汤、华为</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一、硬件性能参数：</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1、处理能力：支持1路200万像素视频流；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2、CPU：双核四线程 主频≥1.8GHz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3、内存：DDR3 1600 8G(4G×2)；</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4、显卡：集成显卡；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5、硬盘：128G固态硬盘；</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6、网络：千兆网卡；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二、系统功能参数：</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1、门禁人员管理：支持人脸识别结果与门禁联动管理，设置门禁通行时间、根据人员权限分配门禁开启权限；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  2、迎宾管理 支持外接大屏弹窗显示人脸识别结果，自定义设置迎宾页面；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  3、考勤功能：支持考勤统计、报表导出、考勤时间设置；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  4、访客管理：支持APP支持PAD端、手机端的访客登记、访客邀约功能；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  5、陌生人：黄名单告警 支持陌生人\黄名单告警功能，迎宾页面、管理系统有弹窗提示；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  6、历史记录：查询员工、访客、陌生人、黄名单的详细识别历史记录，可按照姓名，抓拍位置，用户类型，识别时间等条件查询或导出；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  7、账号管理：支持根据用户权限建立分账号，细分管理，下放管理员权；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★8、外形尺寸不超过115×111×48(mm)，便于直接安装在闸机内部，脱离电脑可独立运行；</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★9、识别核心算法直接内嵌入核心处理主机；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★10、在脱机（不连接电脑）情况下，直连人脸识别枪机，能够支持200000人脸精准识别数据库，支持全年龄、全地域、小孩；</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 ★ 11、开放性：系统提供标准API接口，支持与第三方系统互联互通，提供与5家以上（含5家）软件系统厂商接入证明；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  12、先进性：设备厂商人脸识别技术应具有先进性，“人脸”相关的实审、公开、授权状态的发明专利≥40件，非实用新型、外观设计专利（投标人提供发明专利清单包含申请号、名称、申请类型、申请人、法律状态、摘要信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实现以下功能：（1）、用户管理（①员工管理②访客管理），（2）考勤管理（①考勤统计②考勤设置③日历设置），（3）、历史记录查询员工、访客、陌生人、黄名单的详细识别历史记录，可按照姓名，抓拍位置，用户类型，识别时间等条件查询或导出，（4）、门禁管理（①门禁设备②门禁设置③日历设置），（5）、迎宾管理，（6）、账户管理，（7）其中针对陌生人弹窗要能自定义是否弹窗、弹窗无提示音，弹窗有提示音三种效果。（8）可从主机侧设置ROI遮罩自定义识别区域，（9）支持远程重启主机</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9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人脸识别面板</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旷视、商汤、华为</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1、显示屏：7寸电容触摸屏，分辨率不应低于600*1024，设备应能显示时间、日期、星期，刷卡/脸时显示用户名、用户照片信息、用户编号等。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★★2、摄像头：设备应采用高清双目相机，1路200W可见光摄像头，1路200W红外补光摄像头。</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3、摄像头分辨率：可见光摄像头分辨率：1920×1080；红外摄像头分辨率：1280×720。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★★4、存储容量：系统应支持最多50000张卡片管理；50000张人脸容量，最大支持50000条含抓拍图的事件存储。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5、工作模式：支持本地单机管理；支持远程中心远程管理等多种方式。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★★6、识别模式：支持单人识别和多人识别模式。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出入认证方式：系统支持对门的开启方式（卡、人脸、密码等）的各种使用权限进行组合设置，实现不同安全级别场景的权限管理，认证方式包含：1）人脸；2）人脸或刷卡；3）人脸+刷卡；4）人脸+密码；5）二维码；支持上述任意一种或两组的组合。</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★8、硬件接口：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1）报警输入接口×2；2）报警输出接口×1；3）USB type C接口×1；4）门磁输入接口×1；5）开门按钮接口×1；6）电锁输出接口×1；7）wifi×1；8）本地网口×1；9）RS485接口×1；10）韦根输入/输出接口×1；11）扬声器×1；12）指示灯×1；13）距离传感器×1。</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★9、指示灯：正常工作时白色指示灯常亮；比对成功后白色指示灯闪烁。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10、防护等级：IP65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★11、人脸识别精度：50000张底库照片下，准确率≥99.8%，误识率≤0.5%。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★12、人脸识别速度：单次识别时间&lt;150ms。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★13、通行能力：每分钟通行人次≥50人。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14、支持双目活体，可有效防御屏幕或纸片非活体攻击。</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★15、防假体攻击准确率：防假体攻击准确率≥99.8%。</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★16、支持口罩识别，口罩识别准确率：50000张底库照片下，准确率≥98%。</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★17、人脸识别间隔配置：支持设置人脸识别间隔时间（1s至10s）。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★18、环保补光：夜间通行，采用屏幕环保补光方案，无需补光灯补光，避免光线刺眼和光污染。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19、黑名单功能：支持中心下发导入人脸黑名单。</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20、升级功能：支持通过U盘本地升级和管理平台远程升级。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★21、刷卡：支持屏下刷卡，支持NFC刷卡功能。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★22、数据管理：1）持本地或远程中心下发或U盘导入人脸、卡号等信息；2）支持比对结果、人脸抓拍图本地存储；3）实时上传中心及断网续传功能；4）支持本地U盘导出对比事件及人脸注册照片。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23、尺寸：216mm × 115mm × 21mm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24、安装方式：背面 86 盒设计，支持壁挂式、闸机式、立柱式安装</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25、支持防拆开关，强拆后报警</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26、工作温度：-20℃～65℃</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360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智能身份核验终端（核心产品）</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旷视、商汤、华为</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1、主屏幕采用15.6寸京东方BOE双高清电容加硬多点触控屏，分辨率达到1920*1080，16：9显示比列，电容式多点触控屏，加硬；主屏副屏双屏显示，副显示屏幕：15.6寸；</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2、宽动态摄像头，星光夜视功能，200万像素与160度左右广角全玻璃镜头搭配，画质清晰细腻 识别率达到99%以上，实现人证统一，支持1:1人证比对功能；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3、内置居民身份证阅读模块，快读读取芯片内的文字，人脸照片等信息。读卡时间≤1S，读卡距离≤50mm；（读卡符合公安部GA450/IGA450标准：符合非接触式IC卡ISO14443标准）；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4、支持OCR(光学字符识别)，磁卡阅读器/IC阅读器，支持热敏打印80*60 ，支持58/80 打印机，支持指纹识别 静脉指纹；</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5、操作系统： Android 7.1；</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6、设备硬件配置：CPU 1.8G 瑞芯微RK3288 4 核Cortex-A17 处理器 ；RAM 2G； 内存：8G；</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6、外壳 ABS材料；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尺寸 450*350*540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电源适配器： 世界标准 输入电压100-240V  输出 DC24V；</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52</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闸机支架</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旷视、商汤、华为</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（W4K专用）闸机支架，高度240（mm），颜色：银色+黑色，材质：表面氧化，支持左右上下角度调整，内含闸机尾线</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53</w:t>
            </w:r>
          </w:p>
        </w:tc>
        <w:tc>
          <w:tcPr>
            <w:tcW w:w="2888"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车辆闸机系统</w:t>
            </w:r>
          </w:p>
        </w:tc>
        <w:tc>
          <w:tcPr>
            <w:tcW w:w="1316"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7462"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tblCellMar>
            <w:top w:w="0" w:type="dxa"/>
            <w:left w:w="0" w:type="dxa"/>
            <w:bottom w:w="0" w:type="dxa"/>
            <w:right w:w="0" w:type="dxa"/>
          </w:tblCellMar>
        </w:tblPrEx>
        <w:trPr>
          <w:trHeight w:val="9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54</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车辆闸机系统进口闸栏闸</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【400万智能抓拍显示道闸一体机】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 高度集成：快速道闸、智能抓拍机、补光灯、LED屏/LCD屏、防砸雷达、求助按钮、语音播报、语音对讲于一体；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快速通行：集成行星齿轮道闸，传动效率高，性能稳定，快速抬杆慢速落杆，实现快速通行；</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高清晰：400万像素高清摄像机，最大分辨率可达2688*1520，帧率高达25fps；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镜头：4~15mm镜头，场景适应性更广；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低照度：1/1.8"逐行扫描CMOS，成像效果好，0.002Lux低照度监控效果，夜间看的更清；</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外部接口：3路触发输入；2路继电器输出，支持道闸开、关、停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内存卡插槽：1个TF卡插槽，可选配TF卡，最大支持容量64G</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 ★显示屏：采用21.5英寸显示屏，可支持过车信息显示、自定义无牌车扫码进出、支持二维码显示、支持图片视频广告播放；（公安部检验报告证明）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显示分辨率：分辨率1080P；显示亮度：最大1500cd/m²</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补光灯：内置16颗高亮LED灯，智能补光技术，支持时控和光控；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 道闸参数：运行噪音≤65dB；杆子类型直杆；遥控距离40米内；杆子长度4米；运行速度1.5~2.5s；机箱材质2mm冷轧钢板；寿命500W次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 车牌识别种类：支持识别的号牌类型包括大（小）型汽车、使领馆汽车、警用汽车、教练汽车、新能源汽车、军车等；2019式武警车牌等国标车牌；</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 ★支持对污损以及遮挡面积不超过1/3的车牌进行检测和识别。（公安部检验报告证明）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 车辆结构化：支持车型识别，车标识别，车身颜色识别，子品牌检测；</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 黑白名单控制：支持黑、白名单的导入及对比，可直接联动道闸开闸，支持脱机运行；</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 多种触发模式：支持视频触发、线圈触发、雷达触发等多种触发模式；捕获率高，纯视频识别，纯视频抓拍时可捕获无车牌，捕获率99.9%以上；</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 防跟车模式：支持视频防跟车、雷达/线圈防跟车两种模式，对于连续过车的场景，可实现跟车不落杆，有效解决拥堵问题；</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18. 防护等级：机箱表面采用抗紫外线静电喷塑工艺，不起皮，不褪色，防尘防水等级符合室外设备IP54级别要求；</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19. 易安装维护：一体化结构设计，布线简单，调试方便。一站式安装维护，缩短施工周期达1/3以上；</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20. 防跟车模式：支持视频防跟车、雷达/线圈防跟车两种模式，对于连续过车的场景，可实现跟车不落杆，有效解决拥堵问题。</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38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触发雷达</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【触发雷达】</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采用79GHz MMIC技术，分辨率更高，检测更稳定；</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雷达检测距离可调，检测宽度可调，操作方便，通用性强；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无需学习背景，适应更多复杂现场环境；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提供RS485串口或者WIFI通讯功能，WIFI版本配备手机APP，可对雷达进行在线调试、固件升级，操作更方便；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安装与维护方便，所需人力少，工时短。</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自动记录雷达的配置参数，断电重启后可恢复至之前的工作状态；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环境适应性强，检测性能不受电磁干扰、光照、灰尘、雨雪等外界环境影响。</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9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出入口控制终端</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【出入口控制终端】【固态硬盘】【不含软件】【未安装windows操作系统】</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CPU：Apollo Lake J3455平台处理器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内存：4GB；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标配128G SSD，可选配一块3.5寸机械硬盘；</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其他接口：6个1000Mbps自适应网口（G2~G6为交换机，G1为独立网口，支持双网隔离）、2个RS232、2个RS485、4个USB3.0；4个开关量输入，4个继电器开关量输出、1个VGA输出接口，1路内置预留SATA接口、1路音频输入/输出接口、1个HDMI输出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操作系统：无，需用户自行安装</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支持接入的牌识设备数量：4路高清出入口视频单元；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存储功能：支持对车辆出入记录的本地存储：≥80万辆通行车辆信息 或 ≥30万辆的违法车辆信息；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平台功能：支持上传至海康智能停车场管理系统；支持上传至其他中心管理系统（需定制）；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远程管理：支持远程进行权限设置或维护管理；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工作电压:主机12VDC，外接220VAC电源适配器；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功耗:平均25w，最高50w；</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工作环境温度:-10 ℃～50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工作环境湿度:10%~90%@40℃，无凝结；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功能特性：无风扇设计，集成交换机、485接口、报警2进4出、麦克风输入、视频HDMI及VGA接口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【需用户自配显示器、键鼠】</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57</w:t>
            </w:r>
          </w:p>
        </w:tc>
        <w:tc>
          <w:tcPr>
            <w:tcW w:w="2888"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存储系统</w:t>
            </w:r>
          </w:p>
        </w:tc>
        <w:tc>
          <w:tcPr>
            <w:tcW w:w="1316"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7462"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tblCellMar>
            <w:top w:w="0" w:type="dxa"/>
            <w:left w:w="0" w:type="dxa"/>
            <w:bottom w:w="0" w:type="dxa"/>
            <w:right w:w="0" w:type="dxa"/>
          </w:tblCellMar>
        </w:tblPrEx>
        <w:trPr>
          <w:trHeight w:val="247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58</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48盘位存储主机（核心产品）</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架式/8U48盘位/支持SATA硬盘/可接SAS扩展柜(必须下单备注)/1536Mbps接入带宽/64位多核处理器、4GB（标配，可扩展至32G）2个千兆数据网口（可扩展至4千兆或2万兆网口），1个千兆管理网口/冗余电源/支持流媒体1:1:1接入存储转发/视频流、图片、SMART、视频文件混合直写/智能事件检索、精确定位、浓缩播放/RAID 0、1、3、5、6、10、50，60/网络协议：RTSP/ONVIF/PSIA/SIP（GB/T28181）</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★单台存储设备组建网络RAID,允许每组RAID中任意10个磁盘发生故障，数据不丢失，存储服务不中断。支持块级重构，全盘参与重构速度不小于4TB/10min。（以公安部检测报告为准）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★支持磁盘冷启动，设备可自动判断磁盘异常，可通过磁盘冷启动进行恢复操作，业务不中断。（以公安部检测报告为准）</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59</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IoT企业级8T硬盘</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8T,7200RPM,3.5寸,SATA</w:t>
            </w:r>
            <w:r>
              <w:rPr>
                <w:rFonts w:hint="eastAsia" w:ascii="宋体" w:hAnsi="宋体" w:cs="宋体"/>
                <w:i w:val="0"/>
                <w:color w:val="auto"/>
                <w:kern w:val="0"/>
                <w:sz w:val="18"/>
                <w:szCs w:val="18"/>
                <w:highlight w:val="none"/>
                <w:u w:val="none"/>
                <w:lang w:val="en-US" w:eastAsia="zh-CN" w:bidi="ar"/>
              </w:rPr>
              <w:t>企业级</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个</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288</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2888"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中心机房产品</w:t>
            </w:r>
          </w:p>
        </w:tc>
        <w:tc>
          <w:tcPr>
            <w:tcW w:w="1316"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7462"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tblCellMar>
            <w:top w:w="0" w:type="dxa"/>
            <w:left w:w="0" w:type="dxa"/>
            <w:bottom w:w="0" w:type="dxa"/>
            <w:right w:w="0" w:type="dxa"/>
          </w:tblCellMar>
        </w:tblPrEx>
        <w:trPr>
          <w:trHeight w:val="517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61</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室内拼接显示屏</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LCD液晶显示单元；LG面板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尺寸：55英寸；</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分辨率：1920x1080；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视角：178°(水平)/ 178°(垂直)；</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响应时间：8ms(G to G)；</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对比度：1400:1；</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亮度：500cd/㎡；</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物理拼缝：1.8mm；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输入接口：HDMI × 1, DVI × 1, VGA × 1, CVBS × 1, USB × 1</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输出接口：HDMI × 1, VGA × 1, CVBS × 1</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控制接口：RS232 IN × 1, RS232 OUT × 2</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可选配接口：3G SDI(输入×1、输出×1)、DP、HDbaseT、TVI(输入×1、输出×1)、网络源；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功耗：≤185W；</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电源要求：AC 100-240V～, 50/60Hz；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寿命：≥60000 小时；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工作温度和湿度：0℃～40℃，10%～90% RH（无冷凝水）;</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边框宽厚：0.9mm（左/上）,0.9mm（右/下）；</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★液晶显示单元具有色坐标一致性，根据CIE1931标准色度系统，液晶显示单元色坐标误差在±0.001以内。（提供封面具有CMA、ilac-MRA、CNAS标志的权威检测机构的检测报告）</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★为保护环境要求，液晶拼接屏需满足中国电器电子产品有害物质限制使用的要求，并提供中国质量认证中心产品认证证书</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9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62</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室内大屏视频处理器</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 投标产品为框架式结构，采用无源背板，机箱不小于13个板卡插槽，系统稳定可靠。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★投标产品主控板具有4个串口，每个串口挂载8个RS485控制设备，可将IP数据发送给串口。（提供公安部出具的型式检验报告复印件）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投标产品支持视频输入通道参数设置功能，可对单个视频输入通道进行分辨率、帧率、码率、亮度、对比度、饱和度、色调、去噪等参数设置，图像显示模式可设定标准、室内、室外、弱光等显示模式进行设置。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投标产品具备三码流编码功能：样机支持主码流、子码流、第三码流编码输出功能。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投标产品解码显示视频无卡顿，编码预览视频无卡顿。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投标产品支持显示预案功能，可将样机的视频输出状态保存为场景，可设置多个场景并可对每个场景进行配置、清空、复制、修改、切换等操作，可实现多个场景轮巡切换、（预案）轮巡。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投标产品支持虚拟云台控制功能，具备虚拟云台控制按键，可调整球机和云台的运行速度和方向，并且支持多用户云台抢占、云台控制锁定功能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 投标产品单板支持128个漫游窗口叠加，支持窗口置顶或置底设置。（提供公安部出具的型式检验报告复印件加盖原厂商公章）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★投标产品支持1、2、4、6、8、9、12、16、32、36、48、64画面分割显示。（提供公安部出具的型式检验报告复印件）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投标产品支持将25帧或30帧的视频转换为50或60帧。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 投标产品支持走廊模式显示功能。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 投标产品对录像文件解码延时≤110ms。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 投标产品支持4K输出板最大分辨率为4096×2160，其它板卡支持至少8种分辨率输出1920×1080、1680×1050、1600×1200、1400×1050、1280×1024、1280×960、1280×720、1024×768。</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 投标产品支持手动视频切换功能，支持将选定的视频输入切换到选定的视频输出，支持视音频同步切换、异步切换，画面切换时不出现黑屏。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 投标产品具有同一输入通道的视频图像在不同输出端口显示的失步误差小于1ms。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 投标产品可通过无线终端将视音频、图片、PPT等传送到屏幕上显示。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 采用嵌入式非X86架构，主控板不具备X86架构特征元件（CPU、内存条、硬盘、VGA接口）；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18. ★投标产品的信号源采集后经过高速背板总线到输出显示所用平均时间应≤35ms；投标产品的图像切换时间＜20ms。（提供公安部出具的封面具有CNAS标志的报告复印件）</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接屏活动支架可移动</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定制</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64</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智能操作台</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国产优质定制</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带32寸4屏拼接,内置解码器,内置视频图像处理器,视频分配器</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65</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线缆</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国产优质定制</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拼接屏之间线缆联接</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47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66</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校时服务器系统</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根据授时信号的强度，支持GPS/北斗/CDMA自动切换校时，产品标配是不带CDMA模块的</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守时能力：精度24小时＜28us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授时容量：单端口≥7000次/秒</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，标配4个端口（可选6个端口）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高授时精度：＜5 us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授时频段：</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GPS授时中心频率1575MHz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北斗授时中心频率2491MHz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CDMA授时中心频率800MHz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电源功率  50W </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套</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67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67</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校时天线</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内导体材料：裸铜丝；结构：1/1.40±0.02mm；标称截面：1.54 mm2</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绝缘材料：聚乙烯；平均厚度：1.7mm；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外导体：材料铜丝</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套</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819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68</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集联人脸分析服务器（核心产品）</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【智能应用服务器】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算法种类：</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人脸算法 视频结构化算法</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★单台服务器支持视频流的人脸、人体、车辆分析；单台服务器支持图片流的人脸、人体、车辆分析；（公安部检验报告证明）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产品性能：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视频（H.265/H.264）/图片（JPG/JPEG/PNG）/录像人脸分析、比对、聚类；</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设备具有3张企业级专用GPU计算卡，单卡人脸图片建模速度不低于150张/秒，建模加比对分析性能不低于120张/秒；单卡支持接入20路1080P视频流进行实时人脸分析比对；人脸图片建模成功率不低于99.99%；单卡支持接入20路1080P视频流进行活动目标智能分析；（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★支持360张/秒人脸图片分析、比对；</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支持300万人脸名单库比对报警，支持128个名单库；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支持1000万人脸静态库；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支持60路1080P人体车辆视频分析；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支持90张/秒人体车辆图片分析；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支持1000条车牌布控；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支持不少于100GB的录像上传及存储分析；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支持5000万条图片、结构化属性、模型存储；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★5000万张图片的人脸抓拍库，进行以图搜图检索，后台响应时间不超过0.5秒（公安部检验报告证明）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支持5台以内设备集群部署；</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★支持管理License 授权控制，可限制云存储系统的授权时间、最大接入计划数量、存储节点数量、存储容量、资源池数量等；支持账户冻结、有效期、有效时间段及MAC 地址绑定等安全属性的设定；支持对用户（组）设定各设备节点的访问权限以及各业务功能的应用权限；（公安部检验报告证明）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云存储支持单机EC方案，即支持以任一存储节点为单位独立设置N+M数据保护，支持多硬盘时，业务不中断，数据不丢失，同时可根据实时接入业务进行负载均衡；支持对人脸智能结构化数据进行实时缓存备份和全量备份存储（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产品应用：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提供Web应用、AI客户端展示；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Web应用：支持数据可视化展示、名单报警（黑名单、陌生人、高频）、车牌报警、人员档案、智能检索（属性检索、以脸搜脸、以车搜车、以人搜人）、1V1比对、二维地图、设备运维等功能；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AI客户端：支持实时视频预览、报警，人脸信息展示（姓名、人脸属性、频次等），性别统计等。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★1、支持通过人员姓名和照片进行档案信息查询，档案能够以人像缩略图方式展示，点击档案可查看详情； 2.档案信息统计报表：支持按照时间、监控点、人员档案进行人流总量统计、按性别统计、按人员年龄段统计，支持统计数据按照日、周、月、年报表导出，按照折线、柱状、饼状图展示（公安部检验报告证明）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硬件规格：</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机箱规格：19英寸2U标准机架式；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设备重量：净重21.23kg；</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处理器：2颗Intel 至强系列6130 CPU；Tesla T4 GPU芯片；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内存：256GB DDR4内存；</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硬盘：内置1块240GB SSD（系统盘）；3块480GB SSD（数据存储）；4块 8TB SATA盘（图片存储），支持Raid 10、Raid 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数据接口：2个VGA接口，4个千兆网口，4个USB3.0接口；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额定功耗：1600W 1+1冗余电源；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实际功耗：约800W；</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70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69</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平台服务器</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4210(10核2.2GHz)×2/64GB DDR4/480G SSD×2（raid1）+4T SATA 7.2K×2（raid1）/SAS_HBA/1GbE×2/550W(1+1)/2U</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2U双路标准机架式服务器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CPU：2颗Xeon® Silver 4210（10核，2.2GHz）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内存：16G*4 DDR4，16根内存插槽，最大支持扩展至2TB内存</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硬盘：2块480G SSD 硬盘,2块4T  7.2K 2.5寸 SATA硬盘</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阵列卡：SAS_HBA卡，支持RAID 0/1/10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PCIE扩展：最大可支持6个PCIE扩展插槽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网口：2个千兆电口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其他接口：1个RJ45管理接口，4个USB 3.0接口，1个VGA接口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电源：标配550W（1+1）高效铂金CRPS冗余电源 </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67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288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工作站</w:t>
            </w:r>
          </w:p>
        </w:tc>
        <w:tc>
          <w:tcPr>
            <w:tcW w:w="1316"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联想、戴尔、宏基</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Core i5-10500 3.1G 6C，8GB DDR4 2933 UDIMM*2，512GB SSD 2.5 TLC*1，DVDRW，Quadro P620 2GB 4mDP，集成网卡，USB键盘，USB Calliope 黑色鼠标，三年上门</w:t>
            </w:r>
          </w:p>
        </w:tc>
        <w:tc>
          <w:tcPr>
            <w:tcW w:w="57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9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71</w:t>
            </w:r>
          </w:p>
        </w:tc>
        <w:tc>
          <w:tcPr>
            <w:tcW w:w="288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86寸触摸一体机（含ops电脑、支架）</w:t>
            </w:r>
          </w:p>
        </w:tc>
        <w:tc>
          <w:tcPr>
            <w:tcW w:w="1316"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希沃、MAXHUB、大华</w:t>
            </w:r>
          </w:p>
        </w:tc>
        <w:tc>
          <w:tcPr>
            <w:tcW w:w="746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1.屏尺寸为86英寸，类型为IPS，亮度(Typ)≥350 cd/㎡，可视角度为≥178°，对比度≥1100：1，显示比例：16:9。</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2.屏幕分辨率为3840×2160，满足全高清4K分辨率显示要求。</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3.屏幕显示灰度分辨等级达到128灰阶以上，保证画面显示效果细腻。</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4.整机采用防眩光玻璃面板,玻璃透过率不低于85% ,玻璃面板硬度≥7H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5.采用红外触控技术，触控方式为手指或笔等不透光物体。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6.支持拍照功能，内置1颗1200W，1080P像素高清摄像头，内置6阵列麦克风，8米有效拾音距离。响应时间：&lt;15毫秒，触摸有效最小识别物2mm。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7.整机屏幕触摸有效识别高度小于3.5mm，即触摸物体距离玻璃外表面高度低于3.5mm时，触摸屏识别为点击操作，保证触摸精准。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8.防强光干扰，触摸屏的模组能够抵抗太阳光等强光干扰，能在照度80K LUX（勒克司）环境下仍能正常工作。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9.无线传屏，支持操作系统：Win7/ Win10/Mac OS ，传输延迟≤90ms，帧率达到15fps-25fps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10.整机符合GB/T 17626.5-2008浪涌（冲击）抗扰度、GB/T 17626.2-2006静电放电抗扰度、GB/T 17626.3-2006射频电磁场辐射抗扰度、GB/T 17626.4-2008电快速瞬变脉冲群抗扰度、GB/T 17626.6-2008射频场感应的传导抗扰度、GB/T 17626.11-2008电压暂降、短时中断和电压变化抗扰度等要求，确保整机使用安全。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11.支持同时8个无线传屏器，画面分别投屏到同一个会议平板，可通过按键切换传输不同外部电脑的画面及声音。</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12.采用模块化电脑方案，抽拉内置式，PC模块可完全插入整机，保护PC模块不易受灰尘影响。采用80pin以上接口，实现无单独接线的插拔。</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13.PC模块配置为CPU Intel® Core i7/内存DDR4 16G /固态硬盘256G（可选）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14.PC模块无需外伸天线和外接网线，通过模块接口与整机通信即可实现上网。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15.为确保PC应用使用的便捷性，Windows应用程序可通过在会议平板主页面或更多中的快捷图标启动，无须切换到Windows原生桌面中启动。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16.本地白板：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a)提供三种大小笔粗，并预置11种以上MJ颜色，可“无限色盘”自定义笔迹颜色；</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b)手势板擦：当手掌在电子白板上触摸时，会被自动识别为板擦，可快速擦除白板内容；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c)内容分享：支持白板内容本地／U盘保存，支持二维码和邮件分享，二维码分享时可加密；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d)提供智能模式，可手绘识别图形智能识别，继续书写无需重新点击选择画笔功能；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17.欢迎界面：用户可编辑任意欢迎词内容、位置及背景图片，快速生成欢迎词界面进行签名、书写，并直接生成二维码分享到手机、平板电脑等移动端。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18.整机支持移动设备无线投屏功能，不需要外接设备。安卓设备、iPhone/iPad等设备通过无线WIFI热点进行传输。用户可快速将文档、图片、音乐、视频、桌面等内容投到会议平板上。</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19.支持集控管理平台软件对接，实现集控相关功能，如：批量设备管理、远程操控、个性化设置、软件管理、报表管理、账号管理等功能。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20.配24口千兆电口，4个千兆光口，二层可管理一个。</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21.以上参数提供第三方认证机构测试报告</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中标后提供原厂针对本项目质保授权函。</w:t>
            </w:r>
          </w:p>
        </w:tc>
        <w:tc>
          <w:tcPr>
            <w:tcW w:w="57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72</w:t>
            </w:r>
          </w:p>
        </w:tc>
        <w:tc>
          <w:tcPr>
            <w:tcW w:w="2888"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软件平台</w:t>
            </w:r>
          </w:p>
        </w:tc>
        <w:tc>
          <w:tcPr>
            <w:tcW w:w="1316"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7462"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tblCellMar>
            <w:top w:w="0" w:type="dxa"/>
            <w:left w:w="0" w:type="dxa"/>
            <w:bottom w:w="0" w:type="dxa"/>
            <w:right w:w="0" w:type="dxa"/>
          </w:tblCellMar>
        </w:tblPrEx>
        <w:trPr>
          <w:trHeight w:val="542"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校园智慧管控平台软件定制开发（核心产品）</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定制开发</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★1、人脸库系统</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构建应用于全校的人脸库平台，统一进行人脸库管理和人脸设备的管理，便于数据的收集、分析、应用和隐私管控。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根据电子通行证的人员数据，结合学校数据中心已经整合的照片数据，进行照片质量检测，开发完善移动照片采集通道，对于照片不合格的可能造成无法识别比对的，用户通过移动采集照片后与人脸信息库进行关联建库；形成全校人员的统一人脸信息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移动人脸采集，基于学校企业微信平台开发人员移动人脸采集平台，通过自拍或上传手机文件，上传照片数据，经后端自动检测合格后，用户提交照片，经审核后，照片进入人脸信息库。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★2、访客预约子系统</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访客子系统主要用于学校访客的信息登记、权限管理与到访信息记录。访客来访，需要对访客信息做登记处理，为访客指定接待人员、授予访客门禁、闸机、出入口的通行权限、对访客在来访时效和来访期间的情况进行记录，并提供访客预约等功能。主要是为了对来访访客的信息做统一的管理，以便后期做统计或查询操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访客子系统基于通行码与人脸识别技术，将传统访客系统的人工管理模式转变为自动管理模式，降低人工成本，真正做到智能化、人性化。</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 访客预约</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在企业微信上由被访者发起访客登记，录入访客姓名、访客手机、到访时间、随行人员数量、随行车辆后，通过短信通知访客完善访客详细的信息。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访客登记</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    访客收到短信后，访客点开短信中的链接，完善访客个人信息，包括随行人员信息、随行车辆信息，同时发送短信给随行人员完善自己的个人信息。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入校审核</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访客完善信息后，提交学校审核，系统自动获取健康码后，送学校相关部门审核。</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访客电子通行证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学校审核通过后，系统自动发送短信，告知访客和随行人员，根据短信中发送的链接，点开查看自己的访客通行证，访客凭电子通行证，到校访问，访客人脸数据自动下发到闸机，车辆数据自动下发到道闸，允许单次通告或时间段内自由通行。</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★3、数据推送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(1)人员同步</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将数据中心中的人员数据通过API接口同步至人脸设备平台，数据中心的人员数据发生变动后，定时同步给至人脸设备平台，保证数据中心人员数据与人脸设备平台的人员一致性,访客在有效期内也需同步。</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(2)人脸同步</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移动端人脸采集提交时按人脸评分接口进行人脸的匹对验证如果满足设定的人脸评分阈值则允许提交,审核通过后人脸进入人脸库,当人脸库的照片发生变化后，通过API接口将人脸定时同步至人脸设备平台(如旷世),并根据返回的结果标识人脸是否已经上传,用报表按部门进行分析,分析人脸采集状态,人脸平台的上传状况.</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★4、扫码设备门禁对接</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   门禁、校园通行证、访客通行证、扫码设备进行对接,实现通行证或者一卡通在扫码设备进行识别获后可按按权限开启是否可以进行开门,并记录信息至人员轨迹中。</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★5、人员轨迹</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  人脸识别、扫码、通行证、访客通行证操作过程中产生的识别数据都可对应到每个人员，可以统一记录当前人员在校园内出现的地点，用于大数据分析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★6、设备管理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  统一管理学校内部各种设备,如人脸设备、扫码设备等，发布API接口根据设备进行业务的管理，业务可关联不同的设备，并可标识设备的进出，当设备识别产生记录至平台，平台会根据统一识别记录生成业务分析，如人脸签到，在校状态识别。                                                                                               </w:t>
            </w:r>
            <w:r>
              <w:rPr>
                <w:rFonts w:hint="eastAsia" w:ascii="宋体" w:hAnsi="宋体" w:eastAsia="宋体" w:cs="宋体"/>
                <w:i w:val="0"/>
                <w:color w:val="auto"/>
                <w:kern w:val="0"/>
                <w:sz w:val="18"/>
                <w:szCs w:val="18"/>
                <w:highlight w:val="none"/>
                <w:u w:val="none"/>
                <w:lang w:val="en-US" w:eastAsia="zh-CN" w:bidi="ar"/>
              </w:rPr>
              <w:br w:type="textWrapping"/>
            </w:r>
          </w:p>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★7、可视化分析</w:t>
            </w:r>
          </w:p>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（1）系统需支持数据可视化，按需求定制数据大屏，数据实时更新。</w:t>
            </w:r>
          </w:p>
          <w:p>
            <w:pPr>
              <w:keepNext w:val="0"/>
              <w:keepLines w:val="0"/>
              <w:widowControl/>
              <w:suppressLineNumbers w:val="0"/>
              <w:jc w:val="left"/>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（2）实时提供人员、车辆等感知轨迹图，分析校内校外人员在校状态，设备运维情况，人员比对结果等。</w:t>
            </w:r>
          </w:p>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（3）根据人员分类，精准识别黑名单、陌生人进校动态，并实时预警，人员周界入侵，森林防火预警，河面落水检测或邻水分析等预警可推送至相关管理人。</w:t>
            </w:r>
          </w:p>
          <w:p>
            <w:pPr>
              <w:keepNext w:val="0"/>
              <w:keepLines w:val="0"/>
              <w:widowControl/>
              <w:suppressLineNumbers w:val="0"/>
              <w:jc w:val="left"/>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（4）系统需支持所有轨迹可通过同一个页面查询，系统使用权限统一管理。</w:t>
            </w:r>
          </w:p>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（5）按需定制移动端业务。例如：移动端人员库比对、车牌查询、实时视频查看等。</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02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74</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校园大数据对接（核心产品）</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定制开发</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★（1）系统需支持扫码，刷脸，刷校园卡，实现卡、码、脸三合一。</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★（2）平台统一管理项目中所有人脸识别设备的门禁权限和人脸数据。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★（3）实现与学校大数据平台的人员数据无缝对接，当教职工、学生异动后，及时变更宿舍门禁权限。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★（4）实时对接人脸门禁设备的识别数据，完成系统相关统计分析。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★（5）完成与学校大数据平台的对接，提供人员进出记录。</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★（6）需要与学校统一身份认证对接，移动人脸采集等。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★（7）需要与学校一卡通系统对接，一卡通系统的卡片无需另外注册可直接在闸机上刷卡使用。</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6804"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75</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校园集中管理软件（核心产品）</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 校园AR云镜管理应用；且包含图上监控、事件联动、视频网管、门禁网管等功能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教育综合安防管理平台软件，它依托视频智能，通过对物联数据的多维度分析处理，解决智慧安防领域下的人、车、地、物管理问题 。基于统一技术框架，通过对应用功能模块进行整合，集预警、查询、定位、管理、分析为一体，从多个业务维度对校园工作进行管理。本次建设包含视频监控、门禁管理、停车场出入口管理、园区卡口、智能监控、一键报警、AR实景地图应用以及校园事件管理业务模块。</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要求支持对用户、角色、组织、区域、人员、车辆、卡片、设备等基础资源进行管理调配</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★要求支持以中心管理服务为核心的网络拓扑结构，支持对系统中的分组、服务器、组件等统计概览、查看（需提供公安部检验报告复印件）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增加1000路视频监控licence授权；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大屏控制：要求可对大屏进行1/4/9/16/25分屏、拼接、开窗、窗口漫游的操作，通过客户端支持电视墙开窗后支持分割，并可将大屏分屏配置另保存为场景；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要求支持门禁权限配置和下发；支持卡（含身份证）、人脸、指纹、卡密码等凭证单独或组合使用的认证方式；要求支持门禁权限自动下发，可配置固定时间、固定次数自动下发异动的门禁权限，包含卡、人脸、指纹；</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 要求支持门禁事件订阅、查询和联动；支持门禁设备图上监控；支持人员出入事件和设备事件查询；</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要求支持批量反控下级区域门禁点，支持开门、关门、常开；联动CS客户端进行视频对讲并查看视频实时画面；</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要求支持自动放行、手动放行、车卡一致和单进单出等多种放行模式；支持车位满时固定车辆、临时车辆自动放行；支持收费为0自动放行；</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 要求支持车辆群组管理，车辆群组收费规则和放行规则配置；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 要求支持车辆进出可通过LED屏和语音播报两种方式来展示车辆信息，收费信息，停车时间等内容并且内容都可以自定义；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 ★要求支持按次预约和按时段预约功能；（需提供公安部检验报告复印件）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 要求支持现金对账统计、临时车缴费统计、车流量统；</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 要求支持显示屏显示车辆超速信息，包括车牌号码，车辆速度，实时时间；</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 要求支持车辆黑名单布控；要求支持车辆白名单管理；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 要求支持卡口普通过车信息、超速信息、黑名单信息查询；要求支持卡口点位过车流量和违章事件的统计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18. ★要求支持对重点人员识别，处于重点人员名单内的人脸出现时，系统自动报警；（需提供公安部检验报告复印件）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19. ★支持人员通行检索：对系统中人员通行记录分别按照人员特征、以图搜图进行模糊检索，或者按照门禁记录检索；支持一次查询任务，查询出来自多个后端设备的结果；支持人员通行记录的轨迹；（需提供公安部检验报告复印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20. ★支持将人员通行记录（含人脸抓拍、门禁记录等）或者车辆的通行记录设置为重点目标，可选择生成重点目标时间轴轨迹，或者基于GIS生成地图轨迹（需提供公安部检验报告复印件）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21. 要求支持接收紧急报警事件，并通过事件联动实现联动预览、对讲、开箱（仅报警柱支持）、开警灯（报警箱、报警柱支持）操作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22. 要求支持对监控点、编码设备、门禁设备的在线状态进行设备巡检，并以统计图方式展示巡检结果；要求支持门禁设备在线状态、设备部件状态与设备异常状态报警；</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23. AR实景应用：要求支持标签管理，包括视频、人脸、卡口等标签的编辑、删除和关注；要求支持设备预览，包括云台控制、3D跟踪、手动定位、全景切换、抓图、视频预案、标签自定义等；要求支持按场景进行视频回放，以及回放控制；要求支持AR场景权限管理；要求支持标签管理功能，支持标签展示，标签视频窗口拖动等功能；要求支持电子地图联动，可以在电子地图上切换场景和定位场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24. 要求支持多种事件类型配置联动规则，包含通用视频事件、入侵报警事件、IO事件、门禁事件、停车场事件、行车监控事件、梯控事件、动环事件、人脸识别事件、卡口事件、热成像事件、行为分析事件</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76</w:t>
            </w:r>
          </w:p>
        </w:tc>
        <w:tc>
          <w:tcPr>
            <w:tcW w:w="2888"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UPS系统</w:t>
            </w:r>
          </w:p>
        </w:tc>
        <w:tc>
          <w:tcPr>
            <w:tcW w:w="1316"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7462"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77</w:t>
            </w:r>
          </w:p>
        </w:tc>
        <w:tc>
          <w:tcPr>
            <w:tcW w:w="288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UPS主机</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优质国产</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10kva ups</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8"/>
                <w:szCs w:val="18"/>
                <w:highlight w:val="none"/>
                <w:u w:val="none"/>
              </w:rPr>
            </w:pPr>
          </w:p>
        </w:tc>
      </w:tr>
      <w:tr>
        <w:tblPrEx>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78</w:t>
            </w:r>
          </w:p>
        </w:tc>
        <w:tc>
          <w:tcPr>
            <w:tcW w:w="288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UPS电池</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优质国产</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12V100AH</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节</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8"/>
                <w:szCs w:val="18"/>
                <w:highlight w:val="none"/>
                <w:u w:val="none"/>
              </w:rPr>
            </w:pPr>
          </w:p>
        </w:tc>
      </w:tr>
      <w:tr>
        <w:tblPrEx>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79</w:t>
            </w:r>
          </w:p>
        </w:tc>
        <w:tc>
          <w:tcPr>
            <w:tcW w:w="288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UPS电池箱</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优质国产</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盛放32节12v100ah</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8"/>
                <w:szCs w:val="18"/>
                <w:highlight w:val="none"/>
                <w:u w:val="none"/>
              </w:rPr>
            </w:pPr>
          </w:p>
        </w:tc>
      </w:tr>
      <w:tr>
        <w:tblPrEx>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w:t>
            </w:r>
          </w:p>
        </w:tc>
        <w:tc>
          <w:tcPr>
            <w:tcW w:w="288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UPS配电柜</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优质国产</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输入输出总开关及支路</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8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81</w:t>
            </w:r>
          </w:p>
        </w:tc>
        <w:tc>
          <w:tcPr>
            <w:tcW w:w="2888"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基础设备</w:t>
            </w:r>
          </w:p>
        </w:tc>
        <w:tc>
          <w:tcPr>
            <w:tcW w:w="1316" w:type="dxa"/>
            <w:tcBorders>
              <w:top w:val="single" w:color="000000" w:sz="4" w:space="0"/>
              <w:left w:val="single" w:color="000000" w:sz="4" w:space="0"/>
              <w:bottom w:val="single" w:color="000000" w:sz="4" w:space="0"/>
              <w:right w:val="nil"/>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24"/>
                <w:szCs w:val="24"/>
                <w:highlight w:val="none"/>
                <w:u w:val="none"/>
              </w:rPr>
            </w:pPr>
          </w:p>
        </w:tc>
        <w:tc>
          <w:tcPr>
            <w:tcW w:w="7462"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00B0F0"/>
            <w:noWrap w:val="0"/>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r>
      <w:tr>
        <w:tblPrEx>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82</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监控中心辅材</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国产优质定制</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防雷接地，门禁等。</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83</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地面立杆(含基础)</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国产优质定制</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定制方型140*3.5米，定制方型外挑，壁厚不小于6mm，黑色防锈喷柒（定制国美特色）</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84</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摄像机支架</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壁装支架/铂金灰/铝合金/88×116.6×297.3mm</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355</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85</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电源</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海康、大华、宇视</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摄像机供电</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355</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675"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86</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二合一防雷器</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国产优质</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NKP-TEL-5C，最大持续运行电压Uc:6.5V；最大放电电流Imax(8/20)：5000A；电压保护水平Up：≤130V；保护口线数：单口4线/8线；响应时间Ta：≤1ns；插入损耗：≤0.5dB；RJ45接口，铝合金材质</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r>
        <w:tblPrEx>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87</w:t>
            </w:r>
          </w:p>
        </w:tc>
        <w:tc>
          <w:tcPr>
            <w:tcW w:w="28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辅助材料</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国产优质</w:t>
            </w:r>
          </w:p>
        </w:tc>
        <w:tc>
          <w:tcPr>
            <w:tcW w:w="7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满足以上所有设备安装所需配件及辅材。</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批</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i w:val="0"/>
                <w:color w:val="auto"/>
                <w:sz w:val="16"/>
                <w:szCs w:val="16"/>
                <w:highlight w:val="none"/>
                <w:u w:val="none"/>
              </w:rPr>
            </w:pPr>
          </w:p>
        </w:tc>
      </w:tr>
    </w:tbl>
    <w:p>
      <w:pPr>
        <w:pStyle w:val="2"/>
        <w:widowControl w:val="0"/>
        <w:numPr>
          <w:ilvl w:val="0"/>
          <w:numId w:val="0"/>
        </w:numPr>
        <w:spacing w:line="200" w:lineRule="exact"/>
        <w:jc w:val="both"/>
        <w:rPr>
          <w:rFonts w:hint="eastAsia"/>
          <w:color w:val="auto"/>
          <w:highlight w:val="none"/>
          <w:lang w:val="en-US" w:eastAsia="zh-CN"/>
        </w:rPr>
        <w:sectPr>
          <w:pgSz w:w="16838" w:h="11906" w:orient="landscape"/>
          <w:pgMar w:top="1588" w:right="1091" w:bottom="1588" w:left="1418" w:header="851" w:footer="992" w:gutter="0"/>
          <w:cols w:space="720" w:num="1"/>
          <w:docGrid w:type="lines" w:linePitch="312" w:charSpace="0"/>
        </w:sectPr>
      </w:pPr>
    </w:p>
    <w:p>
      <w:pPr>
        <w:pStyle w:val="2"/>
        <w:rPr>
          <w:rFonts w:hint="eastAsia"/>
          <w:color w:val="auto"/>
          <w:highlight w:val="none"/>
        </w:rPr>
      </w:pPr>
    </w:p>
    <w:p>
      <w:pPr>
        <w:snapToGrid w:val="0"/>
        <w:spacing w:line="360" w:lineRule="auto"/>
        <w:ind w:left="238"/>
        <w:jc w:val="left"/>
        <w:rPr>
          <w:rFonts w:hint="eastAsia" w:ascii="宋体" w:hAnsi="宋体" w:cs="宋体"/>
          <w:b/>
          <w:color w:val="auto"/>
          <w:sz w:val="24"/>
          <w:highlight w:val="none"/>
        </w:rPr>
      </w:pPr>
      <w:r>
        <w:rPr>
          <w:rFonts w:hint="eastAsia" w:ascii="宋体" w:hAnsi="宋体" w:cs="宋体"/>
          <w:b/>
          <w:color w:val="auto"/>
          <w:sz w:val="24"/>
          <w:highlight w:val="none"/>
          <w:lang w:bidi="ar"/>
        </w:rPr>
        <w:t>2、检查与验收</w:t>
      </w:r>
    </w:p>
    <w:p>
      <w:pPr>
        <w:snapToGrid w:val="0"/>
        <w:spacing w:line="360" w:lineRule="auto"/>
        <w:ind w:left="238"/>
        <w:jc w:val="left"/>
        <w:rPr>
          <w:rFonts w:hint="eastAsia" w:ascii="宋体" w:hAnsi="宋体" w:cs="宋体"/>
          <w:color w:val="auto"/>
          <w:sz w:val="24"/>
          <w:highlight w:val="none"/>
        </w:rPr>
      </w:pPr>
      <w:r>
        <w:rPr>
          <w:rFonts w:hint="eastAsia" w:ascii="宋体" w:hAnsi="宋体" w:cs="宋体"/>
          <w:color w:val="auto"/>
          <w:sz w:val="24"/>
          <w:highlight w:val="none"/>
          <w:lang w:bidi="ar"/>
        </w:rPr>
        <w:t>2.1验收与交接：验收应由双方技术人员按有关合同、到货清单及产品说明书等技术资料共同进行数量清点、验收。按采购文件的标准要求及国家相关规定进行验收，验收合格后，方予交货。</w:t>
      </w:r>
    </w:p>
    <w:p>
      <w:pPr>
        <w:snapToGrid w:val="0"/>
        <w:spacing w:line="360" w:lineRule="auto"/>
        <w:ind w:left="238"/>
        <w:jc w:val="left"/>
        <w:rPr>
          <w:rFonts w:hint="eastAsia" w:ascii="宋体" w:hAnsi="宋体" w:cs="宋体"/>
          <w:b/>
          <w:color w:val="auto"/>
          <w:sz w:val="24"/>
          <w:highlight w:val="none"/>
        </w:rPr>
      </w:pPr>
      <w:r>
        <w:rPr>
          <w:rFonts w:hint="eastAsia" w:ascii="宋体" w:hAnsi="宋体" w:cs="宋体"/>
          <w:b/>
          <w:color w:val="auto"/>
          <w:sz w:val="24"/>
          <w:highlight w:val="none"/>
          <w:lang w:bidi="ar"/>
        </w:rPr>
        <w:t>3、技术培训与服务承诺</w:t>
      </w:r>
    </w:p>
    <w:p>
      <w:pPr>
        <w:snapToGrid w:val="0"/>
        <w:spacing w:line="360" w:lineRule="auto"/>
        <w:ind w:left="238"/>
        <w:jc w:val="left"/>
        <w:rPr>
          <w:rFonts w:hint="eastAsia" w:ascii="宋体" w:hAnsi="宋体" w:cs="宋体"/>
          <w:color w:val="auto"/>
          <w:sz w:val="24"/>
          <w:highlight w:val="none"/>
        </w:rPr>
      </w:pPr>
      <w:r>
        <w:rPr>
          <w:rFonts w:hint="eastAsia" w:ascii="宋体" w:hAnsi="宋体" w:cs="宋体"/>
          <w:color w:val="auto"/>
          <w:sz w:val="24"/>
          <w:highlight w:val="none"/>
          <w:lang w:bidi="ar"/>
        </w:rPr>
        <w:t>3.1若采购人需要，</w:t>
      </w:r>
      <w:r>
        <w:rPr>
          <w:rFonts w:hint="eastAsia" w:ascii="宋体" w:hAnsi="宋体" w:cs="宋体"/>
          <w:color w:val="auto"/>
          <w:sz w:val="24"/>
          <w:highlight w:val="none"/>
          <w:lang w:eastAsia="zh-CN" w:bidi="ar"/>
        </w:rPr>
        <w:t>中标</w:t>
      </w:r>
      <w:r>
        <w:rPr>
          <w:rFonts w:hint="eastAsia" w:ascii="宋体" w:hAnsi="宋体" w:cs="宋体"/>
          <w:color w:val="auto"/>
          <w:sz w:val="24"/>
          <w:highlight w:val="none"/>
          <w:lang w:bidi="ar"/>
        </w:rPr>
        <w:t>供应商应负责在学院对采购人操作和维修人员进行技术培训，费用由卖方承担。</w:t>
      </w:r>
    </w:p>
    <w:p>
      <w:pPr>
        <w:snapToGrid w:val="0"/>
        <w:spacing w:line="360" w:lineRule="auto"/>
        <w:ind w:left="238"/>
        <w:jc w:val="left"/>
        <w:rPr>
          <w:rFonts w:hint="eastAsia" w:ascii="宋体" w:hAnsi="宋体" w:cs="宋体"/>
          <w:color w:val="auto"/>
          <w:sz w:val="24"/>
          <w:highlight w:val="none"/>
        </w:rPr>
      </w:pPr>
      <w:r>
        <w:rPr>
          <w:rFonts w:hint="eastAsia" w:ascii="宋体" w:hAnsi="宋体" w:cs="宋体"/>
          <w:color w:val="auto"/>
          <w:sz w:val="24"/>
          <w:highlight w:val="none"/>
          <w:lang w:bidi="ar"/>
        </w:rPr>
        <w:t>3.2</w:t>
      </w:r>
      <w:r>
        <w:rPr>
          <w:rFonts w:hint="eastAsia" w:ascii="宋体" w:hAnsi="宋体" w:cs="宋体"/>
          <w:color w:val="auto"/>
          <w:sz w:val="24"/>
          <w:highlight w:val="none"/>
          <w:lang w:eastAsia="zh-CN" w:bidi="ar"/>
        </w:rPr>
        <w:t>中标</w:t>
      </w:r>
      <w:r>
        <w:rPr>
          <w:rFonts w:hint="eastAsia" w:ascii="宋体" w:hAnsi="宋体" w:cs="宋体"/>
          <w:color w:val="auto"/>
          <w:sz w:val="24"/>
          <w:highlight w:val="none"/>
          <w:lang w:bidi="ar"/>
        </w:rPr>
        <w:t>供应商应提供质保期内的免费保修和终身维修，确保设备的正常使用。供应商必须在杭州市地区设有常驻维修机构，处理维修服务。该服务须是每天24小时提供的。在接到报修通知后2小时内，维修人员必须赶到现场服务并连续进行，直至故障排除故障完全恢复正常使用为止。无特殊情况下，所有维修要求必须在24小时内完全得到解决。该维修机构必须备有足够的备品备件，以满足采购人对设备维修的要求。</w:t>
      </w:r>
    </w:p>
    <w:p>
      <w:pPr>
        <w:snapToGrid w:val="0"/>
        <w:spacing w:line="360" w:lineRule="auto"/>
        <w:ind w:left="238"/>
        <w:jc w:val="left"/>
        <w:rPr>
          <w:rFonts w:hint="eastAsia" w:ascii="宋体" w:hAnsi="宋体" w:cs="宋体"/>
          <w:color w:val="auto"/>
          <w:sz w:val="24"/>
          <w:highlight w:val="none"/>
        </w:rPr>
      </w:pPr>
      <w:r>
        <w:rPr>
          <w:rFonts w:hint="eastAsia" w:ascii="宋体" w:hAnsi="宋体" w:cs="宋体"/>
          <w:color w:val="auto"/>
          <w:sz w:val="24"/>
          <w:highlight w:val="none"/>
          <w:lang w:bidi="ar"/>
        </w:rPr>
        <w:t>3.3请详细提供质保期内、外的维修项目、服务承诺。</w:t>
      </w:r>
    </w:p>
    <w:p>
      <w:pPr>
        <w:adjustRightInd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4、其他要求详见采购文件“第五章 合同主要条款”</w:t>
      </w:r>
    </w:p>
    <w:p>
      <w:pPr>
        <w:adjustRightInd w:val="0"/>
        <w:snapToGrid w:val="0"/>
        <w:spacing w:line="360" w:lineRule="auto"/>
        <w:rPr>
          <w:rFonts w:hint="eastAsia" w:ascii="宋体" w:hAnsi="宋体"/>
          <w:b/>
          <w:color w:val="auto"/>
          <w:sz w:val="24"/>
          <w:highlight w:val="none"/>
        </w:rPr>
      </w:pPr>
      <w:r>
        <w:rPr>
          <w:rFonts w:hint="eastAsia" w:ascii="宋体" w:hAnsi="宋体"/>
          <w:b/>
          <w:color w:val="auto"/>
          <w:sz w:val="24"/>
          <w:highlight w:val="none"/>
          <w:lang w:val="en-US" w:eastAsia="zh-CN"/>
        </w:rPr>
        <w:t>5</w:t>
      </w:r>
      <w:r>
        <w:rPr>
          <w:rFonts w:hint="eastAsia" w:ascii="宋体" w:hAnsi="宋体"/>
          <w:b/>
          <w:color w:val="auto"/>
          <w:sz w:val="24"/>
          <w:highlight w:val="none"/>
        </w:rPr>
        <w:t>、根据本项目的特点，投标文件中提供：</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1.所提供产品的</w:t>
      </w:r>
      <w:r>
        <w:rPr>
          <w:rFonts w:hint="eastAsia" w:ascii="宋体" w:hAnsi="宋体" w:cs="宋体"/>
          <w:bCs/>
          <w:snapToGrid w:val="0"/>
          <w:color w:val="auto"/>
          <w:kern w:val="0"/>
          <w:sz w:val="24"/>
          <w:highlight w:val="none"/>
        </w:rPr>
        <w:t>技术规格书、所投设备的品牌、型号规格、主要技术性能、特点、操作说明和质量水平的详细描述</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2.本项目的具体实施方案：包括技术实施方案、供货方案、服务方案、质量控制（安装调试技术保障措施）、人员培训计划、进度控制（物资进场安排、进度计划）等；</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3.本项目专业技术人员配备情况；</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4.质保期、质保期满后备品备件及人工维修费用的价格承诺；</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5.技术支持、培训及售后服务等；</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6.招标文件及评分办法规定的其他要求。</w:t>
      </w:r>
    </w:p>
    <w:p>
      <w:pPr>
        <w:spacing w:before="156" w:beforeLines="50" w:after="156" w:afterLines="50" w:line="360" w:lineRule="auto"/>
        <w:ind w:firstLine="480" w:firstLineChars="200"/>
        <w:rPr>
          <w:rFonts w:hint="eastAsia" w:ascii="宋体" w:hAnsi="宋体"/>
          <w:color w:val="auto"/>
          <w:sz w:val="24"/>
          <w:highlight w:val="none"/>
        </w:rPr>
      </w:pPr>
    </w:p>
    <w:p>
      <w:pPr>
        <w:spacing w:before="156" w:beforeLines="50" w:after="156" w:afterLines="50"/>
        <w:ind w:firstLine="495"/>
        <w:rPr>
          <w:rFonts w:hint="eastAsia" w:hAnsi="宋体"/>
          <w:bCs/>
          <w:color w:val="auto"/>
          <w:szCs w:val="21"/>
          <w:highlight w:val="none"/>
        </w:rPr>
      </w:pPr>
      <w:r>
        <w:rPr>
          <w:rFonts w:hAnsi="宋体"/>
          <w:bCs/>
          <w:color w:val="auto"/>
          <w:sz w:val="28"/>
          <w:szCs w:val="30"/>
          <w:highlight w:val="none"/>
        </w:rPr>
        <w:br w:type="page"/>
      </w:r>
      <w:r>
        <w:rPr>
          <w:rFonts w:hint="eastAsia" w:hAnsi="宋体"/>
          <w:bCs/>
          <w:color w:val="auto"/>
          <w:sz w:val="28"/>
          <w:szCs w:val="30"/>
          <w:highlight w:val="none"/>
        </w:rPr>
        <w:t xml:space="preserve">                  </w:t>
      </w:r>
    </w:p>
    <w:p>
      <w:pPr>
        <w:spacing w:before="156" w:beforeLines="50" w:after="156" w:afterLines="50"/>
        <w:ind w:firstLine="2640" w:firstLineChars="880"/>
        <w:outlineLvl w:val="0"/>
        <w:rPr>
          <w:rFonts w:hint="eastAsia" w:ascii="黑体" w:hAnsi="宋体" w:eastAsia="黑体"/>
          <w:bCs/>
          <w:color w:val="auto"/>
          <w:sz w:val="30"/>
          <w:szCs w:val="30"/>
          <w:highlight w:val="none"/>
        </w:rPr>
      </w:pPr>
      <w:bookmarkStart w:id="44" w:name="_Toc44755898"/>
      <w:r>
        <w:rPr>
          <w:rFonts w:hint="eastAsia" w:ascii="黑体" w:hAnsi="宋体" w:eastAsia="黑体"/>
          <w:color w:val="auto"/>
          <w:sz w:val="30"/>
          <w:szCs w:val="30"/>
          <w:highlight w:val="none"/>
        </w:rPr>
        <w:t xml:space="preserve">第五章  </w:t>
      </w:r>
      <w:r>
        <w:rPr>
          <w:rFonts w:hint="eastAsia" w:ascii="黑体" w:hAnsi="宋体" w:eastAsia="黑体"/>
          <w:bCs/>
          <w:color w:val="auto"/>
          <w:sz w:val="30"/>
          <w:szCs w:val="30"/>
          <w:highlight w:val="none"/>
        </w:rPr>
        <w:t>合同主要条款</w:t>
      </w:r>
      <w:bookmarkEnd w:id="44"/>
    </w:p>
    <w:p>
      <w:pPr>
        <w:widowControl/>
        <w:spacing w:line="360" w:lineRule="auto"/>
        <w:rPr>
          <w:rFonts w:hint="eastAsia" w:ascii="宋体" w:hAnsi="宋体"/>
          <w:b/>
          <w:color w:val="auto"/>
          <w:kern w:val="0"/>
          <w:sz w:val="24"/>
          <w:highlight w:val="none"/>
        </w:rPr>
      </w:pPr>
      <w:r>
        <w:rPr>
          <w:rFonts w:hint="eastAsia" w:ascii="宋体" w:hAnsi="宋体"/>
          <w:b/>
          <w:color w:val="auto"/>
          <w:kern w:val="0"/>
          <w:sz w:val="24"/>
          <w:highlight w:val="none"/>
        </w:rPr>
        <w:t>（备注：采购文件中仅提供合同主要条款，最终合同以双方签章的书面文本为准。）</w:t>
      </w:r>
    </w:p>
    <w:p>
      <w:pPr>
        <w:adjustRightInd w:val="0"/>
        <w:snapToGrid w:val="0"/>
        <w:spacing w:line="360" w:lineRule="auto"/>
        <w:rPr>
          <w:rFonts w:hint="eastAsia" w:ascii="宋体" w:hAnsi="宋体"/>
          <w:color w:val="auto"/>
          <w:sz w:val="24"/>
          <w:highlight w:val="none"/>
        </w:rPr>
      </w:pPr>
    </w:p>
    <w:p>
      <w:pPr>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lang w:bidi="ar"/>
        </w:rPr>
        <w:t>甲方（采购人、买方）：</w:t>
      </w:r>
      <w:r>
        <w:rPr>
          <w:rFonts w:hint="eastAsia" w:ascii="宋体" w:hAnsi="宋体" w:cs="宋体"/>
          <w:color w:val="auto"/>
          <w:sz w:val="24"/>
          <w:highlight w:val="none"/>
          <w:u w:val="single"/>
          <w:lang w:bidi="ar"/>
        </w:rPr>
        <w:t xml:space="preserve">                                            </w:t>
      </w:r>
    </w:p>
    <w:p>
      <w:pPr>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lang w:bidi="ar"/>
        </w:rPr>
        <w:t>乙方（</w:t>
      </w:r>
      <w:r>
        <w:rPr>
          <w:rFonts w:hint="eastAsia" w:ascii="宋体" w:hAnsi="宋体" w:cs="宋体"/>
          <w:color w:val="auto"/>
          <w:sz w:val="24"/>
          <w:highlight w:val="none"/>
          <w:lang w:eastAsia="zh-CN" w:bidi="ar"/>
        </w:rPr>
        <w:t>中标人</w:t>
      </w:r>
      <w:r>
        <w:rPr>
          <w:rFonts w:hint="eastAsia" w:ascii="宋体" w:hAnsi="宋体" w:cs="宋体"/>
          <w:color w:val="auto"/>
          <w:sz w:val="24"/>
          <w:highlight w:val="none"/>
          <w:lang w:bidi="ar"/>
        </w:rPr>
        <w:t>、卖方）：</w:t>
      </w:r>
      <w:r>
        <w:rPr>
          <w:rFonts w:hint="eastAsia" w:ascii="宋体" w:hAnsi="宋体" w:cs="宋体"/>
          <w:color w:val="auto"/>
          <w:sz w:val="24"/>
          <w:highlight w:val="none"/>
          <w:u w:val="single"/>
          <w:lang w:bidi="ar"/>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 xml:space="preserve">          </w:t>
      </w:r>
    </w:p>
    <w:p>
      <w:pPr>
        <w:autoSpaceDE w:val="0"/>
        <w:autoSpaceDN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根据</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u w:val="single"/>
          <w:lang w:val="en-US" w:eastAsia="zh-CN" w:bidi="ar"/>
        </w:rPr>
        <w:t xml:space="preserve">  </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年</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u w:val="single"/>
          <w:lang w:val="en-US" w:eastAsia="zh-CN" w:bidi="ar"/>
        </w:rPr>
        <w:t xml:space="preserve">  </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u w:val="single"/>
          <w:lang w:val="en-US" w:eastAsia="zh-CN" w:bidi="ar"/>
        </w:rPr>
        <w:t xml:space="preserve">   </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日</w:t>
      </w:r>
      <w:r>
        <w:rPr>
          <w:rFonts w:hint="eastAsia" w:ascii="宋体" w:hAnsi="宋体" w:cs="宋体"/>
          <w:b/>
          <w:color w:val="auto"/>
          <w:sz w:val="24"/>
          <w:highlight w:val="none"/>
          <w:u w:val="single"/>
          <w:lang w:bidi="ar"/>
        </w:rPr>
        <w:t xml:space="preserve">                  </w:t>
      </w:r>
      <w:r>
        <w:rPr>
          <w:rFonts w:hint="eastAsia" w:ascii="宋体" w:hAnsi="宋体" w:cs="宋体"/>
          <w:color w:val="auto"/>
          <w:sz w:val="24"/>
          <w:highlight w:val="none"/>
          <w:lang w:bidi="ar"/>
        </w:rPr>
        <w:t>采购结果和采购文件的要求，并依照《中华人民共和国合同法》等有关法律、行政法规的规定，同时在平等、公平、诚实和信用的原则下，经双方协商一致，订立本合同。</w:t>
      </w:r>
    </w:p>
    <w:p>
      <w:pPr>
        <w:snapToGrid w:val="0"/>
        <w:spacing w:line="360" w:lineRule="auto"/>
        <w:ind w:firstLine="420"/>
        <w:rPr>
          <w:rFonts w:hint="eastAsia" w:ascii="宋体" w:hAnsi="宋体" w:cs="宋体"/>
          <w:color w:val="auto"/>
          <w:spacing w:val="-4"/>
          <w:sz w:val="24"/>
          <w:highlight w:val="none"/>
        </w:rPr>
      </w:pPr>
      <w:r>
        <w:rPr>
          <w:rFonts w:hint="eastAsia" w:ascii="宋体" w:hAnsi="宋体" w:cs="宋体"/>
          <w:color w:val="auto"/>
          <w:spacing w:val="-4"/>
          <w:sz w:val="24"/>
          <w:highlight w:val="none"/>
          <w:lang w:bidi="ar"/>
        </w:rPr>
        <w:t>一、合同文件</w:t>
      </w:r>
    </w:p>
    <w:p>
      <w:pPr>
        <w:snapToGrid w:val="0"/>
        <w:spacing w:line="360" w:lineRule="auto"/>
        <w:ind w:firstLine="420"/>
        <w:rPr>
          <w:rFonts w:hint="eastAsia" w:ascii="宋体" w:hAnsi="宋体" w:cs="宋体"/>
          <w:color w:val="auto"/>
          <w:spacing w:val="-4"/>
          <w:sz w:val="24"/>
          <w:highlight w:val="none"/>
        </w:rPr>
      </w:pPr>
      <w:r>
        <w:rPr>
          <w:rFonts w:hint="eastAsia" w:ascii="宋体" w:hAnsi="宋体" w:cs="宋体"/>
          <w:color w:val="auto"/>
          <w:spacing w:val="-4"/>
          <w:sz w:val="24"/>
          <w:highlight w:val="none"/>
          <w:lang w:bidi="ar"/>
        </w:rPr>
        <w:t>合同文件的组成，包括：</w:t>
      </w:r>
    </w:p>
    <w:p>
      <w:pPr>
        <w:snapToGrid w:val="0"/>
        <w:spacing w:line="360" w:lineRule="auto"/>
        <w:ind w:firstLine="420"/>
        <w:rPr>
          <w:rFonts w:hint="eastAsia" w:ascii="宋体" w:hAnsi="宋体" w:cs="宋体"/>
          <w:color w:val="auto"/>
          <w:spacing w:val="-4"/>
          <w:sz w:val="24"/>
          <w:highlight w:val="none"/>
        </w:rPr>
      </w:pPr>
      <w:r>
        <w:rPr>
          <w:rFonts w:hint="eastAsia" w:ascii="宋体" w:hAnsi="宋体" w:cs="宋体"/>
          <w:color w:val="auto"/>
          <w:spacing w:val="-4"/>
          <w:sz w:val="24"/>
          <w:highlight w:val="none"/>
          <w:lang w:bidi="ar"/>
        </w:rPr>
        <w:t>（1）本合同协议书和合同全部条款；</w:t>
      </w:r>
    </w:p>
    <w:p>
      <w:pPr>
        <w:snapToGrid w:val="0"/>
        <w:spacing w:line="360" w:lineRule="auto"/>
        <w:ind w:firstLine="420"/>
        <w:rPr>
          <w:rFonts w:hint="eastAsia" w:ascii="宋体" w:hAnsi="宋体" w:cs="宋体"/>
          <w:color w:val="auto"/>
          <w:spacing w:val="-4"/>
          <w:sz w:val="24"/>
          <w:highlight w:val="none"/>
        </w:rPr>
      </w:pPr>
      <w:r>
        <w:rPr>
          <w:rFonts w:hint="eastAsia" w:ascii="宋体" w:hAnsi="宋体" w:cs="宋体"/>
          <w:color w:val="auto"/>
          <w:spacing w:val="-4"/>
          <w:sz w:val="24"/>
          <w:highlight w:val="none"/>
          <w:lang w:bidi="ar"/>
        </w:rPr>
        <w:t>（2）中标通知书；</w:t>
      </w:r>
    </w:p>
    <w:p>
      <w:pPr>
        <w:snapToGrid w:val="0"/>
        <w:spacing w:line="360" w:lineRule="auto"/>
        <w:ind w:firstLine="420"/>
        <w:rPr>
          <w:rFonts w:hint="eastAsia" w:ascii="宋体" w:hAnsi="宋体" w:cs="宋体"/>
          <w:color w:val="auto"/>
          <w:spacing w:val="-4"/>
          <w:sz w:val="24"/>
          <w:highlight w:val="none"/>
        </w:rPr>
      </w:pPr>
      <w:r>
        <w:rPr>
          <w:rFonts w:hint="eastAsia" w:ascii="宋体" w:hAnsi="宋体" w:cs="宋体"/>
          <w:color w:val="auto"/>
          <w:spacing w:val="-4"/>
          <w:sz w:val="24"/>
          <w:highlight w:val="none"/>
          <w:lang w:bidi="ar"/>
        </w:rPr>
        <w:t xml:space="preserve">（3）采购文件（含补充文件、答疑纪要）； </w:t>
      </w:r>
    </w:p>
    <w:p>
      <w:pPr>
        <w:snapToGrid w:val="0"/>
        <w:spacing w:line="360" w:lineRule="auto"/>
        <w:ind w:firstLine="420"/>
        <w:rPr>
          <w:rFonts w:hint="eastAsia" w:ascii="宋体" w:hAnsi="宋体" w:cs="宋体"/>
          <w:color w:val="auto"/>
          <w:spacing w:val="-4"/>
          <w:sz w:val="24"/>
          <w:highlight w:val="none"/>
        </w:rPr>
      </w:pPr>
      <w:r>
        <w:rPr>
          <w:rFonts w:hint="eastAsia" w:ascii="宋体" w:hAnsi="宋体" w:cs="宋体"/>
          <w:color w:val="auto"/>
          <w:spacing w:val="-4"/>
          <w:sz w:val="24"/>
          <w:highlight w:val="none"/>
          <w:lang w:bidi="ar"/>
        </w:rPr>
        <w:t xml:space="preserve">（4）采购文件及其附件、技术澄清、询标答复； </w:t>
      </w:r>
    </w:p>
    <w:p>
      <w:pPr>
        <w:snapToGrid w:val="0"/>
        <w:spacing w:line="360" w:lineRule="auto"/>
        <w:ind w:firstLine="420"/>
        <w:rPr>
          <w:rFonts w:hint="eastAsia" w:ascii="宋体" w:hAnsi="宋体" w:cs="宋体"/>
          <w:color w:val="auto"/>
          <w:spacing w:val="-4"/>
          <w:sz w:val="24"/>
          <w:highlight w:val="none"/>
        </w:rPr>
      </w:pPr>
      <w:r>
        <w:rPr>
          <w:rFonts w:hint="eastAsia" w:ascii="宋体" w:hAnsi="宋体" w:cs="宋体"/>
          <w:color w:val="auto"/>
          <w:spacing w:val="-4"/>
          <w:sz w:val="24"/>
          <w:highlight w:val="none"/>
          <w:lang w:bidi="ar"/>
        </w:rPr>
        <w:t>（5）标准、规范及有关技术文件；</w:t>
      </w:r>
    </w:p>
    <w:p>
      <w:pPr>
        <w:snapToGrid w:val="0"/>
        <w:spacing w:line="360" w:lineRule="auto"/>
        <w:ind w:firstLine="420"/>
        <w:rPr>
          <w:rFonts w:hint="eastAsia" w:ascii="宋体" w:hAnsi="宋体" w:cs="宋体"/>
          <w:color w:val="auto"/>
          <w:spacing w:val="-4"/>
          <w:sz w:val="24"/>
          <w:highlight w:val="none"/>
        </w:rPr>
      </w:pPr>
      <w:r>
        <w:rPr>
          <w:rFonts w:hint="eastAsia" w:ascii="宋体" w:hAnsi="宋体" w:cs="宋体"/>
          <w:color w:val="auto"/>
          <w:spacing w:val="-4"/>
          <w:sz w:val="24"/>
          <w:highlight w:val="none"/>
          <w:lang w:bidi="ar"/>
        </w:rPr>
        <w:t>（6）图纸等设计文件；</w:t>
      </w:r>
    </w:p>
    <w:p>
      <w:pPr>
        <w:snapToGrid w:val="0"/>
        <w:spacing w:line="360" w:lineRule="auto"/>
        <w:ind w:firstLine="420"/>
        <w:rPr>
          <w:rFonts w:hint="eastAsia" w:ascii="宋体" w:hAnsi="宋体" w:cs="宋体"/>
          <w:color w:val="auto"/>
          <w:spacing w:val="-4"/>
          <w:sz w:val="24"/>
          <w:highlight w:val="none"/>
        </w:rPr>
      </w:pPr>
      <w:r>
        <w:rPr>
          <w:rFonts w:hint="eastAsia" w:ascii="宋体" w:hAnsi="宋体" w:cs="宋体"/>
          <w:color w:val="auto"/>
          <w:spacing w:val="-4"/>
          <w:sz w:val="24"/>
          <w:highlight w:val="none"/>
          <w:lang w:bidi="ar"/>
        </w:rPr>
        <w:t>甲方、乙方有关工程的洽商、变更等书面协议或文件作为本合同的组成部分，与本合同具有同等法律效力，当文件有矛盾之处，以时间后者为准。</w:t>
      </w:r>
    </w:p>
    <w:p>
      <w:pPr>
        <w:snapToGrid w:val="0"/>
        <w:spacing w:line="360" w:lineRule="auto"/>
        <w:ind w:firstLine="420"/>
        <w:rPr>
          <w:rFonts w:hint="eastAsia" w:ascii="宋体" w:hAnsi="宋体" w:cs="宋体"/>
          <w:color w:val="auto"/>
          <w:spacing w:val="-4"/>
          <w:sz w:val="24"/>
          <w:highlight w:val="none"/>
        </w:rPr>
      </w:pPr>
      <w:r>
        <w:rPr>
          <w:rFonts w:hint="eastAsia" w:ascii="宋体" w:hAnsi="宋体" w:cs="宋体"/>
          <w:color w:val="auto"/>
          <w:spacing w:val="-4"/>
          <w:sz w:val="24"/>
          <w:highlight w:val="none"/>
          <w:lang w:bidi="ar"/>
        </w:rPr>
        <w:t>合同范围和条件</w:t>
      </w:r>
    </w:p>
    <w:p>
      <w:pPr>
        <w:snapToGrid w:val="0"/>
        <w:spacing w:line="360" w:lineRule="auto"/>
        <w:ind w:firstLine="420"/>
        <w:rPr>
          <w:rFonts w:hint="eastAsia" w:ascii="宋体" w:hAnsi="宋体" w:cs="宋体"/>
          <w:color w:val="auto"/>
          <w:spacing w:val="-4"/>
          <w:sz w:val="24"/>
          <w:highlight w:val="none"/>
        </w:rPr>
      </w:pPr>
      <w:r>
        <w:rPr>
          <w:rFonts w:hint="eastAsia" w:ascii="宋体" w:hAnsi="宋体" w:cs="宋体"/>
          <w:color w:val="auto"/>
          <w:spacing w:val="-4"/>
          <w:sz w:val="24"/>
          <w:highlight w:val="none"/>
          <w:lang w:bidi="ar"/>
        </w:rPr>
        <w:t>本合同的范围和条件应与上述规定的合同文件内容一致。</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二、型号规格参数</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按采购文件“第三部分 采购需求”。</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三、货物名称、数量及合同金额</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1、甲方向乙方订购一批货物及其附件，并需要乙方提供深化设计方案、安装、调试、验收、培训、技术服务等相关服务以及售后服务等，直至可交付使用，即以交钥匙方式完成供货及服务，具体型号、规格、数量详见经双方认可的清单。</w:t>
      </w:r>
    </w:p>
    <w:p>
      <w:pPr>
        <w:snapToGrid w:val="0"/>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lang w:bidi="ar"/>
        </w:rPr>
        <w:t>2、采购货物需求清单及价格（</w:t>
      </w:r>
      <w:r>
        <w:rPr>
          <w:rFonts w:hint="eastAsia" w:ascii="宋体" w:hAnsi="宋体" w:cs="宋体"/>
          <w:color w:val="auto"/>
          <w:sz w:val="24"/>
          <w:highlight w:val="none"/>
          <w:lang w:eastAsia="zh-CN" w:bidi="ar"/>
        </w:rPr>
        <w:t>中标</w:t>
      </w:r>
      <w:r>
        <w:rPr>
          <w:rFonts w:hint="eastAsia" w:ascii="宋体" w:hAnsi="宋体" w:cs="宋体"/>
          <w:color w:val="auto"/>
          <w:sz w:val="24"/>
          <w:highlight w:val="none"/>
          <w:lang w:bidi="ar"/>
        </w:rPr>
        <w:t>后将报价表作为本合同的附件）</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四、质量保证</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1、乙方保证本合同中所供应的货物是最新生产的、全新的，并符合国家技术规格和质量标准的出厂原装合格产品。如发生所供货物与合同不符，甲方（使用方）有权拒收或退货，由此产生的一切责任和后果由乙方承担。产品的质量\技术标准如在采购文件中无相应说明，则按中华人民共和国有关部门颁发的最新国家标准执行，无国家标准的，按普遍认可的国内行业标准或采购人认可的其它国家的权威标准。</w:t>
      </w:r>
    </w:p>
    <w:p>
      <w:pPr>
        <w:snapToGrid w:val="0"/>
        <w:spacing w:line="360" w:lineRule="auto"/>
        <w:ind w:left="237" w:leftChars="113" w:firstLine="241" w:firstLineChars="100"/>
        <w:rPr>
          <w:rFonts w:hint="eastAsia" w:ascii="宋体" w:hAnsi="宋体" w:cs="宋体"/>
          <w:b/>
          <w:color w:val="auto"/>
          <w:sz w:val="24"/>
          <w:highlight w:val="none"/>
        </w:rPr>
      </w:pPr>
      <w:r>
        <w:rPr>
          <w:rFonts w:hint="eastAsia" w:ascii="宋体" w:hAnsi="宋体" w:cs="宋体"/>
          <w:b/>
          <w:color w:val="auto"/>
          <w:sz w:val="24"/>
          <w:highlight w:val="none"/>
          <w:lang w:bidi="ar"/>
        </w:rPr>
        <w:t>2、质量保证期（即免费保修期）为 （签订合同时以</w:t>
      </w:r>
      <w:r>
        <w:rPr>
          <w:rFonts w:hint="eastAsia" w:ascii="宋体" w:hAnsi="宋体" w:cs="宋体"/>
          <w:b/>
          <w:color w:val="auto"/>
          <w:sz w:val="24"/>
          <w:highlight w:val="none"/>
          <w:lang w:eastAsia="zh-CN" w:bidi="ar"/>
        </w:rPr>
        <w:t>中标人</w:t>
      </w:r>
      <w:r>
        <w:rPr>
          <w:rFonts w:hint="eastAsia" w:ascii="宋体" w:hAnsi="宋体" w:cs="宋体"/>
          <w:b/>
          <w:color w:val="auto"/>
          <w:sz w:val="24"/>
          <w:highlight w:val="none"/>
          <w:lang w:bidi="ar"/>
        </w:rPr>
        <w:t>填报的不低于年的质量保证期作为合同中的质量保证期）年。</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3、在产品质量保证期之内，乙方对由于产品设计、工艺、材料、配套件的缺陷而造成的任何产品质量问题或故障负全责。产品质量保证期内非因甲方的人为原因而出现货物质量问题的，由乙方负责。乙方负责包修、包换或者包退，并承担修理、调换或退货的实际费用。乙方不能及时修理或不能及时调换，按违约处理。</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五、交货时间、地点</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1、乙方承诺按甲方的需要在规定的时间内供货至甲方指定的地点，负责组装、安装、调试、检测等，直至验收合格交付甲方使用，即按交钥匙方式完成，包括相关技术服务以及售后服务。</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2、在所供货物交付使用时，乙方必须向甲方提供货物说明书、质量保证书、保修卡等必须具备的相关资料和必备的附件。</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3、本次采购货物为采购人指定地点交货，即包括产品价格、增值税等其它税费、随机特殊工具、备品备件费、国内运杂费、保险费（是否保险由乙方自定）、安装费、调试费、技术培训费、材料设备检测试验费、甲方代表到设备制造厂家抽检费（必要时）、以及其它一切不可预见和实际所需的一切其他费用等。</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六、知识产权</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乙方应保证所提供的货物或其任何一部分均不会侵犯任何第三方的知识产权，由此产生的知识产权纠纷由乙方承担全部责任。</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七、安装、调试及技术服务</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1、乙方应在签订合同后10天内提供下列资料：</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（1）乙方所提交的图纸及文件均应清晰、完整，并应有合同号、图纸与文件的编号和盖有乙方已作过检查的印记。各项货物的图纸上还应有制造商的名称。</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（2）只有被甲方批准的图纸及有关文件才可用于工程实施。在实施中如有必要修改，需取得甲方批准，并不得以此为由要求调整合同总价。</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3）如果技术文件发生短缺，乙方应在收到甲方通知后一周内补齐这部分文件。由于乙方提交了不完整或不正确的图纸及数据而引起的制造、安装或调试的错误，由此引起的费用由乙方负担，由此而产生的工期延误由乙方负责。</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（4）乙方应在合同签订后，根据甲方提出的进度要求提供下述资料供甲方及其有关单位认可。</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货物及部件说明，包括：设备的结构、原理、详细性能、特性及参数等.</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设备的安装要求（包括现场的吊装、装配等）和调试及试运行要求（包括安装、调试和试运行的程序及记录表格）。</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乙方采用的有关产品标准和规范。</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包装运输、仓储方案说明。</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2、安装完毕，调试验收前提供的图纸资料包括：</w:t>
      </w:r>
    </w:p>
    <w:p>
      <w:pPr>
        <w:snapToGrid w:val="0"/>
        <w:spacing w:line="360" w:lineRule="auto"/>
        <w:ind w:firstLine="410"/>
        <w:rPr>
          <w:rFonts w:hint="eastAsia" w:ascii="宋体" w:hAnsi="宋体" w:cs="宋体"/>
          <w:color w:val="auto"/>
          <w:sz w:val="24"/>
          <w:highlight w:val="none"/>
        </w:rPr>
      </w:pPr>
      <w:r>
        <w:rPr>
          <w:rFonts w:hint="eastAsia" w:ascii="宋体" w:hAnsi="宋体" w:cs="宋体"/>
          <w:color w:val="auto"/>
          <w:sz w:val="24"/>
          <w:highlight w:val="none"/>
          <w:lang w:bidi="ar"/>
        </w:rPr>
        <w:t>（1）设备总图，包括组装后的外型图及外型尺寸、主要部件图及其尺寸、重量，设备与系统连接的接口、设备检修所需的空间、设备械性能参数。</w:t>
      </w:r>
    </w:p>
    <w:p>
      <w:pPr>
        <w:snapToGrid w:val="0"/>
        <w:spacing w:line="360" w:lineRule="auto"/>
        <w:ind w:firstLine="410"/>
        <w:rPr>
          <w:rFonts w:hint="eastAsia" w:ascii="宋体" w:hAnsi="宋体" w:cs="宋体"/>
          <w:color w:val="auto"/>
          <w:sz w:val="24"/>
          <w:highlight w:val="none"/>
        </w:rPr>
      </w:pPr>
      <w:r>
        <w:rPr>
          <w:rFonts w:hint="eastAsia" w:ascii="宋体" w:hAnsi="宋体" w:cs="宋体"/>
          <w:color w:val="auto"/>
          <w:sz w:val="24"/>
          <w:highlight w:val="none"/>
          <w:lang w:bidi="ar"/>
        </w:rPr>
        <w:t>（2）设备装配图及安装图，包括现场吊装及装配图，各管道及电缆电线的位置尺寸。</w:t>
      </w:r>
    </w:p>
    <w:p>
      <w:pPr>
        <w:snapToGrid w:val="0"/>
        <w:spacing w:line="360" w:lineRule="auto"/>
        <w:ind w:firstLine="410"/>
        <w:rPr>
          <w:rFonts w:hint="eastAsia" w:ascii="宋体" w:hAnsi="宋体" w:cs="宋体"/>
          <w:color w:val="auto"/>
          <w:sz w:val="24"/>
          <w:highlight w:val="none"/>
        </w:rPr>
      </w:pPr>
      <w:r>
        <w:rPr>
          <w:rFonts w:hint="eastAsia" w:ascii="宋体" w:hAnsi="宋体" w:cs="宋体"/>
          <w:color w:val="auto"/>
          <w:sz w:val="24"/>
          <w:highlight w:val="none"/>
          <w:lang w:bidi="ar"/>
        </w:rPr>
        <w:t>（3）中文版或中英文对照的设备操作维修保养手册, 包括：</w:t>
      </w:r>
    </w:p>
    <w:p>
      <w:pPr>
        <w:snapToGrid w:val="0"/>
        <w:spacing w:line="360" w:lineRule="auto"/>
        <w:ind w:firstLine="1027"/>
        <w:rPr>
          <w:rFonts w:hint="eastAsia" w:ascii="宋体" w:hAnsi="宋体" w:cs="宋体"/>
          <w:color w:val="auto"/>
          <w:sz w:val="24"/>
          <w:highlight w:val="none"/>
        </w:rPr>
      </w:pPr>
      <w:r>
        <w:rPr>
          <w:rFonts w:hint="eastAsia" w:ascii="宋体" w:hAnsi="宋体" w:cs="宋体"/>
          <w:color w:val="auto"/>
          <w:sz w:val="24"/>
          <w:highlight w:val="none"/>
          <w:lang w:bidi="ar"/>
        </w:rPr>
        <w:t>总的要求及安全措施（包括设备和部件常见故障说明，建议的紧急安全程序）；</w:t>
      </w:r>
    </w:p>
    <w:p>
      <w:pPr>
        <w:snapToGrid w:val="0"/>
        <w:spacing w:line="360" w:lineRule="auto"/>
        <w:ind w:firstLine="1027"/>
        <w:rPr>
          <w:rFonts w:hint="eastAsia" w:ascii="宋体" w:hAnsi="宋体" w:cs="宋体"/>
          <w:color w:val="auto"/>
          <w:sz w:val="24"/>
          <w:highlight w:val="none"/>
        </w:rPr>
      </w:pPr>
      <w:r>
        <w:rPr>
          <w:rFonts w:hint="eastAsia" w:ascii="宋体" w:hAnsi="宋体" w:cs="宋体"/>
          <w:color w:val="auto"/>
          <w:sz w:val="24"/>
          <w:highlight w:val="none"/>
          <w:lang w:bidi="ar"/>
        </w:rPr>
        <w:t>乙方建议的定期保养时间、项目及方法；</w:t>
      </w:r>
    </w:p>
    <w:p>
      <w:pPr>
        <w:snapToGrid w:val="0"/>
        <w:spacing w:line="360" w:lineRule="auto"/>
        <w:ind w:firstLine="1027"/>
        <w:rPr>
          <w:rFonts w:hint="eastAsia" w:ascii="宋体" w:hAnsi="宋体" w:cs="宋体"/>
          <w:color w:val="auto"/>
          <w:sz w:val="24"/>
          <w:highlight w:val="none"/>
        </w:rPr>
      </w:pPr>
      <w:r>
        <w:rPr>
          <w:rFonts w:hint="eastAsia" w:ascii="宋体" w:hAnsi="宋体" w:cs="宋体"/>
          <w:color w:val="auto"/>
          <w:sz w:val="24"/>
          <w:highlight w:val="none"/>
          <w:lang w:bidi="ar"/>
        </w:rPr>
        <w:t>乙方的设备系列号、地址及服务联系电话；</w:t>
      </w:r>
    </w:p>
    <w:p>
      <w:pPr>
        <w:snapToGrid w:val="0"/>
        <w:spacing w:line="360" w:lineRule="auto"/>
        <w:ind w:firstLine="1027"/>
        <w:rPr>
          <w:rFonts w:hint="eastAsia" w:ascii="宋体" w:hAnsi="宋体" w:cs="宋体"/>
          <w:color w:val="auto"/>
          <w:sz w:val="24"/>
          <w:highlight w:val="none"/>
        </w:rPr>
      </w:pPr>
      <w:r>
        <w:rPr>
          <w:rFonts w:hint="eastAsia" w:ascii="宋体" w:hAnsi="宋体" w:cs="宋体"/>
          <w:color w:val="auto"/>
          <w:sz w:val="24"/>
          <w:highlight w:val="none"/>
          <w:lang w:bidi="ar"/>
        </w:rPr>
        <w:t>特殊工具和备品备件清单；</w:t>
      </w:r>
    </w:p>
    <w:p>
      <w:pPr>
        <w:snapToGrid w:val="0"/>
        <w:spacing w:line="360" w:lineRule="auto"/>
        <w:ind w:firstLine="1027"/>
        <w:rPr>
          <w:rFonts w:hint="eastAsia" w:ascii="宋体" w:hAnsi="宋体" w:cs="宋体"/>
          <w:color w:val="auto"/>
          <w:sz w:val="24"/>
          <w:highlight w:val="none"/>
        </w:rPr>
      </w:pPr>
      <w:r>
        <w:rPr>
          <w:rFonts w:hint="eastAsia" w:ascii="宋体" w:hAnsi="宋体" w:cs="宋体"/>
          <w:color w:val="auto"/>
          <w:sz w:val="24"/>
          <w:highlight w:val="none"/>
          <w:lang w:bidi="ar"/>
        </w:rPr>
        <w:t>维修图册以及有关资料。</w:t>
      </w:r>
    </w:p>
    <w:p>
      <w:pPr>
        <w:snapToGrid w:val="0"/>
        <w:spacing w:line="360" w:lineRule="auto"/>
        <w:ind w:firstLine="410"/>
        <w:rPr>
          <w:rFonts w:hint="eastAsia" w:ascii="宋体" w:hAnsi="宋体" w:cs="宋体"/>
          <w:color w:val="auto"/>
          <w:sz w:val="24"/>
          <w:highlight w:val="none"/>
        </w:rPr>
      </w:pPr>
      <w:r>
        <w:rPr>
          <w:rFonts w:hint="eastAsia" w:ascii="宋体" w:hAnsi="宋体" w:cs="宋体"/>
          <w:color w:val="auto"/>
          <w:sz w:val="24"/>
          <w:highlight w:val="none"/>
          <w:lang w:bidi="ar"/>
        </w:rPr>
        <w:t>（4）所有设备的规格。</w:t>
      </w:r>
    </w:p>
    <w:p>
      <w:pPr>
        <w:snapToGrid w:val="0"/>
        <w:spacing w:line="360" w:lineRule="auto"/>
        <w:ind w:firstLine="410"/>
        <w:rPr>
          <w:rFonts w:hint="eastAsia" w:ascii="宋体" w:hAnsi="宋体" w:cs="宋体"/>
          <w:color w:val="auto"/>
          <w:sz w:val="24"/>
          <w:highlight w:val="none"/>
        </w:rPr>
      </w:pPr>
      <w:r>
        <w:rPr>
          <w:rFonts w:hint="eastAsia" w:ascii="宋体" w:hAnsi="宋体" w:cs="宋体"/>
          <w:color w:val="auto"/>
          <w:sz w:val="24"/>
          <w:highlight w:val="none"/>
          <w:lang w:bidi="ar"/>
        </w:rPr>
        <w:t>（5）所有设备的调试手册。</w:t>
      </w:r>
    </w:p>
    <w:p>
      <w:pPr>
        <w:snapToGrid w:val="0"/>
        <w:spacing w:line="360" w:lineRule="auto"/>
        <w:ind w:firstLine="410"/>
        <w:rPr>
          <w:rFonts w:hint="eastAsia" w:ascii="宋体" w:hAnsi="宋体" w:cs="宋体"/>
          <w:color w:val="auto"/>
          <w:sz w:val="24"/>
          <w:highlight w:val="none"/>
        </w:rPr>
      </w:pPr>
      <w:r>
        <w:rPr>
          <w:rFonts w:hint="eastAsia" w:ascii="宋体" w:hAnsi="宋体" w:cs="宋体"/>
          <w:color w:val="auto"/>
          <w:sz w:val="24"/>
          <w:highlight w:val="none"/>
          <w:lang w:bidi="ar"/>
        </w:rPr>
        <w:t>（6）主要配套件的中文使用说明书。</w:t>
      </w:r>
    </w:p>
    <w:p>
      <w:pPr>
        <w:snapToGrid w:val="0"/>
        <w:spacing w:line="360" w:lineRule="auto"/>
        <w:ind w:firstLine="410"/>
        <w:rPr>
          <w:rFonts w:hint="eastAsia" w:ascii="宋体" w:hAnsi="宋体" w:cs="宋体"/>
          <w:color w:val="auto"/>
          <w:sz w:val="24"/>
          <w:highlight w:val="none"/>
        </w:rPr>
      </w:pPr>
      <w:r>
        <w:rPr>
          <w:rFonts w:hint="eastAsia" w:ascii="宋体" w:hAnsi="宋体" w:cs="宋体"/>
          <w:color w:val="auto"/>
          <w:sz w:val="24"/>
          <w:highlight w:val="none"/>
          <w:lang w:bidi="ar"/>
        </w:rPr>
        <w:t>（7）制造期间设备及部件的性能试验、检验报告；设备制造质量资料及质量证明文件\合格证；主要原材料采购过程的质量合格证明材料。</w:t>
      </w:r>
    </w:p>
    <w:p>
      <w:pPr>
        <w:snapToGrid w:val="0"/>
        <w:spacing w:line="360" w:lineRule="auto"/>
        <w:ind w:firstLine="410"/>
        <w:rPr>
          <w:rFonts w:hint="eastAsia" w:ascii="宋体" w:hAnsi="宋体" w:cs="宋体"/>
          <w:color w:val="auto"/>
          <w:sz w:val="24"/>
          <w:highlight w:val="none"/>
        </w:rPr>
      </w:pPr>
      <w:r>
        <w:rPr>
          <w:rFonts w:hint="eastAsia" w:ascii="宋体" w:hAnsi="宋体" w:cs="宋体"/>
          <w:color w:val="auto"/>
          <w:sz w:val="24"/>
          <w:highlight w:val="none"/>
          <w:lang w:bidi="ar"/>
        </w:rPr>
        <w:t>（8）出厂试验报告，报告中应有出厂试验记录；质量监督部门的检测报告。</w:t>
      </w:r>
    </w:p>
    <w:p>
      <w:pPr>
        <w:tabs>
          <w:tab w:val="left" w:pos="900"/>
        </w:tabs>
        <w:snapToGrid w:val="0"/>
        <w:spacing w:line="360" w:lineRule="auto"/>
        <w:ind w:firstLine="410"/>
        <w:rPr>
          <w:rFonts w:hint="eastAsia" w:ascii="宋体" w:hAnsi="宋体" w:cs="宋体"/>
          <w:color w:val="auto"/>
          <w:sz w:val="24"/>
          <w:highlight w:val="none"/>
        </w:rPr>
      </w:pPr>
      <w:r>
        <w:rPr>
          <w:rFonts w:hint="eastAsia" w:ascii="宋体" w:hAnsi="宋体" w:cs="宋体"/>
          <w:color w:val="auto"/>
          <w:sz w:val="24"/>
          <w:highlight w:val="none"/>
          <w:lang w:bidi="ar"/>
        </w:rPr>
        <w:t>（9）如采用进口部件交货时须提供产地证明文件、海关完税单、海运提单、报关单、商检证明文件等相关进口件证明资料。</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3、合同所订货物到达甲方工地后，乙方应派具有相应资质资格的技术、安装人员前往甲方工地进行安装、调试，人数、技术级别、服务内容及逗留时间应事先详细说明。</w:t>
      </w:r>
    </w:p>
    <w:p>
      <w:pPr>
        <w:snapToGrid w:val="0"/>
        <w:spacing w:line="360" w:lineRule="auto"/>
        <w:ind w:firstLine="449"/>
        <w:rPr>
          <w:rFonts w:hint="eastAsia" w:ascii="宋体" w:hAnsi="宋体" w:cs="宋体"/>
          <w:color w:val="auto"/>
          <w:sz w:val="24"/>
          <w:highlight w:val="none"/>
        </w:rPr>
      </w:pPr>
      <w:r>
        <w:rPr>
          <w:rFonts w:hint="eastAsia" w:ascii="宋体" w:hAnsi="宋体" w:cs="宋体"/>
          <w:color w:val="auto"/>
          <w:sz w:val="24"/>
          <w:highlight w:val="none"/>
          <w:lang w:bidi="ar"/>
        </w:rPr>
        <w:t>4、乙方人员在甲方工地安装调试期间，其所有费用及乙方安装、调试人员从事安装、调试工作遭受的人身伤害赔偿责任由乙方负责。</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5、乙方人员应在合同规定的安装调试期内完成该项工作。如因乙方责任而造成的延期，所有因延期而产生的费用由乙方承担。</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6、安装、调试按相关国家、行业标准和技术规范，保证整个系统正常运行。</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7、产品投入使用后如发生故障，甲方应通知乙方，乙方在收到通知后立即答复，并在（按投标时承诺的最短时间签约）小时内到达甲方进行维修。</w:t>
      </w:r>
    </w:p>
    <w:p>
      <w:pPr>
        <w:snapToGrid w:val="0"/>
        <w:spacing w:line="360" w:lineRule="auto"/>
        <w:ind w:left="29" w:firstLine="478"/>
        <w:rPr>
          <w:rFonts w:hint="eastAsia" w:ascii="宋体" w:hAnsi="宋体" w:cs="宋体"/>
          <w:color w:val="auto"/>
          <w:sz w:val="24"/>
          <w:highlight w:val="none"/>
        </w:rPr>
      </w:pPr>
      <w:r>
        <w:rPr>
          <w:rFonts w:hint="eastAsia" w:ascii="宋体" w:hAnsi="宋体" w:cs="宋体"/>
          <w:color w:val="auto"/>
          <w:sz w:val="24"/>
          <w:highlight w:val="none"/>
          <w:lang w:bidi="ar"/>
        </w:rPr>
        <w:t>8、乙方应随设备向使用单位提交产品使用说明书、产品合格证、保修卡及相关的配件和技术资料，以及免费为使用单位培训日常使用和维修人员。</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八、验收</w:t>
      </w:r>
    </w:p>
    <w:p>
      <w:pPr>
        <w:snapToGrid w:val="0"/>
        <w:spacing w:line="360" w:lineRule="auto"/>
        <w:ind w:left="29" w:firstLine="478"/>
        <w:rPr>
          <w:rFonts w:hint="eastAsia" w:ascii="宋体" w:hAnsi="宋体" w:cs="宋体"/>
          <w:color w:val="auto"/>
          <w:sz w:val="24"/>
          <w:highlight w:val="none"/>
        </w:rPr>
      </w:pPr>
      <w:r>
        <w:rPr>
          <w:rFonts w:hint="eastAsia" w:ascii="宋体" w:hAnsi="宋体" w:cs="宋体"/>
          <w:color w:val="auto"/>
          <w:sz w:val="24"/>
          <w:highlight w:val="none"/>
          <w:lang w:bidi="ar"/>
        </w:rPr>
        <w:t>1.甲方对乙方提交的货物依据招投标响应文件上的技术规格要求和有关质量标准进行现场到货验收，外观、说明书符合招投标响应文件技术要求的，给予签收，到货验收不合格的不予签收。</w:t>
      </w:r>
    </w:p>
    <w:p>
      <w:pPr>
        <w:snapToGrid w:val="0"/>
        <w:spacing w:line="360" w:lineRule="auto"/>
        <w:ind w:left="29" w:firstLine="478"/>
        <w:rPr>
          <w:rFonts w:hint="eastAsia" w:ascii="宋体" w:hAnsi="宋体" w:cs="宋体"/>
          <w:color w:val="auto"/>
          <w:sz w:val="24"/>
          <w:highlight w:val="none"/>
        </w:rPr>
      </w:pPr>
      <w:r>
        <w:rPr>
          <w:rFonts w:hint="eastAsia" w:ascii="宋体" w:hAnsi="宋体" w:cs="宋体"/>
          <w:color w:val="auto"/>
          <w:sz w:val="24"/>
          <w:highlight w:val="none"/>
          <w:lang w:bidi="ar"/>
        </w:rPr>
        <w:t>2.乙方交货前应对产品作出全面检查和对验收文件进行整理，并列出清单，作为甲方收货验收和使用的技术条件依据，检验的结果应随货物交甲方。</w:t>
      </w:r>
    </w:p>
    <w:p>
      <w:pPr>
        <w:snapToGrid w:val="0"/>
        <w:spacing w:line="360" w:lineRule="auto"/>
        <w:ind w:left="29" w:firstLine="478"/>
        <w:rPr>
          <w:rFonts w:hint="eastAsia" w:ascii="宋体" w:hAnsi="宋体" w:cs="宋体"/>
          <w:color w:val="auto"/>
          <w:sz w:val="24"/>
          <w:highlight w:val="none"/>
        </w:rPr>
      </w:pPr>
      <w:r>
        <w:rPr>
          <w:rFonts w:hint="eastAsia" w:ascii="宋体" w:hAnsi="宋体" w:cs="宋体"/>
          <w:color w:val="auto"/>
          <w:sz w:val="24"/>
          <w:highlight w:val="none"/>
          <w:lang w:bidi="ar"/>
        </w:rPr>
        <w:t>3.甲方对乙方提供的货物在使用前进行调试时，乙方需事先负责安装达到合同规定的技术要求，同时负责培训甲方的使用操作人员，做好甲方现场调试的指导，直到符合技术要求，甲方才进行交付验收，在交付验收合格前，乙方负责承担相应风险。</w:t>
      </w:r>
    </w:p>
    <w:p>
      <w:pPr>
        <w:snapToGrid w:val="0"/>
        <w:spacing w:line="360" w:lineRule="auto"/>
        <w:ind w:left="29" w:firstLine="478"/>
        <w:rPr>
          <w:rFonts w:hint="eastAsia" w:ascii="宋体" w:hAnsi="宋体" w:cs="宋体"/>
          <w:color w:val="auto"/>
          <w:sz w:val="24"/>
          <w:highlight w:val="none"/>
        </w:rPr>
      </w:pPr>
      <w:r>
        <w:rPr>
          <w:rFonts w:hint="eastAsia" w:ascii="宋体" w:hAnsi="宋体" w:cs="宋体"/>
          <w:color w:val="auto"/>
          <w:sz w:val="24"/>
          <w:highlight w:val="none"/>
          <w:lang w:bidi="ar"/>
        </w:rPr>
        <w:t>4.对技术复杂的货物，甲方应请国家认可的专业检测机构参与到货验收及交付验收，并由其出具质量检测报告。</w:t>
      </w:r>
    </w:p>
    <w:p>
      <w:pPr>
        <w:snapToGrid w:val="0"/>
        <w:spacing w:line="360" w:lineRule="auto"/>
        <w:ind w:left="29" w:firstLine="478"/>
        <w:rPr>
          <w:rFonts w:hint="eastAsia" w:ascii="宋体" w:hAnsi="宋体" w:cs="宋体"/>
          <w:color w:val="auto"/>
          <w:sz w:val="24"/>
          <w:highlight w:val="none"/>
        </w:rPr>
      </w:pPr>
      <w:r>
        <w:rPr>
          <w:rFonts w:hint="eastAsia" w:ascii="宋体" w:hAnsi="宋体" w:cs="宋体"/>
          <w:color w:val="auto"/>
          <w:sz w:val="24"/>
          <w:highlight w:val="none"/>
          <w:lang w:bidi="ar"/>
        </w:rPr>
        <w:t>5.验收时乙方必须在现场，验收完毕后作出验收结果报告；验收费用由乙方负责。</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九、售后服务</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1、合同货物从验收后合格之日起，乙方提供的货物保修期，保修期内，乙方负责对其提供的货物实行免费维修。保修期后，乙方仍提供维修服务，收取成本费。</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2、乙方保证所供货物在保修期内发生故障时，半小时内给予答复，最迟在1天内修复，必要时采取临时调换等措施，以保证甲方的正常工作；由于所供货物引起系统故障，乙方应免费修复。</w:t>
      </w:r>
    </w:p>
    <w:p>
      <w:pPr>
        <w:snapToGrid w:val="0"/>
        <w:spacing w:line="360" w:lineRule="auto"/>
        <w:ind w:right="-185" w:firstLine="470"/>
        <w:rPr>
          <w:rFonts w:hint="eastAsia" w:ascii="宋体" w:hAnsi="宋体" w:cs="宋体"/>
          <w:color w:val="auto"/>
          <w:sz w:val="24"/>
          <w:highlight w:val="none"/>
        </w:rPr>
      </w:pPr>
      <w:r>
        <w:rPr>
          <w:rFonts w:hint="eastAsia" w:ascii="宋体" w:hAnsi="宋体" w:cs="宋体"/>
          <w:color w:val="auto"/>
          <w:sz w:val="24"/>
          <w:highlight w:val="none"/>
          <w:lang w:bidi="ar"/>
        </w:rPr>
        <w:t>十、履约保证金</w:t>
      </w:r>
    </w:p>
    <w:p>
      <w:pPr>
        <w:snapToGrid w:val="0"/>
        <w:spacing w:line="360" w:lineRule="auto"/>
        <w:ind w:right="-185" w:firstLine="470"/>
        <w:rPr>
          <w:rFonts w:hint="eastAsia" w:ascii="宋体" w:hAnsi="宋体" w:cs="宋体"/>
          <w:color w:val="auto"/>
          <w:sz w:val="24"/>
          <w:highlight w:val="none"/>
        </w:rPr>
      </w:pPr>
      <w:r>
        <w:rPr>
          <w:rFonts w:hint="eastAsia" w:ascii="宋体" w:hAnsi="宋体" w:cs="宋体"/>
          <w:color w:val="auto"/>
          <w:sz w:val="24"/>
          <w:highlight w:val="none"/>
          <w:lang w:bidi="ar"/>
        </w:rPr>
        <w:t>签订合同前，乙方提供合同金额5%的履约保证金，形式：银行汇票、转帐支票等。</w:t>
      </w:r>
    </w:p>
    <w:p>
      <w:pPr>
        <w:widowControl/>
        <w:tabs>
          <w:tab w:val="left" w:pos="1365"/>
        </w:tabs>
        <w:snapToGrid w:val="0"/>
        <w:spacing w:line="360" w:lineRule="auto"/>
        <w:ind w:firstLine="360"/>
        <w:jc w:val="left"/>
        <w:rPr>
          <w:rFonts w:hint="eastAsia" w:ascii="宋体" w:hAnsi="宋体" w:cs="宋体"/>
          <w:b/>
          <w:color w:val="auto"/>
          <w:sz w:val="24"/>
          <w:highlight w:val="none"/>
        </w:rPr>
      </w:pPr>
      <w:r>
        <w:rPr>
          <w:rFonts w:hint="eastAsia" w:ascii="宋体" w:hAnsi="宋体" w:cs="宋体"/>
          <w:color w:val="auto"/>
          <w:sz w:val="24"/>
          <w:highlight w:val="none"/>
          <w:lang w:bidi="ar"/>
        </w:rPr>
        <w:t>十一、付款方式</w:t>
      </w:r>
    </w:p>
    <w:p>
      <w:pPr>
        <w:widowControl/>
        <w:autoSpaceDE w:val="0"/>
        <w:autoSpaceDN w:val="0"/>
        <w:snapToGrid w:val="0"/>
        <w:spacing w:line="360" w:lineRule="auto"/>
        <w:ind w:firstLine="480"/>
        <w:rPr>
          <w:rFonts w:hint="eastAsia" w:ascii="宋体" w:hAnsi="宋体" w:cs="宋体"/>
          <w:b/>
          <w:bCs/>
          <w:color w:val="auto"/>
          <w:sz w:val="24"/>
          <w:highlight w:val="none"/>
        </w:rPr>
      </w:pPr>
      <w:r>
        <w:rPr>
          <w:rFonts w:hint="eastAsia" w:ascii="宋体" w:hAnsi="宋体" w:cs="宋体"/>
          <w:b/>
          <w:bCs/>
          <w:color w:val="auto"/>
          <w:sz w:val="24"/>
          <w:highlight w:val="none"/>
          <w:lang w:bidi="ar"/>
        </w:rPr>
        <w:t>1、合同签订后，15天内支付合同总价的30%；</w:t>
      </w:r>
    </w:p>
    <w:p>
      <w:pPr>
        <w:widowControl/>
        <w:autoSpaceDE w:val="0"/>
        <w:autoSpaceDN w:val="0"/>
        <w:snapToGrid w:val="0"/>
        <w:spacing w:line="360" w:lineRule="auto"/>
        <w:ind w:firstLine="480"/>
        <w:rPr>
          <w:rFonts w:hint="eastAsia" w:ascii="宋体" w:hAnsi="宋体" w:eastAsia="宋体" w:cs="宋体"/>
          <w:b/>
          <w:bCs/>
          <w:color w:val="auto"/>
          <w:sz w:val="24"/>
          <w:highlight w:val="none"/>
          <w:lang w:val="en-US" w:eastAsia="zh-CN" w:bidi="ar"/>
        </w:rPr>
      </w:pPr>
      <w:r>
        <w:rPr>
          <w:rFonts w:hint="eastAsia" w:ascii="宋体" w:hAnsi="宋体" w:cs="宋体"/>
          <w:b/>
          <w:bCs/>
          <w:color w:val="auto"/>
          <w:sz w:val="24"/>
          <w:highlight w:val="none"/>
          <w:lang w:bidi="ar"/>
        </w:rPr>
        <w:t>2、全部货物</w:t>
      </w:r>
      <w:r>
        <w:rPr>
          <w:rFonts w:hint="eastAsia" w:ascii="宋体" w:hAnsi="宋体" w:cs="宋体"/>
          <w:b/>
          <w:bCs/>
          <w:color w:val="auto"/>
          <w:sz w:val="24"/>
          <w:highlight w:val="none"/>
          <w:lang w:eastAsia="zh-CN" w:bidi="ar"/>
        </w:rPr>
        <w:t>到场验收合格后，</w:t>
      </w:r>
      <w:r>
        <w:rPr>
          <w:rFonts w:hint="eastAsia" w:ascii="宋体" w:hAnsi="宋体" w:cs="宋体"/>
          <w:b/>
          <w:bCs/>
          <w:color w:val="auto"/>
          <w:sz w:val="24"/>
          <w:highlight w:val="none"/>
          <w:lang w:bidi="ar"/>
        </w:rPr>
        <w:t>15天内支付合同总价的</w:t>
      </w:r>
      <w:r>
        <w:rPr>
          <w:rFonts w:hint="eastAsia" w:ascii="宋体" w:hAnsi="宋体" w:cs="宋体"/>
          <w:b/>
          <w:bCs/>
          <w:color w:val="auto"/>
          <w:sz w:val="24"/>
          <w:highlight w:val="none"/>
          <w:lang w:val="en-US" w:eastAsia="zh-CN" w:bidi="ar"/>
        </w:rPr>
        <w:t>3</w:t>
      </w:r>
      <w:r>
        <w:rPr>
          <w:rFonts w:hint="eastAsia" w:ascii="宋体" w:hAnsi="宋体" w:cs="宋体"/>
          <w:b/>
          <w:bCs/>
          <w:color w:val="auto"/>
          <w:sz w:val="24"/>
          <w:highlight w:val="none"/>
          <w:lang w:bidi="ar"/>
        </w:rPr>
        <w:t>0%；</w:t>
      </w:r>
    </w:p>
    <w:p>
      <w:pPr>
        <w:widowControl/>
        <w:autoSpaceDE w:val="0"/>
        <w:autoSpaceDN w:val="0"/>
        <w:snapToGrid w:val="0"/>
        <w:spacing w:line="360" w:lineRule="auto"/>
        <w:ind w:firstLine="48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bidi="ar"/>
        </w:rPr>
        <w:t>3、</w:t>
      </w:r>
      <w:r>
        <w:rPr>
          <w:rFonts w:hint="eastAsia" w:ascii="宋体" w:hAnsi="宋体" w:cs="宋体"/>
          <w:b/>
          <w:bCs/>
          <w:color w:val="auto"/>
          <w:sz w:val="24"/>
          <w:highlight w:val="none"/>
          <w:lang w:bidi="ar"/>
        </w:rPr>
        <w:t>全部货物安装完毕，15天内支付合同总价的</w:t>
      </w:r>
      <w:r>
        <w:rPr>
          <w:rFonts w:hint="eastAsia" w:ascii="宋体" w:hAnsi="宋体" w:cs="宋体"/>
          <w:b/>
          <w:bCs/>
          <w:color w:val="auto"/>
          <w:sz w:val="24"/>
          <w:highlight w:val="none"/>
          <w:lang w:val="en-US" w:eastAsia="zh-CN" w:bidi="ar"/>
        </w:rPr>
        <w:t>3</w:t>
      </w:r>
      <w:r>
        <w:rPr>
          <w:rFonts w:hint="eastAsia" w:ascii="宋体" w:hAnsi="宋体" w:cs="宋体"/>
          <w:b/>
          <w:bCs/>
          <w:color w:val="auto"/>
          <w:sz w:val="24"/>
          <w:highlight w:val="none"/>
          <w:lang w:bidi="ar"/>
        </w:rPr>
        <w:t>0%；</w:t>
      </w:r>
    </w:p>
    <w:p>
      <w:pPr>
        <w:widowControl/>
        <w:autoSpaceDE w:val="0"/>
        <w:autoSpaceDN w:val="0"/>
        <w:snapToGrid w:val="0"/>
        <w:spacing w:line="360" w:lineRule="auto"/>
        <w:ind w:firstLine="48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bidi="ar"/>
        </w:rPr>
        <w:t>4</w:t>
      </w:r>
      <w:r>
        <w:rPr>
          <w:rFonts w:hint="eastAsia" w:ascii="宋体" w:hAnsi="宋体" w:cs="宋体"/>
          <w:b/>
          <w:bCs/>
          <w:color w:val="auto"/>
          <w:sz w:val="24"/>
          <w:highlight w:val="none"/>
          <w:lang w:bidi="ar"/>
        </w:rPr>
        <w:t>、项目经验收合格（签署质量验收合格证书）交付甲方投入使用后，支付合同总价的10%，履约保证金在设备运行满24个月后无息退还。</w:t>
      </w:r>
    </w:p>
    <w:p>
      <w:pPr>
        <w:widowControl/>
        <w:tabs>
          <w:tab w:val="left" w:pos="1365"/>
        </w:tabs>
        <w:snapToGrid w:val="0"/>
        <w:spacing w:line="360" w:lineRule="auto"/>
        <w:ind w:firstLine="360"/>
        <w:jc w:val="left"/>
        <w:rPr>
          <w:rFonts w:hint="eastAsia" w:ascii="宋体" w:hAnsi="宋体" w:cs="宋体"/>
          <w:b/>
          <w:color w:val="auto"/>
          <w:sz w:val="24"/>
          <w:highlight w:val="none"/>
        </w:rPr>
      </w:pPr>
      <w:r>
        <w:rPr>
          <w:rFonts w:hint="eastAsia" w:ascii="宋体" w:hAnsi="宋体" w:cs="宋体"/>
          <w:color w:val="auto"/>
          <w:sz w:val="24"/>
          <w:highlight w:val="none"/>
          <w:lang w:bidi="ar"/>
        </w:rPr>
        <w:t>注：签订合同时或合同履行过程中，甲方保留变更产品配置和数量的权力，如有组件的删减，则对应的价款从报价中核减；如有数量的增加，则在甲方书面确认同意的范围内，相应的单价按单价结算。</w:t>
      </w:r>
      <w:r>
        <w:rPr>
          <w:rFonts w:hint="eastAsia" w:ascii="宋体" w:hAnsi="宋体" w:cs="宋体"/>
          <w:b/>
          <w:color w:val="auto"/>
          <w:sz w:val="24"/>
          <w:highlight w:val="none"/>
          <w:lang w:bidi="ar"/>
        </w:rPr>
        <w:t xml:space="preserve">  </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 xml:space="preserve">十二、违约责任 </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1、乙方逾期履行合同的（由于乙方原因未按期交付货物的），自逾期之日起，向采购人每日偿付合同总价千分之三的滞纳金，直至合格产品交付使用；</w:t>
      </w:r>
      <w:r>
        <w:rPr>
          <w:rFonts w:hint="eastAsia" w:ascii="宋体" w:hAnsi="宋体" w:cs="宋体"/>
          <w:color w:val="auto"/>
          <w:sz w:val="24"/>
          <w:highlight w:val="none"/>
          <w:lang w:eastAsia="zh-CN" w:bidi="ar"/>
        </w:rPr>
        <w:t>中标人</w:t>
      </w:r>
      <w:r>
        <w:rPr>
          <w:rFonts w:hint="eastAsia" w:ascii="宋体" w:hAnsi="宋体" w:cs="宋体"/>
          <w:color w:val="auto"/>
          <w:sz w:val="24"/>
          <w:highlight w:val="none"/>
          <w:lang w:bidi="ar"/>
        </w:rPr>
        <w:t>逾期30日不能交货的，还应另向采购人支付合同总价百分之三的违约金。</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2、甲方逾期支付货款的，应向乙方每日偿付合同总价千分之三的滞纳金。甲方无正当理由拒收货物、拒付货款的，应向乙方偿付合同总价百分之三的违约金。</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3、甲方无故拖延支付货款超过合同规定支付时间的，乙方可向采购办投诉，并要求采购办对其违规情况予以通报。</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4、乙方因提供假冒、劣质产品或不能履行产品质量售后服务保证的，将按《中华人民共和国政府采购法》和其它法规进行相应的处罚。</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5、乙方无正当理由不履行合同，将按《中华人民共和国政府采购法》和其它法规进行相应的处罚。</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十三、争议的解决</w:t>
      </w:r>
    </w:p>
    <w:p>
      <w:pPr>
        <w:snapToGrid w:val="0"/>
        <w:spacing w:line="360" w:lineRule="auto"/>
        <w:ind w:right="-185" w:firstLine="570"/>
        <w:rPr>
          <w:rFonts w:hint="eastAsia" w:ascii="宋体" w:hAnsi="宋体" w:cs="宋体"/>
          <w:color w:val="auto"/>
          <w:sz w:val="24"/>
          <w:highlight w:val="none"/>
        </w:rPr>
      </w:pPr>
      <w:r>
        <w:rPr>
          <w:rFonts w:hint="eastAsia" w:ascii="宋体" w:hAnsi="宋体" w:cs="宋体"/>
          <w:color w:val="auto"/>
          <w:sz w:val="24"/>
          <w:highlight w:val="none"/>
          <w:lang w:bidi="ar"/>
        </w:rPr>
        <w:t>1、本合同为政府采购合同，凡有关本合同或执行本合同中发生的争端，甲、乙双方应通过友好协商，妥善解决。如通过协商仍不能解决时，可向甲方所在地的仲裁委员会申请调解或仲裁。</w:t>
      </w:r>
    </w:p>
    <w:p>
      <w:pPr>
        <w:snapToGrid w:val="0"/>
        <w:spacing w:line="360" w:lineRule="auto"/>
        <w:ind w:right="-185" w:firstLine="570"/>
        <w:rPr>
          <w:rFonts w:hint="eastAsia" w:ascii="宋体" w:hAnsi="宋体" w:cs="宋体"/>
          <w:color w:val="auto"/>
          <w:sz w:val="24"/>
          <w:highlight w:val="none"/>
        </w:rPr>
      </w:pPr>
      <w:r>
        <w:rPr>
          <w:rFonts w:hint="eastAsia" w:ascii="宋体" w:hAnsi="宋体" w:cs="宋体"/>
          <w:color w:val="auto"/>
          <w:sz w:val="24"/>
          <w:highlight w:val="none"/>
          <w:lang w:bidi="ar"/>
        </w:rPr>
        <w:t>2、仲裁费用除仲裁机构另有裁决外，由败诉方承担。</w:t>
      </w:r>
    </w:p>
    <w:p>
      <w:pPr>
        <w:snapToGrid w:val="0"/>
        <w:spacing w:line="360" w:lineRule="auto"/>
        <w:ind w:right="-185" w:firstLine="570"/>
        <w:rPr>
          <w:rFonts w:hint="eastAsia" w:ascii="宋体" w:hAnsi="宋体" w:cs="宋体"/>
          <w:color w:val="auto"/>
          <w:sz w:val="24"/>
          <w:highlight w:val="none"/>
        </w:rPr>
      </w:pPr>
      <w:r>
        <w:rPr>
          <w:rFonts w:hint="eastAsia" w:ascii="宋体" w:hAnsi="宋体" w:cs="宋体"/>
          <w:color w:val="auto"/>
          <w:sz w:val="24"/>
          <w:highlight w:val="none"/>
          <w:lang w:bidi="ar"/>
        </w:rPr>
        <w:t>3、在仲裁期间，除正在进行仲裁的部分外，本合同其他部分应继续执行。</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十四、合同的生效</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1. 合同经甲、乙双方法定代表人或者委托代理人签字并加盖单位公章后生效。</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2. 合同执行中涉及采购资金和采购内容修改或补充的，须经双方签订书面补充协议后生效。</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3. 投标文件、投标响应文件与本合同具有同等法律效力。</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4. 本合同未尽事宜，遵照《合同法》有关条文执行。</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5.本合同一式5份，具有同等法律效力，甲、乙双方各执2份，浙江政府采购备案1份。</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甲  方（盖章）：                 乙  方（盖章）：</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法定代表人或受委托人            法定代表人或受委托人</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（签字）：                      （签字）：</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 xml:space="preserve">地 址：                         地 址： </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 xml:space="preserve">邮 编：                         邮 编： </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 xml:space="preserve">电 话：                         电 话： </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 xml:space="preserve">传 真：                         传 真： </w:t>
      </w:r>
    </w:p>
    <w:p>
      <w:pPr>
        <w:snapToGrid w:val="0"/>
        <w:spacing w:before="120" w:after="120"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开户银行：                      开户银行：</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帐号：                          帐号：</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签约时间：       年     月     日</w:t>
      </w:r>
    </w:p>
    <w:p>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bidi="ar"/>
        </w:rPr>
        <w:t xml:space="preserve">签约地点： </w:t>
      </w:r>
    </w:p>
    <w:p>
      <w:pPr>
        <w:widowControl/>
        <w:spacing w:line="360" w:lineRule="auto"/>
        <w:ind w:firstLine="480" w:firstLineChars="200"/>
        <w:jc w:val="left"/>
        <w:rPr>
          <w:rFonts w:hint="eastAsia" w:ascii="宋体" w:hAnsi="宋体" w:cs="宋体"/>
          <w:color w:val="auto"/>
          <w:sz w:val="24"/>
          <w:highlight w:val="none"/>
        </w:rPr>
      </w:pP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合同见证方（代理公司）:</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法定代表人或主要负责人:</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鉴证日期:</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注：各供应商应对投标文件《合同条款》中的条款全部响应，如有偏离需在商务条款偏离表中注明。</w:t>
      </w:r>
    </w:p>
    <w:p>
      <w:pPr>
        <w:widowControl/>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br w:type="page"/>
      </w:r>
      <w:r>
        <w:rPr>
          <w:rFonts w:hint="eastAsia" w:ascii="宋体" w:hAnsi="宋体" w:cs="宋体"/>
          <w:color w:val="auto"/>
          <w:sz w:val="24"/>
          <w:highlight w:val="none"/>
          <w:lang w:bidi="ar"/>
        </w:rPr>
        <w:t>合同附件：</w:t>
      </w:r>
    </w:p>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bidi="ar"/>
        </w:rPr>
        <w:t>廉政协议书</w:t>
      </w:r>
    </w:p>
    <w:p>
      <w:pPr>
        <w:widowControl/>
        <w:snapToGrid w:val="0"/>
        <w:spacing w:line="360" w:lineRule="auto"/>
        <w:ind w:firstLine="240"/>
        <w:jc w:val="left"/>
        <w:rPr>
          <w:rFonts w:hint="eastAsia" w:ascii="宋体" w:hAnsi="宋体" w:cs="宋体"/>
          <w:color w:val="auto"/>
          <w:sz w:val="24"/>
          <w:highlight w:val="none"/>
        </w:rPr>
      </w:pPr>
      <w:r>
        <w:rPr>
          <w:rFonts w:hint="eastAsia" w:ascii="宋体" w:hAnsi="宋体" w:cs="宋体"/>
          <w:color w:val="auto"/>
          <w:sz w:val="24"/>
          <w:highlight w:val="none"/>
          <w:lang w:bidi="ar"/>
        </w:rPr>
        <w:t>甲方：</w:t>
      </w:r>
    </w:p>
    <w:p>
      <w:pPr>
        <w:widowControl/>
        <w:snapToGrid w:val="0"/>
        <w:spacing w:line="360" w:lineRule="auto"/>
        <w:ind w:firstLine="240"/>
        <w:jc w:val="left"/>
        <w:rPr>
          <w:rFonts w:hint="eastAsia" w:ascii="宋体" w:hAnsi="宋体" w:cs="宋体"/>
          <w:color w:val="auto"/>
          <w:sz w:val="24"/>
          <w:highlight w:val="none"/>
        </w:rPr>
      </w:pPr>
      <w:r>
        <w:rPr>
          <w:rFonts w:hint="eastAsia" w:ascii="宋体" w:hAnsi="宋体" w:cs="宋体"/>
          <w:color w:val="auto"/>
          <w:sz w:val="24"/>
          <w:highlight w:val="none"/>
          <w:lang w:bidi="ar"/>
        </w:rPr>
        <w:t>乙方：</w:t>
      </w:r>
    </w:p>
    <w:p>
      <w:pPr>
        <w:widowControl/>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lang w:bidi="ar"/>
        </w:rPr>
        <w:t>为了进一步规范学院物资采购，认真贯彻公平、公正、公开的原则，建立有效的反商业贿赂机制，加强党风廉政建设，防止经营活动中不正之风和腐败现象的发生，经双方协商同意，签订本协议。</w:t>
      </w:r>
    </w:p>
    <w:p>
      <w:pPr>
        <w:widowControl/>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lang w:bidi="ar"/>
        </w:rPr>
        <w:t>第一条  协议双方须严格遵守国家法律和廉政建设各项规定及物资采购合同。双方有相互监督、遵纪守法、履行合同的义务和权利。</w:t>
      </w:r>
    </w:p>
    <w:p>
      <w:pPr>
        <w:widowControl/>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lang w:bidi="ar"/>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pPr>
        <w:widowControl/>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lang w:bidi="ar"/>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pPr>
        <w:widowControl/>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lang w:bidi="ar"/>
        </w:rPr>
        <w:t>第四条  乙方对甲方及有关工作人员的违法违纪行为和不正当要求，可及时据实向甲方纪检、监察部门投诉和举报。</w:t>
      </w:r>
    </w:p>
    <w:p>
      <w:pPr>
        <w:widowControl/>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lang w:bidi="ar"/>
        </w:rPr>
        <w:t xml:space="preserve">第五条  对违反本协议者，根据其后果和违纪程度，可以做出以下处理：批评、诫勉；党纪政纪处分；追究法律责任；追究违约方经济责任；中止合同。    </w:t>
      </w:r>
    </w:p>
    <w:p>
      <w:pPr>
        <w:widowControl/>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lang w:bidi="ar"/>
        </w:rPr>
        <w:t>第六条  本协议贯穿于整个经营过程，在产品验收时：应一并考核本协议的履行结果。</w:t>
      </w:r>
    </w:p>
    <w:p>
      <w:pPr>
        <w:widowControl/>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lang w:bidi="ar"/>
        </w:rPr>
        <w:t>第七条  中国美术学院纪委、监察部门负责本合同的廉政监督，投诉、举报受理和违法违纪行为的查处。</w:t>
      </w:r>
    </w:p>
    <w:p>
      <w:pPr>
        <w:widowControl/>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lang w:bidi="ar"/>
        </w:rPr>
        <w:t>第八条  本协议作为双方合同的附件，经双方签署后生效。</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甲方(盖章)：                          乙方(盖章、签字) ：</w:t>
      </w:r>
    </w:p>
    <w:p>
      <w:pPr>
        <w:snapToGrid w:val="0"/>
        <w:spacing w:before="156" w:beforeLines="50" w:after="156" w:afterLines="50" w:line="360" w:lineRule="auto"/>
        <w:ind w:firstLine="420" w:firstLineChars="200"/>
        <w:jc w:val="center"/>
        <w:rPr>
          <w:rFonts w:hint="eastAsia" w:ascii="黑体" w:hAnsi="宋体" w:eastAsia="黑体"/>
          <w:color w:val="auto"/>
          <w:sz w:val="30"/>
          <w:szCs w:val="30"/>
          <w:highlight w:val="none"/>
        </w:rPr>
      </w:pPr>
      <w:r>
        <w:rPr>
          <w:color w:val="auto"/>
          <w:highlight w:val="none"/>
        </w:rPr>
        <w:br w:type="page"/>
      </w:r>
    </w:p>
    <w:p>
      <w:pPr>
        <w:snapToGrid w:val="0"/>
        <w:spacing w:before="156" w:beforeLines="50" w:after="156" w:afterLines="50" w:line="360" w:lineRule="auto"/>
        <w:ind w:firstLine="600" w:firstLineChars="200"/>
        <w:jc w:val="center"/>
        <w:outlineLvl w:val="0"/>
        <w:rPr>
          <w:rFonts w:hint="eastAsia" w:ascii="黑体" w:hAnsi="宋体" w:eastAsia="黑体"/>
          <w:color w:val="auto"/>
          <w:sz w:val="30"/>
          <w:szCs w:val="30"/>
          <w:highlight w:val="none"/>
        </w:rPr>
      </w:pPr>
      <w:bookmarkStart w:id="45" w:name="_Toc44755899"/>
      <w:r>
        <w:rPr>
          <w:rFonts w:hint="eastAsia" w:ascii="黑体" w:hAnsi="宋体" w:eastAsia="黑体"/>
          <w:color w:val="auto"/>
          <w:sz w:val="30"/>
          <w:szCs w:val="30"/>
          <w:highlight w:val="none"/>
        </w:rPr>
        <w:t>第六章　投标文件格式</w:t>
      </w:r>
      <w:bookmarkEnd w:id="45"/>
    </w:p>
    <w:p>
      <w:pPr>
        <w:pStyle w:val="9"/>
        <w:spacing w:line="360" w:lineRule="auto"/>
        <w:ind w:firstLine="480" w:firstLineChars="200"/>
        <w:rPr>
          <w:rFonts w:hint="eastAsia" w:hAnsi="宋体" w:cs="宋体"/>
          <w:color w:val="auto"/>
          <w:highlight w:val="none"/>
        </w:rPr>
      </w:pPr>
      <w:r>
        <w:rPr>
          <w:rFonts w:hint="eastAsia" w:hAnsi="宋体" w:cs="宋体"/>
          <w:color w:val="auto"/>
          <w:highlight w:val="none"/>
        </w:rPr>
        <w:t>说明：</w:t>
      </w:r>
    </w:p>
    <w:p>
      <w:pPr>
        <w:pStyle w:val="9"/>
        <w:spacing w:line="360" w:lineRule="auto"/>
        <w:ind w:firstLine="480" w:firstLineChars="200"/>
        <w:rPr>
          <w:rFonts w:hint="eastAsia" w:hAnsi="宋体" w:cs="宋体"/>
          <w:color w:val="auto"/>
          <w:highlight w:val="none"/>
        </w:rPr>
      </w:pPr>
      <w:r>
        <w:rPr>
          <w:rFonts w:hint="eastAsia" w:hAnsi="宋体" w:cs="宋体"/>
          <w:color w:val="auto"/>
          <w:highlight w:val="none"/>
        </w:rPr>
        <w:t>1．投标人提供的文件应排列整齐、内容完整清晰，方便评审委员会评审，如混乱的编排导致投标文件被误读或评审委员会查找不到有效文件是投标人的风险。</w:t>
      </w:r>
    </w:p>
    <w:p>
      <w:pPr>
        <w:pStyle w:val="9"/>
        <w:spacing w:line="360" w:lineRule="auto"/>
        <w:ind w:firstLine="480" w:firstLineChars="200"/>
        <w:rPr>
          <w:rFonts w:hint="eastAsia" w:hAnsi="宋体" w:cs="宋体"/>
          <w:color w:val="auto"/>
          <w:highlight w:val="none"/>
        </w:rPr>
      </w:pPr>
      <w:r>
        <w:rPr>
          <w:rFonts w:hint="eastAsia" w:hAnsi="宋体" w:cs="宋体"/>
          <w:color w:val="auto"/>
          <w:highlight w:val="none"/>
        </w:rPr>
        <w:t>2．所附表格中要求回答的全部问题和/或信息都必须正面回答。</w:t>
      </w:r>
    </w:p>
    <w:p>
      <w:pPr>
        <w:pStyle w:val="9"/>
        <w:spacing w:line="360" w:lineRule="auto"/>
        <w:ind w:firstLine="480" w:firstLineChars="200"/>
        <w:rPr>
          <w:rFonts w:hint="eastAsia" w:hAnsi="宋体" w:cs="宋体"/>
          <w:color w:val="auto"/>
          <w:highlight w:val="none"/>
        </w:rPr>
      </w:pPr>
      <w:r>
        <w:rPr>
          <w:rFonts w:hint="eastAsia" w:hAnsi="宋体" w:cs="宋体"/>
          <w:color w:val="auto"/>
          <w:highlight w:val="none"/>
        </w:rPr>
        <w:t>3.本声明书的签字人应保证全部声明和问题的回答是真实的和准确的。</w:t>
      </w:r>
    </w:p>
    <w:p>
      <w:pPr>
        <w:pStyle w:val="9"/>
        <w:spacing w:line="360" w:lineRule="auto"/>
        <w:ind w:firstLine="480" w:firstLineChars="200"/>
        <w:rPr>
          <w:rFonts w:hint="eastAsia" w:hAnsi="宋体" w:cs="宋体"/>
          <w:color w:val="auto"/>
          <w:highlight w:val="none"/>
        </w:rPr>
      </w:pPr>
      <w:r>
        <w:rPr>
          <w:rFonts w:hint="eastAsia" w:hAnsi="宋体" w:cs="宋体"/>
          <w:color w:val="auto"/>
          <w:highlight w:val="none"/>
        </w:rPr>
        <w:t>4.招标文件中没有参考格式的，投标人自行编制。</w:t>
      </w:r>
    </w:p>
    <w:p>
      <w:pPr>
        <w:snapToGrid w:val="0"/>
        <w:spacing w:before="156" w:beforeLines="50" w:after="50" w:line="360" w:lineRule="auto"/>
        <w:rPr>
          <w:rFonts w:hint="eastAsia" w:ascii="宋体" w:hAnsi="宋体"/>
          <w:b/>
          <w:color w:val="auto"/>
          <w:sz w:val="24"/>
          <w:highlight w:val="none"/>
        </w:rPr>
      </w:pPr>
    </w:p>
    <w:p>
      <w:pPr>
        <w:snapToGrid w:val="0"/>
        <w:spacing w:before="156" w:beforeLines="50" w:after="50" w:line="360" w:lineRule="auto"/>
        <w:rPr>
          <w:rFonts w:ascii="宋体" w:hAnsi="宋体"/>
          <w:b/>
          <w:bCs/>
          <w:color w:val="auto"/>
          <w:sz w:val="24"/>
          <w:szCs w:val="20"/>
          <w:highlight w:val="none"/>
        </w:rPr>
      </w:pPr>
      <w:r>
        <w:rPr>
          <w:rFonts w:hint="eastAsia" w:ascii="宋体" w:hAnsi="宋体"/>
          <w:b/>
          <w:color w:val="auto"/>
          <w:sz w:val="24"/>
          <w:highlight w:val="none"/>
        </w:rPr>
        <w:br w:type="page"/>
      </w:r>
      <w:r>
        <w:rPr>
          <w:rFonts w:hint="eastAsia" w:ascii="宋体" w:hAnsi="宋体"/>
          <w:b/>
          <w:color w:val="auto"/>
          <w:sz w:val="24"/>
          <w:highlight w:val="none"/>
        </w:rPr>
        <w:t>1. 电子</w:t>
      </w:r>
      <w:r>
        <w:rPr>
          <w:rFonts w:hint="eastAsia" w:ascii="宋体" w:hAnsi="宋体" w:cs="宋体"/>
          <w:b/>
          <w:color w:val="auto"/>
          <w:sz w:val="24"/>
          <w:highlight w:val="none"/>
          <w:lang w:bidi="ar"/>
        </w:rPr>
        <w:t>备份投标文件</w:t>
      </w:r>
      <w:r>
        <w:rPr>
          <w:rFonts w:hint="eastAsia" w:ascii="宋体" w:hAnsi="宋体"/>
          <w:b/>
          <w:bCs/>
          <w:color w:val="auto"/>
          <w:sz w:val="24"/>
          <w:highlight w:val="none"/>
        </w:rPr>
        <w:t>的外包装封面格式</w:t>
      </w:r>
    </w:p>
    <w:p>
      <w:pPr>
        <w:snapToGrid w:val="0"/>
        <w:spacing w:before="156" w:beforeLines="50" w:after="50" w:line="360" w:lineRule="auto"/>
        <w:rPr>
          <w:rFonts w:ascii="宋体" w:hAnsi="宋体"/>
          <w:bCs/>
          <w:color w:val="auto"/>
          <w:sz w:val="24"/>
          <w:szCs w:val="20"/>
          <w:highlight w:val="none"/>
        </w:rPr>
      </w:pPr>
    </w:p>
    <w:p>
      <w:pPr>
        <w:snapToGrid w:val="0"/>
        <w:spacing w:before="156" w:beforeLines="50" w:after="50" w:line="360" w:lineRule="auto"/>
        <w:jc w:val="center"/>
        <w:rPr>
          <w:rFonts w:ascii="宋体" w:hAnsi="宋体"/>
          <w:b/>
          <w:bCs/>
          <w:color w:val="auto"/>
          <w:sz w:val="52"/>
          <w:szCs w:val="52"/>
          <w:highlight w:val="none"/>
        </w:rPr>
      </w:pPr>
      <w:r>
        <w:rPr>
          <w:rFonts w:hint="eastAsia" w:ascii="宋体" w:hAnsi="宋体"/>
          <w:b/>
          <w:bCs/>
          <w:color w:val="auto"/>
          <w:sz w:val="52"/>
          <w:szCs w:val="52"/>
          <w:highlight w:val="none"/>
        </w:rPr>
        <w:t>电子备份投标文件</w:t>
      </w:r>
    </w:p>
    <w:p>
      <w:pPr>
        <w:snapToGrid w:val="0"/>
        <w:spacing w:before="156" w:beforeLines="50" w:after="50" w:line="360" w:lineRule="auto"/>
        <w:rPr>
          <w:rFonts w:ascii="宋体" w:hAnsi="宋体"/>
          <w:bCs/>
          <w:color w:val="auto"/>
          <w:sz w:val="24"/>
          <w:szCs w:val="20"/>
          <w:highlight w:val="none"/>
        </w:rPr>
      </w:pPr>
    </w:p>
    <w:p>
      <w:pPr>
        <w:snapToGrid w:val="0"/>
        <w:spacing w:before="156"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r>
        <w:rPr>
          <w:rFonts w:ascii="宋体" w:hAnsi="宋体"/>
          <w:bCs/>
          <w:color w:val="auto"/>
          <w:sz w:val="28"/>
          <w:szCs w:val="28"/>
          <w:highlight w:val="none"/>
        </w:rPr>
        <w:t xml:space="preserve"> </w:t>
      </w:r>
    </w:p>
    <w:p>
      <w:pPr>
        <w:snapToGrid w:val="0"/>
        <w:spacing w:before="156" w:beforeLines="50" w:after="50" w:line="360" w:lineRule="auto"/>
        <w:ind w:firstLine="560" w:firstLineChars="200"/>
        <w:rPr>
          <w:rFonts w:hint="eastAsia" w:ascii="宋体" w:hAnsi="宋体"/>
          <w:bCs/>
          <w:color w:val="auto"/>
          <w:sz w:val="28"/>
          <w:szCs w:val="28"/>
          <w:highlight w:val="none"/>
        </w:rPr>
      </w:pPr>
      <w:r>
        <w:rPr>
          <w:rFonts w:ascii="宋体" w:hAnsi="宋体"/>
          <w:bCs/>
          <w:color w:val="auto"/>
          <w:sz w:val="28"/>
          <w:szCs w:val="28"/>
          <w:highlight w:val="none"/>
        </w:rPr>
        <w:t xml:space="preserve">     </w:t>
      </w:r>
      <w:r>
        <w:rPr>
          <w:rFonts w:hint="eastAsia" w:ascii="宋体" w:hAnsi="宋体"/>
          <w:bCs/>
          <w:color w:val="auto"/>
          <w:sz w:val="28"/>
          <w:szCs w:val="28"/>
          <w:highlight w:val="none"/>
        </w:rPr>
        <w:t>项目编号：</w:t>
      </w:r>
      <w:r>
        <w:rPr>
          <w:rFonts w:ascii="宋体" w:hAnsi="宋体"/>
          <w:bCs/>
          <w:color w:val="auto"/>
          <w:sz w:val="28"/>
          <w:szCs w:val="28"/>
          <w:highlight w:val="none"/>
        </w:rPr>
        <w:t xml:space="preserve"> </w:t>
      </w:r>
      <w:r>
        <w:rPr>
          <w:rFonts w:hint="eastAsia" w:ascii="宋体" w:hAnsi="宋体"/>
          <w:bCs/>
          <w:color w:val="auto"/>
          <w:sz w:val="28"/>
          <w:szCs w:val="28"/>
          <w:highlight w:val="none"/>
        </w:rPr>
        <w:t>0625-</w:t>
      </w:r>
    </w:p>
    <w:p>
      <w:pPr>
        <w:snapToGrid w:val="0"/>
        <w:spacing w:before="156" w:beforeLines="50" w:after="5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 xml:space="preserve">     招标内容：</w:t>
      </w:r>
    </w:p>
    <w:p>
      <w:pPr>
        <w:snapToGrid w:val="0"/>
        <w:spacing w:before="156" w:beforeLines="50" w:after="5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或</w:t>
      </w:r>
    </w:p>
    <w:p>
      <w:pPr>
        <w:snapToGrid w:val="0"/>
        <w:spacing w:before="156" w:beforeLines="50" w:after="50" w:line="360" w:lineRule="auto"/>
        <w:ind w:firstLine="560" w:firstLineChars="200"/>
        <w:rPr>
          <w:rFonts w:hint="eastAsia" w:ascii="宋体" w:hAnsi="宋体"/>
          <w:bCs/>
          <w:color w:val="auto"/>
          <w:sz w:val="28"/>
          <w:szCs w:val="28"/>
          <w:highlight w:val="none"/>
        </w:rPr>
      </w:pPr>
      <w:r>
        <w:rPr>
          <w:rFonts w:ascii="宋体" w:hAnsi="宋体"/>
          <w:bCs/>
          <w:color w:val="auto"/>
          <w:sz w:val="28"/>
          <w:szCs w:val="28"/>
          <w:highlight w:val="none"/>
        </w:rPr>
        <w:t xml:space="preserve">     </w:t>
      </w:r>
      <w:r>
        <w:rPr>
          <w:rFonts w:hint="eastAsia" w:ascii="宋体" w:hAnsi="宋体"/>
          <w:bCs/>
          <w:color w:val="auto"/>
          <w:sz w:val="28"/>
          <w:szCs w:val="28"/>
          <w:highlight w:val="none"/>
        </w:rPr>
        <w:t>标</w:t>
      </w:r>
      <w:r>
        <w:rPr>
          <w:rFonts w:ascii="宋体" w:hAnsi="宋体"/>
          <w:bCs/>
          <w:color w:val="auto"/>
          <w:sz w:val="28"/>
          <w:szCs w:val="28"/>
          <w:highlight w:val="none"/>
        </w:rPr>
        <w:t xml:space="preserve"> </w:t>
      </w:r>
      <w:r>
        <w:rPr>
          <w:rFonts w:hint="eastAsia" w:ascii="宋体" w:hAnsi="宋体"/>
          <w:bCs/>
          <w:color w:val="auto"/>
          <w:sz w:val="28"/>
          <w:szCs w:val="28"/>
          <w:highlight w:val="none"/>
        </w:rPr>
        <w:t>项</w:t>
      </w:r>
      <w:r>
        <w:rPr>
          <w:rFonts w:ascii="宋体" w:hAnsi="宋体"/>
          <w:bCs/>
          <w:color w:val="auto"/>
          <w:sz w:val="28"/>
          <w:szCs w:val="28"/>
          <w:highlight w:val="none"/>
        </w:rPr>
        <w:t>:</w:t>
      </w:r>
    </w:p>
    <w:p>
      <w:pPr>
        <w:snapToGrid w:val="0"/>
        <w:spacing w:before="156" w:beforeLines="50" w:after="50" w:line="360" w:lineRule="auto"/>
        <w:ind w:firstLine="1260" w:firstLineChars="450"/>
        <w:rPr>
          <w:rFonts w:hint="eastAsia" w:ascii="宋体" w:hAnsi="宋体"/>
          <w:bCs/>
          <w:color w:val="auto"/>
          <w:sz w:val="28"/>
          <w:szCs w:val="28"/>
          <w:highlight w:val="none"/>
        </w:rPr>
      </w:pPr>
      <w:r>
        <w:rPr>
          <w:rFonts w:hint="eastAsia" w:ascii="宋体" w:hAnsi="宋体"/>
          <w:bCs/>
          <w:color w:val="auto"/>
          <w:sz w:val="28"/>
          <w:szCs w:val="28"/>
          <w:highlight w:val="none"/>
        </w:rPr>
        <w:t>标项内容：</w:t>
      </w:r>
    </w:p>
    <w:p>
      <w:pPr>
        <w:pStyle w:val="6"/>
        <w:snapToGrid w:val="0"/>
        <w:spacing w:before="50" w:after="50" w:line="360" w:lineRule="auto"/>
        <w:ind w:firstLine="1260" w:firstLineChars="450"/>
        <w:rPr>
          <w:rFonts w:hint="eastAsia" w:ascii="宋体" w:hAnsi="宋体"/>
          <w:bCs/>
          <w:color w:val="auto"/>
          <w:sz w:val="28"/>
          <w:szCs w:val="28"/>
          <w:highlight w:val="none"/>
        </w:rPr>
      </w:pPr>
    </w:p>
    <w:p>
      <w:pPr>
        <w:pStyle w:val="6"/>
        <w:snapToGrid w:val="0"/>
        <w:spacing w:before="50" w:after="50" w:line="360" w:lineRule="auto"/>
        <w:ind w:firstLine="1260" w:firstLineChars="450"/>
        <w:rPr>
          <w:rFonts w:hint="eastAsia" w:ascii="宋体" w:hAnsi="宋体"/>
          <w:bCs/>
          <w:color w:val="auto"/>
          <w:sz w:val="28"/>
          <w:szCs w:val="28"/>
          <w:highlight w:val="none"/>
        </w:rPr>
      </w:pPr>
    </w:p>
    <w:p>
      <w:pPr>
        <w:pStyle w:val="6"/>
        <w:snapToGrid w:val="0"/>
        <w:spacing w:before="50" w:after="50" w:line="360" w:lineRule="auto"/>
        <w:ind w:firstLine="1260" w:firstLineChars="450"/>
        <w:rPr>
          <w:rFonts w:hint="eastAsia" w:ascii="宋体" w:hAnsi="宋体"/>
          <w:bCs/>
          <w:color w:val="auto"/>
          <w:sz w:val="28"/>
          <w:szCs w:val="28"/>
          <w:highlight w:val="none"/>
        </w:rPr>
      </w:pPr>
    </w:p>
    <w:p>
      <w:pPr>
        <w:pStyle w:val="6"/>
        <w:snapToGrid w:val="0"/>
        <w:spacing w:before="50" w:after="50" w:line="360" w:lineRule="auto"/>
        <w:ind w:firstLine="1260" w:firstLineChars="450"/>
        <w:rPr>
          <w:rFonts w:ascii="宋体" w:hAnsi="宋体"/>
          <w:bCs/>
          <w:color w:val="auto"/>
          <w:sz w:val="28"/>
          <w:szCs w:val="28"/>
          <w:highlight w:val="none"/>
        </w:rPr>
      </w:pPr>
      <w:r>
        <w:rPr>
          <w:rFonts w:hint="eastAsia" w:ascii="宋体" w:hAnsi="宋体"/>
          <w:bCs/>
          <w:color w:val="auto"/>
          <w:sz w:val="28"/>
          <w:szCs w:val="28"/>
          <w:highlight w:val="none"/>
        </w:rPr>
        <w:t>投标人名称：（盖章）</w:t>
      </w:r>
    </w:p>
    <w:p>
      <w:pPr>
        <w:pStyle w:val="6"/>
        <w:snapToGrid w:val="0"/>
        <w:spacing w:before="50" w:after="50" w:line="360" w:lineRule="auto"/>
        <w:ind w:firstLine="1260" w:firstLineChars="450"/>
        <w:rPr>
          <w:rFonts w:ascii="宋体" w:hAnsi="宋体"/>
          <w:bCs/>
          <w:color w:val="auto"/>
          <w:sz w:val="28"/>
          <w:szCs w:val="28"/>
          <w:highlight w:val="none"/>
        </w:rPr>
      </w:pPr>
      <w:r>
        <w:rPr>
          <w:rFonts w:hint="eastAsia" w:ascii="宋体" w:hAnsi="宋体"/>
          <w:bCs/>
          <w:color w:val="auto"/>
          <w:sz w:val="28"/>
          <w:szCs w:val="28"/>
          <w:highlight w:val="none"/>
        </w:rPr>
        <w:t>投标人地址：</w:t>
      </w:r>
    </w:p>
    <w:p>
      <w:pPr>
        <w:pStyle w:val="6"/>
        <w:snapToGrid w:val="0"/>
        <w:spacing w:before="50" w:after="50" w:line="360" w:lineRule="auto"/>
        <w:ind w:firstLine="1260" w:firstLineChars="450"/>
        <w:rPr>
          <w:rFonts w:ascii="宋体" w:hAnsi="宋体"/>
          <w:bCs/>
          <w:color w:val="auto"/>
          <w:sz w:val="28"/>
          <w:szCs w:val="28"/>
          <w:highlight w:val="none"/>
        </w:rPr>
      </w:pPr>
      <w:r>
        <w:rPr>
          <w:rFonts w:hint="eastAsia" w:ascii="宋体" w:hAnsi="宋体"/>
          <w:bCs/>
          <w:color w:val="auto"/>
          <w:sz w:val="28"/>
          <w:szCs w:val="28"/>
          <w:highlight w:val="none"/>
        </w:rPr>
        <w:t>在</w:t>
      </w:r>
      <w:r>
        <w:rPr>
          <w:rFonts w:ascii="宋体" w:hAnsi="宋体"/>
          <w:bCs/>
          <w:color w:val="auto"/>
          <w:sz w:val="28"/>
          <w:szCs w:val="28"/>
          <w:highlight w:val="none"/>
        </w:rPr>
        <w:t xml:space="preserve">  </w:t>
      </w:r>
      <w:r>
        <w:rPr>
          <w:rFonts w:hint="eastAsia" w:ascii="宋体" w:hAnsi="宋体"/>
          <w:bCs/>
          <w:color w:val="auto"/>
          <w:sz w:val="28"/>
          <w:szCs w:val="28"/>
          <w:highlight w:val="none"/>
        </w:rPr>
        <w:t>年</w:t>
      </w:r>
      <w:r>
        <w:rPr>
          <w:rFonts w:ascii="宋体" w:hAnsi="宋体"/>
          <w:bCs/>
          <w:color w:val="auto"/>
          <w:sz w:val="28"/>
          <w:szCs w:val="28"/>
          <w:highlight w:val="none"/>
        </w:rPr>
        <w:t xml:space="preserve">  </w:t>
      </w:r>
      <w:r>
        <w:rPr>
          <w:rFonts w:hint="eastAsia" w:ascii="宋体" w:hAnsi="宋体"/>
          <w:bCs/>
          <w:color w:val="auto"/>
          <w:sz w:val="28"/>
          <w:szCs w:val="28"/>
          <w:highlight w:val="none"/>
        </w:rPr>
        <w:t>月</w:t>
      </w:r>
      <w:r>
        <w:rPr>
          <w:rFonts w:ascii="宋体" w:hAnsi="宋体"/>
          <w:bCs/>
          <w:color w:val="auto"/>
          <w:sz w:val="28"/>
          <w:szCs w:val="28"/>
          <w:highlight w:val="none"/>
        </w:rPr>
        <w:t xml:space="preserve">  </w:t>
      </w:r>
      <w:r>
        <w:rPr>
          <w:rFonts w:hint="eastAsia" w:ascii="宋体" w:hAnsi="宋体"/>
          <w:bCs/>
          <w:color w:val="auto"/>
          <w:sz w:val="28"/>
          <w:szCs w:val="28"/>
          <w:highlight w:val="none"/>
        </w:rPr>
        <w:t>日</w:t>
      </w:r>
      <w:r>
        <w:rPr>
          <w:rFonts w:ascii="宋体" w:hAnsi="宋体"/>
          <w:bCs/>
          <w:color w:val="auto"/>
          <w:sz w:val="28"/>
          <w:szCs w:val="28"/>
          <w:highlight w:val="none"/>
        </w:rPr>
        <w:t xml:space="preserve">  </w:t>
      </w:r>
      <w:r>
        <w:rPr>
          <w:rFonts w:hint="eastAsia" w:ascii="宋体" w:hAnsi="宋体"/>
          <w:bCs/>
          <w:color w:val="auto"/>
          <w:sz w:val="28"/>
          <w:szCs w:val="28"/>
          <w:highlight w:val="none"/>
        </w:rPr>
        <w:t>时</w:t>
      </w:r>
      <w:r>
        <w:rPr>
          <w:rFonts w:ascii="宋体" w:hAnsi="宋体"/>
          <w:bCs/>
          <w:color w:val="auto"/>
          <w:sz w:val="28"/>
          <w:szCs w:val="28"/>
          <w:highlight w:val="none"/>
        </w:rPr>
        <w:t xml:space="preserve">  </w:t>
      </w:r>
      <w:r>
        <w:rPr>
          <w:rFonts w:hint="eastAsia" w:ascii="宋体" w:hAnsi="宋体"/>
          <w:bCs/>
          <w:color w:val="auto"/>
          <w:sz w:val="28"/>
          <w:szCs w:val="28"/>
          <w:highlight w:val="none"/>
        </w:rPr>
        <w:t>分之前不得启封</w:t>
      </w:r>
    </w:p>
    <w:p>
      <w:pPr>
        <w:pStyle w:val="6"/>
        <w:snapToGrid w:val="0"/>
        <w:spacing w:before="50" w:after="50" w:line="360" w:lineRule="auto"/>
        <w:ind w:firstLine="1164" w:firstLineChars="416"/>
        <w:rPr>
          <w:rFonts w:ascii="宋体" w:hAnsi="宋体"/>
          <w:color w:val="auto"/>
          <w:sz w:val="28"/>
          <w:szCs w:val="28"/>
          <w:highlight w:val="none"/>
        </w:rPr>
      </w:pPr>
    </w:p>
    <w:p>
      <w:pPr>
        <w:snapToGrid w:val="0"/>
        <w:spacing w:before="156" w:beforeLines="50" w:after="50" w:line="360" w:lineRule="auto"/>
        <w:ind w:firstLine="645"/>
        <w:rPr>
          <w:rFonts w:ascii="宋体" w:hAnsi="宋体"/>
          <w:color w:val="auto"/>
          <w:sz w:val="24"/>
          <w:szCs w:val="20"/>
          <w:highlight w:val="none"/>
        </w:rPr>
      </w:pPr>
      <w:r>
        <w:rPr>
          <w:rFonts w:ascii="宋体" w:hAnsi="宋体"/>
          <w:color w:val="auto"/>
          <w:sz w:val="28"/>
          <w:szCs w:val="28"/>
          <w:highlight w:val="none"/>
        </w:rPr>
        <w:t xml:space="preserve">                        </w:t>
      </w:r>
      <w:r>
        <w:rPr>
          <w:rFonts w:hint="eastAsia" w:ascii="宋体" w:hAnsi="宋体"/>
          <w:color w:val="auto"/>
          <w:sz w:val="28"/>
          <w:szCs w:val="28"/>
          <w:highlight w:val="none"/>
        </w:rPr>
        <w:t>年</w:t>
      </w:r>
      <w:r>
        <w:rPr>
          <w:rFonts w:ascii="宋体" w:hAnsi="宋体"/>
          <w:color w:val="auto"/>
          <w:sz w:val="28"/>
          <w:szCs w:val="28"/>
          <w:highlight w:val="none"/>
        </w:rPr>
        <w:t xml:space="preserve">  </w:t>
      </w:r>
      <w:r>
        <w:rPr>
          <w:rFonts w:hint="eastAsia" w:ascii="宋体" w:hAnsi="宋体"/>
          <w:color w:val="auto"/>
          <w:sz w:val="28"/>
          <w:szCs w:val="28"/>
          <w:highlight w:val="none"/>
        </w:rPr>
        <w:t>月</w:t>
      </w:r>
      <w:r>
        <w:rPr>
          <w:rFonts w:ascii="宋体" w:hAnsi="宋体"/>
          <w:color w:val="auto"/>
          <w:sz w:val="28"/>
          <w:szCs w:val="28"/>
          <w:highlight w:val="none"/>
        </w:rPr>
        <w:t xml:space="preserve">  </w:t>
      </w:r>
      <w:r>
        <w:rPr>
          <w:rFonts w:hint="eastAsia" w:ascii="宋体" w:hAnsi="宋体"/>
          <w:color w:val="auto"/>
          <w:sz w:val="28"/>
          <w:szCs w:val="28"/>
          <w:highlight w:val="none"/>
        </w:rPr>
        <w:t>日</w:t>
      </w:r>
    </w:p>
    <w:p>
      <w:pPr>
        <w:snapToGrid w:val="0"/>
        <w:spacing w:before="156" w:beforeLines="50" w:after="50" w:line="360" w:lineRule="auto"/>
        <w:rPr>
          <w:rFonts w:ascii="宋体" w:hAnsi="宋体"/>
          <w:b/>
          <w:color w:val="auto"/>
          <w:sz w:val="24"/>
          <w:szCs w:val="20"/>
          <w:highlight w:val="none"/>
        </w:rPr>
      </w:pPr>
      <w:r>
        <w:rPr>
          <w:rFonts w:hint="eastAsia" w:ascii="宋体" w:hAnsi="宋体"/>
          <w:b/>
          <w:color w:val="auto"/>
          <w:sz w:val="24"/>
          <w:highlight w:val="none"/>
        </w:rPr>
        <w:br w:type="page"/>
      </w:r>
      <w:r>
        <w:rPr>
          <w:rFonts w:hint="eastAsia" w:ascii="宋体" w:hAnsi="宋体"/>
          <w:b/>
          <w:color w:val="auto"/>
          <w:sz w:val="24"/>
          <w:highlight w:val="none"/>
        </w:rPr>
        <w:t>2. 资格证明/商务技术/报价</w:t>
      </w:r>
      <w:r>
        <w:rPr>
          <w:rFonts w:hint="eastAsia" w:ascii="宋体" w:hAnsi="宋体"/>
          <w:b/>
          <w:bCs/>
          <w:color w:val="auto"/>
          <w:sz w:val="24"/>
          <w:highlight w:val="none"/>
        </w:rPr>
        <w:t>文件</w:t>
      </w:r>
      <w:r>
        <w:rPr>
          <w:rFonts w:hint="eastAsia" w:ascii="宋体" w:hAnsi="宋体"/>
          <w:b/>
          <w:color w:val="auto"/>
          <w:sz w:val="24"/>
          <w:highlight w:val="none"/>
        </w:rPr>
        <w:t>封面格式</w:t>
      </w:r>
      <w:r>
        <w:rPr>
          <w:rFonts w:ascii="宋体" w:hAnsi="宋体"/>
          <w:b/>
          <w:color w:val="auto"/>
          <w:sz w:val="24"/>
          <w:highlight w:val="none"/>
        </w:rPr>
        <w:t xml:space="preserve"> </w:t>
      </w:r>
    </w:p>
    <w:p>
      <w:pPr>
        <w:snapToGrid w:val="0"/>
        <w:spacing w:before="156" w:beforeLines="50" w:after="50" w:line="360" w:lineRule="auto"/>
        <w:rPr>
          <w:rFonts w:ascii="宋体" w:hAnsi="宋体"/>
          <w:b/>
          <w:bCs/>
          <w:color w:val="auto"/>
          <w:sz w:val="32"/>
          <w:szCs w:val="20"/>
          <w:highlight w:val="none"/>
        </w:rPr>
      </w:pPr>
      <w:r>
        <w:rPr>
          <w:rFonts w:ascii="宋体" w:hAnsi="宋体"/>
          <w:color w:val="auto"/>
          <w:sz w:val="24"/>
          <w:highlight w:val="none"/>
        </w:rPr>
        <w:t xml:space="preserve">                                                    </w:t>
      </w:r>
      <w:r>
        <w:rPr>
          <w:rFonts w:hint="eastAsia" w:ascii="宋体" w:hAnsi="宋体"/>
          <w:b/>
          <w:bCs/>
          <w:color w:val="auto"/>
          <w:highlight w:val="none"/>
        </w:rPr>
        <w:t>正本</w:t>
      </w:r>
      <w:r>
        <w:rPr>
          <w:rFonts w:ascii="宋体" w:hAnsi="宋体"/>
          <w:b/>
          <w:bCs/>
          <w:color w:val="auto"/>
          <w:highlight w:val="none"/>
        </w:rPr>
        <w:t>/</w:t>
      </w:r>
      <w:r>
        <w:rPr>
          <w:rFonts w:hint="eastAsia" w:ascii="宋体" w:hAnsi="宋体"/>
          <w:b/>
          <w:bCs/>
          <w:color w:val="auto"/>
          <w:highlight w:val="none"/>
        </w:rPr>
        <w:t>副本</w:t>
      </w:r>
    </w:p>
    <w:p>
      <w:pPr>
        <w:snapToGrid w:val="0"/>
        <w:spacing w:before="156" w:beforeLines="50" w:after="50" w:line="360" w:lineRule="auto"/>
        <w:jc w:val="center"/>
        <w:rPr>
          <w:rFonts w:ascii="宋体" w:hAnsi="宋体"/>
          <w:bCs/>
          <w:color w:val="auto"/>
          <w:sz w:val="24"/>
          <w:szCs w:val="20"/>
          <w:highlight w:val="none"/>
        </w:rPr>
      </w:pPr>
    </w:p>
    <w:p>
      <w:pPr>
        <w:snapToGrid w:val="0"/>
        <w:spacing w:before="156" w:beforeLines="50" w:after="50" w:line="360" w:lineRule="auto"/>
        <w:jc w:val="center"/>
        <w:rPr>
          <w:rFonts w:ascii="宋体" w:hAnsi="宋体"/>
          <w:b/>
          <w:bCs/>
          <w:color w:val="auto"/>
          <w:sz w:val="52"/>
          <w:szCs w:val="52"/>
          <w:highlight w:val="none"/>
        </w:rPr>
      </w:pPr>
      <w:r>
        <w:rPr>
          <w:rFonts w:hint="eastAsia" w:ascii="宋体" w:hAnsi="宋体"/>
          <w:b/>
          <w:bCs/>
          <w:color w:val="auto"/>
          <w:sz w:val="52"/>
          <w:szCs w:val="52"/>
          <w:highlight w:val="none"/>
        </w:rPr>
        <w:t>资格证明/商务技术/报价文件</w:t>
      </w:r>
    </w:p>
    <w:p>
      <w:pPr>
        <w:snapToGrid w:val="0"/>
        <w:spacing w:before="156" w:beforeLines="50" w:after="50" w:line="360" w:lineRule="auto"/>
        <w:rPr>
          <w:rFonts w:ascii="宋体" w:hAnsi="宋体"/>
          <w:bCs/>
          <w:color w:val="auto"/>
          <w:sz w:val="24"/>
          <w:szCs w:val="20"/>
          <w:highlight w:val="none"/>
        </w:rPr>
      </w:pPr>
    </w:p>
    <w:p>
      <w:pPr>
        <w:snapToGrid w:val="0"/>
        <w:spacing w:before="156"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r>
        <w:rPr>
          <w:rFonts w:ascii="宋体" w:hAnsi="宋体"/>
          <w:bCs/>
          <w:color w:val="auto"/>
          <w:sz w:val="28"/>
          <w:szCs w:val="28"/>
          <w:highlight w:val="none"/>
        </w:rPr>
        <w:t xml:space="preserve"> </w:t>
      </w:r>
    </w:p>
    <w:p>
      <w:pPr>
        <w:snapToGrid w:val="0"/>
        <w:spacing w:before="156" w:beforeLines="50" w:after="50" w:line="360" w:lineRule="auto"/>
        <w:ind w:firstLine="560" w:firstLineChars="200"/>
        <w:rPr>
          <w:rFonts w:hint="eastAsia" w:ascii="宋体" w:hAnsi="宋体"/>
          <w:bCs/>
          <w:color w:val="auto"/>
          <w:sz w:val="28"/>
          <w:szCs w:val="28"/>
          <w:highlight w:val="none"/>
        </w:rPr>
      </w:pPr>
      <w:r>
        <w:rPr>
          <w:rFonts w:ascii="宋体" w:hAnsi="宋体"/>
          <w:bCs/>
          <w:color w:val="auto"/>
          <w:sz w:val="28"/>
          <w:szCs w:val="28"/>
          <w:highlight w:val="none"/>
        </w:rPr>
        <w:t xml:space="preserve">     </w:t>
      </w:r>
      <w:r>
        <w:rPr>
          <w:rFonts w:hint="eastAsia" w:ascii="宋体" w:hAnsi="宋体"/>
          <w:bCs/>
          <w:color w:val="auto"/>
          <w:sz w:val="28"/>
          <w:szCs w:val="28"/>
          <w:highlight w:val="none"/>
        </w:rPr>
        <w:t>项目编号：</w:t>
      </w:r>
      <w:r>
        <w:rPr>
          <w:rFonts w:ascii="宋体" w:hAnsi="宋体"/>
          <w:bCs/>
          <w:color w:val="auto"/>
          <w:sz w:val="28"/>
          <w:szCs w:val="28"/>
          <w:highlight w:val="none"/>
        </w:rPr>
        <w:t xml:space="preserve"> </w:t>
      </w:r>
      <w:r>
        <w:rPr>
          <w:rFonts w:hint="eastAsia" w:ascii="宋体" w:hAnsi="宋体"/>
          <w:bCs/>
          <w:color w:val="auto"/>
          <w:sz w:val="28"/>
          <w:szCs w:val="28"/>
          <w:highlight w:val="none"/>
        </w:rPr>
        <w:t>0625-</w:t>
      </w:r>
    </w:p>
    <w:p>
      <w:pPr>
        <w:snapToGrid w:val="0"/>
        <w:spacing w:before="156" w:beforeLines="50" w:after="50" w:line="360" w:lineRule="auto"/>
        <w:ind w:firstLine="560" w:firstLineChars="200"/>
        <w:rPr>
          <w:rFonts w:hint="eastAsia" w:ascii="宋体" w:hAnsi="宋体"/>
          <w:bCs/>
          <w:color w:val="auto"/>
          <w:sz w:val="28"/>
          <w:szCs w:val="28"/>
          <w:highlight w:val="none"/>
        </w:rPr>
      </w:pPr>
      <w:r>
        <w:rPr>
          <w:rFonts w:ascii="宋体" w:hAnsi="宋体"/>
          <w:bCs/>
          <w:color w:val="auto"/>
          <w:sz w:val="28"/>
          <w:szCs w:val="28"/>
          <w:highlight w:val="none"/>
        </w:rPr>
        <w:t xml:space="preserve">     </w:t>
      </w:r>
      <w:r>
        <w:rPr>
          <w:rFonts w:hint="eastAsia" w:ascii="宋体" w:hAnsi="宋体"/>
          <w:bCs/>
          <w:color w:val="auto"/>
          <w:sz w:val="28"/>
          <w:szCs w:val="28"/>
          <w:highlight w:val="none"/>
        </w:rPr>
        <w:t>招标内容：</w:t>
      </w:r>
    </w:p>
    <w:p>
      <w:pPr>
        <w:snapToGrid w:val="0"/>
        <w:spacing w:before="156" w:beforeLines="50" w:after="5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或</w:t>
      </w:r>
    </w:p>
    <w:p>
      <w:pPr>
        <w:snapToGrid w:val="0"/>
        <w:spacing w:before="156" w:beforeLines="50" w:after="50" w:line="360" w:lineRule="auto"/>
        <w:ind w:firstLine="560" w:firstLineChars="200"/>
        <w:rPr>
          <w:rFonts w:hint="eastAsia" w:ascii="宋体" w:hAnsi="宋体"/>
          <w:bCs/>
          <w:color w:val="auto"/>
          <w:sz w:val="28"/>
          <w:szCs w:val="28"/>
          <w:highlight w:val="none"/>
        </w:rPr>
      </w:pPr>
      <w:r>
        <w:rPr>
          <w:rFonts w:ascii="宋体" w:hAnsi="宋体"/>
          <w:bCs/>
          <w:color w:val="auto"/>
          <w:sz w:val="28"/>
          <w:szCs w:val="28"/>
          <w:highlight w:val="none"/>
        </w:rPr>
        <w:t xml:space="preserve">     </w:t>
      </w:r>
      <w:r>
        <w:rPr>
          <w:rFonts w:hint="eastAsia" w:ascii="宋体" w:hAnsi="宋体"/>
          <w:bCs/>
          <w:color w:val="auto"/>
          <w:sz w:val="28"/>
          <w:szCs w:val="28"/>
          <w:highlight w:val="none"/>
        </w:rPr>
        <w:t>标</w:t>
      </w:r>
      <w:r>
        <w:rPr>
          <w:rFonts w:ascii="宋体" w:hAnsi="宋体"/>
          <w:bCs/>
          <w:color w:val="auto"/>
          <w:sz w:val="28"/>
          <w:szCs w:val="28"/>
          <w:highlight w:val="none"/>
        </w:rPr>
        <w:t xml:space="preserve"> </w:t>
      </w:r>
      <w:r>
        <w:rPr>
          <w:rFonts w:hint="eastAsia" w:ascii="宋体" w:hAnsi="宋体"/>
          <w:bCs/>
          <w:color w:val="auto"/>
          <w:sz w:val="28"/>
          <w:szCs w:val="28"/>
          <w:highlight w:val="none"/>
        </w:rPr>
        <w:t>项</w:t>
      </w:r>
      <w:r>
        <w:rPr>
          <w:rFonts w:ascii="宋体" w:hAnsi="宋体"/>
          <w:bCs/>
          <w:color w:val="auto"/>
          <w:sz w:val="28"/>
          <w:szCs w:val="28"/>
          <w:highlight w:val="none"/>
        </w:rPr>
        <w:t>:</w:t>
      </w:r>
    </w:p>
    <w:p>
      <w:pPr>
        <w:snapToGrid w:val="0"/>
        <w:spacing w:before="156" w:beforeLines="50" w:after="50" w:line="360" w:lineRule="auto"/>
        <w:ind w:firstLine="1260" w:firstLineChars="450"/>
        <w:rPr>
          <w:rFonts w:hint="eastAsia" w:ascii="宋体" w:hAnsi="宋体"/>
          <w:bCs/>
          <w:color w:val="auto"/>
          <w:sz w:val="28"/>
          <w:szCs w:val="28"/>
          <w:highlight w:val="none"/>
        </w:rPr>
      </w:pPr>
      <w:r>
        <w:rPr>
          <w:rFonts w:hint="eastAsia" w:ascii="宋体" w:hAnsi="宋体"/>
          <w:bCs/>
          <w:color w:val="auto"/>
          <w:sz w:val="28"/>
          <w:szCs w:val="28"/>
          <w:highlight w:val="none"/>
        </w:rPr>
        <w:t>标项内容：</w:t>
      </w:r>
    </w:p>
    <w:p>
      <w:pPr>
        <w:pStyle w:val="6"/>
        <w:snapToGrid w:val="0"/>
        <w:spacing w:before="50" w:after="50" w:line="360" w:lineRule="auto"/>
        <w:ind w:firstLine="1260" w:firstLineChars="450"/>
        <w:rPr>
          <w:rFonts w:hint="eastAsia" w:ascii="宋体" w:hAnsi="宋体"/>
          <w:bCs/>
          <w:color w:val="auto"/>
          <w:sz w:val="28"/>
          <w:szCs w:val="28"/>
          <w:highlight w:val="none"/>
        </w:rPr>
      </w:pPr>
    </w:p>
    <w:p>
      <w:pPr>
        <w:pStyle w:val="6"/>
        <w:snapToGrid w:val="0"/>
        <w:spacing w:before="50" w:after="50" w:line="360" w:lineRule="auto"/>
        <w:ind w:firstLine="1260" w:firstLineChars="450"/>
        <w:rPr>
          <w:rFonts w:hint="eastAsia" w:ascii="宋体" w:hAnsi="宋体"/>
          <w:bCs/>
          <w:color w:val="auto"/>
          <w:sz w:val="28"/>
          <w:szCs w:val="28"/>
          <w:highlight w:val="none"/>
        </w:rPr>
      </w:pPr>
    </w:p>
    <w:p>
      <w:pPr>
        <w:pStyle w:val="6"/>
        <w:snapToGrid w:val="0"/>
        <w:spacing w:before="50" w:after="50" w:line="360" w:lineRule="auto"/>
        <w:ind w:firstLine="1260" w:firstLineChars="450"/>
        <w:rPr>
          <w:rFonts w:hint="eastAsia" w:ascii="宋体" w:hAnsi="宋体"/>
          <w:bCs/>
          <w:color w:val="auto"/>
          <w:sz w:val="28"/>
          <w:szCs w:val="28"/>
          <w:highlight w:val="none"/>
        </w:rPr>
      </w:pPr>
    </w:p>
    <w:p>
      <w:pPr>
        <w:pStyle w:val="6"/>
        <w:snapToGrid w:val="0"/>
        <w:spacing w:before="50" w:after="50" w:line="360" w:lineRule="auto"/>
        <w:ind w:firstLine="1260" w:firstLineChars="450"/>
        <w:rPr>
          <w:rFonts w:hint="eastAsia" w:ascii="宋体" w:hAnsi="宋体"/>
          <w:bCs/>
          <w:color w:val="auto"/>
          <w:sz w:val="28"/>
          <w:szCs w:val="28"/>
          <w:highlight w:val="none"/>
        </w:rPr>
      </w:pPr>
    </w:p>
    <w:p>
      <w:pPr>
        <w:pStyle w:val="6"/>
        <w:snapToGrid w:val="0"/>
        <w:spacing w:before="50" w:after="50" w:line="360" w:lineRule="auto"/>
        <w:ind w:firstLine="1260" w:firstLineChars="450"/>
        <w:rPr>
          <w:rFonts w:ascii="宋体" w:hAnsi="宋体"/>
          <w:bCs/>
          <w:color w:val="auto"/>
          <w:sz w:val="28"/>
          <w:szCs w:val="28"/>
          <w:highlight w:val="none"/>
        </w:rPr>
      </w:pPr>
      <w:r>
        <w:rPr>
          <w:rFonts w:hint="eastAsia" w:ascii="宋体" w:hAnsi="宋体"/>
          <w:bCs/>
          <w:color w:val="auto"/>
          <w:sz w:val="28"/>
          <w:szCs w:val="28"/>
          <w:highlight w:val="none"/>
        </w:rPr>
        <w:t>投标人名称：（盖章）</w:t>
      </w:r>
    </w:p>
    <w:p>
      <w:pPr>
        <w:pStyle w:val="6"/>
        <w:snapToGrid w:val="0"/>
        <w:spacing w:before="50" w:after="50" w:line="360" w:lineRule="auto"/>
        <w:ind w:firstLine="1260" w:firstLineChars="450"/>
        <w:rPr>
          <w:rFonts w:ascii="宋体" w:hAnsi="宋体"/>
          <w:bCs/>
          <w:color w:val="auto"/>
          <w:sz w:val="28"/>
          <w:szCs w:val="28"/>
          <w:highlight w:val="none"/>
        </w:rPr>
      </w:pPr>
      <w:r>
        <w:rPr>
          <w:rFonts w:hint="eastAsia" w:ascii="宋体" w:hAnsi="宋体"/>
          <w:bCs/>
          <w:color w:val="auto"/>
          <w:sz w:val="28"/>
          <w:szCs w:val="28"/>
          <w:highlight w:val="none"/>
        </w:rPr>
        <w:t>投标人地址：</w:t>
      </w:r>
    </w:p>
    <w:p>
      <w:pPr>
        <w:snapToGrid w:val="0"/>
        <w:spacing w:before="156" w:beforeLines="50" w:after="50" w:line="360" w:lineRule="auto"/>
        <w:ind w:firstLine="645"/>
        <w:jc w:val="center"/>
        <w:rPr>
          <w:rFonts w:hint="eastAsia" w:ascii="宋体" w:hAnsi="宋体"/>
          <w:color w:val="auto"/>
          <w:sz w:val="28"/>
          <w:szCs w:val="28"/>
          <w:highlight w:val="none"/>
        </w:rPr>
      </w:pPr>
      <w:r>
        <w:rPr>
          <w:rFonts w:ascii="宋体" w:hAnsi="宋体"/>
          <w:color w:val="auto"/>
          <w:sz w:val="28"/>
          <w:szCs w:val="28"/>
          <w:highlight w:val="none"/>
        </w:rPr>
        <w:t xml:space="preserve">                        </w:t>
      </w:r>
    </w:p>
    <w:p>
      <w:pPr>
        <w:snapToGrid w:val="0"/>
        <w:spacing w:before="156" w:beforeLines="50" w:after="50" w:line="360" w:lineRule="auto"/>
        <w:ind w:firstLine="645"/>
        <w:jc w:val="center"/>
        <w:rPr>
          <w:rFonts w:ascii="宋体" w:hAnsi="宋体"/>
          <w:color w:val="auto"/>
          <w:sz w:val="24"/>
          <w:szCs w:val="20"/>
          <w:highlight w:val="none"/>
        </w:rPr>
      </w:pPr>
      <w:r>
        <w:rPr>
          <w:rFonts w:hint="eastAsia" w:ascii="宋体" w:hAnsi="宋体"/>
          <w:color w:val="auto"/>
          <w:sz w:val="28"/>
          <w:szCs w:val="28"/>
          <w:highlight w:val="none"/>
        </w:rPr>
        <w:t>年</w:t>
      </w:r>
      <w:r>
        <w:rPr>
          <w:rFonts w:ascii="宋体" w:hAnsi="宋体"/>
          <w:color w:val="auto"/>
          <w:sz w:val="28"/>
          <w:szCs w:val="28"/>
          <w:highlight w:val="none"/>
        </w:rPr>
        <w:t xml:space="preserve">  </w:t>
      </w:r>
      <w:r>
        <w:rPr>
          <w:rFonts w:hint="eastAsia" w:ascii="宋体" w:hAnsi="宋体"/>
          <w:color w:val="auto"/>
          <w:sz w:val="28"/>
          <w:szCs w:val="28"/>
          <w:highlight w:val="none"/>
        </w:rPr>
        <w:t>月</w:t>
      </w:r>
      <w:r>
        <w:rPr>
          <w:rFonts w:ascii="宋体" w:hAnsi="宋体"/>
          <w:color w:val="auto"/>
          <w:sz w:val="28"/>
          <w:szCs w:val="28"/>
          <w:highlight w:val="none"/>
        </w:rPr>
        <w:t xml:space="preserve">  </w:t>
      </w:r>
      <w:r>
        <w:rPr>
          <w:rFonts w:hint="eastAsia" w:ascii="宋体" w:hAnsi="宋体"/>
          <w:color w:val="auto"/>
          <w:sz w:val="28"/>
          <w:szCs w:val="28"/>
          <w:highlight w:val="none"/>
        </w:rPr>
        <w:t>日</w:t>
      </w:r>
    </w:p>
    <w:p>
      <w:pPr>
        <w:snapToGrid w:val="0"/>
        <w:spacing w:before="156" w:beforeLines="50" w:line="360" w:lineRule="auto"/>
        <w:jc w:val="left"/>
        <w:rPr>
          <w:rFonts w:ascii="宋体" w:hAnsi="宋体"/>
          <w:color w:val="auto"/>
          <w:highlight w:val="none"/>
        </w:rPr>
      </w:pPr>
      <w:r>
        <w:rPr>
          <w:rFonts w:ascii="宋体" w:hAnsi="宋体"/>
          <w:color w:val="auto"/>
          <w:highlight w:val="none"/>
        </w:rPr>
        <w:br w:type="page"/>
      </w:r>
    </w:p>
    <w:p>
      <w:pPr>
        <w:snapToGrid w:val="0"/>
        <w:spacing w:before="156" w:beforeLines="50" w:line="360" w:lineRule="auto"/>
        <w:jc w:val="left"/>
        <w:rPr>
          <w:rFonts w:hint="eastAsia" w:ascii="宋体" w:hAnsi="宋体"/>
          <w:b/>
          <w:color w:val="auto"/>
          <w:sz w:val="24"/>
          <w:highlight w:val="none"/>
        </w:rPr>
      </w:pPr>
      <w:r>
        <w:rPr>
          <w:rFonts w:hint="eastAsia" w:ascii="宋体" w:hAnsi="宋体"/>
          <w:b/>
          <w:color w:val="auto"/>
          <w:sz w:val="24"/>
          <w:highlight w:val="none"/>
        </w:rPr>
        <w:t>3.资格证明</w:t>
      </w:r>
      <w:r>
        <w:rPr>
          <w:rFonts w:ascii="宋体" w:hAnsi="宋体"/>
          <w:b/>
          <w:color w:val="auto"/>
          <w:sz w:val="24"/>
          <w:highlight w:val="none"/>
        </w:rPr>
        <w:t>文件：</w:t>
      </w:r>
    </w:p>
    <w:p>
      <w:pPr>
        <w:autoSpaceDE w:val="0"/>
        <w:autoSpaceDN w:val="0"/>
        <w:adjustRightIn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详见投标人须知。</w:t>
      </w:r>
    </w:p>
    <w:p>
      <w:pPr>
        <w:snapToGrid w:val="0"/>
        <w:spacing w:before="50" w:after="50" w:line="360" w:lineRule="auto"/>
        <w:rPr>
          <w:rFonts w:hint="eastAsia" w:ascii="宋体" w:hAnsi="宋体"/>
          <w:b/>
          <w:color w:val="auto"/>
          <w:sz w:val="24"/>
          <w:highlight w:val="none"/>
        </w:rPr>
      </w:pPr>
    </w:p>
    <w:p>
      <w:pPr>
        <w:snapToGrid w:val="0"/>
        <w:spacing w:before="50" w:after="50" w:line="360" w:lineRule="auto"/>
        <w:rPr>
          <w:rFonts w:hint="eastAsia" w:ascii="宋体" w:hAnsi="宋体"/>
          <w:b/>
          <w:bCs/>
          <w:color w:val="auto"/>
          <w:sz w:val="24"/>
          <w:highlight w:val="none"/>
        </w:rPr>
      </w:pPr>
      <w:r>
        <w:rPr>
          <w:rFonts w:hint="eastAsia" w:ascii="宋体" w:hAnsi="宋体"/>
          <w:b/>
          <w:color w:val="auto"/>
          <w:sz w:val="24"/>
          <w:highlight w:val="none"/>
        </w:rPr>
        <w:t>4.</w:t>
      </w:r>
      <w:r>
        <w:rPr>
          <w:rFonts w:hint="eastAsia" w:ascii="宋体" w:hAnsi="宋体"/>
          <w:b/>
          <w:bCs/>
          <w:color w:val="auto"/>
          <w:sz w:val="24"/>
          <w:highlight w:val="none"/>
        </w:rPr>
        <w:t>商务技术文件目录</w:t>
      </w:r>
    </w:p>
    <w:p>
      <w:pPr>
        <w:autoSpaceDE w:val="0"/>
        <w:autoSpaceDN w:val="0"/>
        <w:adjustRightIn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详见投标人须知。</w:t>
      </w:r>
    </w:p>
    <w:p>
      <w:pPr>
        <w:snapToGrid w:val="0"/>
        <w:spacing w:before="50" w:after="156" w:afterLines="50" w:line="360" w:lineRule="auto"/>
        <w:jc w:val="left"/>
        <w:rPr>
          <w:rFonts w:ascii="宋体" w:hAnsi="宋体"/>
          <w:b/>
          <w:color w:val="auto"/>
          <w:sz w:val="24"/>
          <w:szCs w:val="20"/>
          <w:highlight w:val="none"/>
        </w:rPr>
      </w:pPr>
      <w:r>
        <w:rPr>
          <w:rFonts w:ascii="宋体" w:hAnsi="宋体"/>
          <w:i/>
          <w:color w:val="auto"/>
          <w:sz w:val="24"/>
          <w:highlight w:val="none"/>
        </w:rPr>
        <w:br w:type="page"/>
      </w:r>
      <w:r>
        <w:rPr>
          <w:rFonts w:hint="eastAsia" w:ascii="宋体" w:hAnsi="宋体"/>
          <w:b/>
          <w:color w:val="auto"/>
          <w:sz w:val="24"/>
          <w:highlight w:val="none"/>
        </w:rPr>
        <w:t>5.投标声明书格式</w:t>
      </w:r>
    </w:p>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30"/>
          <w:highlight w:val="none"/>
        </w:rPr>
        <w:t>投标声明书</w:t>
      </w:r>
    </w:p>
    <w:p>
      <w:pPr>
        <w:snapToGrid w:val="0"/>
        <w:spacing w:before="156" w:beforeLines="50" w:after="50" w:line="360" w:lineRule="auto"/>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w:t>
      </w:r>
    </w:p>
    <w:p>
      <w:pPr>
        <w:snapToGrid w:val="0"/>
        <w:spacing w:before="156" w:beforeLines="50" w:after="50" w:line="360" w:lineRule="auto"/>
        <w:ind w:firstLine="720" w:firstLineChars="300"/>
        <w:rPr>
          <w:rFonts w:ascii="宋体" w:hAnsi="宋体"/>
          <w:color w:val="auto"/>
          <w:sz w:val="24"/>
          <w:szCs w:val="20"/>
          <w:highlight w:val="none"/>
        </w:rPr>
      </w:pP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（投标人名称）系中华人民共和国合法企业，经营地址</w:t>
      </w:r>
      <w:r>
        <w:rPr>
          <w:rFonts w:ascii="宋体" w:hAnsi="宋体"/>
          <w:color w:val="auto"/>
          <w:sz w:val="24"/>
          <w:highlight w:val="none"/>
          <w:u w:val="single"/>
        </w:rPr>
        <w:t xml:space="preserve">                               </w:t>
      </w:r>
      <w:r>
        <w:rPr>
          <w:rFonts w:hint="eastAsia" w:ascii="宋体" w:hAnsi="宋体"/>
          <w:color w:val="auto"/>
          <w:sz w:val="24"/>
          <w:highlight w:val="none"/>
        </w:rPr>
        <w:t>。</w:t>
      </w:r>
    </w:p>
    <w:p>
      <w:pPr>
        <w:snapToGrid w:val="0"/>
        <w:spacing w:before="156" w:beforeLines="50" w:after="50"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我</w:t>
      </w:r>
      <w:r>
        <w:rPr>
          <w:rFonts w:ascii="宋体" w:hAnsi="宋体"/>
          <w:color w:val="auto"/>
          <w:sz w:val="24"/>
          <w:highlight w:val="none"/>
        </w:rPr>
        <w:t>___</w:t>
      </w:r>
      <w:r>
        <w:rPr>
          <w:rFonts w:ascii="宋体" w:hAnsi="宋体"/>
          <w:color w:val="auto"/>
          <w:sz w:val="24"/>
          <w:highlight w:val="none"/>
          <w:u w:val="single"/>
        </w:rPr>
        <w:t xml:space="preserve">    _</w:t>
      </w:r>
      <w:r>
        <w:rPr>
          <w:rFonts w:ascii="宋体" w:hAnsi="宋体"/>
          <w:color w:val="auto"/>
          <w:sz w:val="24"/>
          <w:highlight w:val="none"/>
        </w:rPr>
        <w:t>_</w:t>
      </w:r>
      <w:r>
        <w:rPr>
          <w:rFonts w:hint="eastAsia" w:ascii="宋体" w:hAnsi="宋体"/>
          <w:color w:val="auto"/>
          <w:sz w:val="24"/>
          <w:highlight w:val="none"/>
        </w:rPr>
        <w:t>（姓名）系</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（投标人名称）的法定代表人，我方愿意参加贵方组织的</w:t>
      </w:r>
      <w:r>
        <w:rPr>
          <w:rFonts w:ascii="宋体" w:hAnsi="宋体"/>
          <w:color w:val="auto"/>
          <w:sz w:val="24"/>
          <w:highlight w:val="none"/>
        </w:rPr>
        <w:t>_____</w:t>
      </w:r>
      <w:r>
        <w:rPr>
          <w:rFonts w:ascii="宋体" w:hAnsi="宋体"/>
          <w:color w:val="auto"/>
          <w:sz w:val="24"/>
          <w:highlight w:val="none"/>
          <w:u w:val="single"/>
        </w:rPr>
        <w:t>_              _     _</w:t>
      </w:r>
      <w:r>
        <w:rPr>
          <w:rFonts w:ascii="宋体" w:hAnsi="宋体"/>
          <w:color w:val="auto"/>
          <w:sz w:val="24"/>
          <w:highlight w:val="none"/>
        </w:rPr>
        <w:t>_</w:t>
      </w:r>
      <w:r>
        <w:rPr>
          <w:rFonts w:hint="eastAsia" w:ascii="宋体" w:hAnsi="宋体"/>
          <w:color w:val="auto"/>
          <w:sz w:val="24"/>
          <w:highlight w:val="none"/>
        </w:rPr>
        <w:t>项目的投标，为便于贵方公正、择优地确定中标人及其投标产品和服务，我方就参加本次投标有关事项郑重声明如下：</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.本投标有效期自开标日起</w:t>
      </w:r>
      <w:r>
        <w:rPr>
          <w:rFonts w:ascii="宋体" w:hAnsi="宋体"/>
          <w:color w:val="auto"/>
          <w:sz w:val="24"/>
          <w:highlight w:val="none"/>
        </w:rPr>
        <w:t xml:space="preserve"> ______</w:t>
      </w:r>
      <w:r>
        <w:rPr>
          <w:rFonts w:hint="eastAsia" w:ascii="宋体" w:hAnsi="宋体"/>
          <w:color w:val="auto"/>
          <w:sz w:val="24"/>
          <w:highlight w:val="none"/>
        </w:rPr>
        <w:t>日。</w:t>
      </w:r>
    </w:p>
    <w:p>
      <w:pPr>
        <w:snapToGrid w:val="0"/>
        <w:spacing w:line="360" w:lineRule="auto"/>
        <w:ind w:firstLine="480" w:firstLineChars="200"/>
        <w:rPr>
          <w:rFonts w:hint="eastAsia"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我方向贵方提交的所有投标文件、资料都是准确的和真实的</w:t>
      </w:r>
      <w:r>
        <w:rPr>
          <w:rFonts w:hint="eastAsia" w:ascii="宋体" w:hAnsi="宋体"/>
          <w:color w:val="auto"/>
          <w:sz w:val="24"/>
          <w:highlight w:val="none"/>
        </w:rPr>
        <w:t>。</w:t>
      </w:r>
    </w:p>
    <w:p>
      <w:pPr>
        <w:snapToGrid w:val="0"/>
        <w:spacing w:before="156" w:beforeLines="5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我方不是采购人的附属机构；</w:t>
      </w:r>
    </w:p>
    <w:p>
      <w:pPr>
        <w:snapToGrid w:val="0"/>
        <w:spacing w:before="156" w:beforeLines="50" w:line="360" w:lineRule="auto"/>
        <w:ind w:firstLine="480" w:firstLineChars="200"/>
        <w:rPr>
          <w:rFonts w:hint="eastAsia"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 xml:space="preserve"> 我方</w:t>
      </w:r>
      <w:r>
        <w:rPr>
          <w:rFonts w:hint="eastAsia" w:ascii="宋体" w:hAnsi="宋体"/>
          <w:color w:val="auto"/>
          <w:sz w:val="24"/>
          <w:highlight w:val="none"/>
        </w:rPr>
        <w:t>参加本采购项目</w:t>
      </w:r>
      <w:r>
        <w:rPr>
          <w:rFonts w:hint="eastAsia" w:hAnsi="宋体"/>
          <w:color w:val="auto"/>
          <w:sz w:val="24"/>
          <w:highlight w:val="none"/>
        </w:rPr>
        <w:t>的整体设计、规范编制或者项目管理、监理、检测等服务情况：</w:t>
      </w:r>
      <w:r>
        <w:rPr>
          <w:rFonts w:hint="eastAsia" w:ascii="宋体" w:hAnsi="宋体"/>
          <w:color w:val="auto"/>
          <w:sz w:val="24"/>
          <w:highlight w:val="none"/>
          <w:u w:val="single"/>
        </w:rPr>
        <w:t>　　　　　　　　　　　　　　　　　　　　　　　　　　　</w:t>
      </w:r>
    </w:p>
    <w:p>
      <w:pPr>
        <w:snapToGrid w:val="0"/>
        <w:spacing w:before="156" w:beforeLines="50" w:line="360" w:lineRule="auto"/>
        <w:ind w:firstLine="480" w:firstLineChars="200"/>
        <w:rPr>
          <w:rFonts w:hint="eastAsia" w:ascii="宋体" w:hAnsi="宋体"/>
          <w:color w:val="auto"/>
          <w:sz w:val="24"/>
          <w:highlight w:val="none"/>
        </w:rPr>
      </w:pPr>
      <w:r>
        <w:rPr>
          <w:rFonts w:hint="eastAsia" w:hAnsi="宋体"/>
          <w:color w:val="auto"/>
          <w:sz w:val="24"/>
          <w:highlight w:val="none"/>
        </w:rPr>
        <w:t>5</w:t>
      </w:r>
      <w:r>
        <w:rPr>
          <w:rFonts w:hint="eastAsia" w:ascii="宋体" w:hAnsi="宋体"/>
          <w:color w:val="auto"/>
          <w:sz w:val="24"/>
          <w:highlight w:val="none"/>
        </w:rPr>
        <w:t>.我</w:t>
      </w:r>
      <w:r>
        <w:rPr>
          <w:rFonts w:hint="eastAsia" w:ascii="宋体" w:hAnsi="宋体" w:cs="宋体"/>
          <w:color w:val="auto"/>
          <w:kern w:val="0"/>
          <w:sz w:val="24"/>
          <w:highlight w:val="none"/>
        </w:rPr>
        <w:t>方</w:t>
      </w:r>
      <w:r>
        <w:rPr>
          <w:rFonts w:hint="eastAsia" w:ascii="宋体" w:hAnsi="宋体"/>
          <w:color w:val="auto"/>
          <w:sz w:val="24"/>
          <w:highlight w:val="none"/>
        </w:rPr>
        <w:t>单位</w:t>
      </w:r>
      <w:r>
        <w:rPr>
          <w:rFonts w:hint="eastAsia" w:ascii="宋体" w:hAnsi="宋体" w:cs="宋体"/>
          <w:color w:val="auto"/>
          <w:kern w:val="0"/>
          <w:sz w:val="24"/>
          <w:highlight w:val="none"/>
        </w:rPr>
        <w:t>负责人同时为下列单位的负责人：</w:t>
      </w:r>
      <w:r>
        <w:rPr>
          <w:rFonts w:hint="eastAsia" w:ascii="宋体" w:hAnsi="宋体"/>
          <w:color w:val="auto"/>
          <w:sz w:val="24"/>
          <w:highlight w:val="none"/>
        </w:rPr>
        <w:t xml:space="preserve"> </w:t>
      </w:r>
    </w:p>
    <w:p>
      <w:pPr>
        <w:snapToGrid w:val="0"/>
        <w:spacing w:before="156" w:beforeLines="50"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pPr>
        <w:snapToGrid w:val="0"/>
        <w:spacing w:before="156" w:beforeLines="50" w:line="360" w:lineRule="auto"/>
        <w:ind w:firstLine="480" w:firstLineChars="200"/>
        <w:rPr>
          <w:rFonts w:ascii="宋体" w:hAnsi="宋体"/>
          <w:color w:val="auto"/>
          <w:sz w:val="24"/>
          <w:szCs w:val="20"/>
          <w:highlight w:val="none"/>
        </w:rPr>
      </w:pPr>
      <w:r>
        <w:rPr>
          <w:rFonts w:hint="eastAsia" w:ascii="宋体" w:hAnsi="宋体"/>
          <w:color w:val="auto"/>
          <w:sz w:val="24"/>
          <w:highlight w:val="none"/>
          <w:u w:val="single"/>
        </w:rPr>
        <w:t>　　　　　　　　　　　　　　　　　　　　　　　　　　　</w:t>
      </w:r>
    </w:p>
    <w:p>
      <w:pPr>
        <w:snapToGrid w:val="0"/>
        <w:spacing w:before="156" w:beforeLines="50" w:line="360" w:lineRule="auto"/>
        <w:ind w:firstLine="480" w:firstLineChars="200"/>
        <w:rPr>
          <w:rFonts w:hint="eastAsia" w:ascii="宋体" w:hAnsi="宋体"/>
          <w:color w:val="auto"/>
          <w:sz w:val="24"/>
          <w:highlight w:val="none"/>
        </w:rPr>
      </w:pPr>
      <w:r>
        <w:rPr>
          <w:rFonts w:hint="eastAsia" w:ascii="宋体" w:hAnsi="宋体" w:cs="宋体"/>
          <w:color w:val="auto"/>
          <w:kern w:val="0"/>
          <w:sz w:val="24"/>
          <w:highlight w:val="none"/>
        </w:rPr>
        <w:t>6</w:t>
      </w:r>
      <w:r>
        <w:rPr>
          <w:rFonts w:hint="eastAsia" w:ascii="宋体" w:hAnsi="宋体"/>
          <w:color w:val="auto"/>
          <w:sz w:val="24"/>
          <w:highlight w:val="none"/>
        </w:rPr>
        <w:t>.</w:t>
      </w:r>
      <w:r>
        <w:rPr>
          <w:rFonts w:hint="eastAsia" w:ascii="宋体" w:hAnsi="宋体" w:cs="宋体"/>
          <w:color w:val="auto"/>
          <w:kern w:val="0"/>
          <w:sz w:val="24"/>
          <w:highlight w:val="none"/>
        </w:rPr>
        <w:t>我方直接控股的单位、由我方管理的单位，没有同时参加本</w:t>
      </w:r>
      <w:r>
        <w:rPr>
          <w:rFonts w:hint="eastAsia"/>
          <w:color w:val="auto"/>
          <w:sz w:val="24"/>
          <w:highlight w:val="none"/>
        </w:rPr>
        <w:t>合同项下</w:t>
      </w:r>
      <w:r>
        <w:rPr>
          <w:rFonts w:hint="eastAsia" w:ascii="宋体" w:hAnsi="宋体" w:cs="宋体"/>
          <w:color w:val="auto"/>
          <w:kern w:val="0"/>
          <w:sz w:val="24"/>
          <w:highlight w:val="none"/>
        </w:rPr>
        <w:t>的投标。</w:t>
      </w:r>
    </w:p>
    <w:p>
      <w:pPr>
        <w:snapToGrid w:val="0"/>
        <w:spacing w:before="156" w:beforeLines="50"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7.我方委托授权人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（姓名）为我单位的正式在职职工，以我方的名义参加</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w:t>
      </w:r>
    </w:p>
    <w:p>
      <w:pPr>
        <w:snapToGrid w:val="0"/>
        <w:spacing w:before="156" w:beforeLines="50"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8.</w:t>
      </w:r>
      <w:r>
        <w:rPr>
          <w:rFonts w:ascii="宋体" w:hAnsi="宋体"/>
          <w:color w:val="auto"/>
          <w:sz w:val="24"/>
          <w:highlight w:val="none"/>
        </w:rPr>
        <w:t>我方此次向贵方提供的产品名称为：</w:t>
      </w:r>
      <w:r>
        <w:rPr>
          <w:rFonts w:ascii="宋体" w:hAnsi="宋体"/>
          <w:color w:val="auto"/>
          <w:sz w:val="24"/>
          <w:highlight w:val="none"/>
          <w:u w:val="single"/>
        </w:rPr>
        <w:t xml:space="preserve">                              </w:t>
      </w:r>
      <w:r>
        <w:rPr>
          <w:rFonts w:hint="eastAsia" w:ascii="宋体" w:hAnsi="宋体"/>
          <w:color w:val="auto"/>
          <w:sz w:val="24"/>
          <w:highlight w:val="none"/>
        </w:rPr>
        <w:t>；规格型号：</w:t>
      </w:r>
      <w:r>
        <w:rPr>
          <w:rFonts w:ascii="宋体" w:hAnsi="宋体"/>
          <w:color w:val="auto"/>
          <w:sz w:val="24"/>
          <w:highlight w:val="none"/>
          <w:u w:val="single"/>
        </w:rPr>
        <w:t xml:space="preserve">                           </w:t>
      </w:r>
      <w:r>
        <w:rPr>
          <w:rFonts w:hint="eastAsia" w:ascii="宋体" w:hAnsi="宋体"/>
          <w:color w:val="auto"/>
          <w:sz w:val="24"/>
          <w:highlight w:val="none"/>
        </w:rPr>
        <w:t>。</w:t>
      </w:r>
    </w:p>
    <w:p>
      <w:pPr>
        <w:snapToGrid w:val="0"/>
        <w:spacing w:before="156" w:beforeLines="50"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9.</w:t>
      </w:r>
      <w:r>
        <w:rPr>
          <w:rFonts w:ascii="宋体" w:hAnsi="宋体"/>
          <w:color w:val="auto"/>
          <w:sz w:val="24"/>
          <w:highlight w:val="none"/>
        </w:rPr>
        <w:t>我方</w:t>
      </w:r>
      <w:r>
        <w:rPr>
          <w:rFonts w:ascii="宋体" w:hAnsi="宋体" w:cs="宋体"/>
          <w:color w:val="auto"/>
          <w:kern w:val="0"/>
          <w:sz w:val="24"/>
          <w:highlight w:val="none"/>
        </w:rPr>
        <w:t>参加</w:t>
      </w:r>
      <w:r>
        <w:rPr>
          <w:rFonts w:hint="eastAsia" w:ascii="宋体" w:hAnsi="宋体" w:cs="宋体"/>
          <w:color w:val="auto"/>
          <w:kern w:val="0"/>
          <w:sz w:val="24"/>
          <w:highlight w:val="none"/>
        </w:rPr>
        <w:t>本次</w:t>
      </w:r>
      <w:r>
        <w:rPr>
          <w:rFonts w:ascii="宋体" w:hAnsi="宋体" w:cs="宋体"/>
          <w:color w:val="auto"/>
          <w:kern w:val="0"/>
          <w:sz w:val="24"/>
          <w:highlight w:val="none"/>
        </w:rPr>
        <w:t>政府采购活动前三年内，在经营活动中</w:t>
      </w:r>
      <w:r>
        <w:rPr>
          <w:rFonts w:hint="eastAsia" w:ascii="宋体" w:hAnsi="宋体" w:cs="宋体"/>
          <w:color w:val="auto"/>
          <w:kern w:val="0"/>
          <w:sz w:val="24"/>
          <w:highlight w:val="none"/>
        </w:rPr>
        <w:t>的</w:t>
      </w:r>
      <w:r>
        <w:rPr>
          <w:rFonts w:ascii="宋体" w:hAnsi="宋体" w:cs="宋体"/>
          <w:color w:val="auto"/>
          <w:kern w:val="0"/>
          <w:sz w:val="24"/>
          <w:highlight w:val="none"/>
        </w:rPr>
        <w:t>重大违法记录</w:t>
      </w:r>
      <w:r>
        <w:rPr>
          <w:rFonts w:hint="eastAsia" w:ascii="宋体" w:hAnsi="宋体"/>
          <w:color w:val="auto"/>
          <w:sz w:val="24"/>
          <w:highlight w:val="none"/>
        </w:rPr>
        <w:t>有：</w:t>
      </w:r>
    </w:p>
    <w:p>
      <w:pPr>
        <w:snapToGrid w:val="0"/>
        <w:spacing w:before="156" w:beforeLines="50"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pPr>
        <w:snapToGrid w:val="0"/>
        <w:spacing w:before="156" w:beforeLines="50" w:line="360" w:lineRule="auto"/>
        <w:ind w:firstLine="480" w:firstLineChars="200"/>
        <w:rPr>
          <w:rFonts w:ascii="宋体" w:hAnsi="宋体"/>
          <w:color w:val="auto"/>
          <w:sz w:val="24"/>
          <w:szCs w:val="20"/>
          <w:highlight w:val="none"/>
        </w:rPr>
      </w:pPr>
      <w:r>
        <w:rPr>
          <w:rFonts w:hint="eastAsia" w:ascii="宋体" w:hAnsi="宋体"/>
          <w:color w:val="auto"/>
          <w:sz w:val="24"/>
          <w:highlight w:val="none"/>
          <w:u w:val="single"/>
        </w:rPr>
        <w:t>　　　　　　　　　　　　　　　　　　　　　　　　　　　</w:t>
      </w:r>
    </w:p>
    <w:p>
      <w:pPr>
        <w:snapToGrid w:val="0"/>
        <w:spacing w:line="360" w:lineRule="auto"/>
        <w:ind w:firstLine="480" w:firstLineChars="200"/>
        <w:rPr>
          <w:rFonts w:hint="eastAsia" w:ascii="宋体" w:hAnsi="宋体"/>
          <w:color w:val="auto"/>
          <w:sz w:val="24"/>
          <w:szCs w:val="20"/>
          <w:highlight w:val="none"/>
        </w:rPr>
      </w:pPr>
      <w:r>
        <w:rPr>
          <w:rFonts w:hint="eastAsia" w:ascii="宋体" w:hAnsi="宋体"/>
          <w:color w:val="auto"/>
          <w:sz w:val="24"/>
          <w:highlight w:val="none"/>
        </w:rPr>
        <w:t>10.以上事项如有虚假或隐瞒，我方愿意承担一切后果，并不再寻求任何旨在减轻或免除法律责任的辩解。</w:t>
      </w:r>
    </w:p>
    <w:p>
      <w:pPr>
        <w:pStyle w:val="8"/>
        <w:tabs>
          <w:tab w:val="left" w:pos="939"/>
        </w:tabs>
        <w:snapToGrid w:val="0"/>
        <w:spacing w:line="360" w:lineRule="auto"/>
        <w:ind w:left="773" w:leftChars="150" w:hanging="458" w:hangingChars="191"/>
        <w:rPr>
          <w:rFonts w:ascii="宋体" w:hAnsi="宋体"/>
          <w:color w:val="auto"/>
          <w:sz w:val="24"/>
          <w:highlight w:val="none"/>
        </w:rPr>
      </w:pPr>
    </w:p>
    <w:p>
      <w:pPr>
        <w:snapToGrid w:val="0"/>
        <w:spacing w:before="156" w:beforeLines="50" w:line="360" w:lineRule="auto"/>
        <w:ind w:firstLine="200"/>
        <w:rPr>
          <w:rFonts w:hint="eastAsia" w:ascii="宋体" w:hAnsi="宋体"/>
          <w:color w:val="auto"/>
          <w:sz w:val="24"/>
          <w:highlight w:val="none"/>
        </w:rPr>
      </w:pPr>
    </w:p>
    <w:p>
      <w:pPr>
        <w:snapToGrid w:val="0"/>
        <w:spacing w:before="50" w:after="50" w:line="360" w:lineRule="auto"/>
        <w:rPr>
          <w:rFonts w:hint="eastAsia" w:ascii="宋体" w:hAnsi="宋体"/>
          <w:color w:val="auto"/>
          <w:sz w:val="24"/>
          <w:highlight w:val="none"/>
        </w:rPr>
      </w:pPr>
    </w:p>
    <w:p>
      <w:pPr>
        <w:snapToGrid w:val="0"/>
        <w:spacing w:before="50" w:after="50" w:line="360" w:lineRule="auto"/>
        <w:ind w:firstLine="240" w:firstLineChars="100"/>
        <w:rPr>
          <w:rFonts w:hAnsi="宋体"/>
          <w:color w:val="auto"/>
          <w:sz w:val="24"/>
          <w:highlight w:val="none"/>
        </w:rPr>
      </w:pPr>
      <w:r>
        <w:rPr>
          <w:rFonts w:hint="eastAsia" w:ascii="宋体" w:hAnsi="宋体"/>
          <w:color w:val="auto"/>
          <w:sz w:val="24"/>
          <w:highlight w:val="none"/>
        </w:rPr>
        <w:t>投标人：</w:t>
      </w:r>
      <w:r>
        <w:rPr>
          <w:rFonts w:ascii="宋体" w:hAnsi="宋体"/>
          <w:color w:val="auto"/>
          <w:sz w:val="24"/>
          <w:highlight w:val="none"/>
          <w:u w:val="single"/>
        </w:rPr>
        <w:t xml:space="preserve">       </w:t>
      </w:r>
      <w:r>
        <w:rPr>
          <w:rFonts w:hint="eastAsia" w:ascii="宋体" w:hAnsi="宋体"/>
          <w:color w:val="auto"/>
          <w:sz w:val="24"/>
          <w:highlight w:val="none"/>
          <w:u w:val="single"/>
        </w:rPr>
        <w:t>（盖章）</w:t>
      </w:r>
      <w:r>
        <w:rPr>
          <w:rFonts w:ascii="宋体" w:hAnsi="宋体"/>
          <w:color w:val="auto"/>
          <w:sz w:val="24"/>
          <w:highlight w:val="none"/>
          <w:u w:val="single"/>
        </w:rPr>
        <w:t xml:space="preserve">        </w:t>
      </w:r>
      <w:r>
        <w:rPr>
          <w:rFonts w:ascii="宋体" w:hAnsi="宋体"/>
          <w:color w:val="auto"/>
          <w:sz w:val="24"/>
          <w:highlight w:val="none"/>
        </w:rPr>
        <w:t xml:space="preserve">                      年    月    日</w:t>
      </w:r>
    </w:p>
    <w:p>
      <w:pPr>
        <w:snapToGrid w:val="0"/>
        <w:spacing w:before="50" w:after="50" w:line="360" w:lineRule="auto"/>
        <w:rPr>
          <w:rFonts w:hAnsi="宋体"/>
          <w:color w:val="auto"/>
          <w:sz w:val="24"/>
          <w:highlight w:val="none"/>
        </w:rPr>
      </w:pPr>
      <w:r>
        <w:rPr>
          <w:rFonts w:hAnsi="宋体"/>
          <w:color w:val="auto"/>
          <w:sz w:val="24"/>
          <w:highlight w:val="none"/>
        </w:rPr>
        <w:br w:type="page"/>
      </w:r>
    </w:p>
    <w:p>
      <w:pPr>
        <w:snapToGrid w:val="0"/>
        <w:spacing w:before="50" w:after="50" w:line="360" w:lineRule="auto"/>
        <w:rPr>
          <w:rFonts w:ascii="宋体" w:hAnsi="宋体"/>
          <w:b/>
          <w:color w:val="auto"/>
          <w:sz w:val="24"/>
          <w:szCs w:val="20"/>
          <w:highlight w:val="none"/>
        </w:rPr>
      </w:pPr>
      <w:r>
        <w:rPr>
          <w:rFonts w:hint="eastAsia" w:ascii="宋体" w:hAnsi="宋体"/>
          <w:b/>
          <w:color w:val="auto"/>
          <w:sz w:val="24"/>
          <w:highlight w:val="none"/>
        </w:rPr>
        <w:t>6.法定代表人授权委托书格式</w:t>
      </w:r>
    </w:p>
    <w:p>
      <w:pPr>
        <w:snapToGrid w:val="0"/>
        <w:spacing w:before="156" w:beforeLines="50" w:after="50" w:line="360" w:lineRule="auto"/>
        <w:jc w:val="center"/>
        <w:rPr>
          <w:rFonts w:ascii="宋体" w:hAnsi="宋体"/>
          <w:color w:val="auto"/>
          <w:sz w:val="30"/>
          <w:szCs w:val="20"/>
          <w:highlight w:val="none"/>
        </w:rPr>
      </w:pPr>
    </w:p>
    <w:p>
      <w:pPr>
        <w:snapToGrid w:val="0"/>
        <w:spacing w:before="156" w:beforeLines="50" w:after="50" w:line="360" w:lineRule="auto"/>
        <w:jc w:val="center"/>
        <w:rPr>
          <w:rFonts w:ascii="宋体" w:hAnsi="宋体"/>
          <w:b/>
          <w:color w:val="auto"/>
          <w:sz w:val="30"/>
          <w:szCs w:val="30"/>
          <w:highlight w:val="none"/>
        </w:rPr>
      </w:pPr>
      <w:r>
        <w:rPr>
          <w:rFonts w:hint="eastAsia" w:ascii="宋体" w:hAnsi="宋体"/>
          <w:b/>
          <w:color w:val="auto"/>
          <w:sz w:val="30"/>
          <w:szCs w:val="30"/>
          <w:highlight w:val="none"/>
        </w:rPr>
        <w:t>法定代表人授权委托书</w:t>
      </w:r>
    </w:p>
    <w:p>
      <w:pPr>
        <w:snapToGrid w:val="0"/>
        <w:spacing w:before="156" w:beforeLines="50" w:after="50" w:line="360" w:lineRule="auto"/>
        <w:rPr>
          <w:rFonts w:ascii="宋体" w:hAnsi="宋体"/>
          <w:b/>
          <w:bCs/>
          <w:color w:val="auto"/>
          <w:sz w:val="24"/>
          <w:szCs w:val="20"/>
          <w:highlight w:val="none"/>
        </w:rPr>
      </w:pPr>
      <w:r>
        <w:rPr>
          <w:rFonts w:hint="eastAsia" w:ascii="宋体" w:hAnsi="宋体"/>
          <w:bCs/>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ascii="宋体" w:hAnsi="宋体"/>
          <w:b/>
          <w:bCs/>
          <w:color w:val="auto"/>
          <w:sz w:val="24"/>
          <w:highlight w:val="none"/>
        </w:rPr>
        <w:t xml:space="preserve"> </w:t>
      </w:r>
      <w:r>
        <w:rPr>
          <w:rFonts w:hint="eastAsia" w:ascii="宋体" w:hAnsi="宋体"/>
          <w:color w:val="auto"/>
          <w:sz w:val="24"/>
          <w:highlight w:val="none"/>
        </w:rPr>
        <w:t>：</w:t>
      </w:r>
    </w:p>
    <w:p>
      <w:pPr>
        <w:snapToGrid w:val="0"/>
        <w:spacing w:before="156" w:beforeLines="50" w:after="50"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我</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（姓名）系</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（投标人名称）的法定代表人，现授权委托本单位在职职工</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项目的投标活动，并代表我方全权办理针对上述项目的投标、开标、评标、签约等具体事务和签署相关文件。</w:t>
      </w:r>
    </w:p>
    <w:p>
      <w:pPr>
        <w:snapToGrid w:val="0"/>
        <w:spacing w:before="156" w:beforeLines="50" w:after="50" w:line="360" w:lineRule="auto"/>
        <w:rPr>
          <w:rFonts w:ascii="宋体" w:hAnsi="宋体"/>
          <w:color w:val="auto"/>
          <w:sz w:val="24"/>
          <w:szCs w:val="20"/>
          <w:highlight w:val="none"/>
        </w:rPr>
      </w:pPr>
      <w:r>
        <w:rPr>
          <w:rFonts w:ascii="宋体" w:hAnsi="宋体"/>
          <w:color w:val="auto"/>
          <w:sz w:val="24"/>
          <w:highlight w:val="none"/>
        </w:rPr>
        <w:t xml:space="preserve">    </w:t>
      </w:r>
      <w:r>
        <w:rPr>
          <w:rFonts w:hint="eastAsia" w:ascii="宋体" w:hAnsi="宋体"/>
          <w:color w:val="auto"/>
          <w:sz w:val="24"/>
          <w:highlight w:val="none"/>
        </w:rPr>
        <w:t>我方对被授权人的签名事项负全部责任。</w:t>
      </w:r>
    </w:p>
    <w:p>
      <w:pPr>
        <w:snapToGrid w:val="0"/>
        <w:spacing w:before="156" w:beforeLines="50" w:after="50" w:line="360" w:lineRule="auto"/>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spacing w:before="156" w:beforeLines="50" w:after="50" w:line="360" w:lineRule="auto"/>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pPr>
        <w:snapToGrid w:val="0"/>
        <w:spacing w:before="156" w:beforeLines="50" w:after="50" w:line="360" w:lineRule="auto"/>
        <w:rPr>
          <w:rFonts w:ascii="宋体" w:hAnsi="宋体"/>
          <w:color w:val="auto"/>
          <w:sz w:val="24"/>
          <w:szCs w:val="20"/>
          <w:highlight w:val="none"/>
        </w:rPr>
      </w:pPr>
    </w:p>
    <w:p>
      <w:pPr>
        <w:snapToGrid w:val="0"/>
        <w:spacing w:before="156" w:beforeLines="50" w:after="50" w:line="360" w:lineRule="auto"/>
        <w:rPr>
          <w:rFonts w:ascii="宋体" w:hAnsi="宋体"/>
          <w:color w:val="auto"/>
          <w:sz w:val="24"/>
          <w:szCs w:val="20"/>
          <w:highlight w:val="none"/>
          <w:u w:val="single"/>
        </w:rPr>
      </w:pPr>
      <w:r>
        <w:rPr>
          <w:rFonts w:hint="eastAsia" w:ascii="宋体" w:hAnsi="宋体"/>
          <w:color w:val="auto"/>
          <w:sz w:val="24"/>
          <w:highlight w:val="none"/>
        </w:rPr>
        <w:t>被授权人：</w:t>
      </w:r>
      <w:r>
        <w:rPr>
          <w:rFonts w:ascii="宋体" w:hAnsi="宋体"/>
          <w:color w:val="auto"/>
          <w:sz w:val="24"/>
          <w:highlight w:val="none"/>
          <w:u w:val="single"/>
        </w:rPr>
        <w:t xml:space="preserve">  </w:t>
      </w:r>
      <w:r>
        <w:rPr>
          <w:rFonts w:hint="eastAsia" w:ascii="宋体" w:hAnsi="宋体"/>
          <w:color w:val="auto"/>
          <w:sz w:val="24"/>
          <w:highlight w:val="none"/>
          <w:u w:val="single"/>
        </w:rPr>
        <w:t>（签字或盖章）</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法定代表人：</w:t>
      </w:r>
      <w:r>
        <w:rPr>
          <w:rFonts w:ascii="宋体" w:hAnsi="宋体"/>
          <w:color w:val="auto"/>
          <w:sz w:val="24"/>
          <w:highlight w:val="none"/>
          <w:u w:val="single"/>
        </w:rPr>
        <w:t xml:space="preserve"> </w:t>
      </w:r>
      <w:r>
        <w:rPr>
          <w:rFonts w:hint="eastAsia" w:ascii="宋体" w:hAnsi="宋体"/>
          <w:color w:val="auto"/>
          <w:sz w:val="24"/>
          <w:highlight w:val="none"/>
          <w:u w:val="single"/>
        </w:rPr>
        <w:t>（签字或盖章）</w:t>
      </w:r>
      <w:r>
        <w:rPr>
          <w:rFonts w:ascii="宋体" w:hAnsi="宋体"/>
          <w:color w:val="auto"/>
          <w:sz w:val="24"/>
          <w:highlight w:val="none"/>
          <w:u w:val="single"/>
        </w:rPr>
        <w:t xml:space="preserve">    </w:t>
      </w:r>
    </w:p>
    <w:p>
      <w:pPr>
        <w:snapToGrid w:val="0"/>
        <w:spacing w:before="156" w:beforeLines="50" w:after="50" w:line="360" w:lineRule="auto"/>
        <w:rPr>
          <w:rFonts w:ascii="宋体" w:hAnsi="宋体"/>
          <w:color w:val="auto"/>
          <w:sz w:val="24"/>
          <w:szCs w:val="20"/>
          <w:highlight w:val="none"/>
        </w:rPr>
      </w:pPr>
      <w:r>
        <w:rPr>
          <w:rFonts w:hint="eastAsia" w:ascii="宋体" w:hAnsi="宋体"/>
          <w:color w:val="auto"/>
          <w:sz w:val="24"/>
          <w:highlight w:val="none"/>
        </w:rPr>
        <w:t>职务：</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职务：</w:t>
      </w:r>
      <w:r>
        <w:rPr>
          <w:rFonts w:ascii="宋体" w:hAnsi="宋体"/>
          <w:color w:val="auto"/>
          <w:sz w:val="24"/>
          <w:highlight w:val="none"/>
          <w:u w:val="single"/>
        </w:rPr>
        <w:t xml:space="preserve">           </w:t>
      </w:r>
    </w:p>
    <w:p>
      <w:pPr>
        <w:snapToGrid w:val="0"/>
        <w:spacing w:before="156" w:beforeLines="50" w:after="50" w:line="360" w:lineRule="auto"/>
        <w:rPr>
          <w:rFonts w:hint="eastAsia" w:ascii="宋体" w:hAnsi="宋体"/>
          <w:color w:val="auto"/>
          <w:sz w:val="24"/>
          <w:highlight w:val="none"/>
        </w:rPr>
      </w:pPr>
      <w:r>
        <w:rPr>
          <w:rFonts w:hint="eastAsia" w:ascii="宋体" w:hAnsi="宋体"/>
          <w:color w:val="auto"/>
          <w:sz w:val="24"/>
          <w:highlight w:val="none"/>
        </w:rPr>
        <w:t>被授权人身份证号码：</w:t>
      </w:r>
      <w:r>
        <w:rPr>
          <w:rFonts w:ascii="宋体" w:hAnsi="宋体"/>
          <w:color w:val="auto"/>
          <w:sz w:val="24"/>
          <w:highlight w:val="none"/>
          <w:u w:val="single"/>
        </w:rPr>
        <w:t xml:space="preserve">                             </w:t>
      </w:r>
      <w:r>
        <w:rPr>
          <w:rFonts w:ascii="宋体" w:hAnsi="宋体"/>
          <w:color w:val="auto"/>
          <w:sz w:val="24"/>
          <w:highlight w:val="none"/>
        </w:rPr>
        <w:t xml:space="preserve"> </w:t>
      </w:r>
    </w:p>
    <w:p>
      <w:pPr>
        <w:snapToGrid w:val="0"/>
        <w:spacing w:before="156" w:beforeLines="50" w:after="50" w:line="360" w:lineRule="auto"/>
        <w:rPr>
          <w:rFonts w:hint="eastAsia" w:ascii="宋体" w:hAnsi="宋体"/>
          <w:color w:val="auto"/>
          <w:sz w:val="24"/>
          <w:szCs w:val="20"/>
          <w:highlight w:val="none"/>
        </w:rPr>
      </w:pPr>
      <w:r>
        <w:rPr>
          <w:rFonts w:hint="eastAsia" w:ascii="宋体" w:hAnsi="宋体"/>
          <w:color w:val="auto"/>
          <w:sz w:val="24"/>
          <w:highlight w:val="none"/>
        </w:rPr>
        <w:t>（附被授权人身份证正反双面复印件）</w:t>
      </w:r>
    </w:p>
    <w:p>
      <w:pPr>
        <w:snapToGrid w:val="0"/>
        <w:spacing w:before="156" w:beforeLines="50" w:after="50" w:line="360" w:lineRule="auto"/>
        <w:rPr>
          <w:rFonts w:ascii="宋体" w:hAnsi="宋体"/>
          <w:color w:val="auto"/>
          <w:sz w:val="24"/>
          <w:szCs w:val="20"/>
          <w:highlight w:val="none"/>
        </w:rPr>
      </w:pPr>
      <w:r>
        <w:rPr>
          <w:rFonts w:ascii="宋体" w:hAnsi="宋体"/>
          <w:color w:val="auto"/>
          <w:sz w:val="24"/>
          <w:highlight w:val="none"/>
        </w:rPr>
        <w:t xml:space="preserve">                                     </w:t>
      </w:r>
      <w:r>
        <w:rPr>
          <w:rFonts w:hint="eastAsia" w:ascii="宋体" w:hAnsi="宋体"/>
          <w:color w:val="auto"/>
          <w:sz w:val="24"/>
          <w:highlight w:val="none"/>
        </w:rPr>
        <w:t>投标人：</w:t>
      </w:r>
      <w:r>
        <w:rPr>
          <w:rFonts w:hint="eastAsia" w:ascii="宋体" w:hAnsi="宋体"/>
          <w:color w:val="auto"/>
          <w:sz w:val="24"/>
          <w:highlight w:val="none"/>
          <w:u w:val="single"/>
        </w:rPr>
        <w:t xml:space="preserve">       （盖章）       </w:t>
      </w:r>
    </w:p>
    <w:p>
      <w:pPr>
        <w:snapToGrid w:val="0"/>
        <w:spacing w:before="156" w:beforeLines="50" w:after="50" w:line="360" w:lineRule="auto"/>
        <w:jc w:val="center"/>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snapToGrid w:val="0"/>
        <w:spacing w:before="50" w:after="50" w:line="360" w:lineRule="auto"/>
        <w:rPr>
          <w:rFonts w:ascii="宋体" w:hAnsi="宋体"/>
          <w:b/>
          <w:color w:val="auto"/>
          <w:sz w:val="24"/>
          <w:highlight w:val="none"/>
        </w:rPr>
      </w:pPr>
      <w:r>
        <w:rPr>
          <w:rFonts w:ascii="宋体" w:hAnsi="宋体"/>
          <w:color w:val="auto"/>
          <w:highlight w:val="none"/>
        </w:rPr>
        <w:br w:type="page"/>
      </w:r>
      <w:r>
        <w:rPr>
          <w:rFonts w:ascii="宋体" w:hAnsi="宋体"/>
          <w:color w:val="auto"/>
          <w:sz w:val="24"/>
          <w:szCs w:val="20"/>
          <w:highlight w:val="none"/>
        </w:rPr>
        <w:t xml:space="preserve"> </w:t>
      </w:r>
      <w:r>
        <w:rPr>
          <w:rFonts w:hint="eastAsia" w:ascii="宋体" w:hAnsi="宋体"/>
          <w:b/>
          <w:color w:val="auto"/>
          <w:spacing w:val="20"/>
          <w:sz w:val="24"/>
          <w:highlight w:val="none"/>
        </w:rPr>
        <w:t>7.</w:t>
      </w:r>
      <w:r>
        <w:rPr>
          <w:rFonts w:ascii="宋体" w:hAnsi="宋体"/>
          <w:b/>
          <w:color w:val="auto"/>
          <w:sz w:val="24"/>
          <w:highlight w:val="none"/>
        </w:rPr>
        <w:t>中小企业声明函</w:t>
      </w:r>
    </w:p>
    <w:p>
      <w:pPr>
        <w:snapToGrid w:val="0"/>
        <w:spacing w:before="50" w:after="50" w:line="360" w:lineRule="auto"/>
        <w:jc w:val="center"/>
        <w:rPr>
          <w:rFonts w:hint="eastAsia" w:ascii="宋体" w:hAnsi="宋体"/>
          <w:b/>
          <w:color w:val="auto"/>
          <w:sz w:val="30"/>
          <w:szCs w:val="30"/>
          <w:highlight w:val="none"/>
        </w:rPr>
      </w:pPr>
      <w:r>
        <w:rPr>
          <w:rFonts w:ascii="宋体" w:hAnsi="宋体"/>
          <w:b/>
          <w:color w:val="auto"/>
          <w:sz w:val="30"/>
          <w:szCs w:val="30"/>
          <w:highlight w:val="none"/>
        </w:rPr>
        <w:t>中小企业声明函</w:t>
      </w:r>
    </w:p>
    <w:p>
      <w:pPr>
        <w:snapToGrid w:val="0"/>
        <w:spacing w:before="50" w:after="50" w:line="360" w:lineRule="auto"/>
        <w:rPr>
          <w:rFonts w:hint="eastAsia" w:ascii="宋体" w:hAnsi="宋体"/>
          <w:color w:val="auto"/>
          <w:sz w:val="24"/>
          <w:highlight w:val="none"/>
        </w:rPr>
      </w:pPr>
    </w:p>
    <w:p>
      <w:pPr>
        <w:snapToGrid w:val="0"/>
        <w:spacing w:before="50" w:after="50" w:line="360" w:lineRule="auto"/>
        <w:ind w:firstLine="480" w:firstLineChars="200"/>
        <w:rPr>
          <w:rFonts w:hint="eastAsia" w:ascii="宋体" w:hAnsi="宋体"/>
          <w:color w:val="auto"/>
          <w:sz w:val="24"/>
          <w:highlight w:val="none"/>
        </w:rPr>
      </w:pPr>
      <w:r>
        <w:rPr>
          <w:rFonts w:ascii="宋体" w:hAnsi="宋体"/>
          <w:color w:val="auto"/>
          <w:sz w:val="24"/>
          <w:highlight w:val="none"/>
        </w:rPr>
        <w:t>本公司郑重声明，根据《政府采购促进中小企业发展暂行办法》（财库[2011]181号）的规定，本公司为______（请填写：中型、小型、微型）企业。即，本公司同时满足以下条件：</w:t>
      </w:r>
      <w:r>
        <w:rPr>
          <w:rFonts w:ascii="宋体" w:hAnsi="宋体"/>
          <w:color w:val="auto"/>
          <w:sz w:val="24"/>
          <w:highlight w:val="none"/>
        </w:rPr>
        <w:br w:type="textWrapping"/>
      </w:r>
      <w:r>
        <w:rPr>
          <w:rFonts w:ascii="宋体" w:hAnsi="宋体"/>
          <w:color w:val="auto"/>
          <w:sz w:val="24"/>
          <w:highlight w:val="none"/>
        </w:rPr>
        <w:t>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color w:val="auto"/>
          <w:sz w:val="24"/>
          <w:highlight w:val="none"/>
        </w:rPr>
        <w:br w:type="textWrapping"/>
      </w:r>
      <w:r>
        <w:rPr>
          <w:rFonts w:ascii="宋体" w:hAnsi="宋体"/>
          <w:color w:val="auto"/>
          <w:sz w:val="24"/>
          <w:highlight w:val="none"/>
        </w:rPr>
        <w:t> </w:t>
      </w:r>
      <w:r>
        <w:rPr>
          <w:rFonts w:hint="eastAsia" w:ascii="宋体" w:hAnsi="宋体"/>
          <w:color w:val="auto"/>
          <w:sz w:val="24"/>
          <w:highlight w:val="none"/>
        </w:rPr>
        <w:t xml:space="preserve"> </w:t>
      </w:r>
      <w:r>
        <w:rPr>
          <w:rFonts w:ascii="宋体" w:hAnsi="宋体"/>
          <w:color w:val="auto"/>
          <w:sz w:val="24"/>
          <w:highlight w:val="none"/>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ascii="宋体" w:hAnsi="宋体"/>
          <w:color w:val="auto"/>
          <w:sz w:val="24"/>
          <w:highlight w:val="none"/>
        </w:rPr>
        <w:br w:type="textWrapping"/>
      </w:r>
      <w:r>
        <w:rPr>
          <w:rFonts w:ascii="宋体" w:hAnsi="宋体"/>
          <w:color w:val="auto"/>
          <w:sz w:val="24"/>
          <w:highlight w:val="none"/>
        </w:rPr>
        <w:t>  </w:t>
      </w:r>
    </w:p>
    <w:p>
      <w:pPr>
        <w:snapToGrid w:val="0"/>
        <w:spacing w:before="50" w:after="50" w:line="360" w:lineRule="auto"/>
        <w:ind w:firstLine="480" w:firstLineChars="200"/>
        <w:rPr>
          <w:rFonts w:ascii="宋体" w:hAnsi="宋体"/>
          <w:color w:val="auto"/>
          <w:sz w:val="24"/>
          <w:highlight w:val="none"/>
        </w:rPr>
      </w:pPr>
      <w:r>
        <w:rPr>
          <w:rFonts w:ascii="宋体" w:hAnsi="宋体"/>
          <w:color w:val="auto"/>
          <w:sz w:val="24"/>
          <w:highlight w:val="none"/>
        </w:rPr>
        <w:t>本公司对上述声明的真实性负责。如有虚假，将依法承担相应责任。</w:t>
      </w:r>
    </w:p>
    <w:p>
      <w:pPr>
        <w:snapToGrid w:val="0"/>
        <w:spacing w:before="50" w:after="50" w:line="360" w:lineRule="auto"/>
        <w:rPr>
          <w:rFonts w:hint="eastAsia" w:ascii="宋体" w:hAnsi="宋体"/>
          <w:color w:val="auto"/>
          <w:sz w:val="24"/>
          <w:highlight w:val="none"/>
        </w:rPr>
      </w:pPr>
    </w:p>
    <w:p>
      <w:pPr>
        <w:snapToGrid w:val="0"/>
        <w:spacing w:before="50" w:after="50" w:line="360" w:lineRule="auto"/>
        <w:rPr>
          <w:rFonts w:hint="eastAsia" w:ascii="宋体" w:hAnsi="宋体"/>
          <w:color w:val="auto"/>
          <w:sz w:val="24"/>
          <w:highlight w:val="none"/>
        </w:rPr>
      </w:pPr>
    </w:p>
    <w:p>
      <w:pPr>
        <w:snapToGrid w:val="0"/>
        <w:spacing w:before="50" w:after="50" w:line="360" w:lineRule="auto"/>
        <w:rPr>
          <w:rFonts w:hint="eastAsia" w:ascii="宋体" w:hAnsi="宋体"/>
          <w:color w:val="auto"/>
          <w:spacing w:val="20"/>
          <w:sz w:val="24"/>
          <w:highlight w:val="none"/>
        </w:rPr>
      </w:pPr>
    </w:p>
    <w:p>
      <w:pPr>
        <w:snapToGrid w:val="0"/>
        <w:spacing w:before="50" w:after="50" w:line="360" w:lineRule="auto"/>
        <w:rPr>
          <w:rFonts w:ascii="宋体" w:hAnsi="宋体"/>
          <w:color w:val="auto"/>
          <w:spacing w:val="20"/>
          <w:sz w:val="24"/>
          <w:highlight w:val="none"/>
          <w:u w:val="single"/>
        </w:rPr>
      </w:pPr>
      <w:r>
        <w:rPr>
          <w:rFonts w:hint="eastAsia" w:ascii="宋体" w:hAnsi="宋体"/>
          <w:color w:val="auto"/>
          <w:spacing w:val="20"/>
          <w:sz w:val="24"/>
          <w:highlight w:val="none"/>
        </w:rPr>
        <w:t>投标人：</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（盖章）</w:t>
      </w:r>
      <w:r>
        <w:rPr>
          <w:rFonts w:ascii="宋体" w:hAnsi="宋体"/>
          <w:color w:val="auto"/>
          <w:spacing w:val="20"/>
          <w:sz w:val="24"/>
          <w:highlight w:val="none"/>
          <w:u w:val="single"/>
        </w:rPr>
        <w:t xml:space="preserve">      </w:t>
      </w:r>
      <w:r>
        <w:rPr>
          <w:rFonts w:ascii="宋体" w:hAnsi="宋体"/>
          <w:color w:val="auto"/>
          <w:spacing w:val="20"/>
          <w:sz w:val="24"/>
          <w:highlight w:val="none"/>
        </w:rPr>
        <w:t xml:space="preserve">     </w:t>
      </w: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p>
    <w:p>
      <w:pPr>
        <w:snapToGrid w:val="0"/>
        <w:spacing w:before="50" w:after="50" w:line="360" w:lineRule="auto"/>
        <w:rPr>
          <w:rFonts w:hint="eastAsia" w:ascii="宋体" w:hAnsi="宋体"/>
          <w:b/>
          <w:color w:val="auto"/>
          <w:sz w:val="24"/>
          <w:highlight w:val="none"/>
        </w:rPr>
      </w:pPr>
      <w:r>
        <w:rPr>
          <w:rFonts w:ascii="宋体" w:hAnsi="宋体"/>
          <w:color w:val="auto"/>
          <w:spacing w:val="20"/>
          <w:sz w:val="24"/>
          <w:highlight w:val="none"/>
          <w:u w:val="single"/>
        </w:rPr>
        <w:br w:type="page"/>
      </w:r>
      <w:r>
        <w:rPr>
          <w:rFonts w:hint="eastAsia" w:ascii="宋体" w:hAnsi="宋体"/>
          <w:b/>
          <w:color w:val="auto"/>
          <w:spacing w:val="20"/>
          <w:sz w:val="24"/>
          <w:highlight w:val="none"/>
        </w:rPr>
        <w:t>8.</w:t>
      </w:r>
      <w:r>
        <w:rPr>
          <w:rFonts w:hint="eastAsia" w:ascii="宋体" w:hAnsi="宋体"/>
          <w:b/>
          <w:color w:val="auto"/>
          <w:spacing w:val="6"/>
          <w:sz w:val="30"/>
          <w:szCs w:val="30"/>
          <w:highlight w:val="none"/>
        </w:rPr>
        <w:t xml:space="preserve"> </w:t>
      </w:r>
      <w:r>
        <w:rPr>
          <w:rFonts w:hint="eastAsia" w:ascii="宋体" w:hAnsi="宋体"/>
          <w:b/>
          <w:color w:val="auto"/>
          <w:spacing w:val="20"/>
          <w:sz w:val="24"/>
          <w:highlight w:val="none"/>
        </w:rPr>
        <w:t>残疾人福利性单位声明函</w:t>
      </w:r>
    </w:p>
    <w:p>
      <w:pPr>
        <w:spacing w:line="588" w:lineRule="exact"/>
        <w:jc w:val="center"/>
        <w:rPr>
          <w:rFonts w:ascii="宋体" w:hAnsi="宋体"/>
          <w:b/>
          <w:color w:val="auto"/>
          <w:spacing w:val="6"/>
          <w:sz w:val="30"/>
          <w:szCs w:val="30"/>
          <w:highlight w:val="none"/>
        </w:rPr>
      </w:pPr>
      <w:r>
        <w:rPr>
          <w:rFonts w:hint="eastAsia" w:ascii="宋体" w:hAnsi="宋体"/>
          <w:b/>
          <w:color w:val="auto"/>
          <w:spacing w:val="6"/>
          <w:sz w:val="30"/>
          <w:szCs w:val="30"/>
          <w:highlight w:val="none"/>
        </w:rPr>
        <w:t>残疾人福利性单位声明函</w:t>
      </w:r>
    </w:p>
    <w:p>
      <w:pPr>
        <w:spacing w:line="588" w:lineRule="exact"/>
        <w:rPr>
          <w:rFonts w:ascii="仿宋_GB2312" w:eastAsia="仿宋_GB2312"/>
          <w:b/>
          <w:color w:val="auto"/>
          <w:spacing w:val="6"/>
          <w:sz w:val="30"/>
          <w:szCs w:val="30"/>
          <w:highlight w:val="none"/>
        </w:rPr>
      </w:pP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w:t>
      </w:r>
      <w:r>
        <w:rPr>
          <w:rFonts w:ascii="宋体" w:hAnsi="宋体"/>
          <w:color w:val="auto"/>
          <w:spacing w:val="6"/>
          <w:sz w:val="24"/>
          <w:highlight w:val="none"/>
        </w:rPr>
        <w:t xml:space="preserve"> </w:t>
      </w:r>
      <w:r>
        <w:rPr>
          <w:rFonts w:hint="eastAsia" w:ascii="宋体" w:hAnsi="宋体"/>
          <w:color w:val="auto"/>
          <w:spacing w:val="6"/>
          <w:sz w:val="24"/>
          <w:highlight w:val="none"/>
        </w:rPr>
        <w:t>民政部</w:t>
      </w:r>
      <w:r>
        <w:rPr>
          <w:rFonts w:ascii="宋体" w:hAnsi="宋体"/>
          <w:color w:val="auto"/>
          <w:spacing w:val="6"/>
          <w:sz w:val="24"/>
          <w:highlight w:val="none"/>
        </w:rPr>
        <w:t xml:space="preserve"> </w:t>
      </w:r>
      <w:r>
        <w:rPr>
          <w:rFonts w:hint="eastAsia" w:ascii="宋体" w:hAnsi="宋体"/>
          <w:color w:val="auto"/>
          <w:spacing w:val="6"/>
          <w:sz w:val="24"/>
          <w:highlight w:val="none"/>
        </w:rPr>
        <w:t>中国残疾人联合会关于促进残疾人就业政府采购政策的通知》（财库</w:t>
      </w:r>
      <w:r>
        <w:rPr>
          <w:rFonts w:hint="eastAsia" w:ascii="宋体" w:hAnsi="宋体"/>
          <w:color w:val="auto"/>
          <w:sz w:val="24"/>
          <w:highlight w:val="none"/>
        </w:rPr>
        <w:t>〔</w:t>
      </w:r>
      <w:r>
        <w:rPr>
          <w:rFonts w:ascii="宋体" w:hAnsi="宋体"/>
          <w:color w:val="auto"/>
          <w:sz w:val="24"/>
          <w:highlight w:val="none"/>
        </w:rPr>
        <w:t>2017</w:t>
      </w:r>
      <w:r>
        <w:rPr>
          <w:rFonts w:hint="eastAsia" w:ascii="宋体" w:hAnsi="宋体"/>
          <w:color w:val="auto"/>
          <w:sz w:val="24"/>
          <w:highlight w:val="none"/>
        </w:rPr>
        <w:t>〕</w:t>
      </w:r>
      <w:r>
        <w:rPr>
          <w:rFonts w:ascii="宋体" w:hAnsi="宋体"/>
          <w:color w:val="auto"/>
          <w:sz w:val="24"/>
          <w:highlight w:val="none"/>
        </w:rPr>
        <w:t xml:space="preserve"> 141</w:t>
      </w:r>
      <w:r>
        <w:rPr>
          <w:rFonts w:hint="eastAsia" w:ascii="宋体" w:hAnsi="宋体"/>
          <w:color w:val="auto"/>
          <w:spacing w:val="6"/>
          <w:sz w:val="24"/>
          <w:highlight w:val="none"/>
        </w:rPr>
        <w:t>号）的规定，本单位为符合条件的残疾人福利性单位，且本单位参加</w:t>
      </w:r>
      <w:r>
        <w:rPr>
          <w:rFonts w:ascii="宋体" w:hAnsi="宋体"/>
          <w:color w:val="auto"/>
          <w:spacing w:val="6"/>
          <w:sz w:val="24"/>
          <w:highlight w:val="none"/>
        </w:rPr>
        <w:t>______</w:t>
      </w:r>
      <w:r>
        <w:rPr>
          <w:rFonts w:hint="eastAsia" w:ascii="宋体" w:hAnsi="宋体"/>
          <w:color w:val="auto"/>
          <w:spacing w:val="6"/>
          <w:sz w:val="24"/>
          <w:highlight w:val="none"/>
        </w:rPr>
        <w:t>单位的</w:t>
      </w:r>
      <w:r>
        <w:rPr>
          <w:rFonts w:ascii="宋体" w:hAnsi="宋体"/>
          <w:color w:val="auto"/>
          <w:spacing w:val="6"/>
          <w:sz w:val="24"/>
          <w:highlight w:val="none"/>
        </w:rPr>
        <w:t>______</w:t>
      </w:r>
      <w:r>
        <w:rPr>
          <w:rFonts w:hint="eastAsia" w:ascii="宋体" w:hAnsi="宋体"/>
          <w:color w:val="auto"/>
          <w:spacing w:val="6"/>
          <w:sz w:val="24"/>
          <w:highlight w:val="none"/>
        </w:rPr>
        <w:t>项目采购活动提供本单位制造的货物（由本单位承担工程</w:t>
      </w:r>
      <w:r>
        <w:rPr>
          <w:rFonts w:ascii="宋体" w:hAnsi="宋体"/>
          <w:color w:val="auto"/>
          <w:spacing w:val="6"/>
          <w:sz w:val="24"/>
          <w:highlight w:val="none"/>
        </w:rPr>
        <w:t>/</w:t>
      </w:r>
      <w:r>
        <w:rPr>
          <w:rFonts w:hint="eastAsia" w:ascii="宋体" w:hAnsi="宋体"/>
          <w:color w:val="auto"/>
          <w:spacing w:val="6"/>
          <w:sz w:val="24"/>
          <w:highlight w:val="none"/>
        </w:rPr>
        <w:t>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p>
    <w:p>
      <w:pPr>
        <w:snapToGrid w:val="0"/>
        <w:spacing w:before="50" w:after="50" w:line="360" w:lineRule="auto"/>
        <w:rPr>
          <w:rFonts w:hint="eastAsia" w:ascii="宋体" w:hAnsi="宋体"/>
          <w:color w:val="auto"/>
          <w:spacing w:val="20"/>
          <w:sz w:val="24"/>
          <w:highlight w:val="none"/>
        </w:rPr>
      </w:pPr>
    </w:p>
    <w:p>
      <w:pPr>
        <w:snapToGrid w:val="0"/>
        <w:spacing w:before="50" w:after="50" w:line="360" w:lineRule="auto"/>
        <w:rPr>
          <w:rFonts w:hint="eastAsia" w:ascii="宋体" w:hAnsi="宋体"/>
          <w:color w:val="auto"/>
          <w:spacing w:val="20"/>
          <w:sz w:val="24"/>
          <w:highlight w:val="none"/>
        </w:rPr>
      </w:pPr>
      <w:r>
        <w:rPr>
          <w:rFonts w:hint="eastAsia" w:ascii="宋体" w:hAnsi="宋体"/>
          <w:color w:val="auto"/>
          <w:spacing w:val="20"/>
          <w:sz w:val="24"/>
          <w:highlight w:val="none"/>
        </w:rPr>
        <w:t>投标人：</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（盖章）</w:t>
      </w:r>
      <w:r>
        <w:rPr>
          <w:rFonts w:ascii="宋体" w:hAnsi="宋体"/>
          <w:color w:val="auto"/>
          <w:spacing w:val="20"/>
          <w:sz w:val="24"/>
          <w:highlight w:val="none"/>
          <w:u w:val="single"/>
        </w:rPr>
        <w:t xml:space="preserve">      </w:t>
      </w:r>
      <w:r>
        <w:rPr>
          <w:rFonts w:ascii="宋体" w:hAnsi="宋体"/>
          <w:color w:val="auto"/>
          <w:spacing w:val="20"/>
          <w:sz w:val="24"/>
          <w:highlight w:val="none"/>
        </w:rPr>
        <w:t xml:space="preserve">     </w:t>
      </w: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p>
    <w:p>
      <w:pPr>
        <w:snapToGrid w:val="0"/>
        <w:spacing w:before="50" w:after="50" w:line="360" w:lineRule="auto"/>
        <w:rPr>
          <w:rFonts w:hint="eastAsia" w:ascii="宋体" w:hAnsi="宋体"/>
          <w:color w:val="auto"/>
          <w:spacing w:val="20"/>
          <w:sz w:val="24"/>
          <w:highlight w:val="none"/>
        </w:rPr>
      </w:pPr>
    </w:p>
    <w:p>
      <w:pPr>
        <w:snapToGrid w:val="0"/>
        <w:spacing w:before="50" w:after="50" w:line="360" w:lineRule="auto"/>
        <w:rPr>
          <w:rFonts w:hint="eastAsia" w:ascii="宋体" w:hAnsi="宋体"/>
          <w:color w:val="auto"/>
          <w:sz w:val="24"/>
          <w:highlight w:val="none"/>
        </w:rPr>
      </w:pPr>
    </w:p>
    <w:p>
      <w:pPr>
        <w:snapToGrid w:val="0"/>
        <w:spacing w:before="50" w:line="360" w:lineRule="auto"/>
        <w:jc w:val="left"/>
        <w:rPr>
          <w:rFonts w:ascii="宋体" w:hAnsi="宋体"/>
          <w:b/>
          <w:color w:val="auto"/>
          <w:sz w:val="24"/>
          <w:szCs w:val="20"/>
          <w:highlight w:val="none"/>
        </w:rPr>
      </w:pPr>
      <w:r>
        <w:rPr>
          <w:b/>
          <w:color w:val="auto"/>
          <w:sz w:val="30"/>
          <w:szCs w:val="30"/>
          <w:highlight w:val="none"/>
        </w:rPr>
        <w:br w:type="page"/>
      </w:r>
      <w:r>
        <w:rPr>
          <w:rFonts w:hint="eastAsia" w:ascii="宋体" w:hAnsi="宋体"/>
          <w:b/>
          <w:color w:val="auto"/>
          <w:sz w:val="24"/>
          <w:highlight w:val="none"/>
        </w:rPr>
        <w:t>9.商务响应表格式</w:t>
      </w:r>
    </w:p>
    <w:p>
      <w:pPr>
        <w:snapToGrid w:val="0"/>
        <w:spacing w:before="50" w:line="360" w:lineRule="auto"/>
        <w:jc w:val="left"/>
        <w:rPr>
          <w:rFonts w:hint="eastAsia" w:ascii="宋体" w:hAnsi="宋体"/>
          <w:color w:val="auto"/>
          <w:sz w:val="24"/>
          <w:highlight w:val="none"/>
        </w:rPr>
      </w:pPr>
    </w:p>
    <w:p>
      <w:pPr>
        <w:snapToGrid w:val="0"/>
        <w:spacing w:before="50" w:line="360" w:lineRule="auto"/>
        <w:jc w:val="center"/>
        <w:rPr>
          <w:rFonts w:hint="eastAsia" w:ascii="宋体" w:hAnsi="宋体"/>
          <w:b/>
          <w:color w:val="auto"/>
          <w:sz w:val="30"/>
          <w:szCs w:val="30"/>
          <w:highlight w:val="none"/>
        </w:rPr>
      </w:pPr>
      <w:r>
        <w:rPr>
          <w:rFonts w:hint="eastAsia" w:ascii="宋体" w:hAnsi="宋体"/>
          <w:b/>
          <w:color w:val="auto"/>
          <w:sz w:val="30"/>
          <w:szCs w:val="30"/>
          <w:highlight w:val="none"/>
        </w:rPr>
        <w:t>商务响应表</w:t>
      </w:r>
    </w:p>
    <w:p>
      <w:pPr>
        <w:snapToGrid w:val="0"/>
        <w:spacing w:before="50" w:line="360" w:lineRule="auto"/>
        <w:jc w:val="left"/>
        <w:rPr>
          <w:rFonts w:ascii="宋体" w:hAnsi="宋体"/>
          <w:color w:val="auto"/>
          <w:sz w:val="24"/>
          <w:szCs w:val="20"/>
          <w:highlight w:val="none"/>
          <w:u w:val="single"/>
        </w:rPr>
      </w:pPr>
      <w:r>
        <w:rPr>
          <w:rFonts w:hint="eastAsia" w:hAnsi="宋体"/>
          <w:color w:val="auto"/>
          <w:sz w:val="24"/>
          <w:highlight w:val="none"/>
        </w:rPr>
        <w:t>项目编号</w:t>
      </w:r>
      <w:r>
        <w:rPr>
          <w:rFonts w:hint="eastAsia" w:ascii="宋体" w:hAnsi="宋体"/>
          <w:color w:val="auto"/>
          <w:sz w:val="24"/>
          <w:highlight w:val="none"/>
        </w:rPr>
        <w:t>：</w:t>
      </w:r>
      <w:r>
        <w:rPr>
          <w:rFonts w:ascii="宋体" w:hAnsi="宋体"/>
          <w:color w:val="auto"/>
          <w:sz w:val="24"/>
          <w:highlight w:val="none"/>
          <w:u w:val="single"/>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r>
              <w:rPr>
                <w:rFonts w:hint="eastAsia" w:ascii="宋体" w:hAnsi="宋体"/>
                <w:color w:val="auto"/>
                <w:sz w:val="24"/>
                <w:highlight w:val="none"/>
              </w:rPr>
              <w:t>项目</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r>
              <w:rPr>
                <w:rFonts w:hint="eastAsia" w:ascii="宋体" w:hAnsi="宋体"/>
                <w:color w:val="auto"/>
                <w:sz w:val="24"/>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r>
              <w:rPr>
                <w:rFonts w:hint="eastAsia" w:ascii="宋体" w:hAnsi="宋体"/>
                <w:color w:val="auto"/>
                <w:sz w:val="24"/>
                <w:highlight w:val="none"/>
              </w:rPr>
              <w:t>是否响应</w:t>
            </w: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r>
              <w:rPr>
                <w:rFonts w:hint="eastAsia" w:ascii="宋体" w:hAnsi="宋体"/>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r>
              <w:rPr>
                <w:rFonts w:hint="eastAsia" w:ascii="宋体" w:hAnsi="宋体"/>
                <w:color w:val="auto"/>
                <w:sz w:val="24"/>
                <w:highlight w:val="none"/>
              </w:rPr>
              <w:t>质保期</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r>
              <w:rPr>
                <w:rFonts w:hint="eastAsia" w:ascii="宋体" w:hAnsi="宋体"/>
                <w:color w:val="auto"/>
                <w:sz w:val="24"/>
                <w:highlight w:val="none"/>
              </w:rPr>
              <w:t>售后技术服务要求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r>
              <w:rPr>
                <w:rFonts w:hint="eastAsia" w:ascii="宋体" w:hAnsi="宋体"/>
                <w:color w:val="auto"/>
                <w:sz w:val="24"/>
                <w:highlight w:val="none"/>
              </w:rPr>
              <w:t>交货时间及地点</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ind w:left="43"/>
              <w:rPr>
                <w:rFonts w:ascii="宋体" w:hAnsi="宋体"/>
                <w:color w:val="auto"/>
                <w:sz w:val="24"/>
                <w:szCs w:val="2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ind w:left="43"/>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r>
              <w:rPr>
                <w:rFonts w:hint="eastAsia" w:ascii="宋体" w:hAnsi="宋体"/>
                <w:color w:val="auto"/>
                <w:sz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r>
              <w:rPr>
                <w:rFonts w:hint="eastAsia" w:ascii="宋体" w:hAnsi="宋体"/>
                <w:color w:val="auto"/>
                <w:sz w:val="24"/>
                <w:highlight w:val="none"/>
              </w:rPr>
              <w:t>备品备件及耗材等要求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r>
              <w:rPr>
                <w:rFonts w:hint="eastAsia" w:ascii="宋体" w:hAnsi="宋体"/>
                <w:color w:val="auto"/>
                <w:sz w:val="24"/>
                <w:highlight w:val="none"/>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color w:val="auto"/>
                <w:sz w:val="24"/>
                <w:szCs w:val="20"/>
                <w:highlight w:val="none"/>
              </w:rPr>
            </w:pPr>
          </w:p>
        </w:tc>
      </w:tr>
    </w:tbl>
    <w:p>
      <w:pPr>
        <w:snapToGrid w:val="0"/>
        <w:spacing w:before="156" w:beforeLines="50" w:line="360" w:lineRule="auto"/>
        <w:rPr>
          <w:rFonts w:ascii="宋体" w:hAnsi="宋体"/>
          <w:color w:val="auto"/>
          <w:sz w:val="24"/>
          <w:szCs w:val="20"/>
          <w:highlight w:val="none"/>
        </w:rPr>
      </w:pPr>
    </w:p>
    <w:p>
      <w:pPr>
        <w:snapToGrid w:val="0"/>
        <w:spacing w:before="50" w:after="50" w:line="360" w:lineRule="auto"/>
        <w:rPr>
          <w:rFonts w:ascii="宋体" w:hAnsi="宋体"/>
          <w:color w:val="auto"/>
          <w:spacing w:val="20"/>
          <w:sz w:val="24"/>
          <w:szCs w:val="20"/>
          <w:highlight w:val="none"/>
          <w:u w:val="single"/>
        </w:rPr>
      </w:pPr>
    </w:p>
    <w:p>
      <w:pPr>
        <w:snapToGrid w:val="0"/>
        <w:spacing w:before="50" w:after="50" w:line="360" w:lineRule="auto"/>
        <w:rPr>
          <w:rFonts w:ascii="宋体" w:hAnsi="宋体"/>
          <w:color w:val="auto"/>
          <w:sz w:val="24"/>
          <w:szCs w:val="20"/>
          <w:highlight w:val="none"/>
        </w:rPr>
      </w:pPr>
      <w:r>
        <w:rPr>
          <w:rFonts w:hint="eastAsia" w:ascii="宋体" w:hAnsi="宋体"/>
          <w:color w:val="auto"/>
          <w:spacing w:val="20"/>
          <w:sz w:val="24"/>
          <w:highlight w:val="none"/>
        </w:rPr>
        <w:t>投标人：</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（盖章）</w:t>
      </w:r>
      <w:r>
        <w:rPr>
          <w:rFonts w:ascii="宋体" w:hAnsi="宋体"/>
          <w:color w:val="auto"/>
          <w:spacing w:val="20"/>
          <w:sz w:val="24"/>
          <w:highlight w:val="none"/>
          <w:u w:val="single"/>
        </w:rPr>
        <w:t xml:space="preserve">      </w:t>
      </w:r>
      <w:r>
        <w:rPr>
          <w:rFonts w:ascii="宋体" w:hAnsi="宋体"/>
          <w:color w:val="auto"/>
          <w:spacing w:val="20"/>
          <w:sz w:val="24"/>
          <w:highlight w:val="none"/>
        </w:rPr>
        <w:t xml:space="preserve">     </w:t>
      </w: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p>
    <w:p>
      <w:pPr>
        <w:snapToGrid w:val="0"/>
        <w:spacing w:before="50" w:after="156" w:afterLines="50" w:line="360" w:lineRule="auto"/>
        <w:jc w:val="left"/>
        <w:rPr>
          <w:rFonts w:ascii="宋体" w:hAnsi="宋体"/>
          <w:color w:val="auto"/>
          <w:sz w:val="32"/>
          <w:szCs w:val="20"/>
          <w:highlight w:val="none"/>
        </w:rPr>
      </w:pPr>
    </w:p>
    <w:p>
      <w:pPr>
        <w:pStyle w:val="9"/>
        <w:snapToGrid w:val="0"/>
        <w:spacing w:line="360" w:lineRule="auto"/>
        <w:ind w:firstLine="420"/>
        <w:rPr>
          <w:rFonts w:hAnsi="宋体"/>
          <w:color w:val="auto"/>
          <w:highlight w:val="none"/>
        </w:rPr>
      </w:pPr>
    </w:p>
    <w:p>
      <w:pPr>
        <w:pStyle w:val="9"/>
        <w:snapToGrid w:val="0"/>
        <w:spacing w:line="360" w:lineRule="auto"/>
        <w:rPr>
          <w:rFonts w:hAnsi="宋体"/>
          <w:color w:val="auto"/>
          <w:highlight w:val="none"/>
        </w:rPr>
      </w:pPr>
    </w:p>
    <w:p>
      <w:pPr>
        <w:snapToGrid w:val="0"/>
        <w:spacing w:before="50" w:after="156" w:afterLines="50" w:line="360" w:lineRule="auto"/>
        <w:jc w:val="left"/>
        <w:rPr>
          <w:rFonts w:ascii="宋体" w:hAnsi="宋体"/>
          <w:b/>
          <w:color w:val="auto"/>
          <w:sz w:val="24"/>
          <w:szCs w:val="20"/>
          <w:highlight w:val="none"/>
        </w:rPr>
      </w:pPr>
      <w:r>
        <w:rPr>
          <w:rFonts w:ascii="宋体" w:hAnsi="宋体"/>
          <w:color w:val="auto"/>
          <w:sz w:val="30"/>
          <w:highlight w:val="none"/>
        </w:rPr>
        <w:br w:type="page"/>
      </w:r>
      <w:r>
        <w:rPr>
          <w:rFonts w:hint="eastAsia" w:ascii="宋体" w:hAnsi="宋体"/>
          <w:b/>
          <w:color w:val="auto"/>
          <w:sz w:val="24"/>
          <w:highlight w:val="none"/>
        </w:rPr>
        <w:t>10.技术响应表格式</w:t>
      </w:r>
    </w:p>
    <w:p>
      <w:pPr>
        <w:snapToGrid w:val="0"/>
        <w:spacing w:before="50" w:after="156" w:afterLines="50" w:line="360" w:lineRule="auto"/>
        <w:jc w:val="center"/>
        <w:rPr>
          <w:rFonts w:hint="eastAsia" w:ascii="宋体" w:hAnsi="宋体"/>
          <w:b/>
          <w:color w:val="auto"/>
          <w:sz w:val="30"/>
          <w:szCs w:val="30"/>
          <w:highlight w:val="none"/>
        </w:rPr>
      </w:pPr>
      <w:r>
        <w:rPr>
          <w:rFonts w:hint="eastAsia" w:ascii="宋体" w:hAnsi="宋体"/>
          <w:b/>
          <w:color w:val="auto"/>
          <w:sz w:val="30"/>
          <w:szCs w:val="30"/>
          <w:highlight w:val="none"/>
        </w:rPr>
        <w:t>技术响应表</w:t>
      </w:r>
    </w:p>
    <w:p>
      <w:pPr>
        <w:snapToGrid w:val="0"/>
        <w:spacing w:before="50" w:after="156" w:afterLines="50" w:line="360" w:lineRule="auto"/>
        <w:jc w:val="left"/>
        <w:rPr>
          <w:rFonts w:ascii="宋体" w:hAnsi="宋体"/>
          <w:color w:val="auto"/>
          <w:sz w:val="24"/>
          <w:szCs w:val="20"/>
          <w:highlight w:val="none"/>
        </w:rPr>
      </w:pPr>
      <w:r>
        <w:rPr>
          <w:rFonts w:hint="eastAsia" w:hAnsi="宋体"/>
          <w:color w:val="auto"/>
          <w:sz w:val="24"/>
          <w:highlight w:val="none"/>
        </w:rPr>
        <w:t>项目编号</w:t>
      </w:r>
      <w:r>
        <w:rPr>
          <w:rFonts w:hint="eastAsia" w:ascii="宋体" w:hAnsi="宋体"/>
          <w:color w:val="auto"/>
          <w:highlight w:val="none"/>
        </w:rPr>
        <w:t>：</w:t>
      </w:r>
      <w:r>
        <w:rPr>
          <w:rFonts w:ascii="宋体" w:hAnsi="宋体"/>
          <w:color w:val="auto"/>
          <w:highlight w:val="none"/>
          <w:u w:val="single"/>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2528"/>
        <w:gridCol w:w="3960"/>
        <w:gridCol w:w="1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color w:val="auto"/>
                <w:sz w:val="24"/>
                <w:highlight w:val="none"/>
              </w:rPr>
            </w:pPr>
            <w:r>
              <w:rPr>
                <w:rFonts w:hint="eastAsia"/>
                <w:color w:val="auto"/>
                <w:sz w:val="24"/>
                <w:highlight w:val="none"/>
              </w:rPr>
              <w:t>序号</w:t>
            </w:r>
          </w:p>
        </w:tc>
        <w:tc>
          <w:tcPr>
            <w:tcW w:w="2528"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4"/>
                <w:highlight w:val="none"/>
              </w:rPr>
            </w:pPr>
            <w:r>
              <w:rPr>
                <w:color w:val="auto"/>
                <w:sz w:val="24"/>
                <w:highlight w:val="none"/>
              </w:rPr>
              <w:t>招标文件要求</w:t>
            </w:r>
          </w:p>
        </w:tc>
        <w:tc>
          <w:tcPr>
            <w:tcW w:w="3960"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4"/>
                <w:highlight w:val="none"/>
              </w:rPr>
            </w:pPr>
            <w:r>
              <w:rPr>
                <w:color w:val="auto"/>
                <w:sz w:val="24"/>
                <w:highlight w:val="none"/>
              </w:rPr>
              <w:t>投标文件响应</w:t>
            </w:r>
          </w:p>
        </w:tc>
        <w:tc>
          <w:tcPr>
            <w:tcW w:w="1220"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4"/>
                <w:highlight w:val="none"/>
              </w:rPr>
            </w:pPr>
            <w:r>
              <w:rPr>
                <w:color w:val="auto"/>
                <w:sz w:val="24"/>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pPr>
              <w:rPr>
                <w:color w:val="auto"/>
                <w:highlight w:val="none"/>
              </w:rPr>
            </w:pPr>
          </w:p>
        </w:tc>
        <w:tc>
          <w:tcPr>
            <w:tcW w:w="2528" w:type="dxa"/>
            <w:tcBorders>
              <w:top w:val="single" w:color="auto" w:sz="4" w:space="0"/>
              <w:left w:val="single" w:color="auto" w:sz="4" w:space="0"/>
              <w:bottom w:val="single" w:color="auto" w:sz="4" w:space="0"/>
              <w:right w:val="single" w:color="auto" w:sz="4" w:space="0"/>
            </w:tcBorders>
            <w:noWrap w:val="0"/>
            <w:vAlign w:val="center"/>
          </w:tcPr>
          <w:p>
            <w:pPr>
              <w:rPr>
                <w:color w:val="auto"/>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pPr>
              <w:rPr>
                <w:color w:val="auto"/>
                <w:highlight w:val="none"/>
              </w:rPr>
            </w:pPr>
          </w:p>
        </w:tc>
        <w:tc>
          <w:tcPr>
            <w:tcW w:w="2528" w:type="dxa"/>
            <w:tcBorders>
              <w:top w:val="single" w:color="auto" w:sz="4" w:space="0"/>
              <w:left w:val="single" w:color="auto" w:sz="4" w:space="0"/>
              <w:bottom w:val="single" w:color="auto" w:sz="4" w:space="0"/>
              <w:right w:val="single" w:color="auto" w:sz="4" w:space="0"/>
            </w:tcBorders>
            <w:noWrap w:val="0"/>
            <w:vAlign w:val="center"/>
          </w:tcPr>
          <w:p>
            <w:pPr>
              <w:rPr>
                <w:color w:val="auto"/>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rPr>
                <w:rFonts w:hAnsi="宋体"/>
                <w:color w:val="auto"/>
                <w:kern w:val="2"/>
                <w:highlight w:val="none"/>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rPr>
                <w:rFonts w:hAnsi="宋体"/>
                <w:color w:val="auto"/>
                <w:kern w:val="2"/>
                <w:highlight w:val="none"/>
              </w:rPr>
            </w:pPr>
            <w:bookmarkStart w:id="46" w:name="_Toc27465"/>
            <w:r>
              <w:rPr>
                <w:rFonts w:hAnsi="宋体"/>
                <w:color w:val="auto"/>
                <w:kern w:val="2"/>
                <w:szCs w:val="21"/>
                <w:highlight w:val="none"/>
              </w:rPr>
              <w:t>...</w:t>
            </w:r>
            <w:bookmarkEnd w:id="46"/>
          </w:p>
        </w:tc>
        <w:tc>
          <w:tcPr>
            <w:tcW w:w="3960"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rPr>
                <w:rFonts w:hAnsi="宋体"/>
                <w:color w:val="auto"/>
                <w:kern w:val="2"/>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rPr>
                <w:rFonts w:hAnsi="宋体"/>
                <w:color w:val="auto"/>
                <w:kern w:val="2"/>
                <w:highlight w:val="none"/>
              </w:rPr>
            </w:pPr>
          </w:p>
        </w:tc>
      </w:tr>
    </w:tbl>
    <w:p>
      <w:pPr>
        <w:pStyle w:val="7"/>
        <w:spacing w:line="360" w:lineRule="auto"/>
        <w:rPr>
          <w:rFonts w:hint="eastAsia" w:ascii="宋体" w:eastAsia="宋体"/>
          <w:color w:val="auto"/>
          <w:highlight w:val="none"/>
        </w:rPr>
      </w:pPr>
      <w:r>
        <w:rPr>
          <w:rFonts w:hint="eastAsia" w:ascii="宋体" w:eastAsia="宋体"/>
          <w:color w:val="auto"/>
          <w:highlight w:val="none"/>
        </w:rPr>
        <w:t>注：</w:t>
      </w:r>
    </w:p>
    <w:p>
      <w:pPr>
        <w:pStyle w:val="7"/>
        <w:numPr>
          <w:ilvl w:val="1"/>
          <w:numId w:val="3"/>
        </w:numPr>
        <w:tabs>
          <w:tab w:val="left" w:pos="540"/>
          <w:tab w:val="clear" w:pos="1440"/>
        </w:tabs>
        <w:spacing w:line="360" w:lineRule="auto"/>
        <w:ind w:left="540" w:hanging="540"/>
        <w:rPr>
          <w:rFonts w:hint="eastAsia" w:ascii="宋体" w:eastAsia="宋体"/>
          <w:color w:val="auto"/>
          <w:highlight w:val="none"/>
        </w:rPr>
      </w:pPr>
      <w:r>
        <w:rPr>
          <w:rFonts w:hint="eastAsia" w:ascii="宋体" w:eastAsia="宋体"/>
          <w:color w:val="auto"/>
          <w:highlight w:val="none"/>
        </w:rPr>
        <w:t>投标人应根据投标设备的性能指标、对照招标文件要求一一对应如实填写技术响应表，在“偏离情况”栏注明“正偏离”、“负偏离”或“无偏离”。未按要求填写的，有可能作负偏离处理。</w:t>
      </w:r>
    </w:p>
    <w:p>
      <w:pPr>
        <w:snapToGrid w:val="0"/>
        <w:spacing w:before="50" w:after="50" w:line="360" w:lineRule="auto"/>
        <w:rPr>
          <w:rFonts w:hint="eastAsia" w:ascii="宋体" w:hAnsi="宋体"/>
          <w:b/>
          <w:bCs/>
          <w:color w:val="auto"/>
          <w:sz w:val="24"/>
          <w:szCs w:val="20"/>
          <w:highlight w:val="none"/>
        </w:rPr>
      </w:pPr>
    </w:p>
    <w:p>
      <w:pPr>
        <w:snapToGrid w:val="0"/>
        <w:spacing w:before="50" w:after="50" w:line="360" w:lineRule="auto"/>
        <w:rPr>
          <w:rFonts w:hint="eastAsia" w:ascii="宋体" w:hAnsi="宋体"/>
          <w:b/>
          <w:bCs/>
          <w:color w:val="auto"/>
          <w:sz w:val="24"/>
          <w:szCs w:val="20"/>
          <w:highlight w:val="none"/>
        </w:rPr>
      </w:pPr>
    </w:p>
    <w:p>
      <w:pPr>
        <w:snapToGrid w:val="0"/>
        <w:spacing w:before="50" w:after="156" w:afterLines="50" w:line="360" w:lineRule="auto"/>
        <w:ind w:firstLine="420" w:firstLineChars="150"/>
        <w:jc w:val="left"/>
        <w:rPr>
          <w:rFonts w:ascii="宋体" w:hAnsi="宋体"/>
          <w:color w:val="auto"/>
          <w:sz w:val="24"/>
          <w:highlight w:val="none"/>
        </w:rPr>
      </w:pPr>
      <w:r>
        <w:rPr>
          <w:rFonts w:hint="eastAsia" w:ascii="宋体" w:hAnsi="宋体"/>
          <w:color w:val="auto"/>
          <w:spacing w:val="20"/>
          <w:sz w:val="24"/>
          <w:highlight w:val="none"/>
        </w:rPr>
        <w:t>投标人：</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（盖章）</w:t>
      </w:r>
      <w:r>
        <w:rPr>
          <w:rFonts w:ascii="宋体" w:hAnsi="宋体"/>
          <w:color w:val="auto"/>
          <w:spacing w:val="20"/>
          <w:sz w:val="24"/>
          <w:highlight w:val="none"/>
          <w:u w:val="single"/>
        </w:rPr>
        <w:t xml:space="preserve">      </w:t>
      </w:r>
      <w:r>
        <w:rPr>
          <w:rFonts w:ascii="宋体" w:hAnsi="宋体"/>
          <w:color w:val="auto"/>
          <w:spacing w:val="20"/>
          <w:sz w:val="24"/>
          <w:highlight w:val="none"/>
        </w:rPr>
        <w:t xml:space="preserve">     </w:t>
      </w: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p>
    <w:p>
      <w:pPr>
        <w:snapToGrid w:val="0"/>
        <w:spacing w:before="50" w:after="156" w:afterLines="50" w:line="360" w:lineRule="auto"/>
        <w:jc w:val="left"/>
        <w:rPr>
          <w:rFonts w:ascii="宋体" w:hAnsi="宋体"/>
          <w:b/>
          <w:color w:val="auto"/>
          <w:sz w:val="24"/>
          <w:szCs w:val="20"/>
          <w:highlight w:val="none"/>
        </w:rPr>
      </w:pPr>
      <w:r>
        <w:rPr>
          <w:color w:val="auto"/>
          <w:highlight w:val="none"/>
        </w:rPr>
        <w:br w:type="page"/>
      </w:r>
      <w:r>
        <w:rPr>
          <w:rFonts w:hint="eastAsia" w:ascii="宋体" w:hAnsi="宋体"/>
          <w:b/>
          <w:color w:val="auto"/>
          <w:sz w:val="24"/>
          <w:highlight w:val="none"/>
        </w:rPr>
        <w:t>11.设备配置清单格式</w:t>
      </w:r>
    </w:p>
    <w:p>
      <w:pPr>
        <w:tabs>
          <w:tab w:val="left" w:pos="1418"/>
        </w:tabs>
        <w:snapToGrid w:val="0"/>
        <w:spacing w:before="50" w:after="50" w:line="360" w:lineRule="auto"/>
        <w:jc w:val="center"/>
        <w:rPr>
          <w:rFonts w:hint="eastAsia" w:ascii="宋体" w:hAnsi="宋体"/>
          <w:b/>
          <w:color w:val="auto"/>
          <w:sz w:val="30"/>
          <w:szCs w:val="30"/>
          <w:highlight w:val="none"/>
        </w:rPr>
      </w:pPr>
      <w:r>
        <w:rPr>
          <w:rFonts w:hint="eastAsia" w:ascii="宋体" w:hAnsi="宋体"/>
          <w:b/>
          <w:color w:val="auto"/>
          <w:sz w:val="30"/>
          <w:szCs w:val="30"/>
          <w:highlight w:val="none"/>
        </w:rPr>
        <w:t>设备配置清单格</w:t>
      </w:r>
    </w:p>
    <w:p>
      <w:pPr>
        <w:tabs>
          <w:tab w:val="left" w:pos="1418"/>
        </w:tabs>
        <w:snapToGrid w:val="0"/>
        <w:spacing w:before="50" w:after="50" w:line="360" w:lineRule="auto"/>
        <w:rPr>
          <w:rFonts w:ascii="宋体" w:hAnsi="宋体"/>
          <w:color w:val="auto"/>
          <w:sz w:val="24"/>
          <w:szCs w:val="28"/>
          <w:highlight w:val="none"/>
        </w:rPr>
      </w:pPr>
      <w:r>
        <w:rPr>
          <w:rFonts w:hint="eastAsia" w:hAnsi="宋体"/>
          <w:color w:val="auto"/>
          <w:sz w:val="24"/>
          <w:highlight w:val="none"/>
        </w:rPr>
        <w:t>项目编号</w:t>
      </w:r>
      <w:r>
        <w:rPr>
          <w:rFonts w:hint="eastAsia" w:ascii="宋体" w:hAnsi="宋体"/>
          <w:color w:val="auto"/>
          <w:highlight w:val="none"/>
        </w:rPr>
        <w:t>：</w:t>
      </w:r>
      <w:r>
        <w:rPr>
          <w:rFonts w:ascii="宋体" w:hAnsi="宋体"/>
          <w:color w:val="auto"/>
          <w:highlight w:val="none"/>
          <w:u w:val="singl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r>
              <w:rPr>
                <w:rFonts w:hint="eastAsia" w:ascii="宋体" w:hAnsi="宋体"/>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r>
              <w:rPr>
                <w:rFonts w:hint="eastAsia" w:ascii="宋体" w:hAnsi="宋体"/>
                <w:color w:val="auto"/>
                <w:sz w:val="24"/>
                <w:highlight w:val="none"/>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r>
              <w:rPr>
                <w:rFonts w:hint="eastAsia" w:ascii="宋体" w:hAnsi="宋体"/>
                <w:color w:val="auto"/>
                <w:sz w:val="24"/>
                <w:highlight w:val="none"/>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r>
              <w:rPr>
                <w:rFonts w:hint="eastAsia" w:ascii="宋体" w:hAnsi="宋体"/>
                <w:color w:val="auto"/>
                <w:sz w:val="24"/>
                <w:highlight w:val="none"/>
              </w:rPr>
              <w:t>规格型号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r>
              <w:rPr>
                <w:rFonts w:hint="eastAsia" w:ascii="宋体" w:hAnsi="宋体"/>
                <w:color w:val="auto"/>
                <w:sz w:val="24"/>
                <w:highlight w:val="none"/>
              </w:rPr>
              <w:t>单位及数量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r>
              <w:rPr>
                <w:rFonts w:hint="eastAsia" w:ascii="宋体" w:hAnsi="宋体"/>
                <w:color w:val="auto"/>
                <w:sz w:val="24"/>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r>
              <w:rPr>
                <w:rFonts w:hint="eastAsia" w:ascii="宋体" w:hAnsi="宋体"/>
                <w:color w:val="auto"/>
                <w:sz w:val="24"/>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p>
            <w:pPr>
              <w:snapToGrid w:val="0"/>
              <w:spacing w:before="50" w:after="50" w:line="360" w:lineRule="auto"/>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1080" w:type="dxa"/>
            <w:tcBorders>
              <w:top w:val="single" w:color="auto" w:sz="4" w:space="0"/>
              <w:left w:val="single" w:color="auto" w:sz="4" w:space="0"/>
              <w:bottom w:val="nil"/>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ind w:left="480" w:hanging="48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0"/>
                <w:highlight w:val="none"/>
              </w:rPr>
            </w:pPr>
          </w:p>
        </w:tc>
      </w:tr>
    </w:tbl>
    <w:p>
      <w:pPr>
        <w:snapToGrid w:val="0"/>
        <w:spacing w:before="50" w:after="50" w:line="360" w:lineRule="auto"/>
        <w:rPr>
          <w:rFonts w:ascii="宋体" w:hAnsi="宋体"/>
          <w:color w:val="auto"/>
          <w:spacing w:val="20"/>
          <w:sz w:val="24"/>
          <w:szCs w:val="20"/>
          <w:highlight w:val="none"/>
          <w:u w:val="single"/>
        </w:rPr>
      </w:pPr>
    </w:p>
    <w:p>
      <w:pPr>
        <w:snapToGrid w:val="0"/>
        <w:spacing w:before="50" w:after="50" w:line="360" w:lineRule="auto"/>
        <w:rPr>
          <w:rFonts w:ascii="宋体" w:hAnsi="宋体"/>
          <w:color w:val="auto"/>
          <w:sz w:val="24"/>
          <w:szCs w:val="20"/>
          <w:highlight w:val="none"/>
        </w:rPr>
      </w:pPr>
      <w:r>
        <w:rPr>
          <w:rFonts w:hint="eastAsia" w:ascii="宋体" w:hAnsi="宋体"/>
          <w:color w:val="auto"/>
          <w:spacing w:val="20"/>
          <w:sz w:val="24"/>
          <w:highlight w:val="none"/>
        </w:rPr>
        <w:t>投标人：</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（盖章）</w:t>
      </w:r>
      <w:r>
        <w:rPr>
          <w:rFonts w:ascii="宋体" w:hAnsi="宋体"/>
          <w:color w:val="auto"/>
          <w:spacing w:val="20"/>
          <w:sz w:val="24"/>
          <w:highlight w:val="none"/>
          <w:u w:val="single"/>
        </w:rPr>
        <w:t xml:space="preserve">      </w:t>
      </w:r>
      <w:r>
        <w:rPr>
          <w:rFonts w:ascii="宋体" w:hAnsi="宋体"/>
          <w:color w:val="auto"/>
          <w:spacing w:val="20"/>
          <w:sz w:val="24"/>
          <w:highlight w:val="none"/>
        </w:rPr>
        <w:t xml:space="preserve">     </w:t>
      </w: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p>
    <w:p>
      <w:pPr>
        <w:snapToGrid w:val="0"/>
        <w:spacing w:before="50" w:after="156" w:afterLines="50" w:line="360" w:lineRule="auto"/>
        <w:jc w:val="left"/>
        <w:rPr>
          <w:rFonts w:ascii="宋体" w:hAnsi="宋体"/>
          <w:color w:val="auto"/>
          <w:sz w:val="24"/>
          <w:szCs w:val="20"/>
          <w:highlight w:val="none"/>
        </w:rPr>
      </w:pPr>
    </w:p>
    <w:p>
      <w:pPr>
        <w:snapToGrid w:val="0"/>
        <w:spacing w:before="50" w:after="156" w:afterLines="50" w:line="360" w:lineRule="auto"/>
        <w:jc w:val="left"/>
        <w:rPr>
          <w:rFonts w:ascii="宋体" w:hAnsi="宋体"/>
          <w:color w:val="auto"/>
          <w:sz w:val="24"/>
          <w:szCs w:val="20"/>
          <w:highlight w:val="none"/>
        </w:rPr>
      </w:pPr>
    </w:p>
    <w:p>
      <w:pPr>
        <w:snapToGrid w:val="0"/>
        <w:spacing w:before="50" w:after="156" w:afterLines="50" w:line="360" w:lineRule="auto"/>
        <w:jc w:val="left"/>
        <w:rPr>
          <w:rFonts w:ascii="宋体" w:hAnsi="宋体"/>
          <w:color w:val="auto"/>
          <w:sz w:val="24"/>
          <w:szCs w:val="20"/>
          <w:highlight w:val="none"/>
        </w:rPr>
      </w:pPr>
    </w:p>
    <w:p>
      <w:pPr>
        <w:snapToGrid w:val="0"/>
        <w:spacing w:before="50" w:after="156" w:afterLines="50" w:line="360" w:lineRule="auto"/>
        <w:jc w:val="left"/>
        <w:rPr>
          <w:rFonts w:ascii="宋体" w:hAnsi="宋体"/>
          <w:color w:val="auto"/>
          <w:sz w:val="24"/>
          <w:szCs w:val="20"/>
          <w:highlight w:val="none"/>
        </w:rPr>
      </w:pPr>
    </w:p>
    <w:p>
      <w:pPr>
        <w:pStyle w:val="9"/>
        <w:snapToGrid w:val="0"/>
        <w:spacing w:before="295" w:beforeLines="0" w:after="295" w:afterLines="0" w:line="360" w:lineRule="auto"/>
        <w:rPr>
          <w:rFonts w:hAnsi="宋体"/>
          <w:color w:val="auto"/>
          <w:highlight w:val="none"/>
        </w:rPr>
      </w:pPr>
    </w:p>
    <w:p>
      <w:pPr>
        <w:snapToGrid w:val="0"/>
        <w:spacing w:before="50" w:after="156" w:afterLines="50" w:line="360" w:lineRule="auto"/>
        <w:jc w:val="left"/>
        <w:rPr>
          <w:rFonts w:ascii="宋体" w:hAnsi="宋体"/>
          <w:b/>
          <w:color w:val="auto"/>
          <w:sz w:val="24"/>
          <w:szCs w:val="20"/>
          <w:highlight w:val="none"/>
        </w:rPr>
      </w:pPr>
      <w:r>
        <w:rPr>
          <w:rFonts w:ascii="宋体" w:hAnsi="宋体"/>
          <w:color w:val="auto"/>
          <w:highlight w:val="none"/>
        </w:rPr>
        <w:br w:type="page"/>
      </w:r>
      <w:r>
        <w:rPr>
          <w:rFonts w:hint="eastAsia" w:ascii="宋体" w:hAnsi="宋体"/>
          <w:b/>
          <w:color w:val="auto"/>
          <w:sz w:val="24"/>
          <w:highlight w:val="none"/>
        </w:rPr>
        <w:t>12.项目实施人员一览表格式</w:t>
      </w:r>
    </w:p>
    <w:p>
      <w:pPr>
        <w:snapToGrid w:val="0"/>
        <w:spacing w:before="156" w:beforeLines="50" w:after="50" w:line="360" w:lineRule="auto"/>
        <w:jc w:val="center"/>
        <w:rPr>
          <w:rFonts w:ascii="宋体" w:hAnsi="宋体"/>
          <w:b/>
          <w:color w:val="auto"/>
          <w:sz w:val="30"/>
          <w:szCs w:val="30"/>
          <w:highlight w:val="none"/>
        </w:rPr>
      </w:pPr>
      <w:r>
        <w:rPr>
          <w:rFonts w:hint="eastAsia" w:ascii="宋体" w:hAnsi="宋体"/>
          <w:b/>
          <w:color w:val="auto"/>
          <w:sz w:val="30"/>
          <w:szCs w:val="30"/>
          <w:highlight w:val="none"/>
        </w:rPr>
        <w:t>项目实施人员一览表</w:t>
      </w:r>
    </w:p>
    <w:p>
      <w:pPr>
        <w:snapToGrid w:val="0"/>
        <w:spacing w:before="156" w:beforeLines="50" w:after="50" w:line="360" w:lineRule="auto"/>
        <w:rPr>
          <w:rFonts w:ascii="宋体" w:hAnsi="宋体"/>
          <w:color w:val="auto"/>
          <w:sz w:val="24"/>
          <w:szCs w:val="20"/>
          <w:highlight w:val="none"/>
        </w:rPr>
      </w:pPr>
      <w:r>
        <w:rPr>
          <w:rFonts w:hint="eastAsia" w:hAnsi="宋体"/>
          <w:color w:val="auto"/>
          <w:sz w:val="24"/>
          <w:highlight w:val="none"/>
        </w:rPr>
        <w:t>项目编号</w:t>
      </w:r>
      <w:r>
        <w:rPr>
          <w:rFonts w:hint="eastAsia" w:ascii="宋体" w:hAnsi="宋体"/>
          <w:color w:val="auto"/>
          <w:highlight w:val="none"/>
        </w:rPr>
        <w:t>：</w:t>
      </w:r>
      <w:r>
        <w:rPr>
          <w:rFonts w:ascii="宋体" w:hAnsi="宋体"/>
          <w:color w:val="auto"/>
          <w:highlight w:val="none"/>
          <w:u w:val="single"/>
        </w:rPr>
        <w:t xml:space="preserve">              </w:t>
      </w:r>
    </w:p>
    <w:tbl>
      <w:tblPr>
        <w:tblStyle w:val="15"/>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line="360" w:lineRule="auto"/>
              <w:rPr>
                <w:rFonts w:ascii="宋体" w:hAnsi="宋体"/>
                <w:color w:val="auto"/>
                <w:sz w:val="24"/>
                <w:szCs w:val="20"/>
                <w:highlight w:val="none"/>
              </w:rPr>
            </w:pPr>
            <w:r>
              <w:rPr>
                <w:rFonts w:hint="eastAsia" w:ascii="宋体" w:hAnsi="宋体"/>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line="360" w:lineRule="auto"/>
              <w:rPr>
                <w:rFonts w:ascii="宋体" w:hAnsi="宋体"/>
                <w:color w:val="auto"/>
                <w:sz w:val="24"/>
                <w:szCs w:val="20"/>
                <w:highlight w:val="none"/>
              </w:rPr>
            </w:pPr>
            <w:r>
              <w:rPr>
                <w:rFonts w:hint="eastAsia" w:ascii="宋体" w:hAnsi="宋体"/>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line="360" w:lineRule="auto"/>
              <w:jc w:val="center"/>
              <w:rPr>
                <w:rFonts w:ascii="宋体" w:hAnsi="宋体"/>
                <w:color w:val="auto"/>
                <w:sz w:val="24"/>
                <w:szCs w:val="20"/>
                <w:highlight w:val="none"/>
              </w:rPr>
            </w:pPr>
            <w:r>
              <w:rPr>
                <w:rFonts w:hint="eastAsia" w:ascii="宋体" w:hAnsi="宋体"/>
                <w:color w:val="auto"/>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line="360" w:lineRule="auto"/>
              <w:rPr>
                <w:rFonts w:ascii="宋体" w:hAnsi="宋体"/>
                <w:color w:val="auto"/>
                <w:sz w:val="24"/>
                <w:szCs w:val="20"/>
                <w:highlight w:val="none"/>
              </w:rPr>
            </w:pPr>
            <w:r>
              <w:rPr>
                <w:rFonts w:hint="eastAsia" w:ascii="宋体" w:hAnsi="宋体"/>
                <w:color w:val="auto"/>
                <w:sz w:val="24"/>
                <w:highlight w:val="none"/>
              </w:rPr>
              <w:t>证书编号</w:t>
            </w:r>
          </w:p>
        </w:tc>
        <w:tc>
          <w:tcPr>
            <w:tcW w:w="1620"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line="360" w:lineRule="auto"/>
              <w:rPr>
                <w:rFonts w:ascii="宋体" w:hAnsi="宋体"/>
                <w:bCs/>
                <w:color w:val="auto"/>
                <w:sz w:val="24"/>
                <w:szCs w:val="20"/>
                <w:highlight w:val="none"/>
              </w:rPr>
            </w:pPr>
            <w:r>
              <w:rPr>
                <w:rFonts w:hint="eastAsia" w:ascii="宋体" w:hAnsi="宋体"/>
                <w:bCs/>
                <w:color w:val="auto"/>
                <w:sz w:val="24"/>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bCs/>
                <w:color w:val="auto"/>
                <w:sz w:val="24"/>
                <w:szCs w:val="20"/>
                <w:highlight w:val="none"/>
              </w:rPr>
            </w:pPr>
            <w:r>
              <w:rPr>
                <w:rFonts w:hint="eastAsia" w:ascii="宋体" w:hAnsi="宋体"/>
                <w:bCs/>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156" w:beforeLines="50" w:after="50" w:line="360" w:lineRule="auto"/>
              <w:ind w:left="5250"/>
              <w:rPr>
                <w:rFonts w:ascii="宋体" w:hAnsi="宋体" w:eastAsia="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auto"/>
                <w:sz w:val="24"/>
                <w:szCs w:val="20"/>
                <w:highlight w:val="none"/>
              </w:rPr>
            </w:pPr>
          </w:p>
        </w:tc>
      </w:tr>
    </w:tbl>
    <w:p>
      <w:pPr>
        <w:snapToGrid w:val="0"/>
        <w:spacing w:before="50" w:after="156" w:afterLines="50" w:line="360" w:lineRule="auto"/>
        <w:jc w:val="left"/>
        <w:rPr>
          <w:rFonts w:ascii="宋体" w:hAnsi="宋体"/>
          <w:color w:val="auto"/>
          <w:sz w:val="24"/>
          <w:szCs w:val="20"/>
          <w:highlight w:val="none"/>
        </w:rPr>
      </w:pPr>
      <w:r>
        <w:rPr>
          <w:rFonts w:hint="eastAsia" w:ascii="宋体" w:hAnsi="宋体"/>
          <w:color w:val="auto"/>
          <w:sz w:val="24"/>
          <w:highlight w:val="none"/>
        </w:rPr>
        <w:t>注：在填写时，如本表格不适合投标单位的实际情况，可根据本表格式自行划表填写。</w:t>
      </w:r>
    </w:p>
    <w:p>
      <w:pPr>
        <w:snapToGrid w:val="0"/>
        <w:spacing w:before="50" w:after="50" w:line="360" w:lineRule="auto"/>
        <w:rPr>
          <w:rFonts w:ascii="宋体" w:hAnsi="宋体"/>
          <w:color w:val="auto"/>
          <w:spacing w:val="20"/>
          <w:sz w:val="24"/>
          <w:szCs w:val="20"/>
          <w:highlight w:val="none"/>
          <w:u w:val="single"/>
        </w:rPr>
      </w:pPr>
    </w:p>
    <w:p>
      <w:pPr>
        <w:snapToGrid w:val="0"/>
        <w:spacing w:before="50" w:after="156" w:afterLines="50"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投标人：</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（盖章）</w:t>
      </w:r>
      <w:r>
        <w:rPr>
          <w:rFonts w:ascii="宋体" w:hAnsi="宋体"/>
          <w:color w:val="auto"/>
          <w:spacing w:val="20"/>
          <w:sz w:val="24"/>
          <w:highlight w:val="none"/>
          <w:u w:val="single"/>
        </w:rPr>
        <w:t xml:space="preserve">      </w:t>
      </w:r>
      <w:r>
        <w:rPr>
          <w:rFonts w:ascii="宋体" w:hAnsi="宋体"/>
          <w:color w:val="auto"/>
          <w:spacing w:val="20"/>
          <w:sz w:val="24"/>
          <w:highlight w:val="none"/>
        </w:rPr>
        <w:t xml:space="preserve">     </w:t>
      </w: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p>
    <w:p>
      <w:pPr>
        <w:snapToGrid w:val="0"/>
        <w:spacing w:before="50" w:after="156" w:afterLines="50" w:line="360" w:lineRule="auto"/>
        <w:jc w:val="left"/>
        <w:rPr>
          <w:rFonts w:ascii="宋体" w:hAnsi="宋体"/>
          <w:b/>
          <w:color w:val="auto"/>
          <w:sz w:val="24"/>
          <w:szCs w:val="20"/>
          <w:highlight w:val="none"/>
        </w:rPr>
      </w:pPr>
      <w:r>
        <w:rPr>
          <w:rFonts w:ascii="宋体" w:hAnsi="宋体"/>
          <w:color w:val="auto"/>
          <w:spacing w:val="20"/>
          <w:sz w:val="24"/>
          <w:highlight w:val="none"/>
          <w:u w:val="single"/>
        </w:rPr>
        <w:br w:type="page"/>
      </w:r>
      <w:r>
        <w:rPr>
          <w:rFonts w:hint="eastAsia" w:ascii="宋体" w:hAnsi="宋体"/>
          <w:b/>
          <w:color w:val="auto"/>
          <w:sz w:val="24"/>
          <w:highlight w:val="none"/>
        </w:rPr>
        <w:t>13.选配件、专用耗材、售后服务优惠表格式</w:t>
      </w:r>
    </w:p>
    <w:p>
      <w:pPr>
        <w:tabs>
          <w:tab w:val="left" w:pos="315"/>
        </w:tabs>
        <w:snapToGrid w:val="0"/>
        <w:spacing w:before="50" w:after="50" w:line="360" w:lineRule="auto"/>
        <w:jc w:val="center"/>
        <w:rPr>
          <w:rFonts w:hint="eastAsia" w:ascii="宋体" w:hAnsi="宋体"/>
          <w:b/>
          <w:color w:val="auto"/>
          <w:sz w:val="30"/>
          <w:szCs w:val="30"/>
          <w:highlight w:val="none"/>
        </w:rPr>
      </w:pPr>
      <w:r>
        <w:rPr>
          <w:rFonts w:hint="eastAsia" w:ascii="宋体" w:hAnsi="宋体"/>
          <w:b/>
          <w:color w:val="auto"/>
          <w:sz w:val="30"/>
          <w:szCs w:val="30"/>
          <w:highlight w:val="none"/>
        </w:rPr>
        <w:t>选配件、专用耗材、售后服务优惠表</w:t>
      </w:r>
    </w:p>
    <w:p>
      <w:pPr>
        <w:tabs>
          <w:tab w:val="left" w:pos="315"/>
        </w:tabs>
        <w:snapToGrid w:val="0"/>
        <w:spacing w:before="50" w:after="50" w:line="360" w:lineRule="auto"/>
        <w:rPr>
          <w:rFonts w:ascii="宋体" w:hAnsi="宋体"/>
          <w:color w:val="auto"/>
          <w:spacing w:val="20"/>
          <w:sz w:val="24"/>
          <w:szCs w:val="20"/>
          <w:highlight w:val="none"/>
        </w:rPr>
      </w:pPr>
      <w:r>
        <w:rPr>
          <w:rFonts w:hint="eastAsia" w:hAnsi="宋体"/>
          <w:color w:val="auto"/>
          <w:sz w:val="24"/>
          <w:highlight w:val="none"/>
        </w:rPr>
        <w:t>项目编号</w:t>
      </w:r>
      <w:r>
        <w:rPr>
          <w:rFonts w:hint="eastAsia" w:ascii="宋体" w:hAnsi="宋体"/>
          <w:color w:val="auto"/>
          <w:sz w:val="24"/>
          <w:highlight w:val="none"/>
        </w:rPr>
        <w:t>：</w:t>
      </w:r>
      <w:r>
        <w:rPr>
          <w:rFonts w:ascii="宋体" w:hAnsi="宋体"/>
          <w:color w:val="auto"/>
          <w:sz w:val="24"/>
          <w:highlight w:val="none"/>
          <w:u w:val="single"/>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9"/>
              <w:snapToGrid w:val="0"/>
              <w:spacing w:before="295" w:beforeLines="0" w:after="295" w:afterLines="0" w:line="360" w:lineRule="auto"/>
              <w:jc w:val="center"/>
              <w:rPr>
                <w:rFonts w:hAnsi="宋体"/>
                <w:color w:val="auto"/>
                <w:kern w:val="2"/>
                <w:szCs w:val="21"/>
                <w:highlight w:val="none"/>
              </w:rPr>
            </w:pPr>
            <w:r>
              <w:rPr>
                <w:rFonts w:hAnsi="宋体"/>
                <w:color w:val="auto"/>
                <w:kern w:val="2"/>
                <w:szCs w:val="21"/>
                <w:highlight w:val="none"/>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r>
              <w:rPr>
                <w:rFonts w:hAnsi="宋体"/>
                <w:color w:val="auto"/>
                <w:kern w:val="2"/>
                <w:szCs w:val="21"/>
                <w:highlight w:val="none"/>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r>
              <w:rPr>
                <w:rFonts w:hAnsi="宋体"/>
                <w:color w:val="auto"/>
                <w:kern w:val="2"/>
                <w:szCs w:val="21"/>
                <w:highlight w:val="none"/>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pPr>
              <w:pStyle w:val="9"/>
              <w:snapToGrid w:val="0"/>
              <w:spacing w:before="295" w:beforeLines="0" w:after="295" w:afterLines="0" w:line="360" w:lineRule="auto"/>
              <w:jc w:val="center"/>
              <w:rPr>
                <w:rFonts w:hAnsi="宋体"/>
                <w:color w:val="auto"/>
                <w:kern w:val="2"/>
                <w:szCs w:val="21"/>
                <w:highlight w:val="none"/>
              </w:rPr>
            </w:pPr>
            <w:r>
              <w:rPr>
                <w:rFonts w:hAnsi="宋体"/>
                <w:color w:val="auto"/>
                <w:kern w:val="2"/>
                <w:szCs w:val="21"/>
                <w:highlight w:val="none"/>
              </w:rPr>
              <w:t>单价</w:t>
            </w:r>
          </w:p>
        </w:tc>
        <w:tc>
          <w:tcPr>
            <w:tcW w:w="2340" w:type="dxa"/>
            <w:tcBorders>
              <w:top w:val="single" w:color="auto" w:sz="4" w:space="0"/>
              <w:left w:val="single" w:color="auto" w:sz="4" w:space="0"/>
              <w:bottom w:val="single" w:color="auto" w:sz="2" w:space="0"/>
              <w:right w:val="single" w:color="auto" w:sz="4"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r>
              <w:rPr>
                <w:rFonts w:hAnsi="宋体"/>
                <w:color w:val="auto"/>
                <w:kern w:val="2"/>
                <w:szCs w:val="21"/>
                <w:highlight w:val="none"/>
              </w:rPr>
              <w:t>比投标报价优惠率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9"/>
              <w:snapToGrid w:val="0"/>
              <w:spacing w:before="295" w:beforeLines="0" w:after="295" w:afterLines="0" w:line="360" w:lineRule="auto"/>
              <w:jc w:val="center"/>
              <w:rPr>
                <w:rFonts w:hAnsi="宋体"/>
                <w:color w:val="auto"/>
                <w:kern w:val="2"/>
                <w:szCs w:val="21"/>
                <w:highlight w:val="none"/>
              </w:rPr>
            </w:pPr>
            <w:r>
              <w:rPr>
                <w:rFonts w:hAnsi="宋体"/>
                <w:color w:val="auto"/>
                <w:kern w:val="2"/>
                <w:szCs w:val="21"/>
                <w:highlight w:val="none"/>
              </w:rPr>
              <w:t>1</w:t>
            </w:r>
          </w:p>
        </w:tc>
        <w:tc>
          <w:tcPr>
            <w:tcW w:w="2700" w:type="dxa"/>
            <w:tcBorders>
              <w:top w:val="single" w:color="auto" w:sz="2" w:space="0"/>
              <w:left w:val="single" w:color="auto" w:sz="2" w:space="0"/>
              <w:bottom w:val="single" w:color="auto" w:sz="6" w:space="0"/>
              <w:right w:val="single" w:color="auto" w:sz="4"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2340" w:type="dxa"/>
            <w:tcBorders>
              <w:top w:val="single" w:color="auto" w:sz="2" w:space="0"/>
              <w:left w:val="single" w:color="auto" w:sz="6" w:space="0"/>
              <w:bottom w:val="single" w:color="auto" w:sz="6" w:space="0"/>
              <w:right w:val="single" w:color="auto" w:sz="2" w:space="0"/>
            </w:tcBorders>
            <w:noWrap w:val="0"/>
            <w:vAlign w:val="center"/>
          </w:tcPr>
          <w:p>
            <w:pPr>
              <w:pStyle w:val="9"/>
              <w:snapToGrid w:val="0"/>
              <w:spacing w:before="295" w:beforeLines="0" w:after="295" w:afterLines="0" w:line="360" w:lineRule="auto"/>
              <w:jc w:val="center"/>
              <w:rPr>
                <w:rFonts w:hAnsi="宋体"/>
                <w:color w:val="auto"/>
                <w:kern w:val="2"/>
                <w:sz w:val="32"/>
                <w:szCs w:val="21"/>
                <w:highlight w:val="none"/>
              </w:rPr>
            </w:pPr>
            <w:r>
              <w:rPr>
                <w:rFonts w:hAnsi="宋体"/>
                <w:color w:val="auto"/>
                <w:kern w:val="2"/>
                <w:szCs w:val="21"/>
                <w:highlight w:val="none"/>
                <w:u w:val="single"/>
              </w:rPr>
              <w:t xml:space="preserve">            </w:t>
            </w:r>
            <w:r>
              <w:rPr>
                <w:rFonts w:hAnsi="宋体"/>
                <w:color w:val="auto"/>
                <w:kern w:val="2"/>
                <w:sz w:val="32"/>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9"/>
              <w:snapToGrid w:val="0"/>
              <w:spacing w:before="295" w:beforeLines="0" w:after="295" w:afterLines="0" w:line="360" w:lineRule="auto"/>
              <w:jc w:val="center"/>
              <w:rPr>
                <w:rFonts w:hAnsi="宋体"/>
                <w:color w:val="auto"/>
                <w:kern w:val="2"/>
                <w:szCs w:val="21"/>
                <w:highlight w:val="none"/>
              </w:rPr>
            </w:pPr>
            <w:r>
              <w:rPr>
                <w:rFonts w:hAnsi="宋体"/>
                <w:color w:val="auto"/>
                <w:kern w:val="2"/>
                <w:szCs w:val="21"/>
                <w:highlight w:val="none"/>
              </w:rPr>
              <w:t>2</w:t>
            </w: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r>
              <w:rPr>
                <w:rFonts w:hAnsi="宋体"/>
                <w:color w:val="auto"/>
                <w:kern w:val="2"/>
                <w:szCs w:val="21"/>
                <w:highlight w:val="none"/>
                <w:u w:val="single"/>
              </w:rPr>
              <w:t xml:space="preserve">            </w:t>
            </w:r>
            <w:r>
              <w:rPr>
                <w:rFonts w:hAnsi="宋体"/>
                <w:color w:val="auto"/>
                <w:kern w:val="2"/>
                <w:sz w:val="32"/>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9"/>
              <w:snapToGrid w:val="0"/>
              <w:spacing w:before="295" w:beforeLines="0" w:after="295" w:afterLines="0" w:line="360" w:lineRule="auto"/>
              <w:jc w:val="center"/>
              <w:rPr>
                <w:rFonts w:hAnsi="宋体"/>
                <w:color w:val="auto"/>
                <w:kern w:val="2"/>
                <w:szCs w:val="21"/>
                <w:highlight w:val="none"/>
              </w:rPr>
            </w:pPr>
            <w:r>
              <w:rPr>
                <w:rFonts w:hAnsi="宋体"/>
                <w:color w:val="auto"/>
                <w:kern w:val="2"/>
                <w:szCs w:val="21"/>
                <w:highlight w:val="none"/>
              </w:rPr>
              <w:t>3</w:t>
            </w: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r>
              <w:rPr>
                <w:rFonts w:hAnsi="宋体"/>
                <w:color w:val="auto"/>
                <w:kern w:val="2"/>
                <w:szCs w:val="21"/>
                <w:highlight w:val="none"/>
                <w:u w:val="single"/>
              </w:rPr>
              <w:t xml:space="preserve">            </w:t>
            </w:r>
            <w:r>
              <w:rPr>
                <w:rFonts w:hAnsi="宋体"/>
                <w:color w:val="auto"/>
                <w:kern w:val="2"/>
                <w:sz w:val="32"/>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9"/>
              <w:snapToGrid w:val="0"/>
              <w:spacing w:before="295" w:beforeLines="0" w:after="295" w:afterLines="0" w:line="360" w:lineRule="auto"/>
              <w:jc w:val="center"/>
              <w:rPr>
                <w:rFonts w:hAnsi="宋体"/>
                <w:color w:val="auto"/>
                <w:kern w:val="2"/>
                <w:szCs w:val="21"/>
                <w:highlight w:val="none"/>
              </w:rPr>
            </w:pPr>
            <w:r>
              <w:rPr>
                <w:rFonts w:hAnsi="宋体"/>
                <w:color w:val="auto"/>
                <w:kern w:val="2"/>
                <w:szCs w:val="21"/>
                <w:highlight w:val="none"/>
              </w:rPr>
              <w:t>4</w:t>
            </w: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r>
              <w:rPr>
                <w:rFonts w:hAnsi="宋体"/>
                <w:color w:val="auto"/>
                <w:kern w:val="2"/>
                <w:szCs w:val="21"/>
                <w:highlight w:val="none"/>
                <w:u w:val="single"/>
              </w:rPr>
              <w:t xml:space="preserve">            </w:t>
            </w:r>
            <w:r>
              <w:rPr>
                <w:rFonts w:hAnsi="宋体"/>
                <w:color w:val="auto"/>
                <w:kern w:val="2"/>
                <w:sz w:val="32"/>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9"/>
              <w:snapToGrid w:val="0"/>
              <w:spacing w:before="295" w:beforeLines="0" w:after="295" w:afterLines="0" w:line="360" w:lineRule="auto"/>
              <w:jc w:val="center"/>
              <w:rPr>
                <w:rFonts w:hAnsi="宋体"/>
                <w:color w:val="auto"/>
                <w:kern w:val="2"/>
                <w:szCs w:val="21"/>
                <w:highlight w:val="none"/>
              </w:rPr>
            </w:pPr>
            <w:r>
              <w:rPr>
                <w:rFonts w:hAnsi="宋体"/>
                <w:color w:val="auto"/>
                <w:kern w:val="2"/>
                <w:szCs w:val="21"/>
                <w:highlight w:val="none"/>
              </w:rPr>
              <w:t>5</w:t>
            </w: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r>
              <w:rPr>
                <w:rFonts w:hAnsi="宋体"/>
                <w:color w:val="auto"/>
                <w:kern w:val="2"/>
                <w:szCs w:val="21"/>
                <w:highlight w:val="none"/>
                <w:u w:val="single"/>
              </w:rPr>
              <w:t xml:space="preserve">            </w:t>
            </w:r>
            <w:r>
              <w:rPr>
                <w:rFonts w:hAnsi="宋体"/>
                <w:color w:val="auto"/>
                <w:kern w:val="2"/>
                <w:sz w:val="32"/>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9"/>
              <w:snapToGrid w:val="0"/>
              <w:spacing w:before="295" w:beforeLines="0" w:after="295" w:afterLines="0" w:line="360" w:lineRule="auto"/>
              <w:jc w:val="center"/>
              <w:rPr>
                <w:rFonts w:hAnsi="宋体"/>
                <w:color w:val="auto"/>
                <w:kern w:val="2"/>
                <w:szCs w:val="21"/>
                <w:highlight w:val="none"/>
              </w:rPr>
            </w:pPr>
            <w:r>
              <w:rPr>
                <w:rFonts w:hAnsi="宋体"/>
                <w:color w:val="auto"/>
                <w:kern w:val="2"/>
                <w:szCs w:val="21"/>
                <w:highlight w:val="none"/>
              </w:rPr>
              <w:t>6</w:t>
            </w: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r>
              <w:rPr>
                <w:rFonts w:hAnsi="宋体"/>
                <w:color w:val="auto"/>
                <w:kern w:val="2"/>
                <w:szCs w:val="21"/>
                <w:highlight w:val="none"/>
                <w:u w:val="single"/>
              </w:rPr>
              <w:t xml:space="preserve">            </w:t>
            </w:r>
            <w:r>
              <w:rPr>
                <w:rFonts w:hAnsi="宋体"/>
                <w:color w:val="auto"/>
                <w:kern w:val="2"/>
                <w:sz w:val="32"/>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r>
              <w:rPr>
                <w:rFonts w:hAnsi="宋体"/>
                <w:color w:val="auto"/>
                <w:kern w:val="2"/>
                <w:szCs w:val="21"/>
                <w:highlight w:val="none"/>
                <w:u w:val="single"/>
              </w:rPr>
              <w:t xml:space="preserve">            </w:t>
            </w:r>
            <w:r>
              <w:rPr>
                <w:rFonts w:hAnsi="宋体"/>
                <w:color w:val="auto"/>
                <w:kern w:val="2"/>
                <w:sz w:val="32"/>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2700" w:type="dxa"/>
            <w:tcBorders>
              <w:top w:val="single" w:color="auto" w:sz="6" w:space="0"/>
              <w:left w:val="single" w:color="auto" w:sz="2" w:space="0"/>
              <w:bottom w:val="single" w:color="auto" w:sz="2" w:space="0"/>
              <w:right w:val="single" w:color="auto" w:sz="4"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1440" w:type="dxa"/>
            <w:tcBorders>
              <w:top w:val="single" w:color="auto" w:sz="6" w:space="0"/>
              <w:left w:val="single" w:color="auto" w:sz="4" w:space="0"/>
              <w:bottom w:val="single" w:color="auto" w:sz="2" w:space="0"/>
              <w:right w:val="single" w:color="auto" w:sz="6"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1440" w:type="dxa"/>
            <w:tcBorders>
              <w:top w:val="single" w:color="auto" w:sz="6" w:space="0"/>
              <w:left w:val="single" w:color="auto" w:sz="6" w:space="0"/>
              <w:bottom w:val="single" w:color="auto" w:sz="2" w:space="0"/>
              <w:right w:val="single" w:color="auto" w:sz="6" w:space="0"/>
            </w:tcBorders>
            <w:noWrap w:val="0"/>
            <w:tcMar>
              <w:top w:w="15" w:type="dxa"/>
              <w:left w:w="15" w:type="dxa"/>
              <w:bottom w:w="0" w:type="dxa"/>
              <w:right w:w="15" w:type="dxa"/>
            </w:tcMar>
            <w:vAlign w:val="center"/>
          </w:tcPr>
          <w:p>
            <w:pPr>
              <w:pStyle w:val="9"/>
              <w:snapToGrid w:val="0"/>
              <w:spacing w:before="295" w:beforeLines="0" w:after="295" w:afterLines="0" w:line="360" w:lineRule="auto"/>
              <w:jc w:val="center"/>
              <w:rPr>
                <w:rFonts w:hAnsi="宋体"/>
                <w:color w:val="auto"/>
                <w:kern w:val="2"/>
                <w:szCs w:val="21"/>
                <w:highlight w:val="none"/>
              </w:rPr>
            </w:pPr>
          </w:p>
        </w:tc>
        <w:tc>
          <w:tcPr>
            <w:tcW w:w="2340" w:type="dxa"/>
            <w:tcBorders>
              <w:top w:val="single" w:color="auto" w:sz="6" w:space="0"/>
              <w:left w:val="single" w:color="auto" w:sz="6" w:space="0"/>
              <w:bottom w:val="single" w:color="auto" w:sz="2" w:space="0"/>
              <w:right w:val="single" w:color="auto" w:sz="2" w:space="0"/>
            </w:tcBorders>
            <w:noWrap w:val="0"/>
            <w:vAlign w:val="center"/>
          </w:tcPr>
          <w:p>
            <w:pPr>
              <w:pStyle w:val="9"/>
              <w:snapToGrid w:val="0"/>
              <w:spacing w:before="295" w:beforeLines="0" w:after="295" w:afterLines="0" w:line="360" w:lineRule="auto"/>
              <w:jc w:val="center"/>
              <w:rPr>
                <w:rFonts w:hAnsi="宋体"/>
                <w:color w:val="auto"/>
                <w:kern w:val="2"/>
                <w:szCs w:val="21"/>
                <w:highlight w:val="none"/>
              </w:rPr>
            </w:pPr>
            <w:r>
              <w:rPr>
                <w:rFonts w:hAnsi="宋体"/>
                <w:color w:val="auto"/>
                <w:kern w:val="2"/>
                <w:szCs w:val="21"/>
                <w:highlight w:val="none"/>
                <w:u w:val="single"/>
              </w:rPr>
              <w:t xml:space="preserve">            </w:t>
            </w:r>
            <w:r>
              <w:rPr>
                <w:rFonts w:hAnsi="宋体"/>
                <w:color w:val="auto"/>
                <w:kern w:val="2"/>
                <w:sz w:val="32"/>
                <w:szCs w:val="21"/>
                <w:highlight w:val="none"/>
              </w:rPr>
              <w:t>%</w:t>
            </w:r>
          </w:p>
        </w:tc>
      </w:tr>
    </w:tbl>
    <w:p>
      <w:pPr>
        <w:snapToGrid w:val="0"/>
        <w:spacing w:before="50" w:after="50" w:line="360" w:lineRule="auto"/>
        <w:rPr>
          <w:rFonts w:ascii="宋体" w:hAnsi="宋体"/>
          <w:color w:val="auto"/>
          <w:spacing w:val="20"/>
          <w:sz w:val="24"/>
          <w:szCs w:val="20"/>
          <w:highlight w:val="none"/>
          <w:u w:val="single"/>
        </w:rPr>
      </w:pPr>
    </w:p>
    <w:p>
      <w:pPr>
        <w:snapToGrid w:val="0"/>
        <w:spacing w:before="50" w:after="50" w:line="360" w:lineRule="auto"/>
        <w:rPr>
          <w:rFonts w:ascii="宋体" w:hAnsi="宋体"/>
          <w:color w:val="auto"/>
          <w:sz w:val="24"/>
          <w:szCs w:val="20"/>
          <w:highlight w:val="none"/>
        </w:rPr>
      </w:pPr>
      <w:r>
        <w:rPr>
          <w:rFonts w:hint="eastAsia" w:ascii="宋体" w:hAnsi="宋体"/>
          <w:color w:val="auto"/>
          <w:spacing w:val="20"/>
          <w:sz w:val="24"/>
          <w:highlight w:val="none"/>
        </w:rPr>
        <w:t>投标人：</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（盖章）</w:t>
      </w:r>
      <w:r>
        <w:rPr>
          <w:rFonts w:ascii="宋体" w:hAnsi="宋体"/>
          <w:color w:val="auto"/>
          <w:spacing w:val="20"/>
          <w:sz w:val="24"/>
          <w:highlight w:val="none"/>
          <w:u w:val="single"/>
        </w:rPr>
        <w:t xml:space="preserve">      </w:t>
      </w:r>
      <w:r>
        <w:rPr>
          <w:rFonts w:ascii="宋体" w:hAnsi="宋体"/>
          <w:color w:val="auto"/>
          <w:spacing w:val="20"/>
          <w:sz w:val="24"/>
          <w:highlight w:val="none"/>
        </w:rPr>
        <w:t xml:space="preserve">     </w:t>
      </w: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p>
    <w:p>
      <w:pPr>
        <w:snapToGrid w:val="0"/>
        <w:spacing w:line="360" w:lineRule="auto"/>
        <w:jc w:val="left"/>
        <w:rPr>
          <w:rFonts w:ascii="宋体" w:hAnsi="宋体"/>
          <w:color w:val="auto"/>
          <w:highlight w:val="none"/>
        </w:rPr>
      </w:pPr>
      <w:r>
        <w:rPr>
          <w:rFonts w:ascii="宋体" w:hAnsi="宋体"/>
          <w:color w:val="auto"/>
          <w:highlight w:val="none"/>
        </w:rPr>
        <w:br w:type="page"/>
      </w:r>
    </w:p>
    <w:p>
      <w:pPr>
        <w:snapToGrid w:val="0"/>
        <w:spacing w:line="360" w:lineRule="auto"/>
        <w:jc w:val="left"/>
        <w:rPr>
          <w:rFonts w:hint="eastAsia" w:ascii="宋体" w:hAnsi="宋体"/>
          <w:b/>
          <w:color w:val="auto"/>
          <w:sz w:val="24"/>
          <w:szCs w:val="20"/>
          <w:highlight w:val="none"/>
        </w:rPr>
      </w:pPr>
      <w:r>
        <w:rPr>
          <w:rFonts w:hint="eastAsia" w:ascii="宋体" w:hAnsi="宋体"/>
          <w:b/>
          <w:color w:val="auto"/>
          <w:sz w:val="24"/>
          <w:highlight w:val="none"/>
        </w:rPr>
        <w:t>14.</w:t>
      </w:r>
      <w:r>
        <w:rPr>
          <w:rFonts w:ascii="宋体" w:hAnsi="宋体"/>
          <w:b/>
          <w:color w:val="auto"/>
          <w:sz w:val="24"/>
          <w:highlight w:val="none"/>
        </w:rPr>
        <w:t>报价文件</w:t>
      </w:r>
      <w:r>
        <w:rPr>
          <w:rFonts w:hint="eastAsia" w:ascii="宋体" w:hAnsi="宋体"/>
          <w:b/>
          <w:color w:val="auto"/>
          <w:sz w:val="24"/>
          <w:highlight w:val="none"/>
        </w:rPr>
        <w:t>目录</w:t>
      </w:r>
    </w:p>
    <w:p>
      <w:pPr>
        <w:autoSpaceDE w:val="0"/>
        <w:autoSpaceDN w:val="0"/>
        <w:adjustRightIn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详见投标人须知。</w:t>
      </w:r>
    </w:p>
    <w:p>
      <w:pPr>
        <w:snapToGrid w:val="0"/>
        <w:spacing w:before="156" w:beforeLines="50" w:after="50" w:line="360" w:lineRule="auto"/>
        <w:rPr>
          <w:rFonts w:ascii="宋体" w:hAnsi="宋体"/>
          <w:b/>
          <w:color w:val="auto"/>
          <w:sz w:val="24"/>
          <w:szCs w:val="20"/>
          <w:highlight w:val="none"/>
        </w:rPr>
      </w:pPr>
      <w:r>
        <w:rPr>
          <w:rFonts w:ascii="宋体" w:hAnsi="宋体"/>
          <w:color w:val="auto"/>
          <w:sz w:val="24"/>
          <w:highlight w:val="none"/>
        </w:rPr>
        <w:br w:type="page"/>
      </w:r>
      <w:r>
        <w:rPr>
          <w:rFonts w:hint="eastAsia" w:ascii="宋体" w:hAnsi="宋体"/>
          <w:b/>
          <w:color w:val="auto"/>
          <w:sz w:val="24"/>
          <w:highlight w:val="none"/>
        </w:rPr>
        <w:t>15.投标函格式</w:t>
      </w:r>
    </w:p>
    <w:p>
      <w:pPr>
        <w:snapToGrid w:val="0"/>
        <w:spacing w:before="156" w:beforeLines="50" w:after="50" w:line="360" w:lineRule="auto"/>
        <w:jc w:val="center"/>
        <w:rPr>
          <w:rFonts w:ascii="宋体" w:hAnsi="宋体"/>
          <w:b/>
          <w:color w:val="auto"/>
          <w:sz w:val="30"/>
          <w:szCs w:val="30"/>
          <w:highlight w:val="none"/>
        </w:rPr>
      </w:pPr>
      <w:r>
        <w:rPr>
          <w:rFonts w:hint="eastAsia" w:ascii="宋体" w:hAnsi="宋体"/>
          <w:b/>
          <w:color w:val="auto"/>
          <w:sz w:val="30"/>
          <w:szCs w:val="30"/>
          <w:highlight w:val="none"/>
        </w:rPr>
        <w:t>投</w:t>
      </w:r>
      <w:r>
        <w:rPr>
          <w:rFonts w:ascii="宋体" w:hAnsi="宋体"/>
          <w:b/>
          <w:color w:val="auto"/>
          <w:sz w:val="30"/>
          <w:szCs w:val="30"/>
          <w:highlight w:val="none"/>
        </w:rPr>
        <w:t xml:space="preserve"> </w:t>
      </w:r>
      <w:r>
        <w:rPr>
          <w:rFonts w:hint="eastAsia" w:ascii="宋体" w:hAnsi="宋体"/>
          <w:b/>
          <w:color w:val="auto"/>
          <w:sz w:val="30"/>
          <w:szCs w:val="30"/>
          <w:highlight w:val="none"/>
        </w:rPr>
        <w:t>标</w:t>
      </w:r>
      <w:r>
        <w:rPr>
          <w:rFonts w:ascii="宋体" w:hAnsi="宋体"/>
          <w:b/>
          <w:color w:val="auto"/>
          <w:sz w:val="30"/>
          <w:szCs w:val="30"/>
          <w:highlight w:val="none"/>
        </w:rPr>
        <w:t xml:space="preserve"> </w:t>
      </w:r>
      <w:r>
        <w:rPr>
          <w:rFonts w:hint="eastAsia" w:ascii="宋体" w:hAnsi="宋体"/>
          <w:b/>
          <w:color w:val="auto"/>
          <w:sz w:val="30"/>
          <w:szCs w:val="30"/>
          <w:highlight w:val="none"/>
        </w:rPr>
        <w:t>函</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w:t>
      </w:r>
    </w:p>
    <w:p>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根据贵方为</w:t>
      </w:r>
      <w:r>
        <w:rPr>
          <w:rFonts w:ascii="宋体" w:hAnsi="宋体"/>
          <w:color w:val="auto"/>
          <w:sz w:val="24"/>
          <w:highlight w:val="none"/>
          <w:u w:val="single"/>
        </w:rPr>
        <w:t xml:space="preserve">                             </w:t>
      </w:r>
      <w:r>
        <w:rPr>
          <w:rFonts w:hint="eastAsia" w:ascii="宋体" w:hAnsi="宋体"/>
          <w:color w:val="auto"/>
          <w:sz w:val="24"/>
          <w:highlight w:val="none"/>
        </w:rPr>
        <w:t>项目的招标公告</w:t>
      </w:r>
      <w:r>
        <w:rPr>
          <w:rFonts w:ascii="宋体" w:hAnsi="宋体"/>
          <w:color w:val="auto"/>
          <w:sz w:val="24"/>
          <w:highlight w:val="none"/>
        </w:rPr>
        <w:t>/</w:t>
      </w:r>
      <w:r>
        <w:rPr>
          <w:rFonts w:hint="eastAsia" w:ascii="宋体" w:hAnsi="宋体"/>
          <w:color w:val="auto"/>
          <w:sz w:val="24"/>
          <w:highlight w:val="none"/>
        </w:rPr>
        <w:t>投标邀请书</w:t>
      </w:r>
    </w:p>
    <w:p>
      <w:pPr>
        <w:snapToGrid w:val="0"/>
        <w:spacing w:line="360" w:lineRule="auto"/>
        <w:rPr>
          <w:rFonts w:hint="eastAsia" w:ascii="宋体" w:hAnsi="宋体"/>
          <w:color w:val="auto"/>
          <w:sz w:val="24"/>
          <w:szCs w:val="20"/>
          <w:highlight w:val="none"/>
        </w:rPr>
      </w:pPr>
      <w:r>
        <w:rPr>
          <w:rFonts w:hint="eastAsia" w:ascii="宋体" w:hAnsi="宋体"/>
          <w:color w:val="auto"/>
          <w:sz w:val="24"/>
          <w:highlight w:val="none"/>
        </w:rPr>
        <w:t>（项目编号：</w:t>
      </w:r>
      <w:r>
        <w:rPr>
          <w:rFonts w:ascii="宋体" w:hAnsi="宋体"/>
          <w:color w:val="auto"/>
          <w:sz w:val="24"/>
          <w:highlight w:val="none"/>
        </w:rPr>
        <w:t>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w:t>
      </w:r>
      <w:r>
        <w:rPr>
          <w:rFonts w:ascii="宋体" w:hAnsi="宋体"/>
          <w:color w:val="auto"/>
          <w:sz w:val="24"/>
          <w:highlight w:val="none"/>
        </w:rPr>
        <w:t>_____</w:t>
      </w:r>
      <w:r>
        <w:rPr>
          <w:rFonts w:ascii="宋体" w:hAnsi="宋体"/>
          <w:color w:val="auto"/>
          <w:sz w:val="24"/>
          <w:highlight w:val="none"/>
          <w:u w:val="single"/>
        </w:rPr>
        <w:t>__                    __</w:t>
      </w:r>
      <w:r>
        <w:rPr>
          <w:rFonts w:hint="eastAsia" w:ascii="宋体" w:hAnsi="宋体"/>
          <w:color w:val="auto"/>
          <w:sz w:val="24"/>
          <w:highlight w:val="none"/>
        </w:rPr>
        <w:t>（投标人名称）在线提交资格证明文件、商务技术文件、报价文件各一份。投标总价为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据此函，签字代表宣布同意如下：</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.投标人已详细审查全部“招标文件”，包括修改、澄清文件（如有）以及全部参考资料和有关附件，已经了解我方对于招标文件、采购过程、采购结果有依法进行询问、质疑、投诉的权利及相关渠道和要求。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.投标有效期自开标日起</w:t>
      </w:r>
      <w:r>
        <w:rPr>
          <w:rFonts w:ascii="宋体" w:hAnsi="宋体"/>
          <w:color w:val="auto"/>
          <w:sz w:val="24"/>
          <w:highlight w:val="none"/>
        </w:rPr>
        <w:t xml:space="preserve"> ______</w:t>
      </w:r>
      <w:r>
        <w:rPr>
          <w:rFonts w:hint="eastAsia" w:ascii="宋体" w:hAnsi="宋体"/>
          <w:color w:val="auto"/>
          <w:sz w:val="24"/>
          <w:highlight w:val="none"/>
        </w:rPr>
        <w:t>个日。</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5.如中标，我公司将自中标公告发布之日起5个工作日内按招标文件规定的标准（金额）一次性向采购代理机构支付代理服务费。</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6.投标人同意按照贵方要求提供与投标有关的一切数据或资料。</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7.与本投标有关的一切正式往来信函请寄：</w:t>
      </w: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地址：</w:t>
      </w:r>
      <w:r>
        <w:rPr>
          <w:rFonts w:ascii="宋体" w:hAnsi="宋体"/>
          <w:color w:val="auto"/>
          <w:sz w:val="24"/>
          <w:highlight w:val="none"/>
        </w:rPr>
        <w:t>__________</w:t>
      </w:r>
      <w:r>
        <w:rPr>
          <w:rFonts w:ascii="宋体" w:hAnsi="宋体"/>
          <w:color w:val="auto"/>
          <w:sz w:val="24"/>
          <w:highlight w:val="none"/>
          <w:u w:val="single"/>
        </w:rPr>
        <w:t xml:space="preserve">        _</w:t>
      </w:r>
      <w:r>
        <w:rPr>
          <w:rFonts w:ascii="宋体" w:hAnsi="宋体"/>
          <w:color w:val="auto"/>
          <w:sz w:val="24"/>
          <w:highlight w:val="none"/>
        </w:rPr>
        <w:t>____</w:t>
      </w:r>
      <w:r>
        <w:rPr>
          <w:rFonts w:hint="eastAsia" w:ascii="宋体" w:hAnsi="宋体"/>
          <w:color w:val="auto"/>
          <w:sz w:val="24"/>
          <w:highlight w:val="none"/>
        </w:rPr>
        <w:t xml:space="preserve">        邮编：</w:t>
      </w:r>
      <w:r>
        <w:rPr>
          <w:rFonts w:ascii="宋体" w:hAnsi="宋体"/>
          <w:color w:val="auto"/>
          <w:sz w:val="24"/>
          <w:highlight w:val="none"/>
        </w:rPr>
        <w:t xml:space="preserve">__________   </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电话：</w:t>
      </w:r>
      <w:r>
        <w:rPr>
          <w:rFonts w:ascii="宋体" w:hAnsi="宋体"/>
          <w:color w:val="auto"/>
          <w:sz w:val="24"/>
          <w:highlight w:val="none"/>
        </w:rPr>
        <w:t>______________</w:t>
      </w:r>
      <w:r>
        <w:rPr>
          <w:rFonts w:hint="eastAsia" w:ascii="宋体" w:hAnsi="宋体"/>
          <w:color w:val="auto"/>
          <w:sz w:val="24"/>
          <w:highlight w:val="none"/>
        </w:rPr>
        <w:t xml:space="preserve">                 传真：</w:t>
      </w:r>
      <w:r>
        <w:rPr>
          <w:rFonts w:ascii="宋体" w:hAnsi="宋体"/>
          <w:color w:val="auto"/>
          <w:sz w:val="24"/>
          <w:highlight w:val="none"/>
        </w:rPr>
        <w:t>______________</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投标人名称</w:t>
      </w:r>
      <w:r>
        <w:rPr>
          <w:rFonts w:ascii="宋体" w:hAnsi="宋体"/>
          <w:color w:val="auto"/>
          <w:sz w:val="24"/>
          <w:highlight w:val="none"/>
        </w:rPr>
        <w:t>:__________</w:t>
      </w:r>
      <w:r>
        <w:rPr>
          <w:rFonts w:hint="eastAsia" w:ascii="宋体" w:hAnsi="宋体"/>
          <w:color w:val="auto"/>
          <w:sz w:val="24"/>
          <w:highlight w:val="none"/>
          <w:u w:val="single"/>
        </w:rPr>
        <w:t>（盖章）</w:t>
      </w:r>
      <w:r>
        <w:rPr>
          <w:rFonts w:ascii="宋体" w:hAnsi="宋体"/>
          <w:color w:val="auto"/>
          <w:sz w:val="24"/>
          <w:highlight w:val="none"/>
        </w:rPr>
        <w:t>_________</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开户银行：</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银行帐号：</w:t>
      </w:r>
      <w:r>
        <w:rPr>
          <w:rFonts w:ascii="宋体" w:hAnsi="宋体"/>
          <w:color w:val="auto"/>
          <w:sz w:val="24"/>
          <w:highlight w:val="none"/>
          <w:u w:val="single"/>
        </w:rPr>
        <w:t xml:space="preserve">                    </w:t>
      </w:r>
      <w:r>
        <w:rPr>
          <w:rFonts w:ascii="宋体" w:hAnsi="宋体"/>
          <w:color w:val="auto"/>
          <w:sz w:val="24"/>
          <w:highlight w:val="none"/>
        </w:rPr>
        <w:t xml:space="preserve"> </w:t>
      </w:r>
    </w:p>
    <w:p>
      <w:pPr>
        <w:snapToGrid w:val="0"/>
        <w:spacing w:line="360" w:lineRule="auto"/>
        <w:rPr>
          <w:rFonts w:hint="eastAsia" w:ascii="宋体" w:hAnsi="宋体"/>
          <w:color w:val="auto"/>
          <w:sz w:val="24"/>
          <w:highlight w:val="none"/>
        </w:rPr>
      </w:pPr>
      <w:r>
        <w:rPr>
          <w:rFonts w:ascii="宋体" w:hAnsi="宋体"/>
          <w:color w:val="auto"/>
          <w:sz w:val="24"/>
          <w:highlight w:val="none"/>
        </w:rPr>
        <w:t xml:space="preserve">                     </w:t>
      </w:r>
    </w:p>
    <w:p>
      <w:pPr>
        <w:snapToGrid w:val="0"/>
        <w:spacing w:line="360" w:lineRule="auto"/>
        <w:rPr>
          <w:rFonts w:ascii="宋体" w:hAnsi="宋体"/>
          <w:color w:val="auto"/>
          <w:sz w:val="24"/>
          <w:highlight w:val="none"/>
        </w:rPr>
        <w:sectPr>
          <w:pgSz w:w="11906" w:h="16838"/>
          <w:pgMar w:top="1091" w:right="1588" w:bottom="1418" w:left="1588" w:header="851" w:footer="992" w:gutter="0"/>
          <w:cols w:space="720" w:num="1"/>
          <w:docGrid w:type="lines" w:linePitch="312" w:charSpace="0"/>
        </w:sectPr>
      </w:pPr>
      <w:r>
        <w:rPr>
          <w:rFonts w:hint="eastAsia" w:ascii="宋体" w:hAnsi="宋体"/>
          <w:color w:val="auto"/>
          <w:sz w:val="24"/>
          <w:highlight w:val="none"/>
        </w:rPr>
        <w:t>日期</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w:t>
      </w:r>
      <w:r>
        <w:rPr>
          <w:rFonts w:hint="eastAsia" w:ascii="宋体" w:hAnsi="宋体"/>
          <w:color w:val="auto"/>
          <w:sz w:val="24"/>
          <w:highlight w:val="none"/>
        </w:rPr>
        <w:t>月</w:t>
      </w:r>
      <w:r>
        <w:rPr>
          <w:rFonts w:ascii="宋体" w:hAnsi="宋体"/>
          <w:color w:val="auto"/>
          <w:sz w:val="24"/>
          <w:highlight w:val="none"/>
        </w:rPr>
        <w:t>___</w:t>
      </w:r>
      <w:r>
        <w:rPr>
          <w:rFonts w:hint="eastAsia" w:ascii="宋体" w:hAnsi="宋体"/>
          <w:color w:val="auto"/>
          <w:sz w:val="24"/>
          <w:highlight w:val="none"/>
        </w:rPr>
        <w:t>日</w:t>
      </w:r>
    </w:p>
    <w:p>
      <w:pPr>
        <w:snapToGrid w:val="0"/>
        <w:spacing w:before="50" w:after="50" w:line="360" w:lineRule="auto"/>
        <w:rPr>
          <w:rFonts w:ascii="宋体" w:hAnsi="宋体"/>
          <w:b/>
          <w:color w:val="auto"/>
          <w:sz w:val="24"/>
          <w:szCs w:val="20"/>
          <w:highlight w:val="none"/>
        </w:rPr>
      </w:pPr>
      <w:r>
        <w:rPr>
          <w:rFonts w:hint="eastAsia" w:ascii="宋体" w:hAnsi="宋体"/>
          <w:b/>
          <w:color w:val="auto"/>
          <w:sz w:val="24"/>
          <w:highlight w:val="none"/>
        </w:rPr>
        <w:t>16.开标一览表</w:t>
      </w:r>
    </w:p>
    <w:p>
      <w:pPr>
        <w:snapToGrid w:val="0"/>
        <w:spacing w:before="50" w:after="50" w:line="360" w:lineRule="auto"/>
        <w:jc w:val="center"/>
        <w:rPr>
          <w:rFonts w:ascii="宋体" w:hAnsi="宋体"/>
          <w:b/>
          <w:color w:val="auto"/>
          <w:sz w:val="30"/>
          <w:szCs w:val="20"/>
          <w:highlight w:val="none"/>
        </w:rPr>
      </w:pPr>
      <w:r>
        <w:rPr>
          <w:rFonts w:hint="eastAsia" w:ascii="宋体" w:hAnsi="宋体"/>
          <w:b/>
          <w:color w:val="auto"/>
          <w:sz w:val="30"/>
          <w:highlight w:val="none"/>
        </w:rPr>
        <w:t>开标一览表</w:t>
      </w:r>
    </w:p>
    <w:p>
      <w:pPr>
        <w:snapToGrid w:val="0"/>
        <w:spacing w:before="50" w:after="50" w:line="360" w:lineRule="auto"/>
        <w:ind w:firstLine="360" w:firstLineChars="150"/>
        <w:rPr>
          <w:rFonts w:hint="eastAsia" w:ascii="宋体" w:hAnsi="宋体"/>
          <w:color w:val="auto"/>
          <w:sz w:val="24"/>
          <w:szCs w:val="20"/>
          <w:highlight w:val="none"/>
        </w:rPr>
      </w:pPr>
      <w:r>
        <w:rPr>
          <w:rFonts w:hint="eastAsia" w:hAnsi="宋体"/>
          <w:color w:val="auto"/>
          <w:sz w:val="24"/>
          <w:highlight w:val="none"/>
        </w:rPr>
        <w:t>项目编号</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单位：元</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7"/>
        <w:gridCol w:w="2101"/>
        <w:gridCol w:w="1149"/>
        <w:gridCol w:w="1441"/>
        <w:gridCol w:w="1665"/>
        <w:gridCol w:w="1215"/>
        <w:gridCol w:w="1241"/>
        <w:gridCol w:w="1354"/>
        <w:gridCol w:w="18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15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auto"/>
                <w:szCs w:val="30"/>
                <w:highlight w:val="none"/>
              </w:rPr>
            </w:pPr>
            <w:r>
              <w:rPr>
                <w:rFonts w:hint="eastAsia" w:ascii="宋体" w:hAnsi="宋体"/>
                <w:b/>
                <w:color w:val="auto"/>
                <w:szCs w:val="30"/>
                <w:highlight w:val="none"/>
              </w:rPr>
              <w:t>标项</w:t>
            </w:r>
          </w:p>
        </w:tc>
        <w:tc>
          <w:tcPr>
            <w:tcW w:w="21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auto"/>
                <w:szCs w:val="30"/>
                <w:highlight w:val="none"/>
              </w:rPr>
            </w:pPr>
            <w:r>
              <w:rPr>
                <w:rFonts w:hint="eastAsia" w:ascii="宋体" w:hAnsi="宋体"/>
                <w:b/>
                <w:color w:val="auto"/>
                <w:szCs w:val="30"/>
                <w:highlight w:val="none"/>
              </w:rPr>
              <w:t>货物名称</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Cs w:val="30"/>
                <w:highlight w:val="none"/>
              </w:rPr>
            </w:pPr>
            <w:r>
              <w:rPr>
                <w:rFonts w:hint="eastAsia" w:ascii="宋体" w:hAnsi="宋体"/>
                <w:b/>
                <w:color w:val="auto"/>
                <w:szCs w:val="30"/>
                <w:highlight w:val="none"/>
              </w:rPr>
              <w:t>制造商</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auto"/>
                <w:szCs w:val="30"/>
                <w:highlight w:val="none"/>
              </w:rPr>
            </w:pPr>
            <w:r>
              <w:rPr>
                <w:rFonts w:hint="eastAsia" w:ascii="宋体" w:hAnsi="宋体"/>
                <w:b/>
                <w:color w:val="auto"/>
                <w:szCs w:val="30"/>
                <w:highlight w:val="none"/>
              </w:rPr>
              <w:t>数量</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auto"/>
                <w:szCs w:val="30"/>
                <w:highlight w:val="none"/>
              </w:rPr>
            </w:pPr>
            <w:r>
              <w:rPr>
                <w:rFonts w:hint="eastAsia" w:ascii="宋体" w:hAnsi="宋体"/>
                <w:b/>
                <w:color w:val="auto"/>
                <w:szCs w:val="30"/>
                <w:highlight w:val="none"/>
              </w:rPr>
              <w:t>产地</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auto"/>
                <w:szCs w:val="30"/>
                <w:highlight w:val="none"/>
              </w:rPr>
            </w:pPr>
            <w:r>
              <w:rPr>
                <w:rFonts w:hint="eastAsia" w:ascii="宋体" w:hAnsi="宋体"/>
                <w:b/>
                <w:color w:val="auto"/>
                <w:szCs w:val="30"/>
                <w:highlight w:val="none"/>
              </w:rPr>
              <w:t>单价</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Cs w:val="30"/>
                <w:highlight w:val="none"/>
              </w:rPr>
            </w:pPr>
            <w:r>
              <w:rPr>
                <w:rFonts w:hint="eastAsia" w:ascii="宋体" w:hAnsi="宋体"/>
                <w:b/>
                <w:color w:val="auto"/>
                <w:szCs w:val="30"/>
                <w:highlight w:val="none"/>
              </w:rPr>
              <w:t>投标报价</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auto"/>
                <w:szCs w:val="30"/>
                <w:highlight w:val="none"/>
              </w:rPr>
            </w:pPr>
            <w:r>
              <w:rPr>
                <w:rFonts w:hint="eastAsia" w:ascii="宋体" w:hAnsi="宋体"/>
                <w:b/>
                <w:color w:val="auto"/>
                <w:szCs w:val="30"/>
                <w:highlight w:val="none"/>
              </w:rPr>
              <w:t>交货期</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Cs w:val="30"/>
                <w:highlight w:val="none"/>
              </w:rPr>
            </w:pPr>
            <w:r>
              <w:rPr>
                <w:rFonts w:hint="eastAsia" w:ascii="宋体" w:hAnsi="宋体"/>
                <w:b/>
                <w:color w:val="auto"/>
                <w:szCs w:val="30"/>
                <w:highlight w:val="none"/>
              </w:rPr>
              <w:t>投标声明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1157" w:type="dxa"/>
            <w:tcBorders>
              <w:top w:val="single" w:color="auto" w:sz="4" w:space="0"/>
              <w:left w:val="single" w:color="auto" w:sz="4" w:space="0"/>
              <w:right w:val="single" w:color="auto" w:sz="4" w:space="0"/>
            </w:tcBorders>
            <w:noWrap w:val="0"/>
            <w:vAlign w:val="center"/>
          </w:tcPr>
          <w:p>
            <w:pPr>
              <w:widowControl/>
              <w:spacing w:line="360" w:lineRule="auto"/>
              <w:jc w:val="left"/>
              <w:rPr>
                <w:rFonts w:ascii="宋体" w:hAnsi="宋体"/>
                <w:color w:val="auto"/>
                <w:sz w:val="32"/>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bCs/>
                <w:color w:val="auto"/>
                <w:sz w:val="32"/>
                <w:szCs w:val="20"/>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bCs/>
                <w:color w:val="auto"/>
                <w:sz w:val="32"/>
                <w:szCs w:val="20"/>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32"/>
                <w:szCs w:val="21"/>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32"/>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olor w:val="auto"/>
                <w:sz w:val="32"/>
                <w:szCs w:val="21"/>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olor w:val="auto"/>
                <w:sz w:val="32"/>
                <w:szCs w:val="21"/>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olor w:val="auto"/>
                <w:sz w:val="32"/>
                <w:szCs w:val="21"/>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olor w:val="auto"/>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157" w:type="dxa"/>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32"/>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bCs/>
                <w:color w:val="auto"/>
                <w:sz w:val="32"/>
                <w:szCs w:val="20"/>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bCs/>
                <w:color w:val="auto"/>
                <w:sz w:val="32"/>
                <w:szCs w:val="20"/>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32"/>
                <w:szCs w:val="21"/>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32"/>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olor w:val="auto"/>
                <w:sz w:val="32"/>
                <w:szCs w:val="21"/>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olor w:val="auto"/>
                <w:sz w:val="32"/>
                <w:szCs w:val="21"/>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olor w:val="auto"/>
                <w:sz w:val="32"/>
                <w:szCs w:val="21"/>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olor w:val="auto"/>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1157" w:type="dxa"/>
            <w:tcBorders>
              <w:top w:val="single" w:color="auto" w:sz="4" w:space="0"/>
              <w:left w:val="single" w:color="auto" w:sz="4" w:space="0"/>
              <w:right w:val="single" w:color="auto" w:sz="4" w:space="0"/>
            </w:tcBorders>
            <w:noWrap w:val="0"/>
            <w:vAlign w:val="center"/>
          </w:tcPr>
          <w:p>
            <w:pPr>
              <w:pStyle w:val="26"/>
              <w:tabs>
                <w:tab w:val="left" w:pos="420"/>
              </w:tabs>
              <w:snapToGrid w:val="0"/>
              <w:spacing w:before="50" w:after="50"/>
              <w:rPr>
                <w:rFonts w:ascii="宋体" w:hAnsi="宋体" w:eastAsia="宋体"/>
                <w:color w:val="auto"/>
                <w:spacing w:val="0"/>
                <w:kern w:val="2"/>
                <w:szCs w:val="20"/>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bCs/>
                <w:color w:val="auto"/>
                <w:sz w:val="24"/>
                <w:szCs w:val="20"/>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bCs/>
                <w:color w:val="auto"/>
                <w:sz w:val="24"/>
                <w:szCs w:val="20"/>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1"/>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olor w:val="auto"/>
                <w:sz w:val="24"/>
                <w:szCs w:val="21"/>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olor w:val="auto"/>
                <w:sz w:val="24"/>
                <w:szCs w:val="21"/>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olor w:val="auto"/>
                <w:sz w:val="24"/>
                <w:szCs w:val="21"/>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1157" w:type="dxa"/>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bCs/>
                <w:color w:val="auto"/>
                <w:sz w:val="24"/>
                <w:szCs w:val="20"/>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bCs/>
                <w:color w:val="auto"/>
                <w:sz w:val="24"/>
                <w:szCs w:val="20"/>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1"/>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olor w:val="auto"/>
                <w:sz w:val="24"/>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olor w:val="auto"/>
                <w:sz w:val="24"/>
                <w:szCs w:val="21"/>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olor w:val="auto"/>
                <w:sz w:val="24"/>
                <w:szCs w:val="21"/>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olor w:val="auto"/>
                <w:sz w:val="24"/>
                <w:szCs w:val="21"/>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3149"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olor w:val="auto"/>
                <w:sz w:val="24"/>
                <w:szCs w:val="21"/>
                <w:highlight w:val="none"/>
                <w:u w:val="single"/>
              </w:rPr>
            </w:pPr>
            <w:r>
              <w:rPr>
                <w:rFonts w:hint="eastAsia" w:ascii="宋体" w:hAnsi="宋体"/>
                <w:color w:val="auto"/>
                <w:sz w:val="24"/>
                <w:szCs w:val="21"/>
                <w:highlight w:val="none"/>
              </w:rPr>
              <w:t>合计金额大写：</w:t>
            </w:r>
            <w:r>
              <w:rPr>
                <w:rFonts w:ascii="宋体" w:hAnsi="宋体"/>
                <w:color w:val="auto"/>
                <w:sz w:val="24"/>
                <w:szCs w:val="21"/>
                <w:highlight w:val="none"/>
              </w:rPr>
              <w:t xml:space="preserve">                                   </w:t>
            </w:r>
            <w:r>
              <w:rPr>
                <w:rFonts w:hint="eastAsia" w:ascii="宋体" w:hAnsi="宋体"/>
                <w:color w:val="auto"/>
                <w:sz w:val="24"/>
                <w:szCs w:val="21"/>
                <w:highlight w:val="none"/>
              </w:rPr>
              <w:t xml:space="preserve">          </w:t>
            </w:r>
            <w:r>
              <w:rPr>
                <w:rFonts w:ascii="宋体" w:hAnsi="宋体"/>
                <w:color w:val="auto"/>
                <w:sz w:val="24"/>
                <w:szCs w:val="21"/>
                <w:highlight w:val="none"/>
              </w:rPr>
              <w:t xml:space="preserve"> </w:t>
            </w:r>
            <w:r>
              <w:rPr>
                <w:rFonts w:hint="eastAsia" w:ascii="宋体" w:hAnsi="宋体"/>
                <w:color w:val="auto"/>
                <w:sz w:val="24"/>
                <w:szCs w:val="21"/>
                <w:highlight w:val="none"/>
              </w:rPr>
              <w:t xml:space="preserve">                     </w:t>
            </w:r>
            <w:r>
              <w:rPr>
                <w:rFonts w:ascii="宋体" w:hAnsi="宋体"/>
                <w:color w:val="auto"/>
                <w:sz w:val="24"/>
                <w:szCs w:val="21"/>
                <w:highlight w:val="none"/>
              </w:rPr>
              <w:t xml:space="preserve">      </w:t>
            </w:r>
            <w:r>
              <w:rPr>
                <w:rFonts w:hint="eastAsia" w:ascii="宋体" w:hAnsi="宋体"/>
                <w:color w:val="auto"/>
                <w:sz w:val="24"/>
                <w:szCs w:val="21"/>
                <w:highlight w:val="none"/>
              </w:rPr>
              <w:t>￥</w:t>
            </w:r>
            <w:r>
              <w:rPr>
                <w:rFonts w:ascii="宋体" w:hAnsi="宋体"/>
                <w:color w:val="auto"/>
                <w:sz w:val="24"/>
                <w:szCs w:val="21"/>
                <w:highlight w:val="none"/>
                <w:u w:val="single"/>
              </w:rPr>
              <w:t xml:space="preserve">            </w:t>
            </w:r>
          </w:p>
        </w:tc>
      </w:tr>
    </w:tbl>
    <w:p>
      <w:pPr>
        <w:snapToGrid w:val="0"/>
        <w:spacing w:before="50" w:after="50" w:line="360" w:lineRule="auto"/>
        <w:jc w:val="left"/>
        <w:rPr>
          <w:rFonts w:ascii="宋体" w:hAnsi="宋体"/>
          <w:color w:val="auto"/>
          <w:sz w:val="24"/>
          <w:szCs w:val="20"/>
          <w:highlight w:val="none"/>
        </w:rPr>
      </w:pPr>
      <w:r>
        <w:rPr>
          <w:rFonts w:hint="eastAsia" w:ascii="宋体" w:hAnsi="宋体"/>
          <w:color w:val="auto"/>
          <w:sz w:val="24"/>
          <w:highlight w:val="none"/>
        </w:rPr>
        <w:t>注</w:t>
      </w:r>
      <w:r>
        <w:rPr>
          <w:rFonts w:ascii="宋体" w:hAnsi="宋体"/>
          <w:color w:val="auto"/>
          <w:sz w:val="24"/>
          <w:highlight w:val="none"/>
        </w:rPr>
        <w:t>: 1</w:t>
      </w:r>
      <w:r>
        <w:rPr>
          <w:rFonts w:hint="eastAsia" w:ascii="宋体" w:hAnsi="宋体"/>
          <w:color w:val="auto"/>
          <w:sz w:val="24"/>
          <w:highlight w:val="none"/>
        </w:rPr>
        <w:t>、报价一经涂改，应在涂改处加盖单位公章，否则其投标作无效标处理。</w:t>
      </w:r>
    </w:p>
    <w:p>
      <w:pPr>
        <w:snapToGrid w:val="0"/>
        <w:spacing w:before="50" w:after="50"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2、</w:t>
      </w:r>
      <w:r>
        <w:rPr>
          <w:rFonts w:hint="eastAsia" w:ascii="宋体" w:hAnsi="宋体"/>
          <w:b/>
          <w:color w:val="auto"/>
          <w:sz w:val="24"/>
          <w:highlight w:val="none"/>
        </w:rPr>
        <w:t>报价文件应包括开标一览表。</w:t>
      </w:r>
      <w:r>
        <w:rPr>
          <w:rFonts w:hint="eastAsia" w:ascii="宋体" w:hAnsi="宋体"/>
          <w:color w:val="auto"/>
          <w:sz w:val="24"/>
          <w:highlight w:val="none"/>
        </w:rPr>
        <w:t>为方便开标时唱标，投标人还应再单独制作一份开标一览表和投标文件一起提交。信封封面请注明招标编号、标项、投标人名称及“开标一览表”字样。</w:t>
      </w:r>
    </w:p>
    <w:p>
      <w:pPr>
        <w:snapToGrid w:val="0"/>
        <w:spacing w:before="50" w:after="50" w:line="360" w:lineRule="auto"/>
        <w:ind w:left="-3" w:leftChars="-72" w:right="-817" w:rightChars="-389" w:hanging="148" w:hangingChars="62"/>
        <w:rPr>
          <w:rFonts w:hint="eastAsia"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p>
    <w:p>
      <w:pPr>
        <w:snapToGrid w:val="0"/>
        <w:spacing w:before="50" w:after="50" w:line="360" w:lineRule="auto"/>
        <w:ind w:left="23" w:leftChars="-5" w:right="-817" w:rightChars="-389" w:hanging="33" w:hangingChars="12"/>
        <w:rPr>
          <w:rFonts w:ascii="宋体" w:hAnsi="宋体"/>
          <w:color w:val="auto"/>
          <w:sz w:val="24"/>
          <w:highlight w:val="none"/>
        </w:rPr>
        <w:sectPr>
          <w:footerReference r:id="rId9" w:type="default"/>
          <w:footerReference r:id="rId10" w:type="even"/>
          <w:pgSz w:w="16838" w:h="11906" w:orient="landscape"/>
          <w:pgMar w:top="1246" w:right="1985" w:bottom="1246" w:left="1588" w:header="851" w:footer="992" w:gutter="0"/>
          <w:cols w:space="720" w:num="1"/>
          <w:docGrid w:linePitch="602" w:charSpace="-1675"/>
        </w:sectPr>
      </w:pPr>
      <w:r>
        <w:rPr>
          <w:rFonts w:hint="eastAsia" w:ascii="宋体" w:hAnsi="宋体"/>
          <w:color w:val="auto"/>
          <w:spacing w:val="20"/>
          <w:sz w:val="24"/>
          <w:highlight w:val="none"/>
        </w:rPr>
        <w:t>投标人：</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（盖章）</w:t>
      </w:r>
      <w:r>
        <w:rPr>
          <w:rFonts w:ascii="宋体" w:hAnsi="宋体"/>
          <w:color w:val="auto"/>
          <w:spacing w:val="20"/>
          <w:sz w:val="24"/>
          <w:highlight w:val="none"/>
          <w:u w:val="single"/>
        </w:rPr>
        <w:t xml:space="preserve">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                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p>
    <w:p>
      <w:pPr>
        <w:pStyle w:val="9"/>
        <w:snapToGrid w:val="0"/>
        <w:spacing w:before="295" w:beforeLines="0" w:after="295" w:afterLines="0" w:line="360" w:lineRule="auto"/>
        <w:rPr>
          <w:rFonts w:hAnsi="宋体"/>
          <w:color w:val="auto"/>
          <w:highlight w:val="none"/>
        </w:rPr>
      </w:pPr>
      <w:r>
        <w:rPr>
          <w:rFonts w:hint="eastAsia" w:hAnsi="宋体"/>
          <w:b/>
          <w:color w:val="auto"/>
          <w:highlight w:val="none"/>
        </w:rPr>
        <w:t>17.</w:t>
      </w:r>
      <w:r>
        <w:rPr>
          <w:rFonts w:hAnsi="宋体"/>
          <w:b/>
          <w:color w:val="auto"/>
          <w:highlight w:val="none"/>
        </w:rPr>
        <w:t>投标报价明细表格式（适用于货物类项目）</w:t>
      </w:r>
      <w:r>
        <w:rPr>
          <w:rFonts w:hAnsi="宋体"/>
          <w:color w:val="auto"/>
          <w:highlight w:val="none"/>
        </w:rPr>
        <w:t xml:space="preserve">      </w:t>
      </w:r>
    </w:p>
    <w:p>
      <w:pPr>
        <w:pStyle w:val="9"/>
        <w:snapToGrid w:val="0"/>
        <w:spacing w:before="295" w:beforeLines="0" w:after="295" w:afterLines="0" w:line="360" w:lineRule="auto"/>
        <w:jc w:val="center"/>
        <w:rPr>
          <w:rFonts w:hAnsi="宋体"/>
          <w:b/>
          <w:color w:val="auto"/>
          <w:sz w:val="30"/>
          <w:szCs w:val="30"/>
          <w:highlight w:val="none"/>
        </w:rPr>
      </w:pPr>
      <w:r>
        <w:rPr>
          <w:rFonts w:hAnsi="宋体"/>
          <w:b/>
          <w:color w:val="auto"/>
          <w:sz w:val="30"/>
          <w:szCs w:val="30"/>
          <w:highlight w:val="none"/>
        </w:rPr>
        <w:t>投标报价明细表</w:t>
      </w:r>
    </w:p>
    <w:p>
      <w:pPr>
        <w:pStyle w:val="9"/>
        <w:snapToGrid w:val="0"/>
        <w:spacing w:before="295" w:beforeLines="0" w:after="295" w:afterLines="0" w:line="360" w:lineRule="auto"/>
        <w:rPr>
          <w:rFonts w:hAnsi="宋体"/>
          <w:color w:val="auto"/>
          <w:sz w:val="30"/>
          <w:highlight w:val="none"/>
        </w:rPr>
      </w:pPr>
      <w:r>
        <w:rPr>
          <w:rFonts w:hint="eastAsia" w:hAnsi="宋体"/>
          <w:color w:val="auto"/>
          <w:highlight w:val="none"/>
        </w:rPr>
        <w:t>项目编号</w:t>
      </w:r>
      <w:r>
        <w:rPr>
          <w:rFonts w:hAnsi="宋体"/>
          <w:color w:val="auto"/>
          <w:highlight w:val="none"/>
        </w:rPr>
        <w:t>：</w:t>
      </w:r>
      <w:r>
        <w:rPr>
          <w:rFonts w:hAnsi="宋体"/>
          <w:color w:val="auto"/>
          <w:highlight w:val="none"/>
          <w:u w:val="single"/>
        </w:rPr>
        <w:t xml:space="preserve">              </w:t>
      </w:r>
      <w:r>
        <w:rPr>
          <w:rFonts w:hAnsi="宋体"/>
          <w:color w:val="auto"/>
          <w:sz w:val="30"/>
          <w:highlight w:val="none"/>
        </w:rPr>
        <w:t xml:space="preserve">                   </w:t>
      </w:r>
      <w:r>
        <w:rPr>
          <w:rFonts w:hAnsi="宋体"/>
          <w:color w:val="auto"/>
          <w:szCs w:val="21"/>
          <w:highlight w:val="none"/>
        </w:rPr>
        <w:t>金额单位：人民币（元）</w:t>
      </w:r>
    </w:p>
    <w:tbl>
      <w:tblPr>
        <w:tblStyle w:val="15"/>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color w:val="auto"/>
                <w:spacing w:val="20"/>
                <w:sz w:val="24"/>
                <w:szCs w:val="20"/>
                <w:highlight w:val="none"/>
              </w:rPr>
            </w:pPr>
            <w:r>
              <w:rPr>
                <w:rFonts w:hint="eastAsia" w:ascii="宋体" w:hAnsi="宋体"/>
                <w:color w:val="auto"/>
                <w:sz w:val="24"/>
                <w:highlight w:val="none"/>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color w:val="auto"/>
                <w:spacing w:val="20"/>
                <w:sz w:val="24"/>
                <w:szCs w:val="20"/>
                <w:highlight w:val="none"/>
              </w:rPr>
            </w:pPr>
            <w:r>
              <w:rPr>
                <w:rFonts w:hint="eastAsia" w:ascii="宋体" w:hAnsi="宋体"/>
                <w:color w:val="auto"/>
                <w:sz w:val="24"/>
                <w:highlight w:val="none"/>
              </w:rPr>
              <w:t>设备名称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50" w:after="50"/>
              <w:rPr>
                <w:rFonts w:ascii="宋体" w:hAnsi="宋体" w:eastAsia="宋体"/>
                <w:color w:val="auto"/>
                <w:highlight w:val="none"/>
              </w:rPr>
            </w:pPr>
            <w:r>
              <w:rPr>
                <w:rFonts w:ascii="宋体" w:hAnsi="宋体" w:eastAsia="宋体"/>
                <w:color w:val="auto"/>
                <w:highlight w:val="none"/>
              </w:rPr>
              <w:t>品牌</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color w:val="auto"/>
                <w:spacing w:val="20"/>
                <w:sz w:val="24"/>
                <w:szCs w:val="20"/>
                <w:highlight w:val="none"/>
              </w:rPr>
            </w:pPr>
            <w:r>
              <w:rPr>
                <w:rFonts w:hint="eastAsia" w:ascii="宋体" w:hAnsi="宋体"/>
                <w:color w:val="auto"/>
                <w:sz w:val="24"/>
                <w:highlight w:val="none"/>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color w:val="auto"/>
                <w:spacing w:val="20"/>
                <w:sz w:val="24"/>
                <w:szCs w:val="20"/>
                <w:highlight w:val="none"/>
              </w:rPr>
            </w:pPr>
            <w:r>
              <w:rPr>
                <w:rFonts w:hint="eastAsia" w:ascii="宋体" w:hAnsi="宋体"/>
                <w:color w:val="auto"/>
                <w:sz w:val="24"/>
                <w:highlight w:val="none"/>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color w:val="auto"/>
                <w:spacing w:val="20"/>
                <w:sz w:val="24"/>
                <w:szCs w:val="20"/>
                <w:highlight w:val="none"/>
              </w:rPr>
            </w:pPr>
            <w:r>
              <w:rPr>
                <w:rFonts w:hint="eastAsia" w:ascii="宋体" w:hAnsi="宋体"/>
                <w:color w:val="auto"/>
                <w:sz w:val="24"/>
                <w:highlight w:val="none"/>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color w:val="auto"/>
                <w:spacing w:val="20"/>
                <w:sz w:val="24"/>
                <w:szCs w:val="20"/>
                <w:highlight w:val="none"/>
              </w:rPr>
            </w:pPr>
            <w:r>
              <w:rPr>
                <w:rFonts w:hint="eastAsia" w:ascii="宋体" w:hAnsi="宋体"/>
                <w:color w:val="auto"/>
                <w:sz w:val="24"/>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Cs w:val="20"/>
                <w:highlight w:val="none"/>
              </w:rPr>
            </w:pPr>
            <w:r>
              <w:rPr>
                <w:rFonts w:ascii="宋体" w:hAnsi="宋体"/>
                <w:color w:val="auto"/>
                <w:spacing w:val="20"/>
                <w:highlight w:val="none"/>
              </w:rPr>
              <w:t>……</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r>
              <w:rPr>
                <w:rFonts w:hint="eastAsia" w:ascii="宋体" w:hAnsi="宋体"/>
                <w:color w:val="auto"/>
                <w:spacing w:val="20"/>
                <w:sz w:val="24"/>
                <w:highlight w:val="none"/>
              </w:rPr>
              <w:t>专用耗材</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4140" w:type="dxa"/>
            <w:gridSpan w:val="3"/>
            <w:tcBorders>
              <w:top w:val="single" w:color="auto" w:sz="4" w:space="0"/>
              <w:left w:val="single" w:color="auto" w:sz="4" w:space="0"/>
              <w:bottom w:val="single" w:color="auto" w:sz="4" w:space="0"/>
              <w:right w:val="single" w:color="auto" w:sz="4" w:space="0"/>
            </w:tcBorders>
            <w:noWrap w:val="0"/>
            <w:vAlign w:val="top"/>
          </w:tcPr>
          <w:p>
            <w:pPr>
              <w:pStyle w:val="23"/>
              <w:tabs>
                <w:tab w:val="left" w:pos="1418"/>
              </w:tabs>
              <w:snapToGrid w:val="0"/>
              <w:spacing w:before="50" w:after="50" w:line="360" w:lineRule="auto"/>
              <w:rPr>
                <w:rFonts w:ascii="宋体" w:hAnsi="宋体"/>
                <w:color w:val="auto"/>
                <w:spacing w:val="20"/>
                <w:szCs w:val="24"/>
                <w:highlight w:val="none"/>
              </w:rPr>
            </w:pPr>
            <w:r>
              <w:rPr>
                <w:rFonts w:hint="eastAsia" w:ascii="宋体" w:hAnsi="宋体"/>
                <w:color w:val="auto"/>
                <w:spacing w:val="20"/>
                <w:szCs w:val="24"/>
                <w:highlight w:val="none"/>
              </w:rPr>
              <w:t>运输费、安装调试费</w:t>
            </w: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4140" w:type="dxa"/>
            <w:gridSpan w:val="3"/>
            <w:tcBorders>
              <w:top w:val="single" w:color="auto" w:sz="4" w:space="0"/>
              <w:left w:val="single" w:color="auto" w:sz="4" w:space="0"/>
              <w:bottom w:val="single" w:color="auto" w:sz="4" w:space="0"/>
              <w:right w:val="single" w:color="auto" w:sz="4" w:space="0"/>
            </w:tcBorders>
            <w:noWrap w:val="0"/>
            <w:vAlign w:val="top"/>
          </w:tcPr>
          <w:p>
            <w:pPr>
              <w:pStyle w:val="23"/>
              <w:tabs>
                <w:tab w:val="left" w:pos="1418"/>
              </w:tabs>
              <w:snapToGrid w:val="0"/>
              <w:spacing w:before="50" w:after="50" w:line="360" w:lineRule="auto"/>
              <w:rPr>
                <w:rFonts w:ascii="宋体" w:hAnsi="宋体"/>
                <w:color w:val="auto"/>
                <w:spacing w:val="20"/>
                <w:szCs w:val="24"/>
                <w:highlight w:val="none"/>
              </w:rPr>
            </w:pPr>
            <w:r>
              <w:rPr>
                <w:rFonts w:hint="eastAsia" w:ascii="宋体" w:hAnsi="宋体"/>
                <w:color w:val="auto"/>
                <w:spacing w:val="20"/>
                <w:szCs w:val="24"/>
                <w:highlight w:val="none"/>
              </w:rPr>
              <w:t>其他：</w:t>
            </w: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r>
              <w:rPr>
                <w:rFonts w:hint="eastAsia" w:ascii="宋体" w:hAnsi="宋体"/>
                <w:color w:val="auto"/>
                <w:spacing w:val="20"/>
                <w:sz w:val="24"/>
                <w:highlight w:val="none"/>
              </w:rPr>
              <w:t>投 标 总</w:t>
            </w:r>
            <w:r>
              <w:rPr>
                <w:rFonts w:ascii="宋体" w:hAnsi="宋体"/>
                <w:color w:val="auto"/>
                <w:spacing w:val="20"/>
                <w:sz w:val="24"/>
                <w:highlight w:val="none"/>
              </w:rPr>
              <w:t xml:space="preserve">  </w:t>
            </w:r>
            <w:r>
              <w:rPr>
                <w:rFonts w:hint="eastAsia" w:ascii="宋体" w:hAnsi="宋体"/>
                <w:color w:val="auto"/>
                <w:spacing w:val="20"/>
                <w:sz w:val="24"/>
                <w:highlight w:val="none"/>
              </w:rPr>
              <w:t>价</w:t>
            </w: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bl>
    <w:p>
      <w:pPr>
        <w:tabs>
          <w:tab w:val="left" w:pos="1418"/>
        </w:tabs>
        <w:snapToGrid w:val="0"/>
        <w:spacing w:before="50" w:after="50" w:line="360" w:lineRule="auto"/>
        <w:ind w:left="1418" w:hanging="567"/>
        <w:jc w:val="center"/>
        <w:rPr>
          <w:rFonts w:ascii="宋体" w:hAnsi="宋体"/>
          <w:color w:val="auto"/>
          <w:spacing w:val="20"/>
          <w:sz w:val="24"/>
          <w:szCs w:val="20"/>
          <w:highlight w:val="none"/>
          <w:u w:val="single"/>
        </w:rPr>
      </w:pPr>
    </w:p>
    <w:p>
      <w:pPr>
        <w:snapToGrid w:val="0"/>
        <w:spacing w:before="50" w:after="50" w:line="360" w:lineRule="auto"/>
        <w:rPr>
          <w:rFonts w:ascii="宋体" w:hAnsi="宋体"/>
          <w:color w:val="auto"/>
          <w:spacing w:val="20"/>
          <w:sz w:val="24"/>
          <w:szCs w:val="20"/>
          <w:highlight w:val="none"/>
          <w:u w:val="single"/>
        </w:rPr>
      </w:pPr>
    </w:p>
    <w:p>
      <w:pPr>
        <w:snapToGrid w:val="0"/>
        <w:spacing w:before="50" w:after="50" w:line="360" w:lineRule="auto"/>
        <w:rPr>
          <w:rFonts w:ascii="宋体" w:hAnsi="宋体"/>
          <w:color w:val="auto"/>
          <w:spacing w:val="20"/>
          <w:sz w:val="24"/>
          <w:highlight w:val="none"/>
          <w:u w:val="single"/>
        </w:rPr>
      </w:pPr>
      <w:r>
        <w:rPr>
          <w:rFonts w:hint="eastAsia" w:ascii="宋体" w:hAnsi="宋体"/>
          <w:color w:val="auto"/>
          <w:spacing w:val="20"/>
          <w:sz w:val="24"/>
          <w:highlight w:val="none"/>
        </w:rPr>
        <w:t>投标人：</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（盖章）</w:t>
      </w:r>
      <w:r>
        <w:rPr>
          <w:rFonts w:ascii="宋体" w:hAnsi="宋体"/>
          <w:color w:val="auto"/>
          <w:spacing w:val="20"/>
          <w:sz w:val="24"/>
          <w:highlight w:val="none"/>
          <w:u w:val="single"/>
        </w:rPr>
        <w:t xml:space="preserve">      </w:t>
      </w:r>
      <w:r>
        <w:rPr>
          <w:rFonts w:ascii="宋体" w:hAnsi="宋体"/>
          <w:color w:val="auto"/>
          <w:spacing w:val="20"/>
          <w:sz w:val="24"/>
          <w:highlight w:val="none"/>
        </w:rPr>
        <w:t xml:space="preserve">     </w:t>
      </w: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p>
    <w:p>
      <w:pPr>
        <w:pStyle w:val="9"/>
        <w:spacing w:line="360" w:lineRule="auto"/>
        <w:rPr>
          <w:rFonts w:hint="eastAsia" w:hAnsi="宋体"/>
          <w:color w:val="auto"/>
          <w:spacing w:val="20"/>
          <w:highlight w:val="none"/>
          <w:u w:val="single"/>
        </w:rPr>
      </w:pPr>
      <w:r>
        <w:rPr>
          <w:rFonts w:hAnsi="宋体"/>
          <w:color w:val="auto"/>
          <w:spacing w:val="20"/>
          <w:highlight w:val="none"/>
          <w:u w:val="single"/>
        </w:rPr>
        <w:br w:type="page"/>
      </w:r>
      <w:r>
        <w:rPr>
          <w:rFonts w:hint="eastAsia" w:hAnsi="宋体"/>
          <w:b/>
          <w:color w:val="auto"/>
          <w:highlight w:val="none"/>
        </w:rPr>
        <w:t>18.</w:t>
      </w:r>
      <w:r>
        <w:rPr>
          <w:rFonts w:ascii="Times New Roman" w:hAnsi="宋体"/>
          <w:b/>
          <w:bCs/>
          <w:color w:val="auto"/>
          <w:highlight w:val="none"/>
        </w:rPr>
        <w:t>政府采购政策情况表</w:t>
      </w:r>
    </w:p>
    <w:p>
      <w:pPr>
        <w:pStyle w:val="9"/>
        <w:spacing w:line="360" w:lineRule="auto"/>
        <w:jc w:val="center"/>
        <w:rPr>
          <w:rFonts w:ascii="Times New Roman" w:hAnsi="Times New Roman"/>
          <w:b/>
          <w:bCs/>
          <w:color w:val="auto"/>
          <w:sz w:val="30"/>
          <w:szCs w:val="30"/>
          <w:highlight w:val="none"/>
        </w:rPr>
      </w:pPr>
      <w:r>
        <w:rPr>
          <w:rFonts w:ascii="Times New Roman" w:hAnsi="宋体"/>
          <w:b/>
          <w:bCs/>
          <w:color w:val="auto"/>
          <w:sz w:val="30"/>
          <w:szCs w:val="30"/>
          <w:highlight w:val="none"/>
        </w:rPr>
        <w:t>政府采购政策情况表</w:t>
      </w:r>
    </w:p>
    <w:p>
      <w:pPr>
        <w:pStyle w:val="9"/>
        <w:spacing w:line="360" w:lineRule="auto"/>
        <w:rPr>
          <w:rFonts w:ascii="Times New Roman" w:hAnsi="Times New Roman"/>
          <w:b/>
          <w:color w:val="auto"/>
          <w:sz w:val="28"/>
          <w:szCs w:val="28"/>
          <w:highlight w:val="none"/>
        </w:rPr>
      </w:pPr>
      <w:r>
        <w:rPr>
          <w:rFonts w:ascii="Times New Roman" w:hAnsi="宋体"/>
          <w:b/>
          <w:bCs/>
          <w:color w:val="auto"/>
          <w:szCs w:val="21"/>
          <w:highlight w:val="none"/>
        </w:rPr>
        <w:t>项目</w:t>
      </w:r>
      <w:r>
        <w:rPr>
          <w:rFonts w:hint="eastAsia" w:ascii="Times New Roman" w:hAnsi="宋体"/>
          <w:b/>
          <w:bCs/>
          <w:color w:val="auto"/>
          <w:szCs w:val="21"/>
          <w:highlight w:val="none"/>
        </w:rPr>
        <w:t>编号</w:t>
      </w:r>
      <w:r>
        <w:rPr>
          <w:rFonts w:ascii="Times New Roman" w:hAnsi="宋体"/>
          <w:b/>
          <w:bCs/>
          <w:color w:val="auto"/>
          <w:szCs w:val="21"/>
          <w:highlight w:val="none"/>
        </w:rPr>
        <w:t>：</w:t>
      </w:r>
      <w:r>
        <w:rPr>
          <w:rFonts w:ascii="Times New Roman" w:hAnsi="Times New Roman"/>
          <w:b/>
          <w:bCs/>
          <w:color w:val="auto"/>
          <w:szCs w:val="21"/>
          <w:highlight w:val="non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238"/>
        <w:gridCol w:w="69"/>
        <w:gridCol w:w="196"/>
        <w:gridCol w:w="1332"/>
        <w:gridCol w:w="44"/>
        <w:gridCol w:w="23"/>
        <w:gridCol w:w="104"/>
        <w:gridCol w:w="1247"/>
        <w:gridCol w:w="11"/>
        <w:gridCol w:w="57"/>
        <w:gridCol w:w="1609"/>
        <w:gridCol w:w="28"/>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rPr>
              <w:t>小型、微型企业产品</w:t>
            </w:r>
          </w:p>
        </w:tc>
        <w:tc>
          <w:tcPr>
            <w:tcW w:w="1238" w:type="dxa"/>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产品名称</w:t>
            </w:r>
          </w:p>
        </w:tc>
        <w:tc>
          <w:tcPr>
            <w:tcW w:w="1641" w:type="dxa"/>
            <w:gridSpan w:val="4"/>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品牌型号</w:t>
            </w:r>
          </w:p>
        </w:tc>
        <w:tc>
          <w:tcPr>
            <w:tcW w:w="1374" w:type="dxa"/>
            <w:gridSpan w:val="3"/>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制造商</w:t>
            </w:r>
          </w:p>
        </w:tc>
        <w:tc>
          <w:tcPr>
            <w:tcW w:w="1677" w:type="dxa"/>
            <w:gridSpan w:val="3"/>
            <w:noWrap w:val="0"/>
            <w:vAlign w:val="center"/>
          </w:tcPr>
          <w:p>
            <w:pPr>
              <w:pStyle w:val="25"/>
              <w:tabs>
                <w:tab w:val="left" w:pos="1260"/>
              </w:tabs>
              <w:snapToGrid w:val="0"/>
              <w:jc w:val="center"/>
              <w:rPr>
                <w:color w:val="auto"/>
                <w:szCs w:val="21"/>
                <w:highlight w:val="none"/>
                <w:lang w:val="en-GB"/>
              </w:rPr>
            </w:pPr>
            <w:r>
              <w:rPr>
                <w:rFonts w:hAnsi="宋体"/>
                <w:color w:val="auto"/>
                <w:szCs w:val="21"/>
                <w:highlight w:val="none"/>
              </w:rPr>
              <w:t>小型</w:t>
            </w:r>
            <w:r>
              <w:rPr>
                <w:rFonts w:hint="eastAsia" w:hAnsi="宋体"/>
                <w:color w:val="auto"/>
                <w:szCs w:val="21"/>
                <w:highlight w:val="none"/>
              </w:rPr>
              <w:t>/</w:t>
            </w:r>
            <w:r>
              <w:rPr>
                <w:rFonts w:hAnsi="宋体"/>
                <w:color w:val="auto"/>
                <w:szCs w:val="21"/>
                <w:highlight w:val="none"/>
              </w:rPr>
              <w:t>微型企业</w:t>
            </w:r>
          </w:p>
        </w:tc>
        <w:tc>
          <w:tcPr>
            <w:tcW w:w="1590" w:type="dxa"/>
            <w:gridSpan w:val="2"/>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1238" w:type="dxa"/>
            <w:noWrap w:val="0"/>
            <w:vAlign w:val="center"/>
          </w:tcPr>
          <w:p>
            <w:pPr>
              <w:pStyle w:val="25"/>
              <w:tabs>
                <w:tab w:val="left" w:pos="1260"/>
              </w:tabs>
              <w:snapToGrid w:val="0"/>
              <w:spacing w:line="360" w:lineRule="auto"/>
              <w:jc w:val="center"/>
              <w:rPr>
                <w:color w:val="auto"/>
                <w:szCs w:val="21"/>
                <w:highlight w:val="none"/>
                <w:lang w:val="en-GB"/>
              </w:rPr>
            </w:pPr>
          </w:p>
        </w:tc>
        <w:tc>
          <w:tcPr>
            <w:tcW w:w="1641" w:type="dxa"/>
            <w:gridSpan w:val="4"/>
            <w:noWrap w:val="0"/>
            <w:vAlign w:val="center"/>
          </w:tcPr>
          <w:p>
            <w:pPr>
              <w:pStyle w:val="25"/>
              <w:tabs>
                <w:tab w:val="left" w:pos="1260"/>
              </w:tabs>
              <w:snapToGrid w:val="0"/>
              <w:spacing w:line="360" w:lineRule="auto"/>
              <w:jc w:val="center"/>
              <w:rPr>
                <w:color w:val="auto"/>
                <w:szCs w:val="21"/>
                <w:highlight w:val="none"/>
                <w:lang w:val="en-GB"/>
              </w:rPr>
            </w:pPr>
          </w:p>
        </w:tc>
        <w:tc>
          <w:tcPr>
            <w:tcW w:w="1374" w:type="dxa"/>
            <w:gridSpan w:val="3"/>
            <w:noWrap w:val="0"/>
            <w:vAlign w:val="center"/>
          </w:tcPr>
          <w:p>
            <w:pPr>
              <w:pStyle w:val="25"/>
              <w:tabs>
                <w:tab w:val="left" w:pos="1260"/>
              </w:tabs>
              <w:snapToGrid w:val="0"/>
              <w:spacing w:line="360" w:lineRule="auto"/>
              <w:jc w:val="center"/>
              <w:rPr>
                <w:color w:val="auto"/>
                <w:szCs w:val="21"/>
                <w:highlight w:val="none"/>
                <w:lang w:val="en-GB"/>
              </w:rPr>
            </w:pPr>
          </w:p>
        </w:tc>
        <w:tc>
          <w:tcPr>
            <w:tcW w:w="1677" w:type="dxa"/>
            <w:gridSpan w:val="3"/>
            <w:noWrap w:val="0"/>
            <w:vAlign w:val="center"/>
          </w:tcPr>
          <w:p>
            <w:pPr>
              <w:pStyle w:val="25"/>
              <w:tabs>
                <w:tab w:val="left" w:pos="1260"/>
              </w:tabs>
              <w:snapToGrid w:val="0"/>
              <w:spacing w:line="360" w:lineRule="auto"/>
              <w:jc w:val="center"/>
              <w:rPr>
                <w:color w:val="auto"/>
                <w:szCs w:val="21"/>
                <w:highlight w:val="none"/>
                <w:lang w:val="en-GB"/>
              </w:rPr>
            </w:pPr>
          </w:p>
        </w:tc>
        <w:tc>
          <w:tcPr>
            <w:tcW w:w="1590" w:type="dxa"/>
            <w:gridSpan w:val="2"/>
            <w:noWrap w:val="0"/>
            <w:vAlign w:val="center"/>
          </w:tcPr>
          <w:p>
            <w:pPr>
              <w:pStyle w:val="25"/>
              <w:tabs>
                <w:tab w:val="left" w:pos="1260"/>
              </w:tabs>
              <w:snapToGrid w:val="0"/>
              <w:spacing w:line="360" w:lineRule="auto"/>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1238" w:type="dxa"/>
            <w:noWrap w:val="0"/>
            <w:vAlign w:val="center"/>
          </w:tcPr>
          <w:p>
            <w:pPr>
              <w:pStyle w:val="25"/>
              <w:tabs>
                <w:tab w:val="left" w:pos="1260"/>
              </w:tabs>
              <w:snapToGrid w:val="0"/>
              <w:spacing w:line="360" w:lineRule="auto"/>
              <w:jc w:val="center"/>
              <w:rPr>
                <w:color w:val="auto"/>
                <w:szCs w:val="21"/>
                <w:highlight w:val="none"/>
                <w:lang w:val="en-GB"/>
              </w:rPr>
            </w:pPr>
          </w:p>
        </w:tc>
        <w:tc>
          <w:tcPr>
            <w:tcW w:w="1641" w:type="dxa"/>
            <w:gridSpan w:val="4"/>
            <w:noWrap w:val="0"/>
            <w:vAlign w:val="center"/>
          </w:tcPr>
          <w:p>
            <w:pPr>
              <w:pStyle w:val="25"/>
              <w:tabs>
                <w:tab w:val="left" w:pos="1260"/>
              </w:tabs>
              <w:snapToGrid w:val="0"/>
              <w:spacing w:line="360" w:lineRule="auto"/>
              <w:jc w:val="center"/>
              <w:rPr>
                <w:color w:val="auto"/>
                <w:szCs w:val="21"/>
                <w:highlight w:val="none"/>
                <w:lang w:val="en-GB"/>
              </w:rPr>
            </w:pPr>
          </w:p>
        </w:tc>
        <w:tc>
          <w:tcPr>
            <w:tcW w:w="1374" w:type="dxa"/>
            <w:gridSpan w:val="3"/>
            <w:noWrap w:val="0"/>
            <w:vAlign w:val="center"/>
          </w:tcPr>
          <w:p>
            <w:pPr>
              <w:pStyle w:val="25"/>
              <w:tabs>
                <w:tab w:val="left" w:pos="1260"/>
              </w:tabs>
              <w:snapToGrid w:val="0"/>
              <w:spacing w:line="360" w:lineRule="auto"/>
              <w:jc w:val="center"/>
              <w:rPr>
                <w:color w:val="auto"/>
                <w:szCs w:val="21"/>
                <w:highlight w:val="none"/>
                <w:lang w:val="en-GB"/>
              </w:rPr>
            </w:pPr>
          </w:p>
        </w:tc>
        <w:tc>
          <w:tcPr>
            <w:tcW w:w="1677" w:type="dxa"/>
            <w:gridSpan w:val="3"/>
            <w:noWrap w:val="0"/>
            <w:vAlign w:val="center"/>
          </w:tcPr>
          <w:p>
            <w:pPr>
              <w:pStyle w:val="25"/>
              <w:tabs>
                <w:tab w:val="left" w:pos="1260"/>
              </w:tabs>
              <w:snapToGrid w:val="0"/>
              <w:spacing w:line="360" w:lineRule="auto"/>
              <w:jc w:val="center"/>
              <w:rPr>
                <w:color w:val="auto"/>
                <w:szCs w:val="21"/>
                <w:highlight w:val="none"/>
                <w:lang w:val="en-GB"/>
              </w:rPr>
            </w:pPr>
          </w:p>
        </w:tc>
        <w:tc>
          <w:tcPr>
            <w:tcW w:w="1590" w:type="dxa"/>
            <w:gridSpan w:val="2"/>
            <w:noWrap w:val="0"/>
            <w:vAlign w:val="center"/>
          </w:tcPr>
          <w:p>
            <w:pPr>
              <w:pStyle w:val="25"/>
              <w:tabs>
                <w:tab w:val="left" w:pos="1260"/>
              </w:tabs>
              <w:snapToGrid w:val="0"/>
              <w:spacing w:line="360" w:lineRule="auto"/>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5930" w:type="dxa"/>
            <w:gridSpan w:val="11"/>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rPr>
              <w:t>小型、微型企业产品</w:t>
            </w:r>
            <w:r>
              <w:rPr>
                <w:rFonts w:hAnsi="宋体"/>
                <w:color w:val="auto"/>
                <w:szCs w:val="21"/>
                <w:highlight w:val="none"/>
                <w:lang w:val="en-GB"/>
              </w:rPr>
              <w:t>金额合计</w:t>
            </w:r>
          </w:p>
        </w:tc>
        <w:tc>
          <w:tcPr>
            <w:tcW w:w="1590" w:type="dxa"/>
            <w:gridSpan w:val="2"/>
            <w:noWrap w:val="0"/>
            <w:vAlign w:val="center"/>
          </w:tcPr>
          <w:p>
            <w:pPr>
              <w:pStyle w:val="25"/>
              <w:tabs>
                <w:tab w:val="left" w:pos="1260"/>
              </w:tabs>
              <w:snapToGrid w:val="0"/>
              <w:spacing w:line="360" w:lineRule="auto"/>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5930" w:type="dxa"/>
            <w:gridSpan w:val="11"/>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比重（</w:t>
            </w:r>
            <w:r>
              <w:rPr>
                <w:rFonts w:hAnsi="宋体"/>
                <w:color w:val="auto"/>
                <w:szCs w:val="21"/>
                <w:highlight w:val="none"/>
              </w:rPr>
              <w:t>小型、微型企业产品</w:t>
            </w:r>
            <w:r>
              <w:rPr>
                <w:rFonts w:hAnsi="宋体"/>
                <w:color w:val="auto"/>
                <w:szCs w:val="21"/>
                <w:highlight w:val="none"/>
                <w:lang w:val="en-GB"/>
              </w:rPr>
              <w:t>金额</w:t>
            </w:r>
            <w:r>
              <w:rPr>
                <w:color w:val="auto"/>
                <w:szCs w:val="21"/>
                <w:highlight w:val="none"/>
                <w:lang w:val="en-GB"/>
              </w:rPr>
              <w:t>/</w:t>
            </w:r>
            <w:r>
              <w:rPr>
                <w:rFonts w:hAnsi="宋体"/>
                <w:color w:val="auto"/>
                <w:szCs w:val="21"/>
                <w:highlight w:val="none"/>
                <w:lang w:val="en-GB"/>
              </w:rPr>
              <w:t>投标总价）</w:t>
            </w:r>
          </w:p>
        </w:tc>
        <w:tc>
          <w:tcPr>
            <w:tcW w:w="1590" w:type="dxa"/>
            <w:gridSpan w:val="2"/>
            <w:noWrap w:val="0"/>
            <w:vAlign w:val="center"/>
          </w:tcPr>
          <w:p>
            <w:pPr>
              <w:pStyle w:val="25"/>
              <w:tabs>
                <w:tab w:val="left" w:pos="1260"/>
              </w:tabs>
              <w:snapToGrid w:val="0"/>
              <w:spacing w:line="360" w:lineRule="auto"/>
              <w:jc w:val="center"/>
              <w:rPr>
                <w:color w:val="auto"/>
                <w:szCs w:val="21"/>
                <w:highlight w:val="none"/>
                <w:lang w:val="en-GB"/>
              </w:rPr>
            </w:pPr>
            <w:r>
              <w:rPr>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7520" w:type="dxa"/>
            <w:gridSpan w:val="13"/>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rPr>
              <w:t>小型、微型企业证明材料见投标文件第</w:t>
            </w:r>
            <w:r>
              <w:rPr>
                <w:color w:val="auto"/>
                <w:szCs w:val="21"/>
                <w:highlight w:val="none"/>
                <w:u w:val="single"/>
              </w:rPr>
              <w:t xml:space="preserve">   </w:t>
            </w:r>
            <w:r>
              <w:rPr>
                <w:rFonts w:hAnsi="宋体"/>
                <w:color w:val="auto"/>
                <w:szCs w:val="21"/>
                <w:highlight w:val="none"/>
              </w:rPr>
              <w:t>至</w:t>
            </w:r>
            <w:r>
              <w:rPr>
                <w:color w:val="auto"/>
                <w:szCs w:val="21"/>
                <w:highlight w:val="none"/>
                <w:u w:val="single"/>
              </w:rPr>
              <w:t xml:space="preserve">   </w:t>
            </w:r>
            <w:r>
              <w:rPr>
                <w:rFonts w:hAnsi="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noWrap w:val="0"/>
            <w:vAlign w:val="center"/>
          </w:tcPr>
          <w:p>
            <w:pPr>
              <w:pStyle w:val="25"/>
              <w:tabs>
                <w:tab w:val="left" w:pos="1260"/>
              </w:tabs>
              <w:snapToGrid w:val="0"/>
              <w:spacing w:line="360" w:lineRule="auto"/>
              <w:jc w:val="center"/>
              <w:rPr>
                <w:rFonts w:hint="eastAsia" w:hAnsi="宋体"/>
                <w:color w:val="auto"/>
                <w:szCs w:val="21"/>
                <w:highlight w:val="none"/>
                <w:lang w:val="en-GB"/>
              </w:rPr>
            </w:pPr>
            <w:r>
              <w:rPr>
                <w:rFonts w:hint="eastAsia" w:hAnsi="宋体"/>
                <w:color w:val="auto"/>
                <w:szCs w:val="21"/>
                <w:highlight w:val="none"/>
                <w:lang w:val="en-GB"/>
              </w:rPr>
              <w:t>监狱企</w:t>
            </w:r>
          </w:p>
          <w:p>
            <w:pPr>
              <w:pStyle w:val="25"/>
              <w:tabs>
                <w:tab w:val="left" w:pos="1260"/>
              </w:tabs>
              <w:snapToGrid w:val="0"/>
              <w:spacing w:line="360" w:lineRule="auto"/>
              <w:jc w:val="center"/>
              <w:rPr>
                <w:color w:val="auto"/>
                <w:szCs w:val="21"/>
                <w:highlight w:val="none"/>
                <w:lang w:val="en-GB"/>
              </w:rPr>
            </w:pPr>
            <w:r>
              <w:rPr>
                <w:rFonts w:hint="eastAsia" w:hAnsi="宋体"/>
                <w:color w:val="auto"/>
                <w:szCs w:val="21"/>
                <w:highlight w:val="none"/>
                <w:lang w:val="en-GB"/>
              </w:rPr>
              <w:t>业产品</w:t>
            </w:r>
          </w:p>
        </w:tc>
        <w:tc>
          <w:tcPr>
            <w:tcW w:w="1307" w:type="dxa"/>
            <w:gridSpan w:val="2"/>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产品名称</w:t>
            </w:r>
          </w:p>
        </w:tc>
        <w:tc>
          <w:tcPr>
            <w:tcW w:w="1595" w:type="dxa"/>
            <w:gridSpan w:val="4"/>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品牌型号</w:t>
            </w:r>
          </w:p>
        </w:tc>
        <w:tc>
          <w:tcPr>
            <w:tcW w:w="1419" w:type="dxa"/>
            <w:gridSpan w:val="4"/>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制造商</w:t>
            </w:r>
          </w:p>
        </w:tc>
        <w:tc>
          <w:tcPr>
            <w:tcW w:w="1609" w:type="dxa"/>
            <w:noWrap w:val="0"/>
            <w:vAlign w:val="center"/>
          </w:tcPr>
          <w:p>
            <w:pPr>
              <w:pStyle w:val="25"/>
              <w:tabs>
                <w:tab w:val="left" w:pos="1260"/>
              </w:tabs>
              <w:snapToGrid w:val="0"/>
              <w:jc w:val="center"/>
              <w:rPr>
                <w:color w:val="auto"/>
                <w:szCs w:val="21"/>
                <w:highlight w:val="none"/>
                <w:lang w:val="en-GB"/>
              </w:rPr>
            </w:pPr>
            <w:r>
              <w:rPr>
                <w:rFonts w:hAnsi="宋体"/>
                <w:color w:val="auto"/>
                <w:szCs w:val="21"/>
                <w:highlight w:val="none"/>
                <w:lang w:val="en-GB"/>
              </w:rPr>
              <w:t>制造商</w:t>
            </w:r>
          </w:p>
          <w:p>
            <w:pPr>
              <w:pStyle w:val="25"/>
              <w:tabs>
                <w:tab w:val="left" w:pos="1260"/>
              </w:tabs>
              <w:snapToGrid w:val="0"/>
              <w:jc w:val="center"/>
              <w:rPr>
                <w:color w:val="auto"/>
                <w:szCs w:val="21"/>
                <w:highlight w:val="none"/>
                <w:lang w:val="en-GB"/>
              </w:rPr>
            </w:pPr>
            <w:r>
              <w:rPr>
                <w:rFonts w:hAnsi="宋体"/>
                <w:color w:val="auto"/>
                <w:szCs w:val="21"/>
                <w:highlight w:val="none"/>
                <w:lang w:val="en-GB"/>
              </w:rPr>
              <w:t>企业类型</w:t>
            </w:r>
          </w:p>
        </w:tc>
        <w:tc>
          <w:tcPr>
            <w:tcW w:w="1590" w:type="dxa"/>
            <w:gridSpan w:val="2"/>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noWrap w:val="0"/>
            <w:vAlign w:val="center"/>
          </w:tcPr>
          <w:p>
            <w:pPr>
              <w:pStyle w:val="25"/>
              <w:tabs>
                <w:tab w:val="left" w:pos="1260"/>
              </w:tabs>
              <w:snapToGrid w:val="0"/>
              <w:spacing w:line="360" w:lineRule="auto"/>
              <w:jc w:val="center"/>
              <w:rPr>
                <w:rFonts w:hint="eastAsia" w:hAnsi="宋体"/>
                <w:color w:val="auto"/>
                <w:szCs w:val="21"/>
                <w:highlight w:val="none"/>
                <w:lang w:val="en-GB"/>
              </w:rPr>
            </w:pPr>
          </w:p>
        </w:tc>
        <w:tc>
          <w:tcPr>
            <w:tcW w:w="1307" w:type="dxa"/>
            <w:gridSpan w:val="2"/>
            <w:noWrap w:val="0"/>
            <w:vAlign w:val="center"/>
          </w:tcPr>
          <w:p>
            <w:pPr>
              <w:pStyle w:val="25"/>
              <w:tabs>
                <w:tab w:val="left" w:pos="1260"/>
              </w:tabs>
              <w:snapToGrid w:val="0"/>
              <w:spacing w:line="360" w:lineRule="auto"/>
              <w:jc w:val="center"/>
              <w:rPr>
                <w:rFonts w:hAnsi="宋体"/>
                <w:color w:val="auto"/>
                <w:szCs w:val="21"/>
                <w:highlight w:val="none"/>
              </w:rPr>
            </w:pPr>
          </w:p>
        </w:tc>
        <w:tc>
          <w:tcPr>
            <w:tcW w:w="1595" w:type="dxa"/>
            <w:gridSpan w:val="4"/>
            <w:noWrap w:val="0"/>
            <w:vAlign w:val="center"/>
          </w:tcPr>
          <w:p>
            <w:pPr>
              <w:pStyle w:val="25"/>
              <w:tabs>
                <w:tab w:val="left" w:pos="1260"/>
              </w:tabs>
              <w:snapToGrid w:val="0"/>
              <w:spacing w:line="360" w:lineRule="auto"/>
              <w:jc w:val="center"/>
              <w:rPr>
                <w:rFonts w:hAnsi="宋体"/>
                <w:color w:val="auto"/>
                <w:szCs w:val="21"/>
                <w:highlight w:val="none"/>
              </w:rPr>
            </w:pPr>
          </w:p>
        </w:tc>
        <w:tc>
          <w:tcPr>
            <w:tcW w:w="1419" w:type="dxa"/>
            <w:gridSpan w:val="4"/>
            <w:noWrap w:val="0"/>
            <w:vAlign w:val="center"/>
          </w:tcPr>
          <w:p>
            <w:pPr>
              <w:pStyle w:val="25"/>
              <w:tabs>
                <w:tab w:val="left" w:pos="1260"/>
              </w:tabs>
              <w:snapToGrid w:val="0"/>
              <w:spacing w:line="360" w:lineRule="auto"/>
              <w:jc w:val="center"/>
              <w:rPr>
                <w:rFonts w:hAnsi="宋体"/>
                <w:color w:val="auto"/>
                <w:szCs w:val="21"/>
                <w:highlight w:val="none"/>
              </w:rPr>
            </w:pPr>
          </w:p>
        </w:tc>
        <w:tc>
          <w:tcPr>
            <w:tcW w:w="1609" w:type="dxa"/>
            <w:noWrap w:val="0"/>
            <w:vAlign w:val="center"/>
          </w:tcPr>
          <w:p>
            <w:pPr>
              <w:pStyle w:val="25"/>
              <w:tabs>
                <w:tab w:val="left" w:pos="1260"/>
              </w:tabs>
              <w:snapToGrid w:val="0"/>
              <w:spacing w:line="360" w:lineRule="auto"/>
              <w:jc w:val="center"/>
              <w:rPr>
                <w:rFonts w:hAnsi="宋体"/>
                <w:color w:val="auto"/>
                <w:szCs w:val="21"/>
                <w:highlight w:val="none"/>
              </w:rPr>
            </w:pPr>
          </w:p>
        </w:tc>
        <w:tc>
          <w:tcPr>
            <w:tcW w:w="1590" w:type="dxa"/>
            <w:gridSpan w:val="2"/>
            <w:noWrap w:val="0"/>
            <w:vAlign w:val="center"/>
          </w:tcPr>
          <w:p>
            <w:pPr>
              <w:pStyle w:val="25"/>
              <w:tabs>
                <w:tab w:val="left" w:pos="1260"/>
              </w:tabs>
              <w:snapToGrid w:val="0"/>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noWrap w:val="0"/>
            <w:vAlign w:val="center"/>
          </w:tcPr>
          <w:p>
            <w:pPr>
              <w:pStyle w:val="25"/>
              <w:tabs>
                <w:tab w:val="left" w:pos="1260"/>
              </w:tabs>
              <w:snapToGrid w:val="0"/>
              <w:spacing w:line="360" w:lineRule="auto"/>
              <w:jc w:val="center"/>
              <w:rPr>
                <w:rFonts w:hint="eastAsia" w:hAnsi="宋体"/>
                <w:color w:val="auto"/>
                <w:szCs w:val="21"/>
                <w:highlight w:val="none"/>
                <w:lang w:val="en-GB"/>
              </w:rPr>
            </w:pPr>
          </w:p>
        </w:tc>
        <w:tc>
          <w:tcPr>
            <w:tcW w:w="1307" w:type="dxa"/>
            <w:gridSpan w:val="2"/>
            <w:noWrap w:val="0"/>
            <w:vAlign w:val="center"/>
          </w:tcPr>
          <w:p>
            <w:pPr>
              <w:pStyle w:val="25"/>
              <w:tabs>
                <w:tab w:val="left" w:pos="1260"/>
              </w:tabs>
              <w:snapToGrid w:val="0"/>
              <w:spacing w:line="360" w:lineRule="auto"/>
              <w:jc w:val="center"/>
              <w:rPr>
                <w:rFonts w:hAnsi="宋体"/>
                <w:color w:val="auto"/>
                <w:szCs w:val="21"/>
                <w:highlight w:val="none"/>
              </w:rPr>
            </w:pPr>
          </w:p>
        </w:tc>
        <w:tc>
          <w:tcPr>
            <w:tcW w:w="1595" w:type="dxa"/>
            <w:gridSpan w:val="4"/>
            <w:noWrap w:val="0"/>
            <w:vAlign w:val="center"/>
          </w:tcPr>
          <w:p>
            <w:pPr>
              <w:pStyle w:val="25"/>
              <w:tabs>
                <w:tab w:val="left" w:pos="1260"/>
              </w:tabs>
              <w:snapToGrid w:val="0"/>
              <w:spacing w:line="360" w:lineRule="auto"/>
              <w:jc w:val="center"/>
              <w:rPr>
                <w:rFonts w:hAnsi="宋体"/>
                <w:color w:val="auto"/>
                <w:szCs w:val="21"/>
                <w:highlight w:val="none"/>
              </w:rPr>
            </w:pPr>
          </w:p>
        </w:tc>
        <w:tc>
          <w:tcPr>
            <w:tcW w:w="1419" w:type="dxa"/>
            <w:gridSpan w:val="4"/>
            <w:noWrap w:val="0"/>
            <w:vAlign w:val="center"/>
          </w:tcPr>
          <w:p>
            <w:pPr>
              <w:pStyle w:val="25"/>
              <w:tabs>
                <w:tab w:val="left" w:pos="1260"/>
              </w:tabs>
              <w:snapToGrid w:val="0"/>
              <w:spacing w:line="360" w:lineRule="auto"/>
              <w:jc w:val="center"/>
              <w:rPr>
                <w:rFonts w:hAnsi="宋体"/>
                <w:color w:val="auto"/>
                <w:szCs w:val="21"/>
                <w:highlight w:val="none"/>
              </w:rPr>
            </w:pPr>
          </w:p>
        </w:tc>
        <w:tc>
          <w:tcPr>
            <w:tcW w:w="1609" w:type="dxa"/>
            <w:noWrap w:val="0"/>
            <w:vAlign w:val="center"/>
          </w:tcPr>
          <w:p>
            <w:pPr>
              <w:pStyle w:val="25"/>
              <w:tabs>
                <w:tab w:val="left" w:pos="1260"/>
              </w:tabs>
              <w:snapToGrid w:val="0"/>
              <w:spacing w:line="360" w:lineRule="auto"/>
              <w:jc w:val="center"/>
              <w:rPr>
                <w:rFonts w:hAnsi="宋体"/>
                <w:color w:val="auto"/>
                <w:szCs w:val="21"/>
                <w:highlight w:val="none"/>
              </w:rPr>
            </w:pPr>
          </w:p>
        </w:tc>
        <w:tc>
          <w:tcPr>
            <w:tcW w:w="1590" w:type="dxa"/>
            <w:gridSpan w:val="2"/>
            <w:noWrap w:val="0"/>
            <w:vAlign w:val="center"/>
          </w:tcPr>
          <w:p>
            <w:pPr>
              <w:pStyle w:val="25"/>
              <w:tabs>
                <w:tab w:val="left" w:pos="1260"/>
              </w:tabs>
              <w:snapToGrid w:val="0"/>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5930" w:type="dxa"/>
            <w:gridSpan w:val="11"/>
            <w:noWrap w:val="0"/>
            <w:vAlign w:val="center"/>
          </w:tcPr>
          <w:p>
            <w:pPr>
              <w:pStyle w:val="25"/>
              <w:tabs>
                <w:tab w:val="left" w:pos="1260"/>
              </w:tabs>
              <w:snapToGrid w:val="0"/>
              <w:spacing w:line="360" w:lineRule="auto"/>
              <w:jc w:val="center"/>
              <w:rPr>
                <w:color w:val="auto"/>
                <w:szCs w:val="21"/>
                <w:highlight w:val="none"/>
                <w:lang w:val="en-GB"/>
              </w:rPr>
            </w:pPr>
            <w:r>
              <w:rPr>
                <w:rFonts w:hint="eastAsia" w:hAnsi="宋体"/>
                <w:color w:val="auto"/>
                <w:szCs w:val="21"/>
                <w:highlight w:val="none"/>
                <w:lang w:val="en-GB"/>
              </w:rPr>
              <w:t>监狱企</w:t>
            </w:r>
            <w:r>
              <w:rPr>
                <w:rFonts w:hAnsi="宋体"/>
                <w:color w:val="auto"/>
                <w:szCs w:val="21"/>
                <w:highlight w:val="none"/>
              </w:rPr>
              <w:t>业产品</w:t>
            </w:r>
            <w:r>
              <w:rPr>
                <w:rFonts w:hAnsi="宋体"/>
                <w:color w:val="auto"/>
                <w:szCs w:val="21"/>
                <w:highlight w:val="none"/>
                <w:lang w:val="en-GB"/>
              </w:rPr>
              <w:t>金额合计</w:t>
            </w:r>
          </w:p>
        </w:tc>
        <w:tc>
          <w:tcPr>
            <w:tcW w:w="1590" w:type="dxa"/>
            <w:gridSpan w:val="2"/>
            <w:noWrap w:val="0"/>
            <w:vAlign w:val="center"/>
          </w:tcPr>
          <w:p>
            <w:pPr>
              <w:pStyle w:val="25"/>
              <w:tabs>
                <w:tab w:val="left" w:pos="1260"/>
              </w:tabs>
              <w:snapToGrid w:val="0"/>
              <w:spacing w:line="360" w:lineRule="auto"/>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5930" w:type="dxa"/>
            <w:gridSpan w:val="11"/>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比重（</w:t>
            </w:r>
            <w:r>
              <w:rPr>
                <w:rFonts w:hint="eastAsia" w:hAnsi="宋体"/>
                <w:color w:val="auto"/>
                <w:szCs w:val="21"/>
                <w:highlight w:val="none"/>
                <w:lang w:val="en-GB"/>
              </w:rPr>
              <w:t>监狱企</w:t>
            </w:r>
            <w:r>
              <w:rPr>
                <w:rFonts w:hAnsi="宋体"/>
                <w:color w:val="auto"/>
                <w:szCs w:val="21"/>
                <w:highlight w:val="none"/>
              </w:rPr>
              <w:t>业产品</w:t>
            </w:r>
            <w:r>
              <w:rPr>
                <w:rFonts w:hAnsi="宋体"/>
                <w:color w:val="auto"/>
                <w:szCs w:val="21"/>
                <w:highlight w:val="none"/>
                <w:lang w:val="en-GB"/>
              </w:rPr>
              <w:t>金额</w:t>
            </w:r>
            <w:r>
              <w:rPr>
                <w:color w:val="auto"/>
                <w:szCs w:val="21"/>
                <w:highlight w:val="none"/>
                <w:lang w:val="en-GB"/>
              </w:rPr>
              <w:t>/</w:t>
            </w:r>
            <w:r>
              <w:rPr>
                <w:rFonts w:hAnsi="宋体"/>
                <w:color w:val="auto"/>
                <w:szCs w:val="21"/>
                <w:highlight w:val="none"/>
                <w:lang w:val="en-GB"/>
              </w:rPr>
              <w:t>投标总价）</w:t>
            </w:r>
          </w:p>
        </w:tc>
        <w:tc>
          <w:tcPr>
            <w:tcW w:w="1590" w:type="dxa"/>
            <w:gridSpan w:val="2"/>
            <w:noWrap w:val="0"/>
            <w:vAlign w:val="center"/>
          </w:tcPr>
          <w:p>
            <w:pPr>
              <w:pStyle w:val="25"/>
              <w:tabs>
                <w:tab w:val="left" w:pos="1260"/>
              </w:tabs>
              <w:snapToGrid w:val="0"/>
              <w:spacing w:line="360" w:lineRule="auto"/>
              <w:jc w:val="center"/>
              <w:rPr>
                <w:color w:val="auto"/>
                <w:szCs w:val="21"/>
                <w:highlight w:val="none"/>
                <w:lang w:val="en-GB"/>
              </w:rPr>
            </w:pPr>
            <w:r>
              <w:rPr>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7520" w:type="dxa"/>
            <w:gridSpan w:val="13"/>
            <w:noWrap w:val="0"/>
            <w:vAlign w:val="center"/>
          </w:tcPr>
          <w:p>
            <w:pPr>
              <w:pStyle w:val="25"/>
              <w:tabs>
                <w:tab w:val="left" w:pos="1260"/>
              </w:tabs>
              <w:snapToGrid w:val="0"/>
              <w:spacing w:line="360" w:lineRule="auto"/>
              <w:jc w:val="center"/>
              <w:rPr>
                <w:color w:val="auto"/>
                <w:szCs w:val="21"/>
                <w:highlight w:val="none"/>
                <w:lang w:val="en-GB"/>
              </w:rPr>
            </w:pPr>
            <w:r>
              <w:rPr>
                <w:rFonts w:hint="eastAsia" w:hAnsi="宋体"/>
                <w:color w:val="auto"/>
                <w:szCs w:val="21"/>
                <w:highlight w:val="none"/>
                <w:lang w:val="en-GB"/>
              </w:rPr>
              <w:t>监狱企</w:t>
            </w:r>
            <w:r>
              <w:rPr>
                <w:rFonts w:hAnsi="宋体"/>
                <w:color w:val="auto"/>
                <w:szCs w:val="21"/>
                <w:highlight w:val="none"/>
              </w:rPr>
              <w:t>业证明材料见投标文件第</w:t>
            </w:r>
            <w:r>
              <w:rPr>
                <w:color w:val="auto"/>
                <w:szCs w:val="21"/>
                <w:highlight w:val="none"/>
                <w:u w:val="single"/>
              </w:rPr>
              <w:t xml:space="preserve">   </w:t>
            </w:r>
            <w:r>
              <w:rPr>
                <w:rFonts w:hAnsi="宋体"/>
                <w:color w:val="auto"/>
                <w:szCs w:val="21"/>
                <w:highlight w:val="none"/>
              </w:rPr>
              <w:t>至</w:t>
            </w:r>
            <w:r>
              <w:rPr>
                <w:color w:val="auto"/>
                <w:szCs w:val="21"/>
                <w:highlight w:val="none"/>
                <w:u w:val="single"/>
              </w:rPr>
              <w:t xml:space="preserve">   </w:t>
            </w:r>
            <w:r>
              <w:rPr>
                <w:rFonts w:hAnsi="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noWrap w:val="0"/>
            <w:vAlign w:val="center"/>
          </w:tcPr>
          <w:p>
            <w:pPr>
              <w:pStyle w:val="25"/>
              <w:tabs>
                <w:tab w:val="left" w:pos="1260"/>
              </w:tabs>
              <w:snapToGrid w:val="0"/>
              <w:spacing w:line="360" w:lineRule="auto"/>
              <w:jc w:val="center"/>
              <w:rPr>
                <w:color w:val="auto"/>
                <w:szCs w:val="21"/>
                <w:highlight w:val="none"/>
                <w:lang w:val="en-GB"/>
              </w:rPr>
            </w:pPr>
            <w:r>
              <w:rPr>
                <w:rFonts w:hint="eastAsia" w:hAnsi="宋体"/>
                <w:color w:val="auto"/>
                <w:szCs w:val="21"/>
                <w:highlight w:val="none"/>
                <w:lang w:val="en-GB"/>
              </w:rPr>
              <w:t>残疾人福利性单位产品</w:t>
            </w:r>
          </w:p>
        </w:tc>
        <w:tc>
          <w:tcPr>
            <w:tcW w:w="1503" w:type="dxa"/>
            <w:gridSpan w:val="3"/>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产品名称</w:t>
            </w:r>
          </w:p>
        </w:tc>
        <w:tc>
          <w:tcPr>
            <w:tcW w:w="1503" w:type="dxa"/>
            <w:gridSpan w:val="4"/>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品牌型号</w:t>
            </w:r>
          </w:p>
        </w:tc>
        <w:tc>
          <w:tcPr>
            <w:tcW w:w="1258" w:type="dxa"/>
            <w:gridSpan w:val="2"/>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制造商</w:t>
            </w:r>
          </w:p>
        </w:tc>
        <w:tc>
          <w:tcPr>
            <w:tcW w:w="1694" w:type="dxa"/>
            <w:gridSpan w:val="3"/>
            <w:noWrap w:val="0"/>
            <w:vAlign w:val="center"/>
          </w:tcPr>
          <w:p>
            <w:pPr>
              <w:pStyle w:val="25"/>
              <w:tabs>
                <w:tab w:val="left" w:pos="1260"/>
              </w:tabs>
              <w:snapToGrid w:val="0"/>
              <w:jc w:val="center"/>
              <w:rPr>
                <w:color w:val="auto"/>
                <w:szCs w:val="21"/>
                <w:highlight w:val="none"/>
                <w:lang w:val="en-GB"/>
              </w:rPr>
            </w:pPr>
            <w:r>
              <w:rPr>
                <w:rFonts w:hAnsi="宋体"/>
                <w:color w:val="auto"/>
                <w:szCs w:val="21"/>
                <w:highlight w:val="none"/>
                <w:lang w:val="en-GB"/>
              </w:rPr>
              <w:t>制造商</w:t>
            </w:r>
          </w:p>
          <w:p>
            <w:pPr>
              <w:pStyle w:val="25"/>
              <w:tabs>
                <w:tab w:val="left" w:pos="1260"/>
              </w:tabs>
              <w:snapToGrid w:val="0"/>
              <w:jc w:val="center"/>
              <w:rPr>
                <w:color w:val="auto"/>
                <w:szCs w:val="21"/>
                <w:highlight w:val="none"/>
                <w:lang w:val="en-GB"/>
              </w:rPr>
            </w:pPr>
            <w:r>
              <w:rPr>
                <w:rFonts w:hAnsi="宋体"/>
                <w:color w:val="auto"/>
                <w:szCs w:val="21"/>
                <w:highlight w:val="none"/>
                <w:lang w:val="en-GB"/>
              </w:rPr>
              <w:t>企业类型</w:t>
            </w:r>
          </w:p>
        </w:tc>
        <w:tc>
          <w:tcPr>
            <w:tcW w:w="1562" w:type="dxa"/>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noWrap w:val="0"/>
            <w:vAlign w:val="center"/>
          </w:tcPr>
          <w:p>
            <w:pPr>
              <w:pStyle w:val="25"/>
              <w:tabs>
                <w:tab w:val="left" w:pos="1260"/>
              </w:tabs>
              <w:snapToGrid w:val="0"/>
              <w:spacing w:line="360" w:lineRule="auto"/>
              <w:jc w:val="center"/>
              <w:rPr>
                <w:rFonts w:hint="eastAsia" w:hAnsi="宋体"/>
                <w:color w:val="auto"/>
                <w:szCs w:val="21"/>
                <w:highlight w:val="none"/>
                <w:lang w:val="en-GB"/>
              </w:rPr>
            </w:pPr>
          </w:p>
        </w:tc>
        <w:tc>
          <w:tcPr>
            <w:tcW w:w="1503" w:type="dxa"/>
            <w:gridSpan w:val="3"/>
            <w:noWrap w:val="0"/>
            <w:vAlign w:val="center"/>
          </w:tcPr>
          <w:p>
            <w:pPr>
              <w:pStyle w:val="25"/>
              <w:tabs>
                <w:tab w:val="left" w:pos="1260"/>
              </w:tabs>
              <w:snapToGrid w:val="0"/>
              <w:spacing w:line="360" w:lineRule="auto"/>
              <w:jc w:val="center"/>
              <w:rPr>
                <w:rFonts w:hAnsi="宋体"/>
                <w:color w:val="auto"/>
                <w:szCs w:val="21"/>
                <w:highlight w:val="none"/>
              </w:rPr>
            </w:pPr>
          </w:p>
        </w:tc>
        <w:tc>
          <w:tcPr>
            <w:tcW w:w="1503" w:type="dxa"/>
            <w:gridSpan w:val="4"/>
            <w:noWrap w:val="0"/>
            <w:vAlign w:val="center"/>
          </w:tcPr>
          <w:p>
            <w:pPr>
              <w:pStyle w:val="25"/>
              <w:tabs>
                <w:tab w:val="left" w:pos="1260"/>
              </w:tabs>
              <w:snapToGrid w:val="0"/>
              <w:spacing w:line="360" w:lineRule="auto"/>
              <w:jc w:val="center"/>
              <w:rPr>
                <w:rFonts w:hAnsi="宋体"/>
                <w:color w:val="auto"/>
                <w:szCs w:val="21"/>
                <w:highlight w:val="none"/>
              </w:rPr>
            </w:pPr>
          </w:p>
        </w:tc>
        <w:tc>
          <w:tcPr>
            <w:tcW w:w="1258" w:type="dxa"/>
            <w:gridSpan w:val="2"/>
            <w:noWrap w:val="0"/>
            <w:vAlign w:val="center"/>
          </w:tcPr>
          <w:p>
            <w:pPr>
              <w:pStyle w:val="25"/>
              <w:tabs>
                <w:tab w:val="left" w:pos="1260"/>
              </w:tabs>
              <w:snapToGrid w:val="0"/>
              <w:spacing w:line="360" w:lineRule="auto"/>
              <w:jc w:val="center"/>
              <w:rPr>
                <w:rFonts w:hAnsi="宋体"/>
                <w:color w:val="auto"/>
                <w:szCs w:val="21"/>
                <w:highlight w:val="none"/>
              </w:rPr>
            </w:pPr>
          </w:p>
        </w:tc>
        <w:tc>
          <w:tcPr>
            <w:tcW w:w="1694" w:type="dxa"/>
            <w:gridSpan w:val="3"/>
            <w:noWrap w:val="0"/>
            <w:vAlign w:val="center"/>
          </w:tcPr>
          <w:p>
            <w:pPr>
              <w:pStyle w:val="25"/>
              <w:tabs>
                <w:tab w:val="left" w:pos="1260"/>
              </w:tabs>
              <w:snapToGrid w:val="0"/>
              <w:spacing w:line="360" w:lineRule="auto"/>
              <w:jc w:val="center"/>
              <w:rPr>
                <w:rFonts w:hAnsi="宋体"/>
                <w:color w:val="auto"/>
                <w:szCs w:val="21"/>
                <w:highlight w:val="none"/>
              </w:rPr>
            </w:pPr>
          </w:p>
        </w:tc>
        <w:tc>
          <w:tcPr>
            <w:tcW w:w="1562" w:type="dxa"/>
            <w:noWrap w:val="0"/>
            <w:vAlign w:val="center"/>
          </w:tcPr>
          <w:p>
            <w:pPr>
              <w:pStyle w:val="25"/>
              <w:tabs>
                <w:tab w:val="left" w:pos="1260"/>
              </w:tabs>
              <w:snapToGrid w:val="0"/>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noWrap w:val="0"/>
            <w:vAlign w:val="center"/>
          </w:tcPr>
          <w:p>
            <w:pPr>
              <w:pStyle w:val="25"/>
              <w:tabs>
                <w:tab w:val="left" w:pos="1260"/>
              </w:tabs>
              <w:snapToGrid w:val="0"/>
              <w:spacing w:line="360" w:lineRule="auto"/>
              <w:jc w:val="center"/>
              <w:rPr>
                <w:rFonts w:hint="eastAsia" w:hAnsi="宋体"/>
                <w:color w:val="auto"/>
                <w:szCs w:val="21"/>
                <w:highlight w:val="none"/>
                <w:lang w:val="en-GB"/>
              </w:rPr>
            </w:pPr>
          </w:p>
        </w:tc>
        <w:tc>
          <w:tcPr>
            <w:tcW w:w="1503" w:type="dxa"/>
            <w:gridSpan w:val="3"/>
            <w:noWrap w:val="0"/>
            <w:vAlign w:val="center"/>
          </w:tcPr>
          <w:p>
            <w:pPr>
              <w:pStyle w:val="25"/>
              <w:tabs>
                <w:tab w:val="left" w:pos="1260"/>
              </w:tabs>
              <w:snapToGrid w:val="0"/>
              <w:spacing w:line="360" w:lineRule="auto"/>
              <w:jc w:val="center"/>
              <w:rPr>
                <w:rFonts w:hAnsi="宋体"/>
                <w:color w:val="auto"/>
                <w:szCs w:val="21"/>
                <w:highlight w:val="none"/>
              </w:rPr>
            </w:pPr>
          </w:p>
        </w:tc>
        <w:tc>
          <w:tcPr>
            <w:tcW w:w="1503" w:type="dxa"/>
            <w:gridSpan w:val="4"/>
            <w:noWrap w:val="0"/>
            <w:vAlign w:val="center"/>
          </w:tcPr>
          <w:p>
            <w:pPr>
              <w:pStyle w:val="25"/>
              <w:tabs>
                <w:tab w:val="left" w:pos="1260"/>
              </w:tabs>
              <w:snapToGrid w:val="0"/>
              <w:spacing w:line="360" w:lineRule="auto"/>
              <w:jc w:val="center"/>
              <w:rPr>
                <w:rFonts w:hAnsi="宋体"/>
                <w:color w:val="auto"/>
                <w:szCs w:val="21"/>
                <w:highlight w:val="none"/>
              </w:rPr>
            </w:pPr>
          </w:p>
        </w:tc>
        <w:tc>
          <w:tcPr>
            <w:tcW w:w="1258" w:type="dxa"/>
            <w:gridSpan w:val="2"/>
            <w:noWrap w:val="0"/>
            <w:vAlign w:val="center"/>
          </w:tcPr>
          <w:p>
            <w:pPr>
              <w:pStyle w:val="25"/>
              <w:tabs>
                <w:tab w:val="left" w:pos="1260"/>
              </w:tabs>
              <w:snapToGrid w:val="0"/>
              <w:spacing w:line="360" w:lineRule="auto"/>
              <w:jc w:val="center"/>
              <w:rPr>
                <w:rFonts w:hAnsi="宋体"/>
                <w:color w:val="auto"/>
                <w:szCs w:val="21"/>
                <w:highlight w:val="none"/>
              </w:rPr>
            </w:pPr>
          </w:p>
        </w:tc>
        <w:tc>
          <w:tcPr>
            <w:tcW w:w="1694" w:type="dxa"/>
            <w:gridSpan w:val="3"/>
            <w:noWrap w:val="0"/>
            <w:vAlign w:val="center"/>
          </w:tcPr>
          <w:p>
            <w:pPr>
              <w:pStyle w:val="25"/>
              <w:tabs>
                <w:tab w:val="left" w:pos="1260"/>
              </w:tabs>
              <w:snapToGrid w:val="0"/>
              <w:spacing w:line="360" w:lineRule="auto"/>
              <w:jc w:val="center"/>
              <w:rPr>
                <w:rFonts w:hAnsi="宋体"/>
                <w:color w:val="auto"/>
                <w:szCs w:val="21"/>
                <w:highlight w:val="none"/>
              </w:rPr>
            </w:pPr>
          </w:p>
        </w:tc>
        <w:tc>
          <w:tcPr>
            <w:tcW w:w="1562" w:type="dxa"/>
            <w:noWrap w:val="0"/>
            <w:vAlign w:val="center"/>
          </w:tcPr>
          <w:p>
            <w:pPr>
              <w:pStyle w:val="25"/>
              <w:tabs>
                <w:tab w:val="left" w:pos="1260"/>
              </w:tabs>
              <w:snapToGrid w:val="0"/>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5958" w:type="dxa"/>
            <w:gridSpan w:val="12"/>
            <w:noWrap w:val="0"/>
            <w:vAlign w:val="center"/>
          </w:tcPr>
          <w:p>
            <w:pPr>
              <w:pStyle w:val="25"/>
              <w:tabs>
                <w:tab w:val="left" w:pos="1260"/>
              </w:tabs>
              <w:snapToGrid w:val="0"/>
              <w:spacing w:line="360" w:lineRule="auto"/>
              <w:jc w:val="center"/>
              <w:rPr>
                <w:color w:val="auto"/>
                <w:szCs w:val="21"/>
                <w:highlight w:val="none"/>
                <w:lang w:val="en-GB"/>
              </w:rPr>
            </w:pPr>
            <w:r>
              <w:rPr>
                <w:rFonts w:hint="eastAsia" w:hAnsi="宋体"/>
                <w:color w:val="auto"/>
                <w:szCs w:val="21"/>
                <w:highlight w:val="none"/>
                <w:lang w:val="en-GB"/>
              </w:rPr>
              <w:t>残疾人福利性单位</w:t>
            </w:r>
            <w:r>
              <w:rPr>
                <w:rFonts w:hAnsi="宋体"/>
                <w:color w:val="auto"/>
                <w:szCs w:val="21"/>
                <w:highlight w:val="none"/>
              </w:rPr>
              <w:t>产品</w:t>
            </w:r>
            <w:r>
              <w:rPr>
                <w:rFonts w:hAnsi="宋体"/>
                <w:color w:val="auto"/>
                <w:szCs w:val="21"/>
                <w:highlight w:val="none"/>
                <w:lang w:val="en-GB"/>
              </w:rPr>
              <w:t>金额合计</w:t>
            </w:r>
          </w:p>
        </w:tc>
        <w:tc>
          <w:tcPr>
            <w:tcW w:w="1562" w:type="dxa"/>
            <w:noWrap w:val="0"/>
            <w:vAlign w:val="center"/>
          </w:tcPr>
          <w:p>
            <w:pPr>
              <w:pStyle w:val="25"/>
              <w:tabs>
                <w:tab w:val="left" w:pos="1260"/>
              </w:tabs>
              <w:snapToGrid w:val="0"/>
              <w:spacing w:line="360" w:lineRule="auto"/>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5958" w:type="dxa"/>
            <w:gridSpan w:val="12"/>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比重（</w:t>
            </w:r>
            <w:r>
              <w:rPr>
                <w:rFonts w:hint="eastAsia" w:hAnsi="宋体"/>
                <w:color w:val="auto"/>
                <w:szCs w:val="21"/>
                <w:highlight w:val="none"/>
                <w:lang w:val="en-GB"/>
              </w:rPr>
              <w:t>残疾人福利性单位</w:t>
            </w:r>
            <w:r>
              <w:rPr>
                <w:rFonts w:hAnsi="宋体"/>
                <w:color w:val="auto"/>
                <w:szCs w:val="21"/>
                <w:highlight w:val="none"/>
              </w:rPr>
              <w:t>产品</w:t>
            </w:r>
            <w:r>
              <w:rPr>
                <w:rFonts w:hAnsi="宋体"/>
                <w:color w:val="auto"/>
                <w:szCs w:val="21"/>
                <w:highlight w:val="none"/>
                <w:lang w:val="en-GB"/>
              </w:rPr>
              <w:t>金额</w:t>
            </w:r>
            <w:r>
              <w:rPr>
                <w:color w:val="auto"/>
                <w:szCs w:val="21"/>
                <w:highlight w:val="none"/>
                <w:lang w:val="en-GB"/>
              </w:rPr>
              <w:t>/</w:t>
            </w:r>
            <w:r>
              <w:rPr>
                <w:rFonts w:hAnsi="宋体"/>
                <w:color w:val="auto"/>
                <w:szCs w:val="21"/>
                <w:highlight w:val="none"/>
                <w:lang w:val="en-GB"/>
              </w:rPr>
              <w:t>投标总价）</w:t>
            </w:r>
          </w:p>
        </w:tc>
        <w:tc>
          <w:tcPr>
            <w:tcW w:w="1562" w:type="dxa"/>
            <w:noWrap w:val="0"/>
            <w:vAlign w:val="center"/>
          </w:tcPr>
          <w:p>
            <w:pPr>
              <w:pStyle w:val="25"/>
              <w:tabs>
                <w:tab w:val="left" w:pos="1260"/>
              </w:tabs>
              <w:snapToGrid w:val="0"/>
              <w:spacing w:line="360" w:lineRule="auto"/>
              <w:jc w:val="center"/>
              <w:rPr>
                <w:color w:val="auto"/>
                <w:szCs w:val="21"/>
                <w:highlight w:val="none"/>
                <w:lang w:val="en-GB"/>
              </w:rPr>
            </w:pPr>
            <w:r>
              <w:rPr>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7520" w:type="dxa"/>
            <w:gridSpan w:val="13"/>
            <w:noWrap w:val="0"/>
            <w:vAlign w:val="center"/>
          </w:tcPr>
          <w:p>
            <w:pPr>
              <w:pStyle w:val="25"/>
              <w:tabs>
                <w:tab w:val="left" w:pos="1260"/>
              </w:tabs>
              <w:snapToGrid w:val="0"/>
              <w:spacing w:line="360" w:lineRule="auto"/>
              <w:jc w:val="center"/>
              <w:rPr>
                <w:color w:val="auto"/>
                <w:szCs w:val="21"/>
                <w:highlight w:val="none"/>
                <w:lang w:val="en-GB"/>
              </w:rPr>
            </w:pPr>
            <w:r>
              <w:rPr>
                <w:rFonts w:hint="eastAsia" w:hAnsi="宋体"/>
                <w:color w:val="auto"/>
                <w:szCs w:val="21"/>
                <w:highlight w:val="none"/>
                <w:lang w:val="en-GB"/>
              </w:rPr>
              <w:t>残疾人福利性单位</w:t>
            </w:r>
            <w:r>
              <w:rPr>
                <w:rFonts w:hAnsi="宋体"/>
                <w:color w:val="auto"/>
                <w:szCs w:val="21"/>
                <w:highlight w:val="none"/>
              </w:rPr>
              <w:t>证明材料见投标文件</w:t>
            </w:r>
            <w:r>
              <w:rPr>
                <w:rFonts w:hint="eastAsia" w:hAnsi="宋体"/>
                <w:color w:val="auto"/>
                <w:szCs w:val="21"/>
                <w:highlight w:val="none"/>
                <w:u w:val="single"/>
              </w:rPr>
              <w:t xml:space="preserve">          </w:t>
            </w:r>
            <w:r>
              <w:rPr>
                <w:rFonts w:hint="eastAsia" w:hAnsi="宋体"/>
                <w:color w:val="auto"/>
                <w:szCs w:val="21"/>
                <w:highlight w:val="none"/>
              </w:rPr>
              <w:t>部分</w:t>
            </w:r>
            <w:r>
              <w:rPr>
                <w:rFonts w:hAnsi="宋体"/>
                <w:color w:val="auto"/>
                <w:szCs w:val="21"/>
                <w:highlight w:val="none"/>
              </w:rPr>
              <w:t>第</w:t>
            </w:r>
            <w:r>
              <w:rPr>
                <w:color w:val="auto"/>
                <w:szCs w:val="21"/>
                <w:highlight w:val="none"/>
                <w:u w:val="single"/>
              </w:rPr>
              <w:t xml:space="preserve">   </w:t>
            </w:r>
            <w:r>
              <w:rPr>
                <w:rFonts w:hAnsi="宋体"/>
                <w:color w:val="auto"/>
                <w:szCs w:val="21"/>
                <w:highlight w:val="none"/>
              </w:rPr>
              <w:t>至</w:t>
            </w:r>
            <w:r>
              <w:rPr>
                <w:color w:val="auto"/>
                <w:szCs w:val="21"/>
                <w:highlight w:val="none"/>
                <w:u w:val="single"/>
              </w:rPr>
              <w:t xml:space="preserve">   </w:t>
            </w:r>
            <w:r>
              <w:rPr>
                <w:rFonts w:hAnsi="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节能产品</w:t>
            </w:r>
          </w:p>
        </w:tc>
        <w:tc>
          <w:tcPr>
            <w:tcW w:w="1238" w:type="dxa"/>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产品名称</w:t>
            </w:r>
          </w:p>
        </w:tc>
        <w:tc>
          <w:tcPr>
            <w:tcW w:w="1641" w:type="dxa"/>
            <w:gridSpan w:val="4"/>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品牌型号</w:t>
            </w:r>
          </w:p>
        </w:tc>
        <w:tc>
          <w:tcPr>
            <w:tcW w:w="1374" w:type="dxa"/>
            <w:gridSpan w:val="3"/>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制造商</w:t>
            </w:r>
          </w:p>
        </w:tc>
        <w:tc>
          <w:tcPr>
            <w:tcW w:w="1677" w:type="dxa"/>
            <w:gridSpan w:val="3"/>
            <w:noWrap w:val="0"/>
            <w:vAlign w:val="center"/>
          </w:tcPr>
          <w:p>
            <w:pPr>
              <w:pStyle w:val="25"/>
              <w:tabs>
                <w:tab w:val="left" w:pos="1260"/>
              </w:tabs>
              <w:snapToGrid w:val="0"/>
              <w:jc w:val="center"/>
              <w:rPr>
                <w:rFonts w:hint="eastAsia" w:hAnsi="宋体"/>
                <w:color w:val="auto"/>
                <w:szCs w:val="21"/>
                <w:highlight w:val="none"/>
                <w:lang w:val="en-GB"/>
              </w:rPr>
            </w:pPr>
            <w:r>
              <w:rPr>
                <w:rFonts w:hAnsi="宋体"/>
                <w:color w:val="auto"/>
                <w:szCs w:val="21"/>
                <w:highlight w:val="none"/>
                <w:lang w:val="en-GB"/>
              </w:rPr>
              <w:t>节能认证</w:t>
            </w:r>
          </w:p>
          <w:p>
            <w:pPr>
              <w:pStyle w:val="25"/>
              <w:tabs>
                <w:tab w:val="left" w:pos="1260"/>
              </w:tabs>
              <w:snapToGrid w:val="0"/>
              <w:jc w:val="center"/>
              <w:rPr>
                <w:color w:val="auto"/>
                <w:szCs w:val="21"/>
                <w:highlight w:val="none"/>
                <w:lang w:val="en-GB"/>
              </w:rPr>
            </w:pPr>
            <w:r>
              <w:rPr>
                <w:rFonts w:hAnsi="宋体"/>
                <w:color w:val="auto"/>
                <w:szCs w:val="21"/>
                <w:highlight w:val="none"/>
                <w:lang w:val="en-GB"/>
              </w:rPr>
              <w:t>证书编号</w:t>
            </w:r>
          </w:p>
        </w:tc>
        <w:tc>
          <w:tcPr>
            <w:tcW w:w="1590" w:type="dxa"/>
            <w:gridSpan w:val="2"/>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1238" w:type="dxa"/>
            <w:noWrap w:val="0"/>
            <w:vAlign w:val="center"/>
          </w:tcPr>
          <w:p>
            <w:pPr>
              <w:pStyle w:val="25"/>
              <w:tabs>
                <w:tab w:val="left" w:pos="1260"/>
              </w:tabs>
              <w:snapToGrid w:val="0"/>
              <w:spacing w:line="360" w:lineRule="auto"/>
              <w:jc w:val="center"/>
              <w:rPr>
                <w:color w:val="auto"/>
                <w:szCs w:val="21"/>
                <w:highlight w:val="none"/>
                <w:lang w:val="en-GB"/>
              </w:rPr>
            </w:pPr>
          </w:p>
        </w:tc>
        <w:tc>
          <w:tcPr>
            <w:tcW w:w="1641" w:type="dxa"/>
            <w:gridSpan w:val="4"/>
            <w:noWrap w:val="0"/>
            <w:vAlign w:val="center"/>
          </w:tcPr>
          <w:p>
            <w:pPr>
              <w:pStyle w:val="25"/>
              <w:tabs>
                <w:tab w:val="left" w:pos="1260"/>
              </w:tabs>
              <w:snapToGrid w:val="0"/>
              <w:spacing w:line="360" w:lineRule="auto"/>
              <w:jc w:val="center"/>
              <w:rPr>
                <w:color w:val="auto"/>
                <w:szCs w:val="21"/>
                <w:highlight w:val="none"/>
                <w:lang w:val="en-GB"/>
              </w:rPr>
            </w:pPr>
          </w:p>
        </w:tc>
        <w:tc>
          <w:tcPr>
            <w:tcW w:w="1374" w:type="dxa"/>
            <w:gridSpan w:val="3"/>
            <w:noWrap w:val="0"/>
            <w:vAlign w:val="center"/>
          </w:tcPr>
          <w:p>
            <w:pPr>
              <w:pStyle w:val="25"/>
              <w:tabs>
                <w:tab w:val="left" w:pos="1260"/>
              </w:tabs>
              <w:snapToGrid w:val="0"/>
              <w:spacing w:line="360" w:lineRule="auto"/>
              <w:jc w:val="center"/>
              <w:rPr>
                <w:color w:val="auto"/>
                <w:szCs w:val="21"/>
                <w:highlight w:val="none"/>
                <w:lang w:val="en-GB"/>
              </w:rPr>
            </w:pPr>
          </w:p>
        </w:tc>
        <w:tc>
          <w:tcPr>
            <w:tcW w:w="1677" w:type="dxa"/>
            <w:gridSpan w:val="3"/>
            <w:noWrap w:val="0"/>
            <w:vAlign w:val="center"/>
          </w:tcPr>
          <w:p>
            <w:pPr>
              <w:pStyle w:val="25"/>
              <w:tabs>
                <w:tab w:val="left" w:pos="1260"/>
              </w:tabs>
              <w:snapToGrid w:val="0"/>
              <w:spacing w:line="360" w:lineRule="auto"/>
              <w:jc w:val="center"/>
              <w:rPr>
                <w:color w:val="auto"/>
                <w:szCs w:val="21"/>
                <w:highlight w:val="none"/>
                <w:lang w:val="en-GB"/>
              </w:rPr>
            </w:pPr>
          </w:p>
        </w:tc>
        <w:tc>
          <w:tcPr>
            <w:tcW w:w="1590" w:type="dxa"/>
            <w:gridSpan w:val="2"/>
            <w:noWrap w:val="0"/>
            <w:vAlign w:val="center"/>
          </w:tcPr>
          <w:p>
            <w:pPr>
              <w:pStyle w:val="25"/>
              <w:tabs>
                <w:tab w:val="left" w:pos="1260"/>
              </w:tabs>
              <w:snapToGrid w:val="0"/>
              <w:spacing w:line="360" w:lineRule="auto"/>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1238" w:type="dxa"/>
            <w:noWrap w:val="0"/>
            <w:vAlign w:val="center"/>
          </w:tcPr>
          <w:p>
            <w:pPr>
              <w:pStyle w:val="25"/>
              <w:tabs>
                <w:tab w:val="left" w:pos="1260"/>
              </w:tabs>
              <w:snapToGrid w:val="0"/>
              <w:spacing w:line="360" w:lineRule="auto"/>
              <w:jc w:val="center"/>
              <w:rPr>
                <w:color w:val="auto"/>
                <w:szCs w:val="21"/>
                <w:highlight w:val="none"/>
                <w:lang w:val="en-GB"/>
              </w:rPr>
            </w:pPr>
          </w:p>
        </w:tc>
        <w:tc>
          <w:tcPr>
            <w:tcW w:w="1641" w:type="dxa"/>
            <w:gridSpan w:val="4"/>
            <w:noWrap w:val="0"/>
            <w:vAlign w:val="center"/>
          </w:tcPr>
          <w:p>
            <w:pPr>
              <w:pStyle w:val="25"/>
              <w:tabs>
                <w:tab w:val="left" w:pos="1260"/>
              </w:tabs>
              <w:snapToGrid w:val="0"/>
              <w:spacing w:line="360" w:lineRule="auto"/>
              <w:jc w:val="center"/>
              <w:rPr>
                <w:color w:val="auto"/>
                <w:szCs w:val="21"/>
                <w:highlight w:val="none"/>
                <w:lang w:val="en-GB"/>
              </w:rPr>
            </w:pPr>
          </w:p>
        </w:tc>
        <w:tc>
          <w:tcPr>
            <w:tcW w:w="1374" w:type="dxa"/>
            <w:gridSpan w:val="3"/>
            <w:noWrap w:val="0"/>
            <w:vAlign w:val="center"/>
          </w:tcPr>
          <w:p>
            <w:pPr>
              <w:pStyle w:val="25"/>
              <w:tabs>
                <w:tab w:val="left" w:pos="1260"/>
              </w:tabs>
              <w:snapToGrid w:val="0"/>
              <w:spacing w:line="360" w:lineRule="auto"/>
              <w:jc w:val="center"/>
              <w:rPr>
                <w:color w:val="auto"/>
                <w:szCs w:val="21"/>
                <w:highlight w:val="none"/>
                <w:lang w:val="en-GB"/>
              </w:rPr>
            </w:pPr>
          </w:p>
        </w:tc>
        <w:tc>
          <w:tcPr>
            <w:tcW w:w="1677" w:type="dxa"/>
            <w:gridSpan w:val="3"/>
            <w:noWrap w:val="0"/>
            <w:vAlign w:val="center"/>
          </w:tcPr>
          <w:p>
            <w:pPr>
              <w:pStyle w:val="25"/>
              <w:tabs>
                <w:tab w:val="left" w:pos="1260"/>
              </w:tabs>
              <w:snapToGrid w:val="0"/>
              <w:spacing w:line="360" w:lineRule="auto"/>
              <w:jc w:val="center"/>
              <w:rPr>
                <w:color w:val="auto"/>
                <w:szCs w:val="21"/>
                <w:highlight w:val="none"/>
                <w:lang w:val="en-GB"/>
              </w:rPr>
            </w:pPr>
          </w:p>
        </w:tc>
        <w:tc>
          <w:tcPr>
            <w:tcW w:w="1590" w:type="dxa"/>
            <w:gridSpan w:val="2"/>
            <w:noWrap w:val="0"/>
            <w:vAlign w:val="center"/>
          </w:tcPr>
          <w:p>
            <w:pPr>
              <w:pStyle w:val="25"/>
              <w:tabs>
                <w:tab w:val="left" w:pos="1260"/>
              </w:tabs>
              <w:snapToGrid w:val="0"/>
              <w:spacing w:line="360" w:lineRule="auto"/>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5930" w:type="dxa"/>
            <w:gridSpan w:val="11"/>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节能产品（不包括强制节能产品）金额合计</w:t>
            </w:r>
          </w:p>
        </w:tc>
        <w:tc>
          <w:tcPr>
            <w:tcW w:w="1590" w:type="dxa"/>
            <w:gridSpan w:val="2"/>
            <w:noWrap w:val="0"/>
            <w:vAlign w:val="center"/>
          </w:tcPr>
          <w:p>
            <w:pPr>
              <w:pStyle w:val="25"/>
              <w:tabs>
                <w:tab w:val="left" w:pos="1260"/>
              </w:tabs>
              <w:snapToGrid w:val="0"/>
              <w:spacing w:line="360" w:lineRule="auto"/>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5930" w:type="dxa"/>
            <w:gridSpan w:val="11"/>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比重（节能产品金额</w:t>
            </w:r>
            <w:r>
              <w:rPr>
                <w:color w:val="auto"/>
                <w:szCs w:val="21"/>
                <w:highlight w:val="none"/>
                <w:lang w:val="en-GB"/>
              </w:rPr>
              <w:t>/</w:t>
            </w:r>
            <w:r>
              <w:rPr>
                <w:rFonts w:hAnsi="宋体"/>
                <w:color w:val="auto"/>
                <w:szCs w:val="21"/>
                <w:highlight w:val="none"/>
                <w:lang w:val="en-GB"/>
              </w:rPr>
              <w:t>投标总价）</w:t>
            </w:r>
          </w:p>
        </w:tc>
        <w:tc>
          <w:tcPr>
            <w:tcW w:w="1590" w:type="dxa"/>
            <w:gridSpan w:val="2"/>
            <w:noWrap w:val="0"/>
            <w:vAlign w:val="center"/>
          </w:tcPr>
          <w:p>
            <w:pPr>
              <w:pStyle w:val="25"/>
              <w:tabs>
                <w:tab w:val="left" w:pos="1260"/>
              </w:tabs>
              <w:snapToGrid w:val="0"/>
              <w:spacing w:line="360" w:lineRule="auto"/>
              <w:jc w:val="center"/>
              <w:rPr>
                <w:color w:val="auto"/>
                <w:szCs w:val="21"/>
                <w:highlight w:val="none"/>
                <w:lang w:val="en-GB"/>
              </w:rPr>
            </w:pPr>
            <w:r>
              <w:rPr>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7520" w:type="dxa"/>
            <w:gridSpan w:val="13"/>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节能产品</w:t>
            </w:r>
            <w:r>
              <w:rPr>
                <w:rFonts w:hAnsi="宋体"/>
                <w:color w:val="auto"/>
                <w:szCs w:val="21"/>
                <w:highlight w:val="none"/>
              </w:rPr>
              <w:t>证明材料见投标文件第</w:t>
            </w:r>
            <w:r>
              <w:rPr>
                <w:color w:val="auto"/>
                <w:szCs w:val="21"/>
                <w:highlight w:val="none"/>
                <w:u w:val="single"/>
              </w:rPr>
              <w:t xml:space="preserve">   </w:t>
            </w:r>
            <w:r>
              <w:rPr>
                <w:rFonts w:hAnsi="宋体"/>
                <w:color w:val="auto"/>
                <w:szCs w:val="21"/>
                <w:highlight w:val="none"/>
              </w:rPr>
              <w:t>至</w:t>
            </w:r>
            <w:r>
              <w:rPr>
                <w:color w:val="auto"/>
                <w:szCs w:val="21"/>
                <w:highlight w:val="none"/>
                <w:u w:val="single"/>
              </w:rPr>
              <w:t xml:space="preserve">   </w:t>
            </w:r>
            <w:r>
              <w:rPr>
                <w:rFonts w:hAnsi="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noWrap w:val="0"/>
            <w:vAlign w:val="center"/>
          </w:tcPr>
          <w:p>
            <w:pPr>
              <w:pStyle w:val="25"/>
              <w:tabs>
                <w:tab w:val="left" w:pos="1260"/>
              </w:tabs>
              <w:snapToGrid w:val="0"/>
              <w:spacing w:line="360" w:lineRule="auto"/>
              <w:jc w:val="center"/>
              <w:rPr>
                <w:rFonts w:hint="eastAsia" w:hAnsi="宋体"/>
                <w:color w:val="auto"/>
                <w:szCs w:val="21"/>
                <w:highlight w:val="none"/>
                <w:lang w:val="en-GB"/>
              </w:rPr>
            </w:pPr>
            <w:r>
              <w:rPr>
                <w:rFonts w:hAnsi="宋体"/>
                <w:color w:val="auto"/>
                <w:szCs w:val="21"/>
                <w:highlight w:val="none"/>
                <w:lang w:val="en-GB"/>
              </w:rPr>
              <w:t>环境标</w:t>
            </w:r>
          </w:p>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志产品</w:t>
            </w:r>
          </w:p>
        </w:tc>
        <w:tc>
          <w:tcPr>
            <w:tcW w:w="1238" w:type="dxa"/>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产品名称</w:t>
            </w:r>
          </w:p>
        </w:tc>
        <w:tc>
          <w:tcPr>
            <w:tcW w:w="1597" w:type="dxa"/>
            <w:gridSpan w:val="3"/>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品牌型号</w:t>
            </w:r>
          </w:p>
        </w:tc>
        <w:tc>
          <w:tcPr>
            <w:tcW w:w="1418" w:type="dxa"/>
            <w:gridSpan w:val="4"/>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制造商</w:t>
            </w:r>
          </w:p>
        </w:tc>
        <w:tc>
          <w:tcPr>
            <w:tcW w:w="1677" w:type="dxa"/>
            <w:gridSpan w:val="3"/>
            <w:noWrap w:val="0"/>
            <w:vAlign w:val="center"/>
          </w:tcPr>
          <w:p>
            <w:pPr>
              <w:pStyle w:val="25"/>
              <w:tabs>
                <w:tab w:val="left" w:pos="1260"/>
              </w:tabs>
              <w:snapToGrid w:val="0"/>
              <w:jc w:val="center"/>
              <w:rPr>
                <w:rFonts w:hint="eastAsia" w:hAnsi="宋体"/>
                <w:color w:val="auto"/>
                <w:szCs w:val="21"/>
                <w:highlight w:val="none"/>
                <w:lang w:val="en-GB"/>
              </w:rPr>
            </w:pPr>
            <w:r>
              <w:rPr>
                <w:rFonts w:hAnsi="宋体"/>
                <w:color w:val="auto"/>
                <w:szCs w:val="21"/>
                <w:highlight w:val="none"/>
                <w:lang w:val="en-GB"/>
              </w:rPr>
              <w:t>环境标志认</w:t>
            </w:r>
          </w:p>
          <w:p>
            <w:pPr>
              <w:pStyle w:val="25"/>
              <w:tabs>
                <w:tab w:val="left" w:pos="1260"/>
              </w:tabs>
              <w:snapToGrid w:val="0"/>
              <w:jc w:val="center"/>
              <w:rPr>
                <w:rFonts w:hAnsi="宋体"/>
                <w:color w:val="auto"/>
                <w:szCs w:val="21"/>
                <w:highlight w:val="none"/>
                <w:lang w:val="en-GB"/>
              </w:rPr>
            </w:pPr>
            <w:r>
              <w:rPr>
                <w:rFonts w:hAnsi="宋体"/>
                <w:color w:val="auto"/>
                <w:szCs w:val="21"/>
                <w:highlight w:val="none"/>
                <w:lang w:val="en-GB"/>
              </w:rPr>
              <w:t>证证书编号</w:t>
            </w:r>
          </w:p>
        </w:tc>
        <w:tc>
          <w:tcPr>
            <w:tcW w:w="1590" w:type="dxa"/>
            <w:gridSpan w:val="2"/>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1238" w:type="dxa"/>
            <w:noWrap w:val="0"/>
            <w:vAlign w:val="center"/>
          </w:tcPr>
          <w:p>
            <w:pPr>
              <w:pStyle w:val="25"/>
              <w:tabs>
                <w:tab w:val="left" w:pos="1260"/>
              </w:tabs>
              <w:snapToGrid w:val="0"/>
              <w:spacing w:line="360" w:lineRule="auto"/>
              <w:jc w:val="center"/>
              <w:rPr>
                <w:color w:val="auto"/>
                <w:szCs w:val="21"/>
                <w:highlight w:val="none"/>
                <w:lang w:val="en-GB"/>
              </w:rPr>
            </w:pPr>
          </w:p>
        </w:tc>
        <w:tc>
          <w:tcPr>
            <w:tcW w:w="1597" w:type="dxa"/>
            <w:gridSpan w:val="3"/>
            <w:noWrap w:val="0"/>
            <w:vAlign w:val="center"/>
          </w:tcPr>
          <w:p>
            <w:pPr>
              <w:pStyle w:val="25"/>
              <w:tabs>
                <w:tab w:val="left" w:pos="1260"/>
              </w:tabs>
              <w:snapToGrid w:val="0"/>
              <w:spacing w:line="360" w:lineRule="auto"/>
              <w:jc w:val="center"/>
              <w:rPr>
                <w:color w:val="auto"/>
                <w:szCs w:val="21"/>
                <w:highlight w:val="none"/>
                <w:lang w:val="en-GB"/>
              </w:rPr>
            </w:pPr>
          </w:p>
        </w:tc>
        <w:tc>
          <w:tcPr>
            <w:tcW w:w="1418" w:type="dxa"/>
            <w:gridSpan w:val="4"/>
            <w:noWrap w:val="0"/>
            <w:vAlign w:val="center"/>
          </w:tcPr>
          <w:p>
            <w:pPr>
              <w:pStyle w:val="25"/>
              <w:tabs>
                <w:tab w:val="left" w:pos="1260"/>
              </w:tabs>
              <w:snapToGrid w:val="0"/>
              <w:spacing w:line="360" w:lineRule="auto"/>
              <w:jc w:val="center"/>
              <w:rPr>
                <w:color w:val="auto"/>
                <w:szCs w:val="21"/>
                <w:highlight w:val="none"/>
                <w:lang w:val="en-GB"/>
              </w:rPr>
            </w:pPr>
          </w:p>
        </w:tc>
        <w:tc>
          <w:tcPr>
            <w:tcW w:w="1677" w:type="dxa"/>
            <w:gridSpan w:val="3"/>
            <w:noWrap w:val="0"/>
            <w:vAlign w:val="center"/>
          </w:tcPr>
          <w:p>
            <w:pPr>
              <w:pStyle w:val="25"/>
              <w:tabs>
                <w:tab w:val="left" w:pos="1260"/>
              </w:tabs>
              <w:snapToGrid w:val="0"/>
              <w:spacing w:line="360" w:lineRule="auto"/>
              <w:jc w:val="center"/>
              <w:rPr>
                <w:color w:val="auto"/>
                <w:szCs w:val="21"/>
                <w:highlight w:val="none"/>
                <w:lang w:val="en-GB"/>
              </w:rPr>
            </w:pPr>
          </w:p>
        </w:tc>
        <w:tc>
          <w:tcPr>
            <w:tcW w:w="1590" w:type="dxa"/>
            <w:gridSpan w:val="2"/>
            <w:noWrap w:val="0"/>
            <w:vAlign w:val="center"/>
          </w:tcPr>
          <w:p>
            <w:pPr>
              <w:pStyle w:val="25"/>
              <w:tabs>
                <w:tab w:val="left" w:pos="1260"/>
              </w:tabs>
              <w:snapToGrid w:val="0"/>
              <w:spacing w:line="360" w:lineRule="auto"/>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1238" w:type="dxa"/>
            <w:noWrap w:val="0"/>
            <w:vAlign w:val="center"/>
          </w:tcPr>
          <w:p>
            <w:pPr>
              <w:pStyle w:val="25"/>
              <w:tabs>
                <w:tab w:val="left" w:pos="1260"/>
              </w:tabs>
              <w:snapToGrid w:val="0"/>
              <w:spacing w:line="360" w:lineRule="auto"/>
              <w:jc w:val="center"/>
              <w:rPr>
                <w:color w:val="auto"/>
                <w:szCs w:val="21"/>
                <w:highlight w:val="none"/>
                <w:lang w:val="en-GB"/>
              </w:rPr>
            </w:pPr>
          </w:p>
        </w:tc>
        <w:tc>
          <w:tcPr>
            <w:tcW w:w="1597" w:type="dxa"/>
            <w:gridSpan w:val="3"/>
            <w:noWrap w:val="0"/>
            <w:vAlign w:val="center"/>
          </w:tcPr>
          <w:p>
            <w:pPr>
              <w:pStyle w:val="25"/>
              <w:tabs>
                <w:tab w:val="left" w:pos="1260"/>
              </w:tabs>
              <w:snapToGrid w:val="0"/>
              <w:spacing w:line="360" w:lineRule="auto"/>
              <w:jc w:val="center"/>
              <w:rPr>
                <w:color w:val="auto"/>
                <w:szCs w:val="21"/>
                <w:highlight w:val="none"/>
                <w:lang w:val="en-GB"/>
              </w:rPr>
            </w:pPr>
          </w:p>
        </w:tc>
        <w:tc>
          <w:tcPr>
            <w:tcW w:w="1418" w:type="dxa"/>
            <w:gridSpan w:val="4"/>
            <w:noWrap w:val="0"/>
            <w:vAlign w:val="center"/>
          </w:tcPr>
          <w:p>
            <w:pPr>
              <w:pStyle w:val="25"/>
              <w:tabs>
                <w:tab w:val="left" w:pos="1260"/>
              </w:tabs>
              <w:snapToGrid w:val="0"/>
              <w:spacing w:line="360" w:lineRule="auto"/>
              <w:jc w:val="center"/>
              <w:rPr>
                <w:color w:val="auto"/>
                <w:szCs w:val="21"/>
                <w:highlight w:val="none"/>
                <w:lang w:val="en-GB"/>
              </w:rPr>
            </w:pPr>
          </w:p>
        </w:tc>
        <w:tc>
          <w:tcPr>
            <w:tcW w:w="1677" w:type="dxa"/>
            <w:gridSpan w:val="3"/>
            <w:noWrap w:val="0"/>
            <w:vAlign w:val="center"/>
          </w:tcPr>
          <w:p>
            <w:pPr>
              <w:pStyle w:val="25"/>
              <w:tabs>
                <w:tab w:val="left" w:pos="1260"/>
              </w:tabs>
              <w:snapToGrid w:val="0"/>
              <w:spacing w:line="360" w:lineRule="auto"/>
              <w:jc w:val="center"/>
              <w:rPr>
                <w:color w:val="auto"/>
                <w:szCs w:val="21"/>
                <w:highlight w:val="none"/>
                <w:lang w:val="en-GB"/>
              </w:rPr>
            </w:pPr>
          </w:p>
        </w:tc>
        <w:tc>
          <w:tcPr>
            <w:tcW w:w="1590" w:type="dxa"/>
            <w:gridSpan w:val="2"/>
            <w:noWrap w:val="0"/>
            <w:vAlign w:val="center"/>
          </w:tcPr>
          <w:p>
            <w:pPr>
              <w:pStyle w:val="25"/>
              <w:tabs>
                <w:tab w:val="left" w:pos="1260"/>
              </w:tabs>
              <w:snapToGrid w:val="0"/>
              <w:spacing w:line="360" w:lineRule="auto"/>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5930" w:type="dxa"/>
            <w:gridSpan w:val="11"/>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环境标志产品金额合计</w:t>
            </w:r>
          </w:p>
        </w:tc>
        <w:tc>
          <w:tcPr>
            <w:tcW w:w="1590" w:type="dxa"/>
            <w:gridSpan w:val="2"/>
            <w:noWrap w:val="0"/>
            <w:vAlign w:val="center"/>
          </w:tcPr>
          <w:p>
            <w:pPr>
              <w:pStyle w:val="25"/>
              <w:tabs>
                <w:tab w:val="left" w:pos="1260"/>
              </w:tabs>
              <w:snapToGrid w:val="0"/>
              <w:spacing w:line="360" w:lineRule="auto"/>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5930" w:type="dxa"/>
            <w:gridSpan w:val="11"/>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比重（环境标志产品金额</w:t>
            </w:r>
            <w:r>
              <w:rPr>
                <w:color w:val="auto"/>
                <w:szCs w:val="21"/>
                <w:highlight w:val="none"/>
                <w:lang w:val="en-GB"/>
              </w:rPr>
              <w:t>/</w:t>
            </w:r>
            <w:r>
              <w:rPr>
                <w:rFonts w:hAnsi="宋体"/>
                <w:color w:val="auto"/>
                <w:szCs w:val="21"/>
                <w:highlight w:val="none"/>
                <w:lang w:val="en-GB"/>
              </w:rPr>
              <w:t>投标总价）</w:t>
            </w:r>
          </w:p>
        </w:tc>
        <w:tc>
          <w:tcPr>
            <w:tcW w:w="1590" w:type="dxa"/>
            <w:gridSpan w:val="2"/>
            <w:noWrap w:val="0"/>
            <w:vAlign w:val="center"/>
          </w:tcPr>
          <w:p>
            <w:pPr>
              <w:pStyle w:val="25"/>
              <w:tabs>
                <w:tab w:val="left" w:pos="1260"/>
              </w:tabs>
              <w:snapToGrid w:val="0"/>
              <w:spacing w:line="360" w:lineRule="auto"/>
              <w:jc w:val="center"/>
              <w:rPr>
                <w:color w:val="auto"/>
                <w:szCs w:val="21"/>
                <w:highlight w:val="none"/>
                <w:lang w:val="en-GB"/>
              </w:rPr>
            </w:pPr>
            <w:r>
              <w:rPr>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313" w:type="dxa"/>
            <w:vMerge w:val="continue"/>
            <w:noWrap w:val="0"/>
            <w:vAlign w:val="center"/>
          </w:tcPr>
          <w:p>
            <w:pPr>
              <w:pStyle w:val="25"/>
              <w:tabs>
                <w:tab w:val="left" w:pos="1260"/>
              </w:tabs>
              <w:snapToGrid w:val="0"/>
              <w:spacing w:line="360" w:lineRule="auto"/>
              <w:jc w:val="center"/>
              <w:rPr>
                <w:color w:val="auto"/>
                <w:szCs w:val="21"/>
                <w:highlight w:val="none"/>
                <w:lang w:val="en-GB"/>
              </w:rPr>
            </w:pPr>
          </w:p>
        </w:tc>
        <w:tc>
          <w:tcPr>
            <w:tcW w:w="7520" w:type="dxa"/>
            <w:gridSpan w:val="13"/>
            <w:noWrap w:val="0"/>
            <w:vAlign w:val="center"/>
          </w:tcPr>
          <w:p>
            <w:pPr>
              <w:pStyle w:val="25"/>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环境标志产品</w:t>
            </w:r>
            <w:r>
              <w:rPr>
                <w:rFonts w:hAnsi="宋体"/>
                <w:color w:val="auto"/>
                <w:szCs w:val="21"/>
                <w:highlight w:val="none"/>
              </w:rPr>
              <w:t>证明材料见投标文件第</w:t>
            </w:r>
            <w:r>
              <w:rPr>
                <w:color w:val="auto"/>
                <w:szCs w:val="21"/>
                <w:highlight w:val="none"/>
                <w:u w:val="single"/>
              </w:rPr>
              <w:t xml:space="preserve">   </w:t>
            </w:r>
            <w:r>
              <w:rPr>
                <w:rFonts w:hAnsi="宋体"/>
                <w:color w:val="auto"/>
                <w:szCs w:val="21"/>
                <w:highlight w:val="none"/>
              </w:rPr>
              <w:t>至</w:t>
            </w:r>
            <w:r>
              <w:rPr>
                <w:color w:val="auto"/>
                <w:szCs w:val="21"/>
                <w:highlight w:val="none"/>
                <w:u w:val="single"/>
              </w:rPr>
              <w:t xml:space="preserve">   </w:t>
            </w:r>
            <w:r>
              <w:rPr>
                <w:rFonts w:hAnsi="宋体"/>
                <w:color w:val="auto"/>
                <w:szCs w:val="21"/>
                <w:highlight w:val="none"/>
              </w:rPr>
              <w:t>页。</w:t>
            </w:r>
          </w:p>
        </w:tc>
      </w:tr>
    </w:tbl>
    <w:p>
      <w:pPr>
        <w:spacing w:line="360" w:lineRule="auto"/>
        <w:ind w:firstLine="420" w:firstLineChars="200"/>
        <w:rPr>
          <w:color w:val="auto"/>
          <w:szCs w:val="21"/>
          <w:highlight w:val="none"/>
        </w:rPr>
      </w:pPr>
      <w:bookmarkStart w:id="47" w:name="_Toc470007449"/>
      <w:bookmarkStart w:id="48" w:name="_Toc32151"/>
      <w:r>
        <w:rPr>
          <w:rFonts w:hAnsi="宋体"/>
          <w:color w:val="auto"/>
          <w:szCs w:val="21"/>
          <w:highlight w:val="none"/>
        </w:rPr>
        <w:t>填报要求：</w:t>
      </w:r>
      <w:bookmarkEnd w:id="47"/>
      <w:bookmarkEnd w:id="48"/>
    </w:p>
    <w:p>
      <w:pPr>
        <w:spacing w:line="360" w:lineRule="auto"/>
        <w:ind w:firstLine="420" w:firstLineChars="200"/>
        <w:rPr>
          <w:color w:val="auto"/>
          <w:szCs w:val="21"/>
          <w:highlight w:val="none"/>
        </w:rPr>
      </w:pPr>
      <w:bookmarkStart w:id="49" w:name="_Toc22849"/>
      <w:bookmarkStart w:id="50" w:name="_Toc470007450"/>
      <w:r>
        <w:rPr>
          <w:color w:val="auto"/>
          <w:szCs w:val="21"/>
          <w:highlight w:val="none"/>
        </w:rPr>
        <w:t xml:space="preserve">1. </w:t>
      </w:r>
      <w:r>
        <w:rPr>
          <w:rFonts w:hAnsi="宋体"/>
          <w:color w:val="auto"/>
          <w:szCs w:val="21"/>
          <w:highlight w:val="none"/>
        </w:rPr>
        <w:t>本表的产品名称、品牌型号、金额应与《</w:t>
      </w:r>
      <w:r>
        <w:rPr>
          <w:rFonts w:hint="eastAsia" w:hAnsi="宋体"/>
          <w:color w:val="auto"/>
          <w:szCs w:val="21"/>
          <w:highlight w:val="none"/>
        </w:rPr>
        <w:t>投标报价明细表</w:t>
      </w:r>
      <w:r>
        <w:rPr>
          <w:rFonts w:hAnsi="宋体"/>
          <w:color w:val="auto"/>
          <w:szCs w:val="21"/>
          <w:highlight w:val="none"/>
        </w:rPr>
        <w:t>》一致。</w:t>
      </w:r>
      <w:bookmarkEnd w:id="49"/>
      <w:bookmarkEnd w:id="50"/>
    </w:p>
    <w:p>
      <w:pPr>
        <w:spacing w:line="360" w:lineRule="auto"/>
        <w:ind w:firstLine="420" w:firstLineChars="200"/>
        <w:rPr>
          <w:rFonts w:hint="eastAsia" w:hAnsi="宋体"/>
          <w:color w:val="auto"/>
          <w:szCs w:val="21"/>
          <w:highlight w:val="none"/>
        </w:rPr>
      </w:pPr>
      <w:bookmarkStart w:id="51" w:name="_Toc470007451"/>
      <w:bookmarkStart w:id="52" w:name="_Toc29558"/>
      <w:r>
        <w:rPr>
          <w:color w:val="auto"/>
          <w:szCs w:val="21"/>
          <w:highlight w:val="none"/>
        </w:rPr>
        <w:t xml:space="preserve">2. </w:t>
      </w:r>
      <w:r>
        <w:rPr>
          <w:rFonts w:hAnsi="宋体"/>
          <w:color w:val="auto"/>
          <w:szCs w:val="21"/>
          <w:highlight w:val="none"/>
        </w:rPr>
        <w:t>制造商为小型或微型企业时才需要填</w:t>
      </w:r>
      <w:r>
        <w:rPr>
          <w:color w:val="auto"/>
          <w:szCs w:val="21"/>
          <w:highlight w:val="none"/>
        </w:rPr>
        <w:t>“</w:t>
      </w:r>
      <w:r>
        <w:rPr>
          <w:rFonts w:hAnsi="宋体"/>
          <w:color w:val="auto"/>
          <w:szCs w:val="21"/>
          <w:highlight w:val="none"/>
        </w:rPr>
        <w:t>制造商企业类型</w:t>
      </w:r>
      <w:r>
        <w:rPr>
          <w:color w:val="auto"/>
          <w:szCs w:val="21"/>
          <w:highlight w:val="none"/>
        </w:rPr>
        <w:t>”</w:t>
      </w:r>
      <w:r>
        <w:rPr>
          <w:rFonts w:hAnsi="宋体"/>
          <w:color w:val="auto"/>
          <w:szCs w:val="21"/>
          <w:highlight w:val="none"/>
        </w:rPr>
        <w:t>栏，填写内容为</w:t>
      </w:r>
      <w:r>
        <w:rPr>
          <w:color w:val="auto"/>
          <w:szCs w:val="21"/>
          <w:highlight w:val="none"/>
        </w:rPr>
        <w:t>“</w:t>
      </w:r>
      <w:r>
        <w:rPr>
          <w:rFonts w:hAnsi="宋体"/>
          <w:color w:val="auto"/>
          <w:szCs w:val="21"/>
          <w:highlight w:val="none"/>
        </w:rPr>
        <w:t>小型</w:t>
      </w:r>
      <w:r>
        <w:rPr>
          <w:color w:val="auto"/>
          <w:szCs w:val="21"/>
          <w:highlight w:val="none"/>
        </w:rPr>
        <w:t>”</w:t>
      </w:r>
      <w:r>
        <w:rPr>
          <w:rFonts w:hAnsi="宋体"/>
          <w:color w:val="auto"/>
          <w:szCs w:val="21"/>
          <w:highlight w:val="none"/>
        </w:rPr>
        <w:t>或</w:t>
      </w:r>
      <w:r>
        <w:rPr>
          <w:color w:val="auto"/>
          <w:szCs w:val="21"/>
          <w:highlight w:val="none"/>
        </w:rPr>
        <w:t>“</w:t>
      </w:r>
      <w:r>
        <w:rPr>
          <w:rFonts w:hAnsi="宋体"/>
          <w:color w:val="auto"/>
          <w:szCs w:val="21"/>
          <w:highlight w:val="none"/>
        </w:rPr>
        <w:t>微型</w:t>
      </w:r>
      <w:r>
        <w:rPr>
          <w:color w:val="auto"/>
          <w:szCs w:val="21"/>
          <w:highlight w:val="none"/>
        </w:rPr>
        <w:t>”</w:t>
      </w:r>
      <w:r>
        <w:rPr>
          <w:rFonts w:hAnsi="宋体"/>
          <w:color w:val="auto"/>
          <w:szCs w:val="21"/>
          <w:highlight w:val="none"/>
        </w:rPr>
        <w:t>。</w:t>
      </w:r>
      <w:bookmarkEnd w:id="51"/>
      <w:bookmarkEnd w:id="52"/>
    </w:p>
    <w:p>
      <w:pPr>
        <w:spacing w:line="360" w:lineRule="auto"/>
        <w:ind w:firstLine="420" w:firstLineChars="200"/>
        <w:rPr>
          <w:rFonts w:hint="eastAsia"/>
          <w:color w:val="auto"/>
          <w:szCs w:val="21"/>
          <w:highlight w:val="none"/>
        </w:rPr>
      </w:pPr>
      <w:bookmarkStart w:id="53" w:name="_Toc11886"/>
      <w:r>
        <w:rPr>
          <w:rFonts w:hint="eastAsia" w:hAnsi="宋体"/>
          <w:color w:val="auto"/>
          <w:szCs w:val="21"/>
          <w:highlight w:val="none"/>
        </w:rPr>
        <w:t>3.</w:t>
      </w:r>
      <w:r>
        <w:rPr>
          <w:rFonts w:hAnsi="宋体"/>
          <w:color w:val="auto"/>
          <w:szCs w:val="21"/>
          <w:highlight w:val="none"/>
        </w:rPr>
        <w:t xml:space="preserve"> 制造商为</w:t>
      </w:r>
      <w:r>
        <w:rPr>
          <w:rFonts w:hint="eastAsia" w:hAnsi="宋体"/>
          <w:color w:val="auto"/>
          <w:szCs w:val="21"/>
          <w:highlight w:val="none"/>
        </w:rPr>
        <w:t>监狱</w:t>
      </w:r>
      <w:r>
        <w:rPr>
          <w:rFonts w:hAnsi="宋体"/>
          <w:color w:val="auto"/>
          <w:szCs w:val="21"/>
          <w:highlight w:val="none"/>
        </w:rPr>
        <w:t>企业时才需要填</w:t>
      </w:r>
      <w:r>
        <w:rPr>
          <w:color w:val="auto"/>
          <w:szCs w:val="21"/>
          <w:highlight w:val="none"/>
        </w:rPr>
        <w:t>“</w:t>
      </w:r>
      <w:r>
        <w:rPr>
          <w:rFonts w:hAnsi="宋体"/>
          <w:color w:val="auto"/>
          <w:szCs w:val="21"/>
          <w:highlight w:val="none"/>
        </w:rPr>
        <w:t>制造商企业类型</w:t>
      </w:r>
      <w:r>
        <w:rPr>
          <w:color w:val="auto"/>
          <w:szCs w:val="21"/>
          <w:highlight w:val="none"/>
        </w:rPr>
        <w:t>”</w:t>
      </w:r>
      <w:r>
        <w:rPr>
          <w:rFonts w:hAnsi="宋体"/>
          <w:color w:val="auto"/>
          <w:szCs w:val="21"/>
          <w:highlight w:val="none"/>
        </w:rPr>
        <w:t>栏。</w:t>
      </w:r>
      <w:bookmarkEnd w:id="53"/>
      <w:bookmarkStart w:id="54" w:name="_Toc470007452"/>
    </w:p>
    <w:p>
      <w:pPr>
        <w:spacing w:line="360" w:lineRule="auto"/>
        <w:ind w:firstLine="420" w:firstLineChars="200"/>
        <w:rPr>
          <w:rFonts w:hint="eastAsia" w:hAnsi="宋体"/>
          <w:color w:val="auto"/>
          <w:szCs w:val="21"/>
          <w:highlight w:val="none"/>
        </w:rPr>
      </w:pPr>
      <w:bookmarkStart w:id="55" w:name="_Toc27949"/>
      <w:r>
        <w:rPr>
          <w:rFonts w:hint="eastAsia"/>
          <w:color w:val="auto"/>
          <w:szCs w:val="21"/>
          <w:highlight w:val="none"/>
        </w:rPr>
        <w:t>4</w:t>
      </w:r>
      <w:r>
        <w:rPr>
          <w:color w:val="auto"/>
          <w:szCs w:val="21"/>
          <w:highlight w:val="none"/>
        </w:rPr>
        <w:t>.</w:t>
      </w:r>
      <w:r>
        <w:rPr>
          <w:rFonts w:hAnsi="宋体"/>
          <w:color w:val="auto"/>
          <w:szCs w:val="21"/>
          <w:highlight w:val="none"/>
        </w:rPr>
        <w:t>节能产品是指</w:t>
      </w:r>
      <w:r>
        <w:rPr>
          <w:rFonts w:hint="eastAsia" w:hAnsi="宋体"/>
          <w:color w:val="auto"/>
          <w:szCs w:val="21"/>
          <w:highlight w:val="none"/>
        </w:rPr>
        <w:t>被列入财政部、发展改革委发布的节能产品品目清单的产品。</w:t>
      </w:r>
      <w:r>
        <w:rPr>
          <w:rFonts w:hAnsi="宋体"/>
          <w:color w:val="auto"/>
          <w:szCs w:val="21"/>
          <w:highlight w:val="none"/>
        </w:rPr>
        <w:t>提供</w:t>
      </w:r>
      <w:r>
        <w:rPr>
          <w:rFonts w:hint="eastAsia" w:hAnsi="宋体"/>
          <w:color w:val="auto"/>
          <w:szCs w:val="21"/>
          <w:highlight w:val="none"/>
        </w:rPr>
        <w:t>国家市场监督管理总局公布的《参与实施政府采购节能产品认证机构名录》内的认证机构出具的、处于有效期之内的节能标志产品认证证书</w:t>
      </w:r>
      <w:r>
        <w:rPr>
          <w:rFonts w:hAnsi="宋体"/>
          <w:color w:val="auto"/>
          <w:szCs w:val="21"/>
          <w:highlight w:val="none"/>
        </w:rPr>
        <w:t>。</w:t>
      </w:r>
      <w:bookmarkEnd w:id="55"/>
    </w:p>
    <w:p>
      <w:pPr>
        <w:spacing w:line="360" w:lineRule="auto"/>
        <w:ind w:firstLine="420" w:firstLineChars="200"/>
        <w:rPr>
          <w:rFonts w:hAnsi="宋体"/>
          <w:color w:val="auto"/>
          <w:szCs w:val="21"/>
          <w:highlight w:val="none"/>
        </w:rPr>
      </w:pPr>
      <w:bookmarkStart w:id="56" w:name="_Toc31916"/>
      <w:r>
        <w:rPr>
          <w:rFonts w:hAnsi="宋体"/>
          <w:color w:val="auto"/>
          <w:szCs w:val="21"/>
          <w:highlight w:val="none"/>
        </w:rPr>
        <w:t>环境标志</w:t>
      </w:r>
      <w:r>
        <w:rPr>
          <w:rFonts w:hint="eastAsia" w:hAnsi="宋体"/>
          <w:color w:val="auto"/>
          <w:szCs w:val="21"/>
          <w:highlight w:val="none"/>
        </w:rPr>
        <w:t>产品是指被列入财政部、生态环境部发布的环境标志产品品目清单的产品</w:t>
      </w:r>
      <w:r>
        <w:rPr>
          <w:rFonts w:hAnsi="宋体"/>
          <w:color w:val="auto"/>
          <w:szCs w:val="21"/>
          <w:highlight w:val="none"/>
        </w:rPr>
        <w:t>。</w:t>
      </w:r>
      <w:bookmarkEnd w:id="54"/>
      <w:r>
        <w:rPr>
          <w:rFonts w:hint="eastAsia" w:hAnsi="宋体"/>
          <w:color w:val="auto"/>
          <w:szCs w:val="21"/>
          <w:highlight w:val="none"/>
        </w:rPr>
        <w:t>提供国家市场监督管理总局公布的《参与实施政府采购环境标志产品认证机构名录》内的认证机构出具的、处于有效期之内的环境标志产品认证证书</w:t>
      </w:r>
      <w:r>
        <w:rPr>
          <w:rFonts w:hAnsi="宋体"/>
          <w:color w:val="auto"/>
          <w:szCs w:val="21"/>
          <w:highlight w:val="none"/>
        </w:rPr>
        <w:t>。</w:t>
      </w:r>
      <w:bookmarkEnd w:id="56"/>
    </w:p>
    <w:p>
      <w:pPr>
        <w:pStyle w:val="9"/>
        <w:spacing w:line="360" w:lineRule="auto"/>
        <w:ind w:firstLine="420" w:firstLineChars="200"/>
        <w:rPr>
          <w:rFonts w:ascii="Times New Roman" w:hAnsi="Times New Roman"/>
          <w:b/>
          <w:color w:val="auto"/>
          <w:sz w:val="21"/>
          <w:szCs w:val="21"/>
          <w:highlight w:val="none"/>
        </w:rPr>
      </w:pPr>
      <w:bookmarkStart w:id="57" w:name="_Toc470007453"/>
      <w:r>
        <w:rPr>
          <w:rFonts w:hint="eastAsia" w:ascii="Times New Roman" w:hAnsi="Times New Roman"/>
          <w:color w:val="auto"/>
          <w:sz w:val="21"/>
          <w:szCs w:val="21"/>
          <w:highlight w:val="none"/>
        </w:rPr>
        <w:t>5</w:t>
      </w:r>
      <w:r>
        <w:rPr>
          <w:rFonts w:ascii="Times New Roman" w:hAnsi="Times New Roman"/>
          <w:color w:val="auto"/>
          <w:sz w:val="21"/>
          <w:szCs w:val="21"/>
          <w:highlight w:val="none"/>
        </w:rPr>
        <w:t xml:space="preserve">. </w:t>
      </w:r>
      <w:r>
        <w:rPr>
          <w:rFonts w:ascii="Times New Roman" w:hAnsi="宋体"/>
          <w:color w:val="auto"/>
          <w:sz w:val="21"/>
          <w:szCs w:val="21"/>
          <w:highlight w:val="none"/>
        </w:rPr>
        <w:t>请投标</w:t>
      </w:r>
      <w:r>
        <w:rPr>
          <w:rFonts w:hint="eastAsia" w:ascii="Times New Roman" w:hAnsi="宋体"/>
          <w:color w:val="auto"/>
          <w:sz w:val="21"/>
          <w:szCs w:val="21"/>
          <w:highlight w:val="none"/>
        </w:rPr>
        <w:t>人</w:t>
      </w:r>
      <w:r>
        <w:rPr>
          <w:rFonts w:ascii="Times New Roman" w:hAnsi="宋体"/>
          <w:color w:val="auto"/>
          <w:sz w:val="21"/>
          <w:szCs w:val="21"/>
          <w:highlight w:val="none"/>
        </w:rPr>
        <w:t>正确填写本表，所填内容将作为评分的依据。其内容或数据应与对应的证明资料相符，如果填写不完整或有误，不再享受上述政策优惠。</w:t>
      </w:r>
      <w:bookmarkEnd w:id="57"/>
    </w:p>
    <w:p>
      <w:pPr>
        <w:pStyle w:val="9"/>
        <w:spacing w:line="360" w:lineRule="auto"/>
        <w:rPr>
          <w:rFonts w:ascii="Times New Roman" w:hAnsi="Times New Roman"/>
          <w:b/>
          <w:color w:val="auto"/>
          <w:sz w:val="21"/>
          <w:szCs w:val="21"/>
          <w:highlight w:val="none"/>
        </w:rPr>
      </w:pPr>
    </w:p>
    <w:p>
      <w:pPr>
        <w:snapToGrid w:val="0"/>
        <w:spacing w:before="50" w:after="50" w:line="360" w:lineRule="auto"/>
        <w:rPr>
          <w:rFonts w:ascii="宋体" w:hAnsi="宋体"/>
          <w:color w:val="auto"/>
          <w:spacing w:val="20"/>
          <w:szCs w:val="21"/>
          <w:highlight w:val="none"/>
          <w:u w:val="single"/>
        </w:rPr>
      </w:pPr>
    </w:p>
    <w:p>
      <w:pPr>
        <w:rPr>
          <w:rFonts w:ascii="宋体" w:hAnsi="宋体"/>
          <w:color w:val="auto"/>
          <w:spacing w:val="20"/>
          <w:szCs w:val="21"/>
          <w:highlight w:val="none"/>
          <w:u w:val="single"/>
        </w:rPr>
      </w:pPr>
      <w:r>
        <w:rPr>
          <w:rFonts w:hint="eastAsia" w:ascii="宋体" w:hAnsi="宋体"/>
          <w:color w:val="auto"/>
          <w:spacing w:val="20"/>
          <w:szCs w:val="21"/>
          <w:highlight w:val="none"/>
        </w:rPr>
        <w:t>投标人：</w:t>
      </w:r>
      <w:r>
        <w:rPr>
          <w:rFonts w:ascii="宋体" w:hAnsi="宋体"/>
          <w:color w:val="auto"/>
          <w:spacing w:val="20"/>
          <w:szCs w:val="21"/>
          <w:highlight w:val="none"/>
          <w:u w:val="single"/>
        </w:rPr>
        <w:t xml:space="preserve">      </w:t>
      </w:r>
      <w:r>
        <w:rPr>
          <w:rFonts w:hint="eastAsia" w:ascii="宋体" w:hAnsi="宋体"/>
          <w:color w:val="auto"/>
          <w:spacing w:val="20"/>
          <w:szCs w:val="21"/>
          <w:highlight w:val="none"/>
          <w:u w:val="single"/>
        </w:rPr>
        <w:t>（盖章）</w:t>
      </w:r>
      <w:r>
        <w:rPr>
          <w:rFonts w:ascii="宋体" w:hAnsi="宋体"/>
          <w:color w:val="auto"/>
          <w:spacing w:val="20"/>
          <w:szCs w:val="21"/>
          <w:highlight w:val="none"/>
          <w:u w:val="single"/>
        </w:rPr>
        <w:t xml:space="preserve">      </w:t>
      </w:r>
      <w:r>
        <w:rPr>
          <w:rFonts w:ascii="宋体" w:hAnsi="宋体"/>
          <w:color w:val="auto"/>
          <w:spacing w:val="20"/>
          <w:szCs w:val="21"/>
          <w:highlight w:val="none"/>
        </w:rPr>
        <w:t xml:space="preserve">     </w:t>
      </w:r>
      <w:r>
        <w:rPr>
          <w:rFonts w:hint="eastAsia" w:ascii="宋体" w:hAnsi="宋体"/>
          <w:color w:val="auto"/>
          <w:spacing w:val="20"/>
          <w:szCs w:val="21"/>
          <w:highlight w:val="none"/>
        </w:rPr>
        <w:t>日</w:t>
      </w:r>
      <w:r>
        <w:rPr>
          <w:rFonts w:ascii="宋体" w:hAnsi="宋体"/>
          <w:color w:val="auto"/>
          <w:spacing w:val="20"/>
          <w:szCs w:val="21"/>
          <w:highlight w:val="none"/>
        </w:rPr>
        <w:t xml:space="preserve">  </w:t>
      </w:r>
      <w:r>
        <w:rPr>
          <w:rFonts w:hint="eastAsia" w:ascii="宋体" w:hAnsi="宋体"/>
          <w:color w:val="auto"/>
          <w:spacing w:val="20"/>
          <w:szCs w:val="21"/>
          <w:highlight w:val="none"/>
        </w:rPr>
        <w:t>期：</w:t>
      </w:r>
      <w:r>
        <w:rPr>
          <w:rFonts w:ascii="宋体" w:hAnsi="宋体"/>
          <w:color w:val="auto"/>
          <w:spacing w:val="20"/>
          <w:szCs w:val="21"/>
          <w:highlight w:val="none"/>
          <w:u w:val="single"/>
        </w:rPr>
        <w:t xml:space="preserve">          </w:t>
      </w:r>
    </w:p>
    <w:p>
      <w:pPr>
        <w:pStyle w:val="9"/>
        <w:spacing w:line="360" w:lineRule="auto"/>
        <w:rPr>
          <w:rFonts w:hint="eastAsia" w:hAnsi="宋体"/>
          <w:b/>
          <w:color w:val="auto"/>
          <w:highlight w:val="none"/>
        </w:rPr>
      </w:pPr>
      <w:r>
        <w:rPr>
          <w:rFonts w:hAnsi="宋体"/>
          <w:color w:val="auto"/>
          <w:spacing w:val="20"/>
          <w:szCs w:val="21"/>
          <w:highlight w:val="none"/>
          <w:u w:val="single"/>
        </w:rPr>
        <w:br w:type="page"/>
      </w:r>
      <w:r>
        <w:rPr>
          <w:rFonts w:hint="eastAsia" w:hAnsi="宋体"/>
          <w:b/>
          <w:color w:val="auto"/>
          <w:highlight w:val="none"/>
        </w:rPr>
        <w:t>19.代理服务费支付承诺书</w:t>
      </w:r>
    </w:p>
    <w:p>
      <w:pPr>
        <w:jc w:val="center"/>
        <w:rPr>
          <w:color w:val="auto"/>
          <w:szCs w:val="21"/>
          <w:highlight w:val="none"/>
        </w:rPr>
      </w:pPr>
      <w:r>
        <w:rPr>
          <w:rFonts w:hint="eastAsia" w:hAnsi="宋体"/>
          <w:b/>
          <w:bCs/>
          <w:color w:val="auto"/>
          <w:sz w:val="30"/>
          <w:szCs w:val="30"/>
          <w:highlight w:val="none"/>
        </w:rPr>
        <w:t>代理服务费支付承诺书</w:t>
      </w:r>
    </w:p>
    <w:p>
      <w:pPr>
        <w:snapToGrid w:val="0"/>
        <w:spacing w:before="50" w:after="50" w:line="360" w:lineRule="auto"/>
        <w:rPr>
          <w:rFonts w:hint="eastAsia" w:ascii="宋体" w:hAnsi="宋体"/>
          <w:color w:val="auto"/>
          <w:spacing w:val="20"/>
          <w:sz w:val="24"/>
          <w:highlight w:val="none"/>
          <w:u w:val="single"/>
        </w:rPr>
      </w:pPr>
    </w:p>
    <w:p>
      <w:pPr>
        <w:snapToGrid w:val="0"/>
        <w:spacing w:before="50" w:after="50" w:line="360" w:lineRule="auto"/>
        <w:rPr>
          <w:rFonts w:hint="eastAsia" w:ascii="宋体" w:hAnsi="宋体"/>
          <w:color w:val="auto"/>
          <w:spacing w:val="20"/>
          <w:sz w:val="24"/>
          <w:highlight w:val="none"/>
        </w:rPr>
      </w:pPr>
      <w:r>
        <w:rPr>
          <w:rFonts w:hint="eastAsia" w:ascii="宋体" w:hAnsi="宋体"/>
          <w:color w:val="auto"/>
          <w:spacing w:val="20"/>
          <w:sz w:val="24"/>
          <w:highlight w:val="none"/>
        </w:rPr>
        <w:t>致：浙江省国际技术设备招标有限公司：</w:t>
      </w:r>
    </w:p>
    <w:p>
      <w:pPr>
        <w:snapToGrid w:val="0"/>
        <w:spacing w:before="50" w:after="50" w:line="360" w:lineRule="auto"/>
        <w:rPr>
          <w:rFonts w:hint="eastAsia" w:ascii="宋体" w:hAnsi="宋体"/>
          <w:color w:val="auto"/>
          <w:spacing w:val="20"/>
          <w:sz w:val="24"/>
          <w:highlight w:val="none"/>
        </w:rPr>
      </w:pPr>
    </w:p>
    <w:p>
      <w:pPr>
        <w:snapToGrid w:val="0"/>
        <w:spacing w:before="50" w:after="50" w:line="360" w:lineRule="auto"/>
        <w:ind w:firstLine="630"/>
        <w:rPr>
          <w:rFonts w:hint="eastAsia" w:ascii="宋体" w:hAnsi="宋体"/>
          <w:color w:val="auto"/>
          <w:spacing w:val="20"/>
          <w:sz w:val="24"/>
          <w:highlight w:val="none"/>
        </w:rPr>
      </w:pPr>
      <w:r>
        <w:rPr>
          <w:rFonts w:hint="eastAsia" w:ascii="宋体" w:hAnsi="宋体"/>
          <w:color w:val="auto"/>
          <w:spacing w:val="20"/>
          <w:sz w:val="24"/>
          <w:highlight w:val="none"/>
        </w:rPr>
        <w:t>我公司已认真阅读了招标文件（项目编号：0625-         ）并在此承诺：</w:t>
      </w:r>
    </w:p>
    <w:p>
      <w:pPr>
        <w:snapToGrid w:val="0"/>
        <w:spacing w:before="50" w:after="50" w:line="360" w:lineRule="auto"/>
        <w:ind w:firstLine="630"/>
        <w:rPr>
          <w:rFonts w:hint="eastAsia" w:ascii="宋体" w:hAnsi="宋体"/>
          <w:color w:val="auto"/>
          <w:sz w:val="24"/>
          <w:highlight w:val="none"/>
        </w:rPr>
      </w:pPr>
      <w:r>
        <w:rPr>
          <w:rFonts w:hint="eastAsia" w:ascii="宋体" w:hAnsi="宋体"/>
          <w:color w:val="auto"/>
          <w:sz w:val="24"/>
          <w:highlight w:val="none"/>
        </w:rPr>
        <w:t>如中标，我公司将自中标公告发布之日起5个工作日内按招标文件规定的标准（金额）一次性向采购代理机构支付代理服务费。</w:t>
      </w:r>
    </w:p>
    <w:p>
      <w:pPr>
        <w:snapToGrid w:val="0"/>
        <w:spacing w:before="50" w:after="50" w:line="360" w:lineRule="auto"/>
        <w:ind w:firstLine="630"/>
        <w:rPr>
          <w:rFonts w:hint="eastAsia" w:ascii="宋体" w:hAnsi="宋体"/>
          <w:color w:val="auto"/>
          <w:sz w:val="24"/>
          <w:highlight w:val="none"/>
        </w:rPr>
      </w:pPr>
    </w:p>
    <w:p>
      <w:pPr>
        <w:snapToGrid w:val="0"/>
        <w:spacing w:before="50" w:after="50" w:line="360" w:lineRule="auto"/>
        <w:ind w:firstLine="630"/>
        <w:rPr>
          <w:rFonts w:hint="eastAsia" w:ascii="宋体" w:hAnsi="宋体"/>
          <w:color w:val="auto"/>
          <w:sz w:val="24"/>
          <w:highlight w:val="none"/>
        </w:rPr>
      </w:pPr>
    </w:p>
    <w:p>
      <w:pPr>
        <w:snapToGrid w:val="0"/>
        <w:spacing w:before="50" w:after="50" w:line="360" w:lineRule="auto"/>
        <w:ind w:firstLine="630"/>
        <w:rPr>
          <w:rFonts w:hint="eastAsia" w:ascii="宋体" w:hAnsi="宋体"/>
          <w:color w:val="auto"/>
          <w:sz w:val="24"/>
          <w:highlight w:val="none"/>
        </w:rPr>
      </w:pPr>
    </w:p>
    <w:p>
      <w:pPr>
        <w:snapToGrid w:val="0"/>
        <w:spacing w:before="50" w:after="50" w:line="360" w:lineRule="auto"/>
        <w:ind w:firstLine="630"/>
        <w:rPr>
          <w:rFonts w:hint="eastAsia" w:ascii="宋体" w:hAnsi="宋体"/>
          <w:color w:val="auto"/>
          <w:sz w:val="24"/>
          <w:highlight w:val="none"/>
        </w:rPr>
      </w:pP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承诺方（投标人）法定名称</w:t>
      </w:r>
      <w:r>
        <w:rPr>
          <w:rFonts w:ascii="宋体" w:hAnsi="宋体"/>
          <w:color w:val="auto"/>
          <w:sz w:val="24"/>
          <w:highlight w:val="none"/>
        </w:rPr>
        <w:t>:__________</w:t>
      </w:r>
      <w:r>
        <w:rPr>
          <w:rFonts w:hint="eastAsia" w:ascii="宋体" w:hAnsi="宋体"/>
          <w:color w:val="auto"/>
          <w:sz w:val="24"/>
          <w:highlight w:val="none"/>
          <w:u w:val="single"/>
        </w:rPr>
        <w:t>（盖章）</w:t>
      </w:r>
      <w:r>
        <w:rPr>
          <w:rFonts w:ascii="宋体" w:hAnsi="宋体"/>
          <w:color w:val="auto"/>
          <w:sz w:val="24"/>
          <w:highlight w:val="none"/>
        </w:rPr>
        <w:t>_________</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承诺方（投标人）法定地址</w:t>
      </w:r>
      <w:r>
        <w:rPr>
          <w:rFonts w:ascii="宋体" w:hAnsi="宋体"/>
          <w:color w:val="auto"/>
          <w:sz w:val="24"/>
          <w:highlight w:val="none"/>
        </w:rPr>
        <w:t>:__________</w:t>
      </w:r>
      <w:r>
        <w:rPr>
          <w:rFonts w:hint="eastAsia" w:ascii="宋体" w:hAnsi="宋体"/>
          <w:color w:val="auto"/>
          <w:sz w:val="24"/>
          <w:highlight w:val="none"/>
          <w:u w:val="single"/>
        </w:rPr>
        <w:t xml:space="preserve">         </w:t>
      </w:r>
      <w:r>
        <w:rPr>
          <w:rFonts w:ascii="宋体" w:hAnsi="宋体"/>
          <w:color w:val="auto"/>
          <w:sz w:val="24"/>
          <w:highlight w:val="none"/>
        </w:rPr>
        <w:t xml:space="preserve">_________                   </w:t>
      </w:r>
    </w:p>
    <w:p>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联系传真：</w:t>
      </w:r>
      <w:r>
        <w:rPr>
          <w:rFonts w:hint="eastAsia" w:ascii="宋体" w:hAnsi="宋体"/>
          <w:color w:val="auto"/>
          <w:sz w:val="24"/>
          <w:highlight w:val="none"/>
          <w:u w:val="single"/>
        </w:rPr>
        <w:t xml:space="preserve">               </w:t>
      </w:r>
    </w:p>
    <w:p>
      <w:pPr>
        <w:snapToGrid w:val="0"/>
        <w:spacing w:before="50" w:after="50" w:line="360" w:lineRule="auto"/>
        <w:rPr>
          <w:rFonts w:hint="eastAsia" w:ascii="宋体" w:hAnsi="宋体"/>
          <w:color w:val="auto"/>
          <w:spacing w:val="20"/>
          <w:sz w:val="24"/>
          <w:highlight w:val="none"/>
        </w:rPr>
      </w:pPr>
      <w:r>
        <w:rPr>
          <w:rFonts w:hint="eastAsia" w:ascii="宋体" w:hAnsi="宋体"/>
          <w:color w:val="auto"/>
          <w:sz w:val="24"/>
          <w:highlight w:val="none"/>
        </w:rPr>
        <w:t>承诺日期</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w:t>
      </w:r>
      <w:r>
        <w:rPr>
          <w:rFonts w:hint="eastAsia" w:ascii="宋体" w:hAnsi="宋体"/>
          <w:color w:val="auto"/>
          <w:sz w:val="24"/>
          <w:highlight w:val="none"/>
        </w:rPr>
        <w:t>月</w:t>
      </w:r>
      <w:r>
        <w:rPr>
          <w:rFonts w:ascii="宋体" w:hAnsi="宋体"/>
          <w:color w:val="auto"/>
          <w:sz w:val="24"/>
          <w:highlight w:val="none"/>
        </w:rPr>
        <w:t>___</w:t>
      </w:r>
      <w:r>
        <w:rPr>
          <w:rFonts w:hint="eastAsia" w:ascii="宋体" w:hAnsi="宋体"/>
          <w:color w:val="auto"/>
          <w:sz w:val="24"/>
          <w:highlight w:val="none"/>
        </w:rPr>
        <w:t>日</w:t>
      </w:r>
    </w:p>
    <w:p>
      <w:pPr>
        <w:rPr>
          <w:color w:val="auto"/>
          <w:highlight w:val="none"/>
        </w:rPr>
      </w:pPr>
    </w:p>
    <w:sectPr>
      <w:pgSz w:w="11906" w:h="16838"/>
      <w:pgMar w:top="1091"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Align="top"/>
      <w:rPr>
        <w:rStyle w:val="17"/>
      </w:rPr>
    </w:pPr>
    <w:r>
      <w:fldChar w:fldCharType="begin"/>
    </w:r>
    <w:r>
      <w:rPr>
        <w:rStyle w:val="17"/>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lang/>
      </w:rPr>
      <w:t>2</w:t>
    </w:r>
    <w:r>
      <w:fldChar w:fldCharType="end"/>
    </w:r>
  </w:p>
  <w:p>
    <w:pPr>
      <w:pStyle w:val="11"/>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55</w:t>
    </w:r>
    <w:r>
      <w:fldChar w:fldCharType="end"/>
    </w:r>
  </w:p>
  <w:p>
    <w:pPr>
      <w:pStyle w:val="1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7"/>
        <w:rFonts w:hint="eastAsia"/>
        <w:sz w:val="28"/>
      </w:rPr>
    </w:pPr>
    <w:r>
      <w:rPr>
        <w:rStyle w:val="17"/>
        <w:rFonts w:hint="eastAsia"/>
        <w:sz w:val="28"/>
      </w:rPr>
      <w:t xml:space="preserve">— </w:t>
    </w:r>
    <w:r>
      <w:rPr>
        <w:sz w:val="28"/>
      </w:rPr>
      <w:fldChar w:fldCharType="begin"/>
    </w:r>
    <w:r>
      <w:rPr>
        <w:rStyle w:val="17"/>
        <w:sz w:val="28"/>
      </w:rPr>
      <w:instrText xml:space="preserve"> PAGE </w:instrText>
    </w:r>
    <w:r>
      <w:rPr>
        <w:sz w:val="28"/>
      </w:rPr>
      <w:fldChar w:fldCharType="separate"/>
    </w:r>
    <w:r>
      <w:rPr>
        <w:rStyle w:val="17"/>
        <w:sz w:val="28"/>
        <w:lang/>
      </w:rPr>
      <w:t>71</w:t>
    </w:r>
    <w:r>
      <w:rPr>
        <w:sz w:val="28"/>
      </w:rPr>
      <w:fldChar w:fldCharType="end"/>
    </w:r>
    <w:r>
      <w:rPr>
        <w:rStyle w:val="17"/>
        <w:rFonts w:hint="eastAsia"/>
        <w:sz w:val="28"/>
      </w:rPr>
      <w:t xml:space="preserve"> —</w:t>
    </w:r>
  </w:p>
  <w:p>
    <w:pPr>
      <w:pStyle w:val="1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7"/>
      </w:rPr>
    </w:pPr>
    <w:r>
      <w:fldChar w:fldCharType="begin"/>
    </w:r>
    <w:r>
      <w:rPr>
        <w:rStyle w:val="17"/>
      </w:rPr>
      <w:instrText xml:space="preserve">PAGE  </w:instrText>
    </w:r>
    <w:r>
      <w:fldChar w:fldCharType="separate"/>
    </w:r>
    <w:r>
      <w:rPr>
        <w:rStyle w:val="17"/>
      </w:rPr>
      <w:t>55</w:t>
    </w:r>
    <w: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r>
      <w:rPr>
        <w:rFonts w:hint="eastAsia" w:ascii="宋体" w:cs="宋体"/>
        <w:sz w:val="21"/>
        <w:szCs w:val="21"/>
        <w:u w:val="single"/>
        <w:lang w:eastAsia="zh-CN"/>
      </w:rPr>
      <w:t>校园安全处良渚校区安防系统建设（一期）</w:t>
    </w:r>
    <w:r>
      <w:rPr>
        <w:rFonts w:hint="eastAsia" w:ascii="宋体" w:cs="宋体"/>
        <w:sz w:val="21"/>
        <w:szCs w:val="21"/>
        <w:u w:val="single"/>
      </w:rPr>
      <w:t xml:space="preserve">                       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D6218"/>
    <w:multiLevelType w:val="singleLevel"/>
    <w:tmpl w:val="D1FD6218"/>
    <w:lvl w:ilvl="0" w:tentative="0">
      <w:start w:val="1"/>
      <w:numFmt w:val="decimal"/>
      <w:pStyle w:val="5"/>
      <w:lvlText w:val="%1."/>
      <w:lvlJc w:val="left"/>
      <w:pPr>
        <w:tabs>
          <w:tab w:val="left" w:pos="360"/>
        </w:tabs>
        <w:ind w:left="360" w:hanging="360"/>
      </w:pPr>
    </w:lvl>
  </w:abstractNum>
  <w:abstractNum w:abstractNumId="1">
    <w:nsid w:val="00000001"/>
    <w:multiLevelType w:val="multilevel"/>
    <w:tmpl w:val="00000001"/>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3F40839"/>
    <w:multiLevelType w:val="singleLevel"/>
    <w:tmpl w:val="43F40839"/>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877B1"/>
    <w:rsid w:val="00382612"/>
    <w:rsid w:val="0041565D"/>
    <w:rsid w:val="00455490"/>
    <w:rsid w:val="00936CE9"/>
    <w:rsid w:val="01DE7C77"/>
    <w:rsid w:val="02F65835"/>
    <w:rsid w:val="036C2C9C"/>
    <w:rsid w:val="05E16F81"/>
    <w:rsid w:val="0CC97470"/>
    <w:rsid w:val="0FCC2776"/>
    <w:rsid w:val="117A2B85"/>
    <w:rsid w:val="127F709E"/>
    <w:rsid w:val="133F2B53"/>
    <w:rsid w:val="147D21AD"/>
    <w:rsid w:val="15E770D1"/>
    <w:rsid w:val="166752DF"/>
    <w:rsid w:val="17B43907"/>
    <w:rsid w:val="1A915B68"/>
    <w:rsid w:val="1AB934F8"/>
    <w:rsid w:val="1EE6230B"/>
    <w:rsid w:val="229B7ADE"/>
    <w:rsid w:val="23BC453E"/>
    <w:rsid w:val="23BF00C6"/>
    <w:rsid w:val="25E63682"/>
    <w:rsid w:val="28AB4BA3"/>
    <w:rsid w:val="2A17576A"/>
    <w:rsid w:val="32AE5E44"/>
    <w:rsid w:val="357222E5"/>
    <w:rsid w:val="364877B1"/>
    <w:rsid w:val="36AB7517"/>
    <w:rsid w:val="3B0742EB"/>
    <w:rsid w:val="3F5C46A9"/>
    <w:rsid w:val="40DF04B1"/>
    <w:rsid w:val="421554F4"/>
    <w:rsid w:val="449D2412"/>
    <w:rsid w:val="44A46589"/>
    <w:rsid w:val="44F50D6E"/>
    <w:rsid w:val="468C5C68"/>
    <w:rsid w:val="46D5034F"/>
    <w:rsid w:val="4742701F"/>
    <w:rsid w:val="49F33685"/>
    <w:rsid w:val="4C7B5EEE"/>
    <w:rsid w:val="4D0F3694"/>
    <w:rsid w:val="4F27275A"/>
    <w:rsid w:val="506547A5"/>
    <w:rsid w:val="544A5776"/>
    <w:rsid w:val="5495786A"/>
    <w:rsid w:val="558139C1"/>
    <w:rsid w:val="5B4F1A69"/>
    <w:rsid w:val="5EB52AD0"/>
    <w:rsid w:val="603E0D3D"/>
    <w:rsid w:val="645A5313"/>
    <w:rsid w:val="64F229D4"/>
    <w:rsid w:val="66287D6B"/>
    <w:rsid w:val="684A7DF5"/>
    <w:rsid w:val="6B821685"/>
    <w:rsid w:val="6CBE2DFB"/>
    <w:rsid w:val="6E6D1F82"/>
    <w:rsid w:val="7E9456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uiPriority w:val="0"/>
  </w:style>
  <w:style w:type="table" w:default="1" w:styleId="1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5"/>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5">
    <w:name w:val="List Number"/>
    <w:basedOn w:val="1"/>
    <w:uiPriority w:val="0"/>
    <w:pPr>
      <w:numPr>
        <w:ilvl w:val="0"/>
        <w:numId w:val="1"/>
      </w:numPr>
    </w:pPr>
  </w:style>
  <w:style w:type="paragraph" w:styleId="6">
    <w:name w:val="Normal Indent"/>
    <w:basedOn w:val="1"/>
    <w:qFormat/>
    <w:uiPriority w:val="0"/>
    <w:pPr>
      <w:ind w:firstLine="420"/>
    </w:pPr>
    <w:rPr>
      <w:kern w:val="0"/>
      <w:sz w:val="20"/>
      <w:szCs w:val="20"/>
    </w:rPr>
  </w:style>
  <w:style w:type="paragraph" w:styleId="7">
    <w:name w:val="Body Text 3"/>
    <w:basedOn w:val="1"/>
    <w:qFormat/>
    <w:uiPriority w:val="0"/>
    <w:pPr>
      <w:snapToGrid w:val="0"/>
      <w:spacing w:before="50" w:after="50"/>
    </w:pPr>
    <w:rPr>
      <w:rFonts w:hAnsi="宋体" w:eastAsia="仿宋_GB2312"/>
      <w:b/>
      <w:bCs/>
      <w:sz w:val="24"/>
      <w:szCs w:val="20"/>
    </w:rPr>
  </w:style>
  <w:style w:type="paragraph" w:styleId="8">
    <w:name w:val="List 2"/>
    <w:basedOn w:val="1"/>
    <w:qFormat/>
    <w:uiPriority w:val="0"/>
    <w:pPr>
      <w:ind w:left="100" w:leftChars="200" w:hanging="200" w:hangingChars="200"/>
    </w:pPr>
    <w:rPr>
      <w:sz w:val="28"/>
    </w:rPr>
  </w:style>
  <w:style w:type="paragraph" w:styleId="9">
    <w:name w:val="Plain Text"/>
    <w:basedOn w:val="1"/>
    <w:uiPriority w:val="0"/>
    <w:pPr>
      <w:spacing w:before="156" w:beforeLines="50" w:after="156" w:afterLines="50" w:line="400" w:lineRule="exact"/>
    </w:pPr>
    <w:rPr>
      <w:rFonts w:ascii="宋体" w:hAnsi="Courier New"/>
      <w:kern w:val="0"/>
      <w:sz w:val="24"/>
    </w:rPr>
  </w:style>
  <w:style w:type="paragraph" w:styleId="10">
    <w:name w:val="Date"/>
    <w:basedOn w:val="1"/>
    <w:next w:val="1"/>
    <w:qFormat/>
    <w:uiPriority w:val="0"/>
    <w:pPr>
      <w:ind w:leftChars="2500"/>
    </w:pPr>
    <w:rPr>
      <w:rFonts w:eastAsia="楷体_GB2312"/>
      <w:sz w:val="32"/>
      <w:szCs w:val="20"/>
    </w:rPr>
  </w:style>
  <w:style w:type="paragraph" w:styleId="11">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3">
    <w:name w:val="toc 1"/>
    <w:basedOn w:val="1"/>
    <w:next w:val="1"/>
    <w:semiHidden/>
    <w:qFormat/>
    <w:uiPriority w:val="0"/>
  </w:style>
  <w:style w:type="paragraph" w:styleId="14">
    <w:name w:val="Body Text Indent 3"/>
    <w:basedOn w:val="1"/>
    <w:qFormat/>
    <w:uiPriority w:val="0"/>
    <w:pPr>
      <w:snapToGrid w:val="0"/>
      <w:ind w:firstLine="480" w:firstLineChars="200"/>
      <w:jc w:val="left"/>
    </w:pPr>
    <w:rPr>
      <w:rFonts w:ascii="仿宋_GB2312" w:hAnsi="宋体" w:eastAsia="仿宋_GB2312"/>
      <w:color w:val="000000"/>
      <w:sz w:val="24"/>
    </w:rPr>
  </w:style>
  <w:style w:type="character" w:styleId="17">
    <w:name w:val="page number"/>
    <w:basedOn w:val="16"/>
    <w:qFormat/>
    <w:uiPriority w:val="0"/>
  </w:style>
  <w:style w:type="character" w:styleId="18">
    <w:name w:val="Hyperlink"/>
    <w:qFormat/>
    <w:uiPriority w:val="0"/>
    <w:rPr>
      <w:color w:val="2472DF"/>
      <w:u w:val="none"/>
    </w:rPr>
  </w:style>
  <w:style w:type="character" w:customStyle="1" w:styleId="19">
    <w:name w:val="font71"/>
    <w:basedOn w:val="16"/>
    <w:uiPriority w:val="0"/>
    <w:rPr>
      <w:rFonts w:hint="default" w:ascii="Times New Roman" w:hAnsi="Times New Roman" w:cs="Times New Roman"/>
      <w:color w:val="000000"/>
      <w:sz w:val="18"/>
      <w:szCs w:val="18"/>
      <w:u w:val="none"/>
    </w:rPr>
  </w:style>
  <w:style w:type="character" w:customStyle="1" w:styleId="20">
    <w:name w:val="font01"/>
    <w:uiPriority w:val="0"/>
    <w:rPr>
      <w:rFonts w:hint="eastAsia" w:ascii="宋体" w:hAnsi="宋体" w:eastAsia="宋体" w:cs="宋体"/>
      <w:color w:val="000000"/>
      <w:sz w:val="20"/>
      <w:szCs w:val="20"/>
      <w:u w:val="none"/>
      <w:vertAlign w:val="superscript"/>
    </w:rPr>
  </w:style>
  <w:style w:type="character" w:customStyle="1" w:styleId="21">
    <w:name w:val="font21"/>
    <w:basedOn w:val="16"/>
    <w:uiPriority w:val="0"/>
    <w:rPr>
      <w:rFonts w:hint="eastAsia" w:ascii="宋体" w:hAnsi="宋体" w:eastAsia="宋体" w:cs="宋体"/>
      <w:color w:val="000000"/>
      <w:sz w:val="18"/>
      <w:szCs w:val="18"/>
      <w:u w:val="none"/>
    </w:rPr>
  </w:style>
  <w:style w:type="character" w:customStyle="1" w:styleId="22">
    <w:name w:val="font11"/>
    <w:uiPriority w:val="0"/>
    <w:rPr>
      <w:rFonts w:hint="eastAsia" w:ascii="宋体" w:hAnsi="宋体" w:eastAsia="宋体" w:cs="宋体"/>
      <w:color w:val="000000"/>
      <w:sz w:val="20"/>
      <w:szCs w:val="20"/>
      <w:u w:val="none"/>
    </w:rPr>
  </w:style>
  <w:style w:type="paragraph" w:customStyle="1" w:styleId="23">
    <w:name w:val="默认段落字体 Para Char Char Char Char Char Char Char Char Char1 Char Char Char Char"/>
    <w:basedOn w:val="1"/>
    <w:qFormat/>
    <w:uiPriority w:val="0"/>
    <w:rPr>
      <w:rFonts w:ascii="Tahoma" w:hAnsi="Tahoma"/>
      <w:sz w:val="24"/>
      <w:szCs w:val="20"/>
    </w:rPr>
  </w:style>
  <w:style w:type="paragraph" w:customStyle="1" w:styleId="24">
    <w:name w:val="列出段落"/>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2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标题 3_0"/>
    <w:basedOn w:val="27"/>
    <w:next w:val="27"/>
    <w:qFormat/>
    <w:uiPriority w:val="0"/>
    <w:pPr>
      <w:keepNext/>
      <w:keepLines/>
      <w:spacing w:before="260" w:after="260" w:line="416" w:lineRule="auto"/>
      <w:outlineLvl w:val="2"/>
    </w:pPr>
    <w:rPr>
      <w:rFonts w:ascii="Calibri" w:hAnsi="Calibri"/>
      <w:b/>
      <w:bCs/>
      <w:sz w:val="32"/>
      <w:szCs w:val="32"/>
    </w:rPr>
  </w:style>
  <w:style w:type="paragraph" w:customStyle="1" w:styleId="29">
    <w:name w:val="纯文本_1"/>
    <w:basedOn w:val="27"/>
    <w:uiPriority w:val="0"/>
    <w:rPr>
      <w:rFonts w:ascii="宋体" w:hAnsi="Courier New"/>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theme/theme1.xml" Type="http://schemas.openxmlformats.org/officeDocument/2006/relationships/theme"/><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5925</Words>
  <Characters>33779</Characters>
  <Lines>281</Lines>
  <Paragraphs>79</Paragraphs>
  <TotalTime>4</TotalTime>
  <ScaleCrop>false</ScaleCrop>
  <LinksUpToDate>false</LinksUpToDate>
  <CharactersWithSpaces>39625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2020-07-07T09:02:00Z</dcterms:created>
  <dc:creator>Blue sky</dc:creator>
  <cp:lastModifiedBy>WPS_1701756769</cp:lastModifiedBy>
  <dcterms:modified xsi:type="dcterms:W3CDTF">2024-02-22T08:12:22Z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2FD6D981598C4391AF5375F86258708F_13</vt:lpwstr>
  </property>
</Properties>
</file>