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hd w:val="clear" w:color="auto" w:fill="FFFFFF"/>
        <w:tabs>
          <w:tab w:val="left" w:pos="4500"/>
        </w:tabs>
        <w:snapToGrid w:val="0"/>
        <w:spacing w:line="360" w:lineRule="auto"/>
        <w:jc w:val="center"/>
        <w:textAlignment w:val="bottom"/>
        <w:rPr>
          <w:rFonts w:ascii="宋体" w:hAnsi="宋体" w:cs="宋体"/>
          <w:b/>
          <w:bCs/>
          <w:color w:val="auto"/>
          <w:spacing w:val="6"/>
          <w:sz w:val="44"/>
          <w:szCs w:val="44"/>
          <w:highlight w:val="none"/>
        </w:rPr>
      </w:pPr>
      <w:r>
        <w:rPr>
          <w:rFonts w:hint="eastAsia" w:ascii="宋体" w:hAnsi="宋体" w:cs="宋体"/>
          <w:b/>
          <w:bCs/>
          <w:color w:val="auto"/>
          <w:spacing w:val="6"/>
          <w:sz w:val="44"/>
          <w:szCs w:val="44"/>
          <w:highlight w:val="none"/>
        </w:rPr>
        <w:t>第四届联合国世界数据论坛</w:t>
      </w:r>
    </w:p>
    <w:p>
      <w:pPr>
        <w:shd w:val="clear" w:color="auto" w:fill="FFFFFF"/>
        <w:tabs>
          <w:tab w:val="left" w:pos="4500"/>
        </w:tabs>
        <w:snapToGrid w:val="0"/>
        <w:spacing w:line="360" w:lineRule="auto"/>
        <w:jc w:val="center"/>
        <w:textAlignment w:val="bottom"/>
        <w:rPr>
          <w:rFonts w:ascii="宋体" w:hAnsi="宋体" w:cs="宋体"/>
          <w:b/>
          <w:bCs/>
          <w:color w:val="auto"/>
          <w:spacing w:val="6"/>
          <w:sz w:val="44"/>
          <w:szCs w:val="44"/>
          <w:highlight w:val="none"/>
        </w:rPr>
      </w:pPr>
      <w:r>
        <w:rPr>
          <w:rFonts w:hint="eastAsia" w:ascii="宋体" w:hAnsi="宋体" w:cs="宋体"/>
          <w:b/>
          <w:bCs/>
          <w:color w:val="auto"/>
          <w:spacing w:val="6"/>
          <w:sz w:val="44"/>
          <w:szCs w:val="44"/>
          <w:highlight w:val="none"/>
        </w:rPr>
        <w:t>实施与综合保障项目</w:t>
      </w:r>
    </w:p>
    <w:p>
      <w:pPr>
        <w:shd w:val="clear" w:color="auto" w:fill="FFFFFF"/>
        <w:tabs>
          <w:tab w:val="left" w:pos="4500"/>
        </w:tabs>
        <w:snapToGrid w:val="0"/>
        <w:spacing w:line="360" w:lineRule="auto"/>
        <w:jc w:val="center"/>
        <w:textAlignment w:val="bottom"/>
        <w:rPr>
          <w:rFonts w:ascii="宋体" w:hAnsi="宋体" w:cs="宋体"/>
          <w:b/>
          <w:bCs/>
          <w:color w:val="auto"/>
          <w:spacing w:val="6"/>
          <w:sz w:val="44"/>
          <w:szCs w:val="44"/>
          <w:highlight w:val="none"/>
        </w:rPr>
      </w:pPr>
    </w:p>
    <w:p>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bookmarkStart w:id="535" w:name="_GoBack"/>
      <w:bookmarkEnd w:id="535"/>
    </w:p>
    <w:p>
      <w:pPr>
        <w:widowControl/>
        <w:snapToGrid w:val="0"/>
        <w:spacing w:line="360" w:lineRule="auto"/>
        <w:jc w:val="center"/>
        <w:rPr>
          <w:rFonts w:ascii="宋体" w:hAnsi="宋体" w:cs="宋体"/>
          <w:color w:val="auto"/>
          <w:highlight w:val="none"/>
        </w:rPr>
      </w:pPr>
      <w:r>
        <w:rPr>
          <w:rFonts w:hint="eastAsia" w:ascii="宋体" w:hAnsi="宋体" w:cs="宋体"/>
          <w:b/>
          <w:color w:val="auto"/>
          <w:sz w:val="36"/>
          <w:highlight w:val="none"/>
        </w:rPr>
        <w:t>（电子招投标）</w:t>
      </w:r>
    </w:p>
    <w:p>
      <w:pPr>
        <w:widowControl/>
        <w:snapToGrid w:val="0"/>
        <w:spacing w:line="360" w:lineRule="auto"/>
        <w:jc w:val="center"/>
        <w:rPr>
          <w:rFonts w:ascii="宋体" w:hAnsi="宋体" w:cs="宋体"/>
          <w:color w:val="auto"/>
          <w:highlight w:val="none"/>
        </w:rPr>
      </w:pPr>
      <w:r>
        <w:rPr>
          <w:rFonts w:ascii="宋体" w:hAnsi="宋体" w:cs="宋体"/>
          <w:color w:val="auto"/>
          <w:kern w:val="0"/>
          <w:sz w:val="24"/>
          <w:highlight w:val="none"/>
          <w:lang w:bidi="ar"/>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6"/>
                    <a:stretch>
                      <a:fillRect/>
                    </a:stretch>
                  </pic:blipFill>
                  <pic:spPr>
                    <a:xfrm>
                      <a:off x="0" y="0"/>
                      <a:ext cx="1781175" cy="1358265"/>
                    </a:xfrm>
                    <a:prstGeom prst="rect">
                      <a:avLst/>
                    </a:prstGeom>
                    <a:noFill/>
                    <a:ln>
                      <a:noFill/>
                    </a:ln>
                  </pic:spPr>
                </pic:pic>
              </a:graphicData>
            </a:graphic>
          </wp:inline>
        </w:drawing>
      </w:r>
    </w:p>
    <w:p>
      <w:pPr>
        <w:shd w:val="clear" w:color="auto" w:fill="FFFFFF"/>
        <w:snapToGrid w:val="0"/>
        <w:spacing w:line="360" w:lineRule="auto"/>
        <w:rPr>
          <w:rFonts w:ascii="宋体" w:hAnsi="宋体" w:cs="宋体"/>
          <w:b/>
          <w:color w:val="auto"/>
          <w:sz w:val="36"/>
          <w:highlight w:val="none"/>
        </w:rPr>
      </w:pPr>
    </w:p>
    <w:p>
      <w:pPr>
        <w:shd w:val="clear" w:color="auto" w:fill="FFFFFF"/>
        <w:snapToGrid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招标编号：</w:t>
      </w:r>
      <w:r>
        <w:rPr>
          <w:rFonts w:ascii="宋体" w:hAnsi="宋体" w:cs="宋体"/>
          <w:b/>
          <w:bCs/>
          <w:color w:val="auto"/>
          <w:sz w:val="36"/>
          <w:szCs w:val="36"/>
          <w:highlight w:val="none"/>
        </w:rPr>
        <w:t>CTZB-2023010132</w:t>
      </w:r>
    </w:p>
    <w:p>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y3m3UAAAACQEA&#10;AA8AAAAAAAAAAQAgAAAAIgAAAGRycy9kb3ducmV2LnhtbFBLAQIUABQAAAAIAIdO4kCeM9C45QEA&#10;ALQDAAAOAAAAAAAAAAEAIAAAACMBAABkcnMvZTJvRG9jLnhtbFBLBQYAAAAABgAGAFkBAAB6BQAA&#10;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720" w:firstLineChars="571"/>
        <w:textAlignment w:val="bottom"/>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招 </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ascii="宋体" w:hAnsi="宋体" w:cs="宋体"/>
          <w:b/>
          <w:bCs/>
          <w:color w:val="auto"/>
          <w:sz w:val="30"/>
          <w:szCs w:val="30"/>
          <w:highlight w:val="none"/>
        </w:rPr>
        <w:t xml:space="preserve"> </w:t>
      </w:r>
      <w:r>
        <w:rPr>
          <w:rFonts w:hint="eastAsia" w:ascii="宋体" w:hAnsi="宋体" w:cs="宋体"/>
          <w:b/>
          <w:bCs/>
          <w:color w:val="auto"/>
          <w:spacing w:val="-24"/>
          <w:sz w:val="30"/>
          <w:szCs w:val="30"/>
          <w:highlight w:val="none"/>
        </w:rPr>
        <w:t xml:space="preserve">杭州市统计局 </w:t>
      </w:r>
    </w:p>
    <w:p>
      <w:pPr>
        <w:shd w:val="clear" w:color="auto" w:fill="FFFFFF"/>
        <w:snapToGrid w:val="0"/>
        <w:spacing w:line="360" w:lineRule="auto"/>
        <w:ind w:firstLine="426"/>
        <w:jc w:val="center"/>
        <w:textAlignment w:val="bottom"/>
        <w:rPr>
          <w:rFonts w:ascii="宋体" w:hAnsi="宋体" w:cs="宋体"/>
          <w:b/>
          <w:bCs/>
          <w:color w:val="auto"/>
          <w:sz w:val="30"/>
          <w:szCs w:val="30"/>
          <w:highlight w:val="none"/>
        </w:rPr>
      </w:pPr>
      <w:r>
        <w:rPr>
          <w:rFonts w:hint="eastAsia" w:ascii="宋体" w:hAnsi="宋体"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宋体" w:hAnsi="宋体" w:cs="宋体"/>
          <w:b/>
          <w:bCs/>
          <w:color w:val="auto"/>
          <w:sz w:val="30"/>
          <w:szCs w:val="30"/>
          <w:highlight w:val="none"/>
        </w:rPr>
      </w:pPr>
      <w:r>
        <w:rPr>
          <w:rFonts w:hint="eastAsia" w:ascii="宋体" w:hAnsi="宋体" w:cs="宋体"/>
          <w:b/>
          <w:bCs/>
          <w:color w:val="auto"/>
          <w:sz w:val="30"/>
          <w:szCs w:val="30"/>
          <w:highlight w:val="none"/>
        </w:rPr>
        <w:t>二○二三年二月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rFonts w:ascii="宋体" w:hAnsi="宋体" w:eastAsia="宋体"/>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第四届联合国世界数据论坛实施与综合保障项目的潜在投标人应在政采云平台（</w:t>
      </w:r>
      <w:r>
        <w:rPr>
          <w:color w:val="auto"/>
          <w:highlight w:val="none"/>
        </w:rPr>
        <w:fldChar w:fldCharType="begin"/>
      </w:r>
      <w:r>
        <w:rPr>
          <w:color w:val="auto"/>
          <w:highlight w:val="none"/>
        </w:rPr>
        <w:instrText xml:space="preserve"> HYPERLINK "https://www.zcygov.cn/）获取（下载）招标文件，并于2023年2月21日09点%20分30秒" </w:instrText>
      </w:r>
      <w:r>
        <w:rPr>
          <w:color w:val="auto"/>
          <w:highlight w:val="none"/>
        </w:rPr>
        <w:fldChar w:fldCharType="separate"/>
      </w:r>
      <w:r>
        <w:rPr>
          <w:rFonts w:hint="eastAsia" w:ascii="宋体" w:hAnsi="宋体" w:cs="宋体"/>
          <w:color w:val="auto"/>
          <w:sz w:val="24"/>
          <w:highlight w:val="none"/>
        </w:rPr>
        <w:t>https://www.zcygov.cn/）获取（下载）招标文件，并于202</w:t>
      </w:r>
      <w:r>
        <w:rPr>
          <w:rFonts w:ascii="宋体" w:hAnsi="宋体" w:cs="宋体"/>
          <w:color w:val="auto"/>
          <w:sz w:val="24"/>
          <w:highlight w:val="none"/>
        </w:rPr>
        <w:t>3</w:t>
      </w:r>
      <w:r>
        <w:rPr>
          <w:rFonts w:hint="eastAsia" w:ascii="宋体" w:hAnsi="宋体" w:cs="宋体"/>
          <w:color w:val="auto"/>
          <w:sz w:val="24"/>
          <w:highlight w:val="none"/>
        </w:rPr>
        <w:t>年</w:t>
      </w:r>
      <w:r>
        <w:rPr>
          <w:rFonts w:ascii="宋体" w:hAnsi="宋体" w:cs="宋体"/>
          <w:color w:val="auto"/>
          <w:sz w:val="24"/>
          <w:highlight w:val="none"/>
        </w:rPr>
        <w:t>2</w:t>
      </w:r>
      <w:r>
        <w:rPr>
          <w:rFonts w:hint="eastAsia" w:ascii="宋体" w:hAnsi="宋体" w:cs="宋体"/>
          <w:color w:val="auto"/>
          <w:sz w:val="24"/>
          <w:highlight w:val="none"/>
        </w:rPr>
        <w:t>月22日</w:t>
      </w:r>
      <w:r>
        <w:rPr>
          <w:rFonts w:ascii="宋体" w:hAnsi="宋体" w:cs="宋体"/>
          <w:color w:val="auto"/>
          <w:sz w:val="24"/>
          <w:highlight w:val="none"/>
        </w:rPr>
        <w:t>09</w:t>
      </w:r>
      <w:r>
        <w:rPr>
          <w:rFonts w:hint="eastAsia" w:ascii="宋体" w:hAnsi="宋体" w:cs="宋体"/>
          <w:color w:val="auto"/>
          <w:sz w:val="24"/>
          <w:highlight w:val="none"/>
        </w:rPr>
        <w:t>点30分00秒</w:t>
      </w:r>
      <w:r>
        <w:rPr>
          <w:rFonts w:hint="eastAsia" w:ascii="宋体" w:hAnsi="宋体" w:cs="宋体"/>
          <w:color w:val="auto"/>
          <w:sz w:val="24"/>
          <w:highlight w:val="none"/>
        </w:rPr>
        <w:fldChar w:fldCharType="end"/>
      </w:r>
      <w:r>
        <w:rPr>
          <w:rFonts w:hint="eastAsia" w:ascii="宋体" w:hAnsi="宋体" w:cs="宋体"/>
          <w:color w:val="auto"/>
          <w:sz w:val="24"/>
          <w:highlight w:val="none"/>
        </w:rPr>
        <w:t>（北京时间）前递交（上传）投标文件。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ascii="宋体" w:hAnsi="宋体" w:cs="宋体"/>
          <w:color w:val="auto"/>
          <w:sz w:val="24"/>
          <w:highlight w:val="none"/>
        </w:rPr>
        <w:t>CTZB-2023010132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auto"/>
          <w:sz w:val="24"/>
          <w:highlight w:val="none"/>
        </w:rPr>
        <w:t>第四届联合国世界数据论坛实施与综合保障项目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olor w:val="auto"/>
          <w:sz w:val="24"/>
          <w:highlight w:val="none"/>
        </w:rPr>
        <w:t>40</w:t>
      </w:r>
      <w:r>
        <w:rPr>
          <w:rFonts w:hint="eastAsia" w:ascii="宋体" w:hAnsi="宋体"/>
          <w:color w:val="auto"/>
          <w:sz w:val="24"/>
          <w:highlight w:val="none"/>
          <w:lang w:eastAsia="zh"/>
        </w:rPr>
        <w:t>45</w:t>
      </w:r>
      <w:r>
        <w:rPr>
          <w:rFonts w:hint="eastAsia" w:ascii="宋体" w:hAnsi="宋体"/>
          <w:color w:val="auto"/>
          <w:sz w:val="24"/>
          <w:highlight w:val="none"/>
        </w:rPr>
        <w:t>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olor w:val="auto"/>
          <w:sz w:val="24"/>
          <w:highlight w:val="none"/>
        </w:rPr>
        <w:t>40</w:t>
      </w:r>
      <w:r>
        <w:rPr>
          <w:rFonts w:hint="eastAsia" w:ascii="宋体" w:hAnsi="宋体"/>
          <w:color w:val="auto"/>
          <w:sz w:val="24"/>
          <w:highlight w:val="none"/>
          <w:lang w:eastAsia="zh"/>
        </w:rPr>
        <w:t>45</w:t>
      </w:r>
      <w:r>
        <w:rPr>
          <w:rFonts w:hint="eastAsia" w:ascii="宋体" w:hAnsi="宋体"/>
          <w:color w:val="auto"/>
          <w:sz w:val="24"/>
          <w:highlight w:val="none"/>
        </w:rPr>
        <w:t>0000</w:t>
      </w:r>
    </w:p>
    <w:p>
      <w:pPr>
        <w:widowControl/>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采购需求：</w:t>
      </w:r>
      <w:r>
        <w:rPr>
          <w:rFonts w:hint="eastAsia" w:ascii="宋体" w:hAnsi="宋体" w:cs="宋体"/>
          <w:color w:val="auto"/>
          <w:kern w:val="0"/>
          <w:sz w:val="24"/>
          <w:highlight w:val="none"/>
        </w:rPr>
        <w:t>第四届联合国世界数据论坛（以下简称论坛）是由联合国发起主办、中国国家统计局和浙江省政府联合承办、杭州市负责具体实施和保障的的国际性论坛。论坛将于2023年4月24日至</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
        </w:rPr>
        <w:t>8</w:t>
      </w:r>
      <w:r>
        <w:rPr>
          <w:rFonts w:hint="eastAsia" w:ascii="宋体" w:hAnsi="宋体" w:cs="宋体"/>
          <w:color w:val="auto"/>
          <w:kern w:val="0"/>
          <w:sz w:val="24"/>
          <w:highlight w:val="none"/>
        </w:rPr>
        <w:t>日在杭州举办，将采用线上线下相结合的方式，邀请全球经济、统计等相关数据管理部门的高级别官员、国际组织负责人以及学术机构、民间团体的专家学者和企业界领军人物广泛参与。论坛将包括开闭幕式以及6场全体大会和</w:t>
      </w:r>
      <w:r>
        <w:rPr>
          <w:rFonts w:ascii="宋体" w:hAnsi="宋体" w:cs="宋体"/>
          <w:color w:val="auto"/>
          <w:kern w:val="0"/>
          <w:sz w:val="24"/>
          <w:highlight w:val="none"/>
        </w:rPr>
        <w:t>70</w:t>
      </w:r>
      <w:r>
        <w:rPr>
          <w:rFonts w:hint="eastAsia" w:ascii="宋体" w:hAnsi="宋体" w:cs="宋体"/>
          <w:color w:val="auto"/>
          <w:kern w:val="0"/>
          <w:sz w:val="24"/>
          <w:highlight w:val="none"/>
        </w:rPr>
        <w:t>余场平行会议，</w:t>
      </w:r>
      <w:r>
        <w:rPr>
          <w:rFonts w:ascii="宋体" w:hAnsi="宋体"/>
          <w:color w:val="auto"/>
          <w:sz w:val="24"/>
          <w:highlight w:val="none"/>
          <w:u w:val="single"/>
          <w:shd w:val="clear" w:color="auto" w:fill="FFFFFF"/>
        </w:rPr>
        <w:t>预计</w:t>
      </w:r>
      <w:r>
        <w:rPr>
          <w:rFonts w:hint="eastAsia" w:ascii="宋体" w:hAnsi="宋体"/>
          <w:color w:val="auto"/>
          <w:sz w:val="24"/>
          <w:highlight w:val="none"/>
          <w:u w:val="single"/>
          <w:shd w:val="clear" w:color="auto" w:fill="FFFFFF"/>
        </w:rPr>
        <w:t>线下参会正式代表</w:t>
      </w:r>
      <w:r>
        <w:rPr>
          <w:rFonts w:ascii="宋体" w:hAnsi="宋体"/>
          <w:color w:val="auto"/>
          <w:sz w:val="24"/>
          <w:highlight w:val="none"/>
          <w:u w:val="single"/>
          <w:shd w:val="clear" w:color="auto" w:fill="FFFFFF"/>
        </w:rPr>
        <w:t>1600</w:t>
      </w:r>
      <w:r>
        <w:rPr>
          <w:rFonts w:hint="eastAsia" w:ascii="宋体" w:hAnsi="宋体"/>
          <w:color w:val="auto"/>
          <w:sz w:val="24"/>
          <w:highlight w:val="none"/>
          <w:u w:val="single"/>
          <w:shd w:val="clear" w:color="auto" w:fill="FFFFFF"/>
        </w:rPr>
        <w:t>人，其中国外代表</w:t>
      </w:r>
      <w:r>
        <w:rPr>
          <w:rFonts w:ascii="宋体" w:hAnsi="宋体"/>
          <w:color w:val="auto"/>
          <w:sz w:val="24"/>
          <w:highlight w:val="none"/>
          <w:u w:val="single"/>
          <w:shd w:val="clear" w:color="auto" w:fill="FFFFFF"/>
        </w:rPr>
        <w:t>1200人左右，国内代表400</w:t>
      </w:r>
      <w:r>
        <w:rPr>
          <w:rFonts w:hint="eastAsia" w:ascii="宋体" w:hAnsi="宋体"/>
          <w:color w:val="auto"/>
          <w:sz w:val="24"/>
          <w:highlight w:val="none"/>
          <w:u w:val="single"/>
          <w:shd w:val="clear" w:color="auto" w:fill="FFFFFF"/>
        </w:rPr>
        <w:t>人（不含工作人员）</w:t>
      </w:r>
      <w:r>
        <w:rPr>
          <w:rFonts w:hint="eastAsia" w:ascii="宋体" w:hAnsi="宋体" w:cs="宋体"/>
          <w:color w:val="auto"/>
          <w:kern w:val="0"/>
          <w:sz w:val="24"/>
          <w:highlight w:val="none"/>
        </w:rPr>
        <w:t>。</w:t>
      </w:r>
      <w:r>
        <w:rPr>
          <w:rFonts w:hint="eastAsia" w:ascii="宋体" w:hAnsi="宋体" w:cs="宋体"/>
          <w:color w:val="auto"/>
          <w:kern w:val="0"/>
          <w:sz w:val="24"/>
          <w:highlight w:val="none"/>
        </w:rPr>
        <w:t>项目包括场地租赁、场地搭建、会务接待、后勤保障、安全保障、展示展览、宣传推广等经费。</w:t>
      </w:r>
      <w:r>
        <w:rPr>
          <w:rFonts w:hint="eastAsia" w:ascii="宋体" w:hAnsi="宋体"/>
          <w:color w:val="auto"/>
          <w:sz w:val="24"/>
          <w:highlight w:val="none"/>
        </w:rPr>
        <w:t>具体以招标文件第三部分采购需求为准，供应商可点击本公告下方“浏览采购文件”查看采购需求。</w:t>
      </w:r>
    </w:p>
    <w:p>
      <w:pPr>
        <w:pStyle w:val="128"/>
        <w:ind w:firstLine="482"/>
        <w:outlineLvl w:val="2"/>
        <w:rPr>
          <w:rFonts w:ascii="宋体" w:hAnsi="宋体"/>
          <w:color w:val="auto"/>
          <w:highlight w:val="none"/>
          <w:u w:val="singl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olor w:val="auto"/>
          <w:highlight w:val="none"/>
          <w:u w:val="single"/>
        </w:rPr>
        <w:t>2023年4月2</w:t>
      </w:r>
      <w:r>
        <w:rPr>
          <w:rFonts w:ascii="宋体" w:hAnsi="宋体"/>
          <w:color w:val="auto"/>
          <w:highlight w:val="none"/>
          <w:u w:val="single"/>
        </w:rPr>
        <w:t>4</w:t>
      </w:r>
      <w:r>
        <w:rPr>
          <w:rFonts w:hint="eastAsia" w:ascii="宋体" w:hAnsi="宋体"/>
          <w:color w:val="auto"/>
          <w:highlight w:val="none"/>
          <w:u w:val="single"/>
        </w:rPr>
        <w:t>日-</w:t>
      </w:r>
      <w:r>
        <w:rPr>
          <w:rFonts w:ascii="宋体" w:hAnsi="宋体"/>
          <w:color w:val="auto"/>
          <w:highlight w:val="none"/>
          <w:u w:val="single"/>
        </w:rPr>
        <w:t>28</w:t>
      </w:r>
      <w:r>
        <w:rPr>
          <w:rFonts w:hint="eastAsia" w:ascii="宋体" w:hAnsi="宋体"/>
          <w:color w:val="auto"/>
          <w:highlight w:val="none"/>
          <w:u w:val="single"/>
        </w:rPr>
        <w:t>日，会期</w:t>
      </w:r>
      <w:r>
        <w:rPr>
          <w:rFonts w:ascii="宋体" w:hAnsi="宋体"/>
          <w:color w:val="auto"/>
          <w:highlight w:val="none"/>
          <w:u w:val="single"/>
        </w:rPr>
        <w:t>5</w:t>
      </w:r>
      <w:r>
        <w:rPr>
          <w:rFonts w:hint="eastAsia" w:ascii="宋体" w:hAnsi="宋体"/>
          <w:color w:val="auto"/>
          <w:highlight w:val="none"/>
          <w:u w:val="single"/>
        </w:rPr>
        <w:t>天，</w:t>
      </w:r>
      <w:r>
        <w:rPr>
          <w:rFonts w:hint="eastAsia" w:ascii="宋体" w:hAnsi="宋体"/>
          <w:color w:val="auto"/>
          <w:highlight w:val="none"/>
          <w:u w:val="single"/>
        </w:rPr>
        <w:t>其中</w:t>
      </w:r>
      <w:r>
        <w:rPr>
          <w:rFonts w:ascii="宋体" w:hAnsi="宋体"/>
          <w:color w:val="auto"/>
          <w:highlight w:val="none"/>
          <w:u w:val="single"/>
        </w:rPr>
        <w:t>4</w:t>
      </w:r>
      <w:r>
        <w:rPr>
          <w:rFonts w:hint="eastAsia" w:ascii="宋体" w:hAnsi="宋体"/>
          <w:color w:val="auto"/>
          <w:highlight w:val="none"/>
          <w:u w:val="single"/>
        </w:rPr>
        <w:t>月</w:t>
      </w:r>
      <w:r>
        <w:rPr>
          <w:rFonts w:ascii="宋体" w:hAnsi="宋体"/>
          <w:color w:val="auto"/>
          <w:highlight w:val="none"/>
          <w:u w:val="single"/>
        </w:rPr>
        <w:t>28</w:t>
      </w:r>
      <w:r>
        <w:rPr>
          <w:rFonts w:hint="eastAsia" w:ascii="宋体" w:hAnsi="宋体"/>
          <w:color w:val="auto"/>
          <w:highlight w:val="none"/>
          <w:u w:val="single"/>
        </w:rPr>
        <w:t>日仅安排召开一场高级别会议。</w:t>
      </w:r>
      <w:r>
        <w:rPr>
          <w:rFonts w:hint="eastAsia" w:ascii="宋体" w:hAnsi="宋体"/>
          <w:color w:val="auto"/>
          <w:highlight w:val="none"/>
          <w:u w:val="single"/>
        </w:rPr>
        <w:t>该时间为初定时间，具体以实际为准，如会议时间或会期调整，供应商须无条件服从</w:t>
      </w:r>
      <w:r>
        <w:rPr>
          <w:rFonts w:hint="eastAsia" w:ascii="宋体" w:hAnsi="宋体"/>
          <w:color w:val="auto"/>
          <w:highlight w:val="none"/>
          <w:u w:val="single"/>
        </w:rPr>
        <w:t>。</w:t>
      </w:r>
    </w:p>
    <w:p>
      <w:pPr>
        <w:pStyle w:val="128"/>
        <w:ind w:firstLine="482"/>
        <w:outlineLvl w:val="2"/>
        <w:rPr>
          <w:rFonts w:ascii="宋体" w:hAnsi="宋体" w:cs="宋体"/>
          <w:b/>
          <w:color w:val="auto"/>
          <w:highlight w:val="none"/>
        </w:rPr>
      </w:pPr>
      <w:r>
        <w:rPr>
          <w:rFonts w:hint="eastAsia" w:ascii="宋体" w:hAnsi="宋体" w:cs="宋体"/>
          <w:b/>
          <w:color w:val="auto"/>
          <w:highlight w:val="none"/>
        </w:rPr>
        <w:t>本项目接受联合体投标：：</w:t>
      </w:r>
      <w:sdt>
        <w:sdtPr>
          <w:rPr>
            <w:rFonts w:ascii="宋体" w:hAnsi="宋体" w:cs="宋体"/>
            <w:color w:val="auto"/>
            <w:kern w:val="0"/>
            <w:highlight w:val="none"/>
          </w:rPr>
          <w:id w:val="-441836950"/>
          <w14:checkbox>
            <w14:checked w14:val="1"/>
            <w14:checkedState w14:val="00FE" w14:font="Wingdings"/>
            <w14:uncheckedState w14:val="2610" w14:font="MS Gothic"/>
          </w14:checkbox>
        </w:sdtPr>
        <w:sdtEndPr>
          <w:rPr>
            <w:rFonts w:ascii="宋体" w:hAnsi="宋体" w:cs="宋体"/>
            <w:color w:val="auto"/>
            <w:kern w:val="0"/>
            <w:highlight w:val="none"/>
          </w:rPr>
        </w:sdtEndPr>
        <w:sdtContent>
          <w:r>
            <w:rPr>
              <w:rFonts w:ascii="宋体" w:hAnsi="宋体" w:cs="宋体"/>
              <w:color w:val="auto"/>
              <w:kern w:val="0"/>
              <w:highlight w:val="none"/>
            </w:rPr>
            <w:sym w:font="Wingdings" w:char="F0FE"/>
          </w:r>
        </w:sdtContent>
      </w:sdt>
      <w:r>
        <w:rPr>
          <w:rFonts w:hint="eastAsia" w:ascii="宋体" w:hAnsi="宋体" w:cs="宋体"/>
          <w:b/>
          <w:color w:val="auto"/>
          <w:highlight w:val="none"/>
        </w:rPr>
        <w:t>是；</w:t>
      </w:r>
      <w:sdt>
        <w:sdtPr>
          <w:rPr>
            <w:rFonts w:ascii="宋体" w:hAnsi="宋体" w:cs="宋体"/>
            <w:color w:val="auto"/>
            <w:kern w:val="0"/>
            <w:highlight w:val="none"/>
          </w:rPr>
          <w:id w:val="-1591624199"/>
          <w14:checkbox>
            <w14:checked w14:val="0"/>
            <w14:checkedState w14:val="00FE" w14:font="Wingdings"/>
            <w14:uncheckedState w14:val="2610" w14:font="MS Gothic"/>
          </w14:checkbox>
        </w:sdtPr>
        <w:sdtEndPr>
          <w:rPr>
            <w:rFonts w:ascii="宋体" w:hAnsi="宋体" w:cs="宋体"/>
            <w:color w:val="auto"/>
            <w:kern w:val="0"/>
            <w:highlight w:val="none"/>
          </w:rPr>
        </w:sdtEndPr>
        <w:sdtContent>
          <w:r>
            <w:rPr>
              <w:rFonts w:ascii="Segoe UI Symbol" w:hAnsi="Segoe UI Symbol" w:cs="Segoe UI Symbol"/>
              <w:color w:val="auto"/>
              <w:kern w:val="0"/>
              <w:highlight w:val="none"/>
            </w:rPr>
            <w:t>☐</w:t>
          </w:r>
        </w:sdtContent>
      </w:sdt>
      <w:r>
        <w:rPr>
          <w:rFonts w:hint="eastAsia" w:ascii="宋体" w:hAnsi="宋体" w:cs="宋体"/>
          <w:b/>
          <w:color w:val="auto"/>
          <w:highlight w:val="none"/>
        </w:rPr>
        <w:t>否</w:t>
      </w:r>
      <w:r>
        <w:rPr>
          <w:rFonts w:hint="eastAsia" w:ascii="宋体" w:hAnsi="宋体" w:cs="宋体"/>
          <w:color w:val="auto"/>
          <w:kern w:val="0"/>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ascii="宋体" w:hAnsi="宋体" w:cs="宋体"/>
          <w:color w:val="auto"/>
          <w:sz w:val="24"/>
          <w:highlight w:val="none"/>
          <w:u w:val="single"/>
        </w:rPr>
        <w:t>3</w:t>
      </w:r>
      <w:r>
        <w:rPr>
          <w:rFonts w:hint="eastAsia" w:ascii="宋体" w:hAnsi="宋体" w:cs="宋体"/>
          <w:color w:val="auto"/>
          <w:sz w:val="24"/>
          <w:highlight w:val="none"/>
          <w:u w:val="single"/>
        </w:rPr>
        <w:t>年</w:t>
      </w:r>
      <w:r>
        <w:rPr>
          <w:rFonts w:ascii="宋体" w:hAnsi="宋体" w:cs="宋体"/>
          <w:color w:val="auto"/>
          <w:sz w:val="24"/>
          <w:highlight w:val="none"/>
          <w:u w:val="single"/>
        </w:rPr>
        <w:t>2</w:t>
      </w:r>
      <w:r>
        <w:rPr>
          <w:rFonts w:hint="eastAsia" w:ascii="宋体" w:hAnsi="宋体" w:cs="宋体"/>
          <w:color w:val="auto"/>
          <w:sz w:val="24"/>
          <w:highlight w:val="none"/>
          <w:u w:val="single"/>
        </w:rPr>
        <w:t>月</w:t>
      </w:r>
      <w:r>
        <w:rPr>
          <w:rFonts w:ascii="宋体" w:hAnsi="宋体" w:cs="宋体"/>
          <w:color w:val="auto"/>
          <w:sz w:val="24"/>
          <w:highlight w:val="none"/>
          <w:u w:val="single"/>
        </w:rPr>
        <w:t>2</w:t>
      </w:r>
      <w:r>
        <w:rPr>
          <w:rFonts w:hint="eastAsia" w:ascii="宋体" w:hAnsi="宋体" w:cs="宋体"/>
          <w:color w:val="auto"/>
          <w:sz w:val="24"/>
          <w:highlight w:val="none"/>
          <w:u w:val="single"/>
        </w:rPr>
        <w:t>2日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ascii="宋体" w:hAnsi="宋体" w:cs="宋体"/>
          <w:color w:val="auto"/>
          <w:sz w:val="24"/>
          <w:highlight w:val="none"/>
          <w:u w:val="single"/>
        </w:rPr>
        <w:t>3</w:t>
      </w:r>
      <w:r>
        <w:rPr>
          <w:rFonts w:hint="eastAsia" w:ascii="宋体" w:hAnsi="宋体" w:cs="宋体"/>
          <w:color w:val="auto"/>
          <w:sz w:val="24"/>
          <w:highlight w:val="none"/>
          <w:u w:val="single"/>
        </w:rPr>
        <w:t>年</w:t>
      </w:r>
      <w:r>
        <w:rPr>
          <w:rFonts w:ascii="宋体" w:hAnsi="宋体" w:cs="宋体"/>
          <w:color w:val="auto"/>
          <w:sz w:val="24"/>
          <w:highlight w:val="none"/>
          <w:u w:val="single"/>
        </w:rPr>
        <w:t>2</w:t>
      </w:r>
      <w:r>
        <w:rPr>
          <w:rFonts w:hint="eastAsia" w:ascii="宋体" w:hAnsi="宋体" w:cs="宋体"/>
          <w:color w:val="auto"/>
          <w:sz w:val="24"/>
          <w:highlight w:val="none"/>
          <w:u w:val="single"/>
        </w:rPr>
        <w:t>月22日</w:t>
      </w:r>
      <w:r>
        <w:rPr>
          <w:rFonts w:ascii="宋体" w:hAnsi="宋体" w:cs="宋体"/>
          <w:color w:val="auto"/>
          <w:sz w:val="24"/>
          <w:highlight w:val="none"/>
          <w:u w:val="single"/>
        </w:rPr>
        <w:t>09</w:t>
      </w:r>
      <w:r>
        <w:rPr>
          <w:rFonts w:hint="eastAsia" w:ascii="宋体" w:hAnsi="宋体" w:cs="宋体"/>
          <w:color w:val="auto"/>
          <w:sz w:val="24"/>
          <w:highlight w:val="none"/>
          <w:u w:val="single"/>
        </w:rPr>
        <w:t>点</w:t>
      </w:r>
      <w:r>
        <w:rPr>
          <w:rFonts w:ascii="宋体" w:hAnsi="宋体" w:cs="宋体"/>
          <w:color w:val="auto"/>
          <w:sz w:val="24"/>
          <w:highlight w:val="none"/>
          <w:u w:val="single"/>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ascii="宋体" w:hAnsi="宋体" w:cs="宋体"/>
          <w:color w:val="auto"/>
          <w:sz w:val="24"/>
          <w:highlight w:val="none"/>
          <w:u w:val="single"/>
        </w:rPr>
        <w:t>3</w:t>
      </w:r>
      <w:r>
        <w:rPr>
          <w:rFonts w:hint="eastAsia" w:ascii="宋体" w:hAnsi="宋体" w:cs="宋体"/>
          <w:color w:val="auto"/>
          <w:sz w:val="24"/>
          <w:highlight w:val="none"/>
          <w:u w:val="single"/>
        </w:rPr>
        <w:t>年</w:t>
      </w:r>
      <w:r>
        <w:rPr>
          <w:rFonts w:ascii="宋体" w:hAnsi="宋体" w:cs="宋体"/>
          <w:color w:val="auto"/>
          <w:sz w:val="24"/>
          <w:highlight w:val="none"/>
          <w:u w:val="single"/>
        </w:rPr>
        <w:t>2</w:t>
      </w:r>
      <w:r>
        <w:rPr>
          <w:rFonts w:hint="eastAsia" w:ascii="宋体" w:hAnsi="宋体" w:cs="宋体"/>
          <w:color w:val="auto"/>
          <w:sz w:val="24"/>
          <w:highlight w:val="none"/>
          <w:u w:val="single"/>
        </w:rPr>
        <w:t>月22日</w:t>
      </w:r>
      <w:r>
        <w:rPr>
          <w:rFonts w:ascii="宋体" w:hAnsi="宋体" w:cs="宋体"/>
          <w:color w:val="auto"/>
          <w:sz w:val="24"/>
          <w:highlight w:val="none"/>
          <w:u w:val="single"/>
        </w:rPr>
        <w:t>09</w:t>
      </w:r>
      <w:r>
        <w:rPr>
          <w:rFonts w:hint="eastAsia" w:ascii="宋体" w:hAnsi="宋体" w:cs="宋体"/>
          <w:color w:val="auto"/>
          <w:sz w:val="24"/>
          <w:highlight w:val="none"/>
          <w:u w:val="single"/>
        </w:rPr>
        <w:t>点</w:t>
      </w:r>
      <w:r>
        <w:rPr>
          <w:rFonts w:ascii="宋体" w:hAnsi="宋体" w:cs="宋体"/>
          <w:color w:val="auto"/>
          <w:sz w:val="24"/>
          <w:highlight w:val="none"/>
          <w:u w:val="single"/>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仿宋"/>
          <w:color w:val="auto"/>
          <w:sz w:val="24"/>
          <w:highlight w:val="none"/>
        </w:rPr>
        <w:t>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76"/>
          <w:rFonts w:hint="eastAsia" w:ascii="宋体" w:hAnsi="宋体" w:eastAsia="宋体" w:cs="仿宋"/>
          <w:snapToGrid/>
          <w:color w:val="auto"/>
          <w:kern w:val="2"/>
          <w:sz w:val="24"/>
          <w:szCs w:val="24"/>
          <w:highlight w:val="none"/>
        </w:rPr>
        <w:t>https://www.zcygov.cn/），</w:t>
      </w:r>
      <w:r>
        <w:rPr>
          <w:rStyle w:val="76"/>
          <w:rFonts w:hint="eastAsia" w:ascii="宋体" w:hAnsi="宋体" w:eastAsia="宋体" w:cs="仿宋"/>
          <w:snapToGrid/>
          <w:color w:val="auto"/>
          <w:sz w:val="24"/>
          <w:szCs w:val="24"/>
          <w:highlight w:val="none"/>
        </w:rPr>
        <w:t>杭州市文晖路42</w:t>
      </w:r>
      <w:r>
        <w:rPr>
          <w:rStyle w:val="76"/>
          <w:rFonts w:hint="eastAsia" w:ascii="宋体" w:hAnsi="宋体" w:eastAsia="宋体" w:cs="仿宋"/>
          <w:snapToGrid/>
          <w:color w:val="auto"/>
          <w:sz w:val="24"/>
          <w:szCs w:val="24"/>
          <w:highlight w:val="none"/>
        </w:rPr>
        <w:fldChar w:fldCharType="end"/>
      </w:r>
      <w:r>
        <w:rPr>
          <w:rFonts w:hint="eastAsia" w:ascii="宋体" w:hAnsi="宋体" w:cs="仿宋"/>
          <w:color w:val="auto"/>
          <w:kern w:val="0"/>
          <w:sz w:val="24"/>
          <w:highlight w:val="none"/>
        </w:rPr>
        <w:t>号现代置业大厦西楼17层开标室二</w:t>
      </w:r>
      <w:r>
        <w:rPr>
          <w:rFonts w:hint="eastAsia" w:ascii="宋体" w:hAnsi="宋体" w:cs="仿宋"/>
          <w:color w:val="auto"/>
          <w:spacing w:val="-6"/>
          <w:kern w:val="0"/>
          <w:sz w:val="24"/>
          <w:highlight w:val="none"/>
        </w:rPr>
        <w:t>。</w:t>
      </w:r>
    </w:p>
    <w:p>
      <w:pPr>
        <w:tabs>
          <w:tab w:val="left" w:pos="900"/>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五、采购意向公开链接</w:t>
      </w:r>
    </w:p>
    <w:p>
      <w:pPr>
        <w:pStyle w:val="2"/>
        <w:rPr>
          <w:rFonts w:ascii="宋体" w:hAnsi="宋体" w:eastAsia="宋体"/>
          <w:color w:val="auto"/>
          <w:highlight w:val="none"/>
          <w:lang w:val="en-US"/>
        </w:rPr>
      </w:pPr>
      <w:r>
        <w:rPr>
          <w:rFonts w:ascii="宋体" w:hAnsi="宋体" w:eastAsia="宋体"/>
          <w:b w:val="0"/>
          <w:bCs w:val="0"/>
          <w:color w:val="auto"/>
          <w:sz w:val="24"/>
          <w:szCs w:val="24"/>
          <w:highlight w:val="none"/>
          <w:lang w:val="en-US"/>
        </w:rPr>
        <w:t>https://zfcg.czt.zj.gov.cn/innerUsed_noticeDetails/index.html?noticeId=9225327&amp;utm=web-government-front.49399a16.0.0.c8c275e08fea11edaf2db58b706bcc25</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pStyle w:val="963"/>
        <w:adjustRightInd w:val="0"/>
        <w:snapToGrid w:val="0"/>
        <w:ind w:firstLine="480"/>
        <w:rPr>
          <w:color w:val="auto"/>
          <w:szCs w:val="24"/>
          <w:highlight w:val="none"/>
        </w:rPr>
      </w:pPr>
      <w:r>
        <w:rPr>
          <w:color w:val="auto"/>
          <w:szCs w:val="24"/>
          <w:highlight w:val="none"/>
        </w:rPr>
        <w:t>1.</w:t>
      </w:r>
      <w:r>
        <w:rPr>
          <w:rFonts w:hint="eastAsia"/>
          <w:color w:val="auto"/>
          <w:szCs w:val="24"/>
          <w:highlight w:val="none"/>
        </w:rPr>
        <w:t>采购人信息</w:t>
      </w:r>
    </w:p>
    <w:p>
      <w:pPr>
        <w:widowControl/>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名称：</w:t>
      </w:r>
      <w:r>
        <w:rPr>
          <w:rFonts w:hint="eastAsia" w:ascii="宋体" w:hAnsi="宋体" w:cs="宋体"/>
          <w:color w:val="auto"/>
          <w:kern w:val="0"/>
          <w:sz w:val="24"/>
          <w:highlight w:val="none"/>
        </w:rPr>
        <w:t xml:space="preserve">杭州市统计局 </w:t>
      </w:r>
    </w:p>
    <w:p>
      <w:pPr>
        <w:pStyle w:val="24"/>
        <w:spacing w:line="360" w:lineRule="auto"/>
        <w:rPr>
          <w:rFonts w:cs="宋体"/>
          <w:color w:val="auto"/>
          <w:kern w:val="0"/>
          <w:highlight w:val="none"/>
        </w:rPr>
      </w:pPr>
      <w:r>
        <w:rPr>
          <w:rFonts w:cs="宋体"/>
          <w:color w:val="auto"/>
          <w:kern w:val="0"/>
          <w:highlight w:val="none"/>
        </w:rPr>
        <w:t>地址：</w:t>
      </w:r>
      <w:r>
        <w:rPr>
          <w:rFonts w:hint="eastAsia" w:cs="宋体"/>
          <w:color w:val="auto"/>
          <w:kern w:val="0"/>
          <w:highlight w:val="none"/>
        </w:rPr>
        <w:t>浙江省杭州市</w:t>
      </w:r>
      <w:r>
        <w:rPr>
          <w:rFonts w:hint="eastAsia" w:cs="宋体"/>
          <w:color w:val="auto"/>
          <w:kern w:val="0"/>
          <w:highlight w:val="none"/>
          <w:lang w:val="en-US" w:eastAsia="zh-CN"/>
        </w:rPr>
        <w:t>上城</w:t>
      </w:r>
      <w:r>
        <w:rPr>
          <w:rFonts w:hint="eastAsia" w:cs="宋体"/>
          <w:color w:val="auto"/>
          <w:kern w:val="0"/>
          <w:highlight w:val="none"/>
        </w:rPr>
        <w:t>区市民中心A座</w:t>
      </w:r>
    </w:p>
    <w:p>
      <w:pPr>
        <w:pStyle w:val="24"/>
        <w:spacing w:line="360" w:lineRule="auto"/>
        <w:rPr>
          <w:rFonts w:cs="宋体"/>
          <w:color w:val="auto"/>
          <w:kern w:val="0"/>
          <w:highlight w:val="none"/>
        </w:rPr>
      </w:pPr>
      <w:r>
        <w:rPr>
          <w:rFonts w:cs="宋体"/>
          <w:color w:val="auto"/>
          <w:kern w:val="0"/>
          <w:highlight w:val="none"/>
        </w:rPr>
        <w:t>项目联系人：</w:t>
      </w:r>
      <w:r>
        <w:rPr>
          <w:rFonts w:hint="eastAsia" w:cs="宋体"/>
          <w:color w:val="auto"/>
          <w:kern w:val="0"/>
          <w:highlight w:val="none"/>
          <w:lang w:eastAsia="zh"/>
        </w:rPr>
        <w:t>金建群</w:t>
      </w:r>
      <w:r>
        <w:rPr>
          <w:rFonts w:hint="eastAsia" w:cs="宋体"/>
          <w:color w:val="auto"/>
          <w:kern w:val="0"/>
          <w:highlight w:val="none"/>
        </w:rPr>
        <w:t xml:space="preserve"> </w:t>
      </w:r>
    </w:p>
    <w:p>
      <w:pPr>
        <w:pStyle w:val="24"/>
        <w:spacing w:line="360" w:lineRule="auto"/>
        <w:rPr>
          <w:rFonts w:cs="宋体"/>
          <w:color w:val="auto"/>
          <w:kern w:val="0"/>
          <w:highlight w:val="none"/>
        </w:rPr>
      </w:pPr>
      <w:r>
        <w:rPr>
          <w:rFonts w:cs="宋体"/>
          <w:color w:val="auto"/>
          <w:kern w:val="0"/>
          <w:highlight w:val="none"/>
        </w:rPr>
        <w:t>项目联系方式：0571-</w:t>
      </w:r>
      <w:r>
        <w:rPr>
          <w:rFonts w:hint="eastAsia" w:cs="宋体"/>
          <w:color w:val="auto"/>
          <w:kern w:val="0"/>
          <w:highlight w:val="none"/>
          <w:lang w:eastAsia="zh"/>
        </w:rPr>
        <w:t>85257280</w:t>
      </w:r>
      <w:r>
        <w:rPr>
          <w:rFonts w:cs="宋体"/>
          <w:color w:val="auto"/>
          <w:kern w:val="0"/>
          <w:highlight w:val="none"/>
        </w:rPr>
        <w:t xml:space="preserve">  </w:t>
      </w:r>
    </w:p>
    <w:p>
      <w:pPr>
        <w:pStyle w:val="24"/>
        <w:spacing w:line="360" w:lineRule="auto"/>
        <w:rPr>
          <w:rFonts w:cs="宋体"/>
          <w:color w:val="auto"/>
          <w:kern w:val="0"/>
          <w:highlight w:val="none"/>
        </w:rPr>
      </w:pPr>
      <w:r>
        <w:rPr>
          <w:rFonts w:cs="宋体"/>
          <w:color w:val="auto"/>
          <w:kern w:val="0"/>
          <w:highlight w:val="none"/>
        </w:rPr>
        <w:t>质疑联系人：</w:t>
      </w:r>
      <w:r>
        <w:rPr>
          <w:rFonts w:hint="eastAsia" w:cs="宋体"/>
          <w:color w:val="auto"/>
          <w:kern w:val="0"/>
          <w:highlight w:val="none"/>
          <w:lang w:eastAsia="zh"/>
        </w:rPr>
        <w:t>骆观玉</w:t>
      </w:r>
      <w:r>
        <w:rPr>
          <w:rFonts w:hint="eastAsia" w:cs="宋体"/>
          <w:color w:val="auto"/>
          <w:kern w:val="0"/>
          <w:highlight w:val="none"/>
        </w:rPr>
        <w:t xml:space="preserve"> </w:t>
      </w:r>
    </w:p>
    <w:p>
      <w:pPr>
        <w:pStyle w:val="24"/>
        <w:spacing w:line="360" w:lineRule="auto"/>
        <w:rPr>
          <w:rFonts w:cs="宋体"/>
          <w:color w:val="auto"/>
          <w:kern w:val="0"/>
          <w:highlight w:val="none"/>
        </w:rPr>
      </w:pPr>
      <w:r>
        <w:rPr>
          <w:rFonts w:cs="宋体"/>
          <w:color w:val="auto"/>
          <w:kern w:val="0"/>
          <w:highlight w:val="none"/>
        </w:rPr>
        <w:t>质疑联系方式：</w:t>
      </w:r>
      <w:r>
        <w:rPr>
          <w:rFonts w:hint="eastAsia" w:cs="宋体"/>
          <w:color w:val="auto"/>
          <w:kern w:val="0"/>
          <w:highlight w:val="none"/>
        </w:rPr>
        <w:t>0</w:t>
      </w:r>
      <w:r>
        <w:rPr>
          <w:rFonts w:cs="宋体"/>
          <w:color w:val="auto"/>
          <w:kern w:val="0"/>
          <w:highlight w:val="none"/>
        </w:rPr>
        <w:t>571-</w:t>
      </w:r>
      <w:r>
        <w:rPr>
          <w:rFonts w:hint="eastAsia" w:cs="宋体"/>
          <w:color w:val="auto"/>
          <w:kern w:val="0"/>
          <w:highlight w:val="none"/>
          <w:lang w:eastAsia="zh"/>
        </w:rPr>
        <w:t>85257372</w:t>
      </w:r>
      <w:r>
        <w:rPr>
          <w:rFonts w:cs="宋体"/>
          <w:color w:val="auto"/>
          <w:kern w:val="0"/>
          <w:highlight w:val="none"/>
        </w:rPr>
        <w:t xml:space="preserve"> </w:t>
      </w:r>
    </w:p>
    <w:p>
      <w:pPr>
        <w:widowControl/>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采购代理机构信息</w:t>
      </w:r>
    </w:p>
    <w:p>
      <w:pPr>
        <w:pStyle w:val="963"/>
        <w:adjustRightInd w:val="0"/>
        <w:snapToGrid w:val="0"/>
        <w:ind w:firstLine="480"/>
        <w:rPr>
          <w:color w:val="auto"/>
          <w:szCs w:val="24"/>
          <w:highlight w:val="none"/>
        </w:rPr>
      </w:pPr>
      <w:r>
        <w:rPr>
          <w:rFonts w:hint="eastAsia"/>
          <w:color w:val="auto"/>
          <w:szCs w:val="24"/>
          <w:highlight w:val="none"/>
        </w:rPr>
        <w:t>名称：浙江省成套招标代理有限公司</w:t>
      </w:r>
    </w:p>
    <w:p>
      <w:pPr>
        <w:pStyle w:val="963"/>
        <w:adjustRightInd w:val="0"/>
        <w:snapToGrid w:val="0"/>
        <w:ind w:firstLine="480"/>
        <w:rPr>
          <w:color w:val="auto"/>
          <w:szCs w:val="24"/>
          <w:highlight w:val="none"/>
        </w:rPr>
      </w:pPr>
      <w:r>
        <w:rPr>
          <w:rFonts w:hint="eastAsia"/>
          <w:color w:val="auto"/>
          <w:szCs w:val="24"/>
          <w:highlight w:val="none"/>
        </w:rPr>
        <w:t>地址：</w:t>
      </w:r>
      <w:r>
        <w:rPr>
          <w:rFonts w:hint="eastAsia"/>
          <w:color w:val="auto"/>
          <w:szCs w:val="24"/>
          <w:highlight w:val="none"/>
          <w:lang w:val="zh-CN"/>
        </w:rPr>
        <w:t>杭州市文晖路42号现代置业大厦西楼17、18楼</w:t>
      </w:r>
    </w:p>
    <w:p>
      <w:pPr>
        <w:pStyle w:val="963"/>
        <w:adjustRightInd w:val="0"/>
        <w:snapToGrid w:val="0"/>
        <w:ind w:firstLine="480"/>
        <w:rPr>
          <w:color w:val="auto"/>
          <w:szCs w:val="24"/>
          <w:highlight w:val="none"/>
        </w:rPr>
      </w:pPr>
      <w:r>
        <w:rPr>
          <w:rFonts w:hint="eastAsia"/>
          <w:color w:val="auto"/>
          <w:szCs w:val="24"/>
          <w:highlight w:val="none"/>
        </w:rPr>
        <w:t>传真：4008-266-163转08156</w:t>
      </w:r>
    </w:p>
    <w:p>
      <w:pPr>
        <w:pStyle w:val="963"/>
        <w:adjustRightInd w:val="0"/>
        <w:snapToGrid w:val="0"/>
        <w:ind w:firstLine="480"/>
        <w:rPr>
          <w:color w:val="auto"/>
          <w:szCs w:val="24"/>
          <w:highlight w:val="none"/>
        </w:rPr>
      </w:pPr>
      <w:r>
        <w:rPr>
          <w:rFonts w:hint="eastAsia"/>
          <w:color w:val="auto"/>
          <w:szCs w:val="24"/>
          <w:highlight w:val="none"/>
        </w:rPr>
        <w:t>项目联系人：陆佳</w:t>
      </w:r>
    </w:p>
    <w:p>
      <w:pPr>
        <w:pStyle w:val="963"/>
        <w:adjustRightInd w:val="0"/>
        <w:snapToGrid w:val="0"/>
        <w:ind w:firstLine="480"/>
        <w:rPr>
          <w:color w:val="auto"/>
          <w:szCs w:val="24"/>
          <w:highlight w:val="none"/>
        </w:rPr>
      </w:pPr>
      <w:r>
        <w:rPr>
          <w:rFonts w:hint="eastAsia"/>
          <w:color w:val="auto"/>
          <w:szCs w:val="24"/>
          <w:highlight w:val="none"/>
        </w:rPr>
        <w:t>项目联系方式：0571-87634685</w:t>
      </w:r>
    </w:p>
    <w:p>
      <w:pPr>
        <w:pStyle w:val="963"/>
        <w:adjustRightInd w:val="0"/>
        <w:snapToGrid w:val="0"/>
        <w:ind w:firstLine="480"/>
        <w:rPr>
          <w:color w:val="auto"/>
          <w:szCs w:val="24"/>
          <w:highlight w:val="none"/>
        </w:rPr>
      </w:pPr>
      <w:r>
        <w:rPr>
          <w:rFonts w:hint="eastAsia"/>
          <w:color w:val="auto"/>
          <w:szCs w:val="24"/>
          <w:highlight w:val="none"/>
        </w:rPr>
        <w:t>质疑联系人：冯东东</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质疑联系方式：0571-85331293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Arial"/>
                <w:b/>
                <w:bCs/>
                <w:color w:val="auto"/>
                <w:kern w:val="0"/>
                <w:sz w:val="24"/>
                <w:highlight w:val="none"/>
              </w:rPr>
            </w:pPr>
            <w:r>
              <w:rPr>
                <w:rFonts w:hint="eastAsia" w:ascii="宋体" w:hAnsi="宋体" w:cs="Arial"/>
                <w:b/>
                <w:bCs/>
                <w:color w:val="auto"/>
                <w:kern w:val="0"/>
                <w:sz w:val="24"/>
                <w:highlight w:val="none"/>
              </w:rPr>
              <w:t>标的：</w:t>
            </w:r>
            <w:r>
              <w:rPr>
                <w:rFonts w:hint="eastAsia" w:ascii="宋体" w:hAnsi="宋体" w:cs="Arial"/>
                <w:b/>
                <w:bCs/>
                <w:color w:val="auto"/>
                <w:kern w:val="0"/>
                <w:sz w:val="24"/>
                <w:highlight w:val="none"/>
                <w:u w:val="single"/>
              </w:rPr>
              <w:t>第四届联合国世界数据论坛实施与综合保障项目</w:t>
            </w:r>
            <w:r>
              <w:rPr>
                <w:rFonts w:hint="eastAsia" w:ascii="宋体" w:hAnsi="宋体" w:cs="Arial"/>
                <w:b/>
                <w:bCs/>
                <w:color w:val="auto"/>
                <w:kern w:val="0"/>
                <w:sz w:val="24"/>
                <w:highlight w:val="none"/>
              </w:rPr>
              <w:t>，属于</w:t>
            </w:r>
            <w:r>
              <w:rPr>
                <w:rFonts w:ascii="宋体" w:hAnsi="宋体" w:cs="Arial"/>
                <w:b/>
                <w:bCs/>
                <w:color w:val="auto"/>
                <w:kern w:val="0"/>
                <w:sz w:val="24"/>
                <w:highlight w:val="none"/>
                <w:u w:val="single"/>
              </w:rPr>
              <w:t xml:space="preserve"> </w:t>
            </w:r>
            <w:r>
              <w:rPr>
                <w:rFonts w:hint="eastAsia" w:ascii="宋体" w:hAnsi="宋体" w:cs="Arial"/>
                <w:b/>
                <w:bCs/>
                <w:color w:val="auto"/>
                <w:kern w:val="0"/>
                <w:sz w:val="24"/>
                <w:highlight w:val="none"/>
                <w:u w:val="single"/>
              </w:rPr>
              <w:t xml:space="preserve">其他未列明 </w:t>
            </w:r>
            <w:r>
              <w:rPr>
                <w:rFonts w:ascii="宋体" w:hAnsi="宋体" w:cs="Arial"/>
                <w:b/>
                <w:bCs/>
                <w:color w:val="auto"/>
                <w:kern w:val="0"/>
                <w:sz w:val="24"/>
                <w:highlight w:val="none"/>
              </w:rPr>
              <w:t xml:space="preserve"> 行业。</w:t>
            </w:r>
          </w:p>
          <w:p>
            <w:pPr>
              <w:pStyle w:val="2"/>
              <w:rPr>
                <w:rFonts w:ascii="宋体" w:hAnsi="宋体" w:eastAsia="宋体"/>
                <w:color w:val="auto"/>
                <w:sz w:val="24"/>
                <w:highlight w:val="none"/>
              </w:rPr>
            </w:pPr>
            <w:r>
              <w:rPr>
                <w:rFonts w:hint="eastAsia" w:ascii="宋体" w:hAnsi="宋体" w:eastAsia="宋体"/>
                <w:color w:val="auto"/>
                <w:sz w:val="24"/>
                <w:highlight w:val="none"/>
              </w:rPr>
              <w:t>其他未列明行业中小企业划型标准：</w:t>
            </w:r>
            <w:r>
              <w:rPr>
                <w:rFonts w:ascii="宋体" w:hAnsi="宋体" w:eastAsia="宋体"/>
                <w:color w:val="auto"/>
                <w:sz w:val="24"/>
                <w:highlight w:val="none"/>
              </w:rPr>
              <w:t>从业人员300人以下</w:t>
            </w:r>
          </w:p>
          <w:p>
            <w:pPr>
              <w:pStyle w:val="2"/>
              <w:rPr>
                <w:rFonts w:ascii="宋体" w:hAnsi="宋体" w:eastAsia="宋体"/>
                <w:color w:val="auto"/>
                <w:sz w:val="24"/>
                <w:highlight w:val="none"/>
              </w:rPr>
            </w:pPr>
            <w:r>
              <w:rPr>
                <w:rFonts w:ascii="宋体" w:hAnsi="宋体" w:eastAsia="宋体"/>
                <w:color w:val="auto"/>
                <w:sz w:val="24"/>
                <w:highlight w:val="none"/>
              </w:rPr>
              <w:t>的为中小微型企业。其中，从业人员100人及以上的为中</w:t>
            </w:r>
          </w:p>
          <w:p>
            <w:pPr>
              <w:pStyle w:val="2"/>
              <w:rPr>
                <w:rFonts w:ascii="宋体" w:hAnsi="宋体" w:eastAsia="宋体"/>
                <w:color w:val="auto"/>
                <w:sz w:val="24"/>
                <w:highlight w:val="none"/>
              </w:rPr>
            </w:pPr>
            <w:r>
              <w:rPr>
                <w:rFonts w:ascii="宋体" w:hAnsi="宋体" w:eastAsia="宋体"/>
                <w:color w:val="auto"/>
                <w:sz w:val="24"/>
                <w:highlight w:val="none"/>
              </w:rPr>
              <w:t>型企业;从业人员10人及以上的为小型企业;从业人员10</w:t>
            </w:r>
          </w:p>
          <w:p>
            <w:pPr>
              <w:pStyle w:val="2"/>
              <w:rPr>
                <w:rFonts w:ascii="宋体" w:hAnsi="宋体" w:eastAsia="宋体" w:cs="宋体"/>
                <w:color w:val="auto"/>
                <w:highlight w:val="none"/>
                <w:lang w:val="en-US"/>
              </w:rPr>
            </w:pPr>
            <w:r>
              <w:rPr>
                <w:rFonts w:ascii="宋体" w:hAnsi="宋体" w:eastAsia="宋体"/>
                <w:color w:val="auto"/>
                <w:sz w:val="24"/>
                <w:highlight w:val="none"/>
              </w:rPr>
              <w:t>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配套服务 </w:t>
            </w:r>
            <w:r>
              <w:rPr>
                <w:rFonts w:hint="eastAsia" w:ascii="宋体" w:hAnsi="宋体" w:cs="宋体"/>
                <w:color w:val="auto"/>
                <w:sz w:val="24"/>
                <w:highlight w:val="none"/>
              </w:rPr>
              <w:t>工作分包，</w:t>
            </w:r>
            <w:r>
              <w:rPr>
                <w:rFonts w:hint="eastAsia" w:ascii="宋体" w:hAnsi="宋体"/>
                <w:color w:val="auto"/>
                <w:sz w:val="24"/>
                <w:highlight w:val="none"/>
              </w:rPr>
              <w:t>分包部分合同金额比例应达到合同总金额的</w:t>
            </w:r>
            <w:r>
              <w:rPr>
                <w:rFonts w:ascii="宋体" w:hAnsi="宋体"/>
                <w:color w:val="auto"/>
                <w:sz w:val="24"/>
                <w:highlight w:val="none"/>
              </w:rPr>
              <w:t>10%</w:t>
            </w:r>
            <w:r>
              <w:rPr>
                <w:rFonts w:hint="eastAsia" w:ascii="宋体" w:hAnsi="宋体"/>
                <w:color w:val="auto"/>
                <w:sz w:val="24"/>
                <w:highlight w:val="none"/>
              </w:rPr>
              <w:t>，分包供应商应具备承接分包内容</w:t>
            </w:r>
            <w:r>
              <w:rPr>
                <w:rFonts w:ascii="宋体" w:hAnsi="宋体"/>
                <w:color w:val="auto"/>
                <w:sz w:val="24"/>
                <w:highlight w:val="none"/>
              </w:rPr>
              <w:t>所必需的设备和专业技术能力</w:t>
            </w:r>
            <w:r>
              <w:rPr>
                <w:rFonts w:hint="eastAsia" w:ascii="宋体" w:hAnsi="宋体"/>
                <w:color w:val="auto"/>
                <w:sz w:val="24"/>
                <w:highlight w:val="none"/>
              </w:rPr>
              <w:t>，总包供应商对分包内容承担连带责任。</w:t>
            </w:r>
          </w:p>
          <w:p>
            <w:pPr>
              <w:snapToGrid w:val="0"/>
              <w:spacing w:line="360" w:lineRule="auto"/>
              <w:rPr>
                <w:rFonts w:ascii="宋体" w:hAnsi="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Times New Roman"/>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；备份投标文件签收人员联系电话：</w:t>
            </w:r>
            <w:r>
              <w:rPr>
                <w:rFonts w:hint="eastAsia" w:hAnsi="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ascii="宋体" w:hAnsi="宋体" w:cs="Arial"/>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Arial"/>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ascii="宋体" w:hAnsi="宋体" w:cs="Arial"/>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Arial"/>
                  <w:color w:val="auto"/>
                  <w:kern w:val="0"/>
                  <w:sz w:val="24"/>
                  <w:highlight w:val="none"/>
                </w:rPr>
              </w:sdtEndPr>
              <w:sdtContent>
                <w:r>
                  <w:rPr>
                    <w:rFonts w:hint="eastAsia" w:ascii="宋体" w:hAnsi="宋体" w:cs="Arial"/>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snapToGrid w:val="0"/>
                <w:color w:val="auto"/>
                <w:kern w:val="0"/>
                <w:sz w:val="24"/>
                <w:highlight w:val="none"/>
              </w:rPr>
              <w:t>收到中标通知书5个工作日内，中标人需向招标代理机构支付招标代理服务费。</w:t>
            </w:r>
            <w:r>
              <w:rPr>
                <w:rFonts w:hint="eastAsia" w:ascii="宋体" w:hAnsi="宋体" w:cs="宋体"/>
                <w:color w:val="auto"/>
                <w:sz w:val="24"/>
                <w:highlight w:val="none"/>
              </w:rPr>
              <w:t>按【2002】1980号文规定的</w:t>
            </w:r>
            <w:r>
              <w:rPr>
                <w:rFonts w:ascii="宋体" w:hAnsi="宋体" w:cs="宋体"/>
                <w:color w:val="auto"/>
                <w:sz w:val="24"/>
                <w:highlight w:val="none"/>
              </w:rPr>
              <w:t>60</w:t>
            </w:r>
            <w:r>
              <w:rPr>
                <w:rFonts w:hint="eastAsia" w:ascii="宋体" w:hAnsi="宋体" w:cs="宋体"/>
                <w:color w:val="auto"/>
                <w:sz w:val="24"/>
                <w:highlight w:val="none"/>
              </w:rPr>
              <w:t>%向中标供应商收取。</w:t>
            </w:r>
          </w:p>
          <w:p>
            <w:pPr>
              <w:pStyle w:val="128"/>
              <w:snapToGrid w:val="0"/>
              <w:spacing w:before="0"/>
              <w:ind w:firstLine="0" w:firstLineChars="0"/>
              <w:rPr>
                <w:rFonts w:ascii="宋体" w:hAnsi="宋体" w:cs="宋体"/>
                <w:color w:val="auto"/>
                <w:szCs w:val="24"/>
                <w:highlight w:val="none"/>
              </w:rPr>
            </w:pPr>
            <w:r>
              <w:rPr>
                <w:rFonts w:hint="eastAsia" w:ascii="宋体" w:hAnsi="宋体" w:cs="宋体"/>
                <w:color w:val="auto"/>
                <w:spacing w:val="-6"/>
                <w:szCs w:val="24"/>
                <w:highlight w:val="none"/>
              </w:rPr>
              <w:t>收款单位（户名）：</w:t>
            </w:r>
            <w:r>
              <w:rPr>
                <w:rFonts w:hint="eastAsia" w:ascii="宋体" w:hAnsi="宋体" w:cs="宋体"/>
                <w:bCs/>
                <w:color w:val="auto"/>
                <w:kern w:val="0"/>
                <w:szCs w:val="24"/>
                <w:highlight w:val="none"/>
              </w:rPr>
              <w:t>浙江省成套招标代理有限公司；</w:t>
            </w:r>
          </w:p>
          <w:p>
            <w:pPr>
              <w:pStyle w:val="128"/>
              <w:snapToGrid w:val="0"/>
              <w:spacing w:before="0"/>
              <w:ind w:firstLine="0" w:firstLineChars="0"/>
              <w:rPr>
                <w:rFonts w:ascii="宋体" w:hAnsi="宋体" w:cs="宋体"/>
                <w:color w:val="auto"/>
                <w:spacing w:val="-6"/>
                <w:szCs w:val="24"/>
                <w:highlight w:val="none"/>
              </w:rPr>
            </w:pPr>
            <w:r>
              <w:rPr>
                <w:rFonts w:hint="eastAsia" w:ascii="宋体" w:hAnsi="宋体" w:cs="宋体"/>
                <w:bCs/>
                <w:color w:val="auto"/>
                <w:kern w:val="0"/>
                <w:szCs w:val="24"/>
                <w:highlight w:val="none"/>
              </w:rPr>
              <w:t>开户银行：中信</w:t>
            </w:r>
            <w:r>
              <w:rPr>
                <w:rFonts w:hint="eastAsia" w:ascii="宋体" w:hAnsi="宋体" w:cs="宋体"/>
                <w:color w:val="auto"/>
                <w:spacing w:val="-6"/>
                <w:szCs w:val="24"/>
                <w:highlight w:val="none"/>
              </w:rPr>
              <w:t>银行杭州西湖支行；</w:t>
            </w:r>
          </w:p>
          <w:p>
            <w:pPr>
              <w:spacing w:line="360" w:lineRule="auto"/>
              <w:rPr>
                <w:rFonts w:ascii="宋体" w:hAnsi="宋体" w:cs="Arial"/>
                <w:color w:val="auto"/>
                <w:kern w:val="0"/>
                <w:sz w:val="24"/>
                <w:highlight w:val="none"/>
              </w:rPr>
            </w:pPr>
            <w:r>
              <w:rPr>
                <w:rFonts w:hint="eastAsia" w:ascii="宋体" w:hAnsi="宋体" w:cs="宋体"/>
                <w:color w:val="auto"/>
                <w:spacing w:val="-6"/>
                <w:sz w:val="24"/>
                <w:highlight w:val="none"/>
              </w:rPr>
              <w:t>银行账号：</w:t>
            </w:r>
            <w:r>
              <w:rPr>
                <w:rFonts w:ascii="宋体" w:hAnsi="宋体" w:cs="宋体"/>
                <w:color w:val="auto"/>
                <w:spacing w:val="-6"/>
                <w:sz w:val="24"/>
                <w:highlight w:val="none"/>
              </w:rPr>
              <w:t>7331 6101 8260 0126 385。</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0"/>
      <w:bookmarkEnd w:id="16"/>
      <w:bookmarkStart w:id="17" w:name="_Hlt75236101"/>
      <w:bookmarkEnd w:id="17"/>
      <w:bookmarkStart w:id="18" w:name="_Hlt68073093"/>
      <w:bookmarkEnd w:id="18"/>
      <w:bookmarkStart w:id="19" w:name="_Hlt68072998"/>
      <w:bookmarkEnd w:id="19"/>
      <w:bookmarkStart w:id="20" w:name="_Hlt74729768"/>
      <w:bookmarkEnd w:id="20"/>
      <w:bookmarkStart w:id="21" w:name="_Hlt74730295"/>
      <w:bookmarkEnd w:id="21"/>
      <w:bookmarkStart w:id="22" w:name="_Hlt74707468"/>
      <w:bookmarkEnd w:id="22"/>
      <w:bookmarkStart w:id="23" w:name="_Hlt75236011"/>
      <w:bookmarkEnd w:id="23"/>
      <w:bookmarkStart w:id="24" w:name="_Hlt75236290"/>
      <w:bookmarkEnd w:id="24"/>
      <w:bookmarkStart w:id="25" w:name="_Hlt68057669"/>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rPr>
          <w:rFonts w:ascii="宋体" w:hAnsi="宋体"/>
          <w:b/>
          <w:bCs/>
          <w:color w:val="auto"/>
          <w:sz w:val="24"/>
          <w:highlight w:val="none"/>
        </w:rPr>
      </w:pPr>
      <w:r>
        <w:rPr>
          <w:rFonts w:hint="eastAsia" w:ascii="宋体" w:hAnsi="宋体" w:cs="宋体"/>
          <w:b/>
          <w:bCs/>
          <w:color w:val="auto"/>
          <w:sz w:val="24"/>
          <w:highlight w:val="none"/>
        </w:rPr>
        <w:t>一、</w:t>
      </w:r>
      <w:r>
        <w:rPr>
          <w:rFonts w:hint="eastAsia" w:ascii="宋体" w:hAnsi="宋体"/>
          <w:b/>
          <w:bCs/>
          <w:color w:val="auto"/>
          <w:sz w:val="24"/>
          <w:highlight w:val="none"/>
        </w:rPr>
        <w:t>项目背景</w:t>
      </w:r>
    </w:p>
    <w:p>
      <w:pPr>
        <w:spacing w:line="360" w:lineRule="auto"/>
        <w:ind w:firstLine="480" w:firstLineChars="200"/>
        <w:rPr>
          <w:rFonts w:ascii="宋体" w:hAnsi="宋体"/>
          <w:color w:val="auto"/>
          <w:sz w:val="24"/>
          <w:highlight w:val="none"/>
        </w:rPr>
      </w:pPr>
      <w:bookmarkStart w:id="28" w:name="_Toc12310"/>
      <w:bookmarkStart w:id="29" w:name="_Toc109295508"/>
      <w:r>
        <w:rPr>
          <w:rFonts w:hint="eastAsia" w:ascii="宋体" w:hAnsi="宋体"/>
          <w:color w:val="auto"/>
          <w:sz w:val="24"/>
          <w:highlight w:val="none"/>
        </w:rPr>
        <w:t>“联合国世界数据论坛”全称“可持续发展世界数据论坛”，</w:t>
      </w:r>
      <w:r>
        <w:rPr>
          <w:rFonts w:ascii="宋体" w:hAnsi="宋体"/>
          <w:color w:val="auto"/>
          <w:sz w:val="24"/>
          <w:highlight w:val="none"/>
        </w:rPr>
        <w:t>由联合国统计委员会于2015年决议启动，旨在为</w:t>
      </w:r>
      <w:r>
        <w:rPr>
          <w:rFonts w:hint="eastAsia" w:ascii="宋体" w:hAnsi="宋体"/>
          <w:color w:val="auto"/>
          <w:sz w:val="24"/>
          <w:highlight w:val="none"/>
        </w:rPr>
        <w:t>产、学、研、政</w:t>
      </w:r>
      <w:r>
        <w:rPr>
          <w:rFonts w:ascii="宋体" w:hAnsi="宋体"/>
          <w:color w:val="auto"/>
          <w:sz w:val="24"/>
          <w:highlight w:val="none"/>
        </w:rPr>
        <w:t>等各利益攸关方，就改进和完善包括2030年可持续发展议程在内的数据和统计，提供交流合作</w:t>
      </w:r>
      <w:r>
        <w:rPr>
          <w:rFonts w:hint="eastAsia" w:ascii="宋体" w:hAnsi="宋体"/>
          <w:color w:val="auto"/>
          <w:sz w:val="24"/>
          <w:highlight w:val="none"/>
        </w:rPr>
        <w:t>和</w:t>
      </w:r>
      <w:r>
        <w:rPr>
          <w:rFonts w:ascii="宋体" w:hAnsi="宋体"/>
          <w:color w:val="auto"/>
          <w:sz w:val="24"/>
          <w:highlight w:val="none"/>
        </w:rPr>
        <w:t>成果</w:t>
      </w:r>
      <w:r>
        <w:rPr>
          <w:rFonts w:hint="eastAsia" w:ascii="宋体" w:hAnsi="宋体"/>
          <w:color w:val="auto"/>
          <w:sz w:val="24"/>
          <w:highlight w:val="none"/>
        </w:rPr>
        <w:t>展示的平台</w:t>
      </w:r>
      <w:r>
        <w:rPr>
          <w:rFonts w:ascii="宋体" w:hAnsi="宋体"/>
          <w:color w:val="auto"/>
          <w:sz w:val="24"/>
          <w:highlight w:val="none"/>
        </w:rPr>
        <w:t>。迄今已举办三届，承办国相关领导人均出席会议开幕式，联合国副秘书长、各国统计机构负责人出席论坛</w:t>
      </w:r>
      <w:r>
        <w:rPr>
          <w:rFonts w:hint="eastAsia" w:ascii="宋体" w:hAnsi="宋体"/>
          <w:color w:val="auto"/>
          <w:sz w:val="24"/>
          <w:highlight w:val="none"/>
        </w:rPr>
        <w:t>。</w:t>
      </w:r>
      <w:r>
        <w:rPr>
          <w:rFonts w:ascii="宋体" w:hAnsi="宋体"/>
          <w:color w:val="auto"/>
          <w:sz w:val="24"/>
          <w:highlight w:val="none"/>
        </w:rPr>
        <w:t>论坛规格高、规模大、议题多，具有广泛而深远的国际影响。</w:t>
      </w:r>
    </w:p>
    <w:p>
      <w:pPr>
        <w:spacing w:line="360" w:lineRule="auto"/>
        <w:ind w:firstLine="480" w:firstLineChars="200"/>
        <w:rPr>
          <w:rFonts w:ascii="宋体" w:hAnsi="宋体" w:cs="仿宋"/>
          <w:color w:val="auto"/>
          <w:sz w:val="24"/>
          <w:highlight w:val="none"/>
        </w:rPr>
      </w:pPr>
      <w:r>
        <w:rPr>
          <w:rFonts w:hint="eastAsia" w:ascii="宋体" w:hAnsi="宋体"/>
          <w:color w:val="auto"/>
          <w:sz w:val="24"/>
          <w:highlight w:val="none"/>
        </w:rPr>
        <w:t>当今世界，数据已成为国家基础性战略资源。中国对大数据和数字经济发展高度重视，习近平总书记指出，要构建以数据为关键要素的数字经济，强调要实施国家大数据战略，加快建设数字中国。承办联合国世界数据论坛，是落实习总书记指示精神，积极参与全球治理，深入推进数字中国建设的实际行动。也是向世界展示中国在数据发展方面的成效，提升我国在全球统计和数据治理体系构建与改革中的影响力和话语权的重要契机。</w:t>
      </w:r>
    </w:p>
    <w:bookmarkEnd w:id="28"/>
    <w:bookmarkEnd w:id="29"/>
    <w:p>
      <w:pPr>
        <w:spacing w:line="360" w:lineRule="auto"/>
        <w:rPr>
          <w:rFonts w:ascii="宋体" w:hAnsi="宋体"/>
          <w:b/>
          <w:bCs/>
          <w:color w:val="auto"/>
          <w:sz w:val="24"/>
          <w:highlight w:val="none"/>
        </w:rPr>
      </w:pPr>
      <w:r>
        <w:rPr>
          <w:rFonts w:hint="eastAsia" w:ascii="宋体" w:hAnsi="宋体" w:cs="宋体"/>
          <w:b/>
          <w:bCs/>
          <w:color w:val="auto"/>
          <w:sz w:val="24"/>
          <w:highlight w:val="none"/>
        </w:rPr>
        <w:t>二、</w:t>
      </w:r>
      <w:r>
        <w:rPr>
          <w:rFonts w:hint="eastAsia" w:ascii="宋体" w:hAnsi="宋体"/>
          <w:b/>
          <w:bCs/>
          <w:color w:val="auto"/>
          <w:sz w:val="24"/>
          <w:highlight w:val="none"/>
        </w:rPr>
        <w:t>时间地点</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rPr>
        <w:t>2023年4月2</w:t>
      </w:r>
      <w:r>
        <w:rPr>
          <w:rFonts w:ascii="宋体" w:hAnsi="宋体"/>
          <w:color w:val="auto"/>
          <w:sz w:val="24"/>
          <w:highlight w:val="none"/>
        </w:rPr>
        <w:t>4</w:t>
      </w:r>
      <w:r>
        <w:rPr>
          <w:rFonts w:hint="eastAsia" w:ascii="宋体" w:hAnsi="宋体"/>
          <w:color w:val="auto"/>
          <w:sz w:val="24"/>
          <w:highlight w:val="none"/>
        </w:rPr>
        <w:t>日-</w:t>
      </w:r>
      <w:r>
        <w:rPr>
          <w:rFonts w:ascii="宋体" w:hAnsi="宋体"/>
          <w:color w:val="auto"/>
          <w:sz w:val="24"/>
          <w:highlight w:val="none"/>
        </w:rPr>
        <w:t>28</w:t>
      </w:r>
      <w:r>
        <w:rPr>
          <w:rFonts w:hint="eastAsia" w:ascii="宋体" w:hAnsi="宋体"/>
          <w:color w:val="auto"/>
          <w:sz w:val="24"/>
          <w:highlight w:val="none"/>
        </w:rPr>
        <w:t>日，会期</w:t>
      </w:r>
      <w:r>
        <w:rPr>
          <w:rFonts w:ascii="宋体" w:hAnsi="宋体"/>
          <w:color w:val="auto"/>
          <w:sz w:val="24"/>
          <w:highlight w:val="none"/>
        </w:rPr>
        <w:t>5</w:t>
      </w:r>
      <w:r>
        <w:rPr>
          <w:rFonts w:hint="eastAsia" w:ascii="宋体" w:hAnsi="宋体"/>
          <w:color w:val="auto"/>
          <w:sz w:val="24"/>
          <w:highlight w:val="none"/>
        </w:rPr>
        <w:t>天，</w:t>
      </w:r>
      <w:r>
        <w:rPr>
          <w:rFonts w:hint="eastAsia" w:ascii="宋体" w:hAnsi="宋体"/>
          <w:color w:val="auto"/>
          <w:sz w:val="24"/>
          <w:highlight w:val="none"/>
        </w:rPr>
        <w:t>其中</w:t>
      </w:r>
      <w:r>
        <w:rPr>
          <w:rFonts w:ascii="宋体" w:hAnsi="宋体"/>
          <w:color w:val="auto"/>
          <w:sz w:val="24"/>
          <w:highlight w:val="none"/>
        </w:rPr>
        <w:t>4</w:t>
      </w:r>
      <w:r>
        <w:rPr>
          <w:rFonts w:hint="eastAsia" w:ascii="宋体" w:hAnsi="宋体"/>
          <w:color w:val="auto"/>
          <w:sz w:val="24"/>
          <w:highlight w:val="none"/>
        </w:rPr>
        <w:t>月</w:t>
      </w:r>
      <w:r>
        <w:rPr>
          <w:rFonts w:ascii="宋体" w:hAnsi="宋体"/>
          <w:color w:val="auto"/>
          <w:sz w:val="24"/>
          <w:highlight w:val="none"/>
        </w:rPr>
        <w:t>28</w:t>
      </w:r>
      <w:r>
        <w:rPr>
          <w:rFonts w:hint="eastAsia" w:ascii="宋体" w:hAnsi="宋体"/>
          <w:color w:val="auto"/>
          <w:sz w:val="24"/>
          <w:highlight w:val="none"/>
        </w:rPr>
        <w:t>日仅安排召开一场高级别会议。</w:t>
      </w:r>
      <w:r>
        <w:rPr>
          <w:rFonts w:hint="eastAsia" w:ascii="宋体" w:hAnsi="宋体"/>
          <w:color w:val="auto"/>
          <w:sz w:val="24"/>
          <w:highlight w:val="none"/>
        </w:rPr>
        <w:t>该时间为初定时间，具体以实际为准，如会议时间或会期调整，供应商须无条件服从</w:t>
      </w:r>
      <w:r>
        <w:rPr>
          <w:rFonts w:hint="eastAsia" w:ascii="宋体" w:hAnsi="宋体"/>
          <w:color w:val="auto"/>
          <w:sz w:val="24"/>
          <w:highlight w:val="none"/>
        </w:rPr>
        <w:t>。</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地点：拟定杭州国际博览中心</w:t>
      </w:r>
    </w:p>
    <w:p>
      <w:pPr>
        <w:spacing w:line="360" w:lineRule="auto"/>
        <w:rPr>
          <w:rFonts w:ascii="宋体" w:hAnsi="宋体"/>
          <w:b/>
          <w:bCs/>
          <w:color w:val="auto"/>
          <w:sz w:val="24"/>
          <w:highlight w:val="none"/>
        </w:rPr>
      </w:pPr>
      <w:r>
        <w:rPr>
          <w:rFonts w:hint="eastAsia" w:ascii="宋体" w:hAnsi="宋体" w:cs="宋体"/>
          <w:b/>
          <w:bCs/>
          <w:color w:val="auto"/>
          <w:sz w:val="24"/>
          <w:highlight w:val="none"/>
        </w:rPr>
        <w:t>三、</w:t>
      </w:r>
      <w:r>
        <w:rPr>
          <w:rFonts w:hint="eastAsia" w:ascii="宋体" w:hAnsi="宋体"/>
          <w:b/>
          <w:bCs/>
          <w:color w:val="auto"/>
          <w:sz w:val="24"/>
          <w:highlight w:val="none"/>
        </w:rPr>
        <w:t>项目内容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shd w:val="clear" w:color="auto" w:fill="FFFFFF"/>
        </w:rPr>
        <w:t>第四届联合国世界数据论坛</w:t>
      </w:r>
      <w:r>
        <w:rPr>
          <w:rFonts w:hint="eastAsia" w:ascii="宋体" w:hAnsi="宋体"/>
          <w:color w:val="auto"/>
          <w:sz w:val="24"/>
          <w:highlight w:val="none"/>
          <w:u w:val="single"/>
        </w:rPr>
        <w:t>采用线上、线下相结合的方式进行。</w:t>
      </w:r>
      <w:r>
        <w:rPr>
          <w:rFonts w:hint="eastAsia" w:ascii="宋体" w:hAnsi="宋体"/>
          <w:color w:val="auto"/>
          <w:sz w:val="24"/>
          <w:highlight w:val="none"/>
          <w:u w:val="single"/>
        </w:rPr>
        <w:t>本项目的主体是落实包含6场全会、7</w:t>
      </w:r>
      <w:r>
        <w:rPr>
          <w:rFonts w:ascii="宋体" w:hAnsi="宋体"/>
          <w:color w:val="auto"/>
          <w:sz w:val="24"/>
          <w:highlight w:val="none"/>
          <w:u w:val="single"/>
        </w:rPr>
        <w:t>0</w:t>
      </w:r>
      <w:r>
        <w:rPr>
          <w:rFonts w:hint="eastAsia" w:ascii="宋体" w:hAnsi="宋体"/>
          <w:color w:val="auto"/>
          <w:sz w:val="24"/>
          <w:highlight w:val="none"/>
          <w:u w:val="single"/>
        </w:rPr>
        <w:t>余场平行会议、2场高级别会议、开闭幕式等项目。</w:t>
      </w:r>
      <w:r>
        <w:rPr>
          <w:rFonts w:hint="eastAsia" w:ascii="宋体" w:hAnsi="宋体"/>
          <w:color w:val="auto"/>
          <w:sz w:val="24"/>
          <w:highlight w:val="none"/>
          <w:u w:val="single"/>
        </w:rPr>
        <w:t>同期，可安排展览展示活动。除活动的策划执行外，中标供应商需配合做好场地租赁、接待服务、会务保障、宣传推广等工作，并作为筹备机构的工作助手参与各项策划、协调、执行工作。会议使用的数字化集成线上平台另行招标采购，服务内容不包含在本次招标中。</w:t>
      </w:r>
    </w:p>
    <w:p>
      <w:pPr>
        <w:spacing w:line="360" w:lineRule="auto"/>
        <w:ind w:right="60"/>
        <w:rPr>
          <w:rFonts w:ascii="宋体" w:hAnsi="宋体"/>
          <w:b/>
          <w:color w:val="auto"/>
          <w:sz w:val="24"/>
          <w:highlight w:val="none"/>
        </w:rPr>
      </w:pPr>
      <w:r>
        <w:rPr>
          <w:rFonts w:hint="eastAsia" w:ascii="宋体" w:hAnsi="宋体"/>
          <w:b/>
          <w:color w:val="auto"/>
          <w:sz w:val="24"/>
          <w:highlight w:val="none"/>
        </w:rPr>
        <w:t>四、项目说明</w:t>
      </w:r>
    </w:p>
    <w:p>
      <w:pPr>
        <w:spacing w:line="360" w:lineRule="auto"/>
        <w:ind w:firstLine="480" w:firstLineChars="200"/>
        <w:rPr>
          <w:rFonts w:ascii="宋体" w:hAnsi="宋体" w:cs="仿宋_GB2312"/>
          <w:color w:val="auto"/>
          <w:sz w:val="24"/>
          <w:highlight w:val="none"/>
          <w:u w:val="single"/>
        </w:rPr>
      </w:pPr>
      <w:r>
        <w:rPr>
          <w:rFonts w:hint="eastAsia" w:ascii="宋体" w:hAnsi="宋体"/>
          <w:color w:val="auto"/>
          <w:sz w:val="24"/>
          <w:highlight w:val="none"/>
          <w:u w:val="single"/>
          <w:shd w:val="clear" w:color="auto" w:fill="FFFFFF"/>
        </w:rPr>
        <w:t>第四届联合国世界数据论坛</w:t>
      </w:r>
      <w:r>
        <w:rPr>
          <w:rFonts w:ascii="宋体" w:hAnsi="宋体"/>
          <w:color w:val="auto"/>
          <w:sz w:val="24"/>
          <w:highlight w:val="none"/>
          <w:u w:val="single"/>
          <w:shd w:val="clear" w:color="auto" w:fill="FFFFFF"/>
        </w:rPr>
        <w:t>预计</w:t>
      </w:r>
      <w:r>
        <w:rPr>
          <w:rFonts w:hint="eastAsia" w:ascii="宋体" w:hAnsi="宋体"/>
          <w:color w:val="auto"/>
          <w:sz w:val="24"/>
          <w:highlight w:val="none"/>
          <w:u w:val="single"/>
          <w:shd w:val="clear" w:color="auto" w:fill="FFFFFF"/>
        </w:rPr>
        <w:t>线下参会正式代表1</w:t>
      </w:r>
      <w:r>
        <w:rPr>
          <w:rFonts w:ascii="宋体" w:hAnsi="宋体"/>
          <w:color w:val="auto"/>
          <w:sz w:val="24"/>
          <w:highlight w:val="none"/>
          <w:u w:val="single"/>
          <w:shd w:val="clear" w:color="auto" w:fill="FFFFFF"/>
        </w:rPr>
        <w:t>600</w:t>
      </w:r>
      <w:r>
        <w:rPr>
          <w:rFonts w:hint="eastAsia" w:ascii="宋体" w:hAnsi="宋体"/>
          <w:color w:val="auto"/>
          <w:sz w:val="24"/>
          <w:highlight w:val="none"/>
          <w:u w:val="single"/>
          <w:shd w:val="clear" w:color="auto" w:fill="FFFFFF"/>
        </w:rPr>
        <w:t>人，其中国外代表1</w:t>
      </w:r>
      <w:r>
        <w:rPr>
          <w:rFonts w:ascii="宋体" w:hAnsi="宋体"/>
          <w:color w:val="auto"/>
          <w:sz w:val="24"/>
          <w:highlight w:val="none"/>
          <w:u w:val="single"/>
          <w:shd w:val="clear" w:color="auto" w:fill="FFFFFF"/>
        </w:rPr>
        <w:t>2</w:t>
      </w:r>
      <w:r>
        <w:rPr>
          <w:rFonts w:hint="eastAsia" w:ascii="宋体" w:hAnsi="宋体"/>
          <w:color w:val="auto"/>
          <w:sz w:val="24"/>
          <w:highlight w:val="none"/>
          <w:u w:val="single"/>
          <w:shd w:val="clear" w:color="auto" w:fill="FFFFFF"/>
        </w:rPr>
        <w:t>00人左右，国内代表4</w:t>
      </w:r>
      <w:r>
        <w:rPr>
          <w:rFonts w:ascii="宋体" w:hAnsi="宋体"/>
          <w:color w:val="auto"/>
          <w:sz w:val="24"/>
          <w:highlight w:val="none"/>
          <w:u w:val="single"/>
          <w:shd w:val="clear" w:color="auto" w:fill="FFFFFF"/>
        </w:rPr>
        <w:t>00</w:t>
      </w:r>
      <w:r>
        <w:rPr>
          <w:rFonts w:hint="eastAsia" w:ascii="宋体" w:hAnsi="宋体"/>
          <w:color w:val="auto"/>
          <w:sz w:val="24"/>
          <w:highlight w:val="none"/>
          <w:u w:val="single"/>
          <w:shd w:val="clear" w:color="auto" w:fill="FFFFFF"/>
        </w:rPr>
        <w:t>人（不含工作人员）</w:t>
      </w:r>
      <w:r>
        <w:rPr>
          <w:rFonts w:hint="eastAsia" w:ascii="宋体" w:hAnsi="宋体"/>
          <w:color w:val="auto"/>
          <w:sz w:val="24"/>
          <w:highlight w:val="none"/>
          <w:u w:val="single"/>
          <w:shd w:val="clear" w:color="auto" w:fill="FFFFFF"/>
        </w:rPr>
        <w:t>。拟定</w:t>
      </w:r>
      <w:r>
        <w:rPr>
          <w:rFonts w:hint="eastAsia" w:ascii="宋体" w:hAnsi="宋体"/>
          <w:color w:val="auto"/>
          <w:sz w:val="24"/>
          <w:highlight w:val="none"/>
          <w:u w:val="single"/>
        </w:rPr>
        <w:t>举办场地为杭州市国际博览中心</w:t>
      </w:r>
      <w:r>
        <w:rPr>
          <w:rFonts w:hint="eastAsia" w:ascii="宋体" w:hAnsi="宋体" w:cs="仿宋_GB2312"/>
          <w:color w:val="auto"/>
          <w:sz w:val="24"/>
          <w:highlight w:val="none"/>
          <w:u w:val="single"/>
        </w:rPr>
        <w:t>。本项目</w:t>
      </w:r>
      <w:r>
        <w:rPr>
          <w:rFonts w:ascii="宋体" w:hAnsi="宋体" w:cs="仿宋_GB2312"/>
          <w:color w:val="auto"/>
          <w:sz w:val="24"/>
          <w:highlight w:val="none"/>
          <w:u w:val="single"/>
        </w:rPr>
        <w:t>所指筹备期是指</w:t>
      </w:r>
      <w:r>
        <w:rPr>
          <w:rFonts w:hint="eastAsia" w:ascii="宋体" w:hAnsi="宋体" w:cs="仿宋_GB2312"/>
          <w:color w:val="auto"/>
          <w:sz w:val="24"/>
          <w:highlight w:val="none"/>
          <w:u w:val="single"/>
        </w:rPr>
        <w:t>成交通知书下达之日起至活动开始</w:t>
      </w:r>
      <w:r>
        <w:rPr>
          <w:rFonts w:ascii="宋体" w:hAnsi="宋体" w:cs="仿宋_GB2312"/>
          <w:color w:val="auto"/>
          <w:sz w:val="24"/>
          <w:highlight w:val="none"/>
          <w:u w:val="single"/>
        </w:rPr>
        <w:t>，会期是指</w:t>
      </w:r>
      <w:r>
        <w:rPr>
          <w:rFonts w:hint="eastAsia" w:ascii="宋体" w:hAnsi="宋体"/>
          <w:color w:val="auto"/>
          <w:sz w:val="24"/>
          <w:highlight w:val="none"/>
          <w:u w:val="single"/>
        </w:rPr>
        <w:t>2023年4月2</w:t>
      </w:r>
      <w:r>
        <w:rPr>
          <w:rFonts w:ascii="宋体" w:hAnsi="宋体"/>
          <w:color w:val="auto"/>
          <w:sz w:val="24"/>
          <w:highlight w:val="none"/>
          <w:u w:val="single"/>
        </w:rPr>
        <w:t>4</w:t>
      </w:r>
      <w:r>
        <w:rPr>
          <w:rFonts w:hint="eastAsia" w:ascii="宋体" w:hAnsi="宋体"/>
          <w:color w:val="auto"/>
          <w:sz w:val="24"/>
          <w:highlight w:val="none"/>
          <w:u w:val="single"/>
        </w:rPr>
        <w:t>日-</w:t>
      </w:r>
      <w:r>
        <w:rPr>
          <w:rFonts w:ascii="宋体" w:hAnsi="宋体"/>
          <w:color w:val="auto"/>
          <w:sz w:val="24"/>
          <w:highlight w:val="none"/>
          <w:u w:val="single"/>
        </w:rPr>
        <w:t>28</w:t>
      </w:r>
      <w:r>
        <w:rPr>
          <w:rFonts w:hint="eastAsia" w:ascii="宋体" w:hAnsi="宋体"/>
          <w:color w:val="auto"/>
          <w:sz w:val="24"/>
          <w:highlight w:val="none"/>
          <w:u w:val="single"/>
        </w:rPr>
        <w:t>日</w:t>
      </w:r>
      <w:r>
        <w:rPr>
          <w:rFonts w:hint="eastAsia" w:ascii="宋体" w:hAnsi="宋体" w:cs="仿宋_GB2312"/>
          <w:color w:val="auto"/>
          <w:sz w:val="24"/>
          <w:highlight w:val="none"/>
          <w:u w:val="single"/>
        </w:rPr>
        <w:t>的</w:t>
      </w:r>
      <w:r>
        <w:rPr>
          <w:rFonts w:ascii="宋体" w:hAnsi="宋体" w:cs="仿宋_GB2312"/>
          <w:color w:val="auto"/>
          <w:sz w:val="24"/>
          <w:highlight w:val="none"/>
          <w:u w:val="single"/>
        </w:rPr>
        <w:t>5</w:t>
      </w:r>
      <w:r>
        <w:rPr>
          <w:rFonts w:hint="eastAsia" w:ascii="宋体" w:hAnsi="宋体" w:cs="仿宋_GB2312"/>
          <w:color w:val="auto"/>
          <w:sz w:val="24"/>
          <w:highlight w:val="none"/>
          <w:u w:val="single"/>
        </w:rPr>
        <w:t>天会议期</w:t>
      </w:r>
      <w:r>
        <w:rPr>
          <w:rFonts w:hint="eastAsia" w:ascii="宋体" w:hAnsi="宋体" w:cs="仿宋_GB2312"/>
          <w:color w:val="auto"/>
          <w:sz w:val="24"/>
          <w:highlight w:val="none"/>
          <w:u w:val="single"/>
        </w:rPr>
        <w:t>，</w:t>
      </w:r>
      <w:r>
        <w:rPr>
          <w:rFonts w:hint="eastAsia" w:ascii="宋体" w:hAnsi="宋体"/>
          <w:color w:val="auto"/>
          <w:sz w:val="24"/>
          <w:highlight w:val="none"/>
          <w:u w:val="single"/>
        </w:rPr>
        <w:t>其中</w:t>
      </w:r>
      <w:r>
        <w:rPr>
          <w:rFonts w:ascii="宋体" w:hAnsi="宋体"/>
          <w:color w:val="auto"/>
          <w:sz w:val="24"/>
          <w:highlight w:val="none"/>
          <w:u w:val="single"/>
        </w:rPr>
        <w:t>4月28日仅安排召开一场高级别会议</w:t>
      </w:r>
      <w:r>
        <w:rPr>
          <w:rFonts w:hint="eastAsia" w:ascii="宋体" w:hAnsi="宋体"/>
          <w:color w:val="auto"/>
          <w:sz w:val="24"/>
          <w:highlight w:val="none"/>
          <w:u w:val="single"/>
        </w:rPr>
        <w:t>。</w:t>
      </w:r>
      <w:r>
        <w:rPr>
          <w:rFonts w:hint="eastAsia" w:ascii="宋体" w:hAnsi="宋体" w:cs="仿宋_GB2312"/>
          <w:color w:val="auto"/>
          <w:sz w:val="24"/>
          <w:highlight w:val="none"/>
          <w:u w:val="single"/>
        </w:rPr>
        <w:t>（</w:t>
      </w:r>
      <w:r>
        <w:rPr>
          <w:rFonts w:hint="eastAsia" w:ascii="宋体" w:hAnsi="宋体"/>
          <w:color w:val="auto"/>
          <w:sz w:val="24"/>
          <w:highlight w:val="none"/>
          <w:u w:val="single"/>
        </w:rPr>
        <w:t>该时间为初定时间，具体以实际为准，如会议时间或会期调整，供应商须无条件服从</w:t>
      </w:r>
      <w:r>
        <w:rPr>
          <w:rFonts w:hint="eastAsia" w:ascii="宋体" w:hAnsi="宋体" w:cs="仿宋_GB2312"/>
          <w:color w:val="auto"/>
          <w:sz w:val="24"/>
          <w:highlight w:val="none"/>
          <w:u w:val="single"/>
        </w:rPr>
        <w:t>）</w:t>
      </w:r>
      <w:r>
        <w:rPr>
          <w:rFonts w:ascii="宋体" w:hAnsi="宋体" w:cs="仿宋_GB2312"/>
          <w:color w:val="auto"/>
          <w:sz w:val="24"/>
          <w:highlight w:val="none"/>
          <w:u w:val="single"/>
        </w:rPr>
        <w:t>。</w:t>
      </w:r>
    </w:p>
    <w:p>
      <w:pPr>
        <w:spacing w:line="360" w:lineRule="auto"/>
        <w:rPr>
          <w:rFonts w:ascii="宋体" w:hAnsi="宋体" w:cs="仿宋"/>
          <w:b/>
          <w:color w:val="auto"/>
          <w:sz w:val="24"/>
          <w:highlight w:val="none"/>
        </w:rPr>
      </w:pPr>
      <w:r>
        <w:rPr>
          <w:rFonts w:hint="eastAsia" w:ascii="宋体" w:hAnsi="宋体"/>
          <w:b/>
          <w:color w:val="auto"/>
          <w:sz w:val="24"/>
          <w:highlight w:val="none"/>
        </w:rPr>
        <w:t>五、采购内容</w:t>
      </w:r>
    </w:p>
    <w:p>
      <w:pPr>
        <w:snapToGrid w:val="0"/>
        <w:spacing w:line="360" w:lineRule="auto"/>
        <w:ind w:firstLine="482" w:firstLineChars="200"/>
        <w:rPr>
          <w:rFonts w:ascii="宋体" w:hAnsi="宋体"/>
          <w:b/>
          <w:color w:val="auto"/>
          <w:sz w:val="24"/>
          <w:highlight w:val="none"/>
          <w:u w:val="single"/>
        </w:rPr>
      </w:pPr>
      <w:bookmarkStart w:id="30" w:name="_Toc24268"/>
      <w:bookmarkStart w:id="31" w:name="_Toc13485"/>
      <w:bookmarkStart w:id="32" w:name="_Toc15564"/>
      <w:bookmarkStart w:id="33" w:name="_Toc4287"/>
      <w:r>
        <w:rPr>
          <w:rFonts w:hint="eastAsia" w:ascii="宋体" w:hAnsi="宋体"/>
          <w:b/>
          <w:color w:val="auto"/>
          <w:sz w:val="24"/>
          <w:highlight w:val="none"/>
          <w:u w:val="single"/>
        </w:rPr>
        <w:t>（一）整体策划设计</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供应商应协助甲方，对项目进行总体策划，包括但不限于以下内容：</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第四届世界数据论坛总体策划方案。内容可包括项目描述、组织架构建议、内容板块建议、活动内容描述、宣传推广考虑、后勤保障安排等事项。策划方案应充分考虑政府主场外交活动的惯例和要求，行文符合政府文件的相关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2.第四届世界数据论坛总平面图。根据总体方案，结合国博场地实际情况，提出项目布局建议，以平面图的方式呈现。</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3.第四届世界数据论坛整体视觉设计方案。以联合国世界数据论坛已有logo为基础，进行发散创意，提出第四届的整体视觉设计建议。</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第四届世界数据论坛市级筹备机构组建建议方案。根据活动内容设置及相关重大外事活动的任务安排，提出组建市级筹备机构的建议方案。方案应包含组织架构、参与筹备机构的机关单位建议、专项工作组分组及主要职责建议等。</w:t>
      </w:r>
    </w:p>
    <w:p>
      <w:pPr>
        <w:snapToGrid w:val="0"/>
        <w:spacing w:line="360" w:lineRule="auto"/>
        <w:ind w:firstLine="480" w:firstLineChars="200"/>
        <w:rPr>
          <w:rFonts w:ascii="宋体" w:hAnsi="宋体"/>
          <w:b/>
          <w:color w:val="auto"/>
          <w:sz w:val="24"/>
          <w:highlight w:val="none"/>
          <w:u w:val="single"/>
        </w:rPr>
      </w:pPr>
      <w:r>
        <w:rPr>
          <w:rFonts w:hint="eastAsia" w:ascii="宋体" w:hAnsi="宋体"/>
          <w:color w:val="auto"/>
          <w:sz w:val="24"/>
          <w:highlight w:val="none"/>
          <w:u w:val="single"/>
        </w:rPr>
        <w:t>5.第四届世界数据论坛任务清单建议方案。根据建议的分组方案及主要职责，提出具体的任务清单。</w:t>
      </w:r>
    </w:p>
    <w:p>
      <w:pPr>
        <w:snapToGrid w:val="0"/>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（二）场地租赁要求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1.会场基本需求（本次会议会场所在地在会议期间不得举行其他会议或活动）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（1）开闭幕式、全体会议须满足</w:t>
      </w:r>
      <w:r>
        <w:rPr>
          <w:rFonts w:ascii="宋体" w:hAnsi="宋体"/>
          <w:color w:val="auto"/>
          <w:sz w:val="24"/>
          <w:highlight w:val="none"/>
          <w:u w:val="single"/>
        </w:rPr>
        <w:t>20</w:t>
      </w:r>
      <w:r>
        <w:rPr>
          <w:rFonts w:hint="eastAsia" w:ascii="宋体" w:hAnsi="宋体"/>
          <w:color w:val="auto"/>
          <w:sz w:val="24"/>
          <w:highlight w:val="none"/>
          <w:u w:val="single"/>
        </w:rPr>
        <w:t>00人规模要求，其他分论坛须满足会期（</w:t>
      </w:r>
      <w:r>
        <w:rPr>
          <w:rFonts w:ascii="宋体" w:hAnsi="宋体"/>
          <w:color w:val="auto"/>
          <w:sz w:val="24"/>
          <w:highlight w:val="none"/>
          <w:u w:val="single"/>
        </w:rPr>
        <w:t>5</w:t>
      </w:r>
      <w:r>
        <w:rPr>
          <w:rFonts w:hint="eastAsia" w:ascii="宋体" w:hAnsi="宋体"/>
          <w:color w:val="auto"/>
          <w:sz w:val="24"/>
          <w:highlight w:val="none"/>
          <w:u w:val="single"/>
        </w:rPr>
        <w:t>天）内安排</w:t>
      </w:r>
      <w:r>
        <w:rPr>
          <w:rFonts w:ascii="宋体" w:hAnsi="宋体"/>
          <w:color w:val="auto"/>
          <w:sz w:val="24"/>
          <w:highlight w:val="none"/>
          <w:u w:val="single"/>
        </w:rPr>
        <w:t>70</w:t>
      </w:r>
      <w:r>
        <w:rPr>
          <w:rFonts w:hint="eastAsia" w:ascii="宋体" w:hAnsi="宋体"/>
          <w:color w:val="auto"/>
          <w:sz w:val="24"/>
          <w:highlight w:val="none"/>
          <w:u w:val="single"/>
        </w:rPr>
        <w:t>余场会议的要求，并符合提报的总体策划方案和总平面图。</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（2）共需要12个会场，其中全会1个，平行会议11个。在11个平行会议场地中，中型会议室（200人左右）3-4个，放映室（100人左右）1个，其余为小型会议室（100人左右）。</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3</w:t>
      </w:r>
      <w:r>
        <w:rPr>
          <w:rFonts w:hint="eastAsia" w:ascii="宋体" w:hAnsi="宋体"/>
          <w:color w:val="auto"/>
          <w:sz w:val="24"/>
          <w:highlight w:val="none"/>
          <w:u w:val="single"/>
        </w:rPr>
        <w:t>）会议室通道</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大会和各会议的所有公共区域都应便于残疾人使用。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2.展览展示场地需求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展览场地应与会议区域有机融合，形成整理氛围。在动线上与会议动线合理布局，便于参会代表参观交流。</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根据联合国协议，展览展示中联合国板块需供最多 20 个机构和项目进行展示的展示区一个，展示区有一个展台。</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具体场地面积应符合提报的总体策划方案。</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3.保障场地需求</w:t>
      </w:r>
    </w:p>
    <w:p>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u w:val="single"/>
        </w:rPr>
        <w:t>供应商在提供会场的同时，应提供相应的</w:t>
      </w:r>
      <w:r>
        <w:rPr>
          <w:rFonts w:hint="eastAsia" w:ascii="宋体" w:hAnsi="宋体"/>
          <w:color w:val="auto"/>
          <w:sz w:val="24"/>
          <w:highlight w:val="none"/>
          <w:u w:val="single"/>
        </w:rPr>
        <w:t>会务保障服务场地，包括但不限于媒体中心、会场工作区、接待登记区、咨询台等区域，保障场地的规划应体现在总体策划的总平面图中，同时成交供应商应在会议期间派专业人员驻点保障运维。</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根据联合国协议，论坛期间需为联合国秘书处提供3间会议室(6至12个座椅);另安排一间会议室(18个座椅)与主办国共用。国内团队的办公保障区域不在此范围内。</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根据联合国协议，需</w:t>
      </w:r>
      <w:r>
        <w:rPr>
          <w:rFonts w:hint="eastAsia" w:ascii="宋体" w:hAnsi="宋体"/>
          <w:color w:val="auto"/>
          <w:sz w:val="24"/>
          <w:highlight w:val="none"/>
        </w:rPr>
        <w:t>提供</w:t>
      </w:r>
      <w:r>
        <w:rPr>
          <w:rFonts w:hint="eastAsia" w:ascii="宋体" w:hAnsi="宋体"/>
          <w:color w:val="auto"/>
          <w:sz w:val="24"/>
          <w:highlight w:val="none"/>
        </w:rPr>
        <w:t>一个媒体工作区、一个新闻发布厅以及多个采访区。</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4.场地使用时间要求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供应商应充分考虑会议场地的搭建布置、安保检查（不少于1天）、彩排（不少于半天）等产生的场租费，上述在国际博览中心使用的会议区域场地搭建布置工作需在正式会议前一天零时前完成，其余服务保障场地的搭建布置工作在正式会议前一天12时前完成；同时，要考虑国际会议的需求，部分场地可能要求夜间使用。供应商应充分考虑与此匹配的场租费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联合国有权在论坛召开前两天和召开后一天使用会议地点的工作空间。在论坛期间，会议地点应每天</w:t>
      </w:r>
      <w:r>
        <w:rPr>
          <w:rFonts w:ascii="宋体" w:hAnsi="宋体"/>
          <w:color w:val="auto"/>
          <w:sz w:val="24"/>
          <w:highlight w:val="none"/>
        </w:rPr>
        <w:t>24</w:t>
      </w:r>
      <w:r>
        <w:rPr>
          <w:rFonts w:hint="eastAsia" w:ascii="宋体" w:hAnsi="宋体"/>
          <w:color w:val="auto"/>
          <w:sz w:val="24"/>
          <w:highlight w:val="none"/>
        </w:rPr>
        <w:t>小时供联合国使用。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5.其他综合服务费用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除场地租金外，供应商应充分考虑场地方其他综合服务费，包括但不限于电力、空调、广告位、停车场、特装管理费、清洁费等。</w:t>
      </w:r>
    </w:p>
    <w:p>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u w:val="single"/>
        </w:rPr>
        <w:t>6.供应商对该场租的报价应以某一处场地为报价单元进行单价和总价报价。如出现场地租赁需求变更，最终场地租赁费用以供应商在响应文件中的单价和实际发生的场地租赁费用结算。</w:t>
      </w:r>
    </w:p>
    <w:p>
      <w:pPr>
        <w:snapToGrid w:val="0"/>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（三）会议论坛服务要求</w:t>
      </w:r>
    </w:p>
    <w:p>
      <w:pPr>
        <w:snapToGrid w:val="0"/>
        <w:spacing w:line="360" w:lineRule="auto"/>
        <w:ind w:firstLine="602" w:firstLineChars="250"/>
        <w:rPr>
          <w:rFonts w:ascii="宋体" w:hAnsi="宋体"/>
          <w:b/>
          <w:color w:val="auto"/>
          <w:sz w:val="24"/>
          <w:highlight w:val="none"/>
          <w:u w:val="single"/>
        </w:rPr>
      </w:pPr>
      <w:r>
        <w:rPr>
          <w:rFonts w:hint="eastAsia" w:ascii="宋体" w:hAnsi="宋体"/>
          <w:b/>
          <w:color w:val="auto"/>
          <w:sz w:val="24"/>
          <w:highlight w:val="none"/>
          <w:u w:val="single"/>
        </w:rPr>
        <w:t>1.总体要求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做好开闭幕式、全体会议及其他分论坛的组织实施，</w:t>
      </w:r>
      <w:r>
        <w:rPr>
          <w:rFonts w:ascii="宋体" w:hAnsi="宋体"/>
          <w:color w:val="auto"/>
          <w:sz w:val="24"/>
          <w:highlight w:val="none"/>
          <w:u w:val="single"/>
        </w:rPr>
        <w:t>落实会</w:t>
      </w:r>
      <w:r>
        <w:rPr>
          <w:rFonts w:hint="eastAsia" w:ascii="宋体" w:hAnsi="宋体"/>
          <w:color w:val="auto"/>
          <w:sz w:val="24"/>
          <w:highlight w:val="none"/>
          <w:u w:val="single"/>
        </w:rPr>
        <w:t>场</w:t>
      </w:r>
      <w:r>
        <w:rPr>
          <w:rFonts w:ascii="宋体" w:hAnsi="宋体"/>
          <w:color w:val="auto"/>
          <w:sz w:val="24"/>
          <w:highlight w:val="none"/>
          <w:u w:val="single"/>
        </w:rPr>
        <w:t>的总体布置和设备设施安排</w:t>
      </w:r>
      <w:r>
        <w:rPr>
          <w:rFonts w:hint="eastAsia" w:ascii="宋体" w:hAnsi="宋体"/>
          <w:color w:val="auto"/>
          <w:sz w:val="24"/>
          <w:highlight w:val="none"/>
          <w:u w:val="single"/>
        </w:rPr>
        <w:t>，并落实与会议有关的配套服务和现场管理。</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应提供会议的</w:t>
      </w:r>
      <w:r>
        <w:rPr>
          <w:rFonts w:hint="eastAsia" w:ascii="宋体" w:hAnsi="宋体"/>
          <w:color w:val="auto"/>
          <w:sz w:val="24"/>
          <w:highlight w:val="none"/>
          <w:u w:val="single"/>
        </w:rPr>
        <w:t>详细策划方案及实施方案</w:t>
      </w:r>
      <w:r>
        <w:rPr>
          <w:rFonts w:hint="eastAsia" w:ascii="宋体" w:hAnsi="宋体"/>
          <w:color w:val="auto"/>
          <w:sz w:val="24"/>
          <w:highlight w:val="none"/>
          <w:u w:val="single"/>
        </w:rPr>
        <w:t>；会议主视觉的构思和设计（含现场所有形象及制作物的设计），需提供设计效果图；所有活动、会议和现场展示区的平面设计图及现场效果图。</w:t>
      </w:r>
    </w:p>
    <w:p>
      <w:pPr>
        <w:snapToGrid w:val="0"/>
        <w:spacing w:line="360" w:lineRule="auto"/>
        <w:ind w:firstLine="472" w:firstLineChars="196"/>
        <w:rPr>
          <w:rFonts w:ascii="宋体" w:hAnsi="宋体"/>
          <w:b/>
          <w:color w:val="auto"/>
          <w:sz w:val="24"/>
          <w:highlight w:val="none"/>
          <w:u w:val="single"/>
        </w:rPr>
      </w:pPr>
      <w:r>
        <w:rPr>
          <w:rFonts w:hint="eastAsia" w:ascii="宋体" w:hAnsi="宋体"/>
          <w:b/>
          <w:color w:val="auto"/>
          <w:sz w:val="24"/>
          <w:highlight w:val="none"/>
          <w:u w:val="single"/>
        </w:rPr>
        <w:t>2.布置要求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（1）开闭幕式及全体会议提供Led屏、灯光舞美、音响、传输设备、直播设备、同传间、</w:t>
      </w:r>
      <w:r>
        <w:rPr>
          <w:rFonts w:hint="eastAsia" w:ascii="宋体" w:hAnsi="宋体" w:cs="宋体"/>
          <w:color w:val="auto"/>
          <w:sz w:val="24"/>
          <w:highlight w:val="none"/>
          <w:u w:val="single"/>
        </w:rPr>
        <w:t>录音设施</w:t>
      </w:r>
      <w:r>
        <w:rPr>
          <w:rFonts w:hint="eastAsia" w:ascii="宋体" w:hAnsi="宋体" w:cs="宋体"/>
          <w:color w:val="auto"/>
          <w:sz w:val="24"/>
          <w:highlight w:val="none"/>
          <w:u w:val="single"/>
        </w:rPr>
        <w:t>等与会议相配套的必要内容布置，分论坛根据需求提供与会议相配套的必要内容布置，部分会议室需提供Led屏、灯光舞美、音响等。（供应商可根据大会内容策划设计，最终方案需经主办方确认）。</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（2）供应商应提供符合国际会议要求的灯光系统、音频系统、视频系统等的配备。</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（3）供应商对现场布置的报价包括但不限于设计费、材料费、加工费、安装运输费、服务费和税费等所有费用。</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（4）提供设计方案及材质说明。</w:t>
      </w:r>
    </w:p>
    <w:p>
      <w:pPr>
        <w:snapToGrid w:val="0"/>
        <w:spacing w:line="360" w:lineRule="auto"/>
        <w:ind w:firstLine="472" w:firstLineChars="196"/>
        <w:rPr>
          <w:rFonts w:ascii="宋体" w:hAnsi="宋体"/>
          <w:color w:val="auto"/>
          <w:sz w:val="24"/>
          <w:highlight w:val="none"/>
          <w:u w:val="single"/>
        </w:rPr>
      </w:pPr>
      <w:r>
        <w:rPr>
          <w:rFonts w:hint="eastAsia" w:ascii="宋体" w:hAnsi="宋体"/>
          <w:b/>
          <w:color w:val="auto"/>
          <w:sz w:val="24"/>
          <w:highlight w:val="none"/>
          <w:u w:val="single"/>
        </w:rPr>
        <w:t>3.会议配套服务要求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（1）包括但不限于串场及仪式动画、翻译、速记、礼仪、全场摄影摄像、茶歇等会议配套服务服务。</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w:t>
      </w:r>
      <w:r>
        <w:rPr>
          <w:rFonts w:hint="eastAsia" w:ascii="宋体" w:hAnsi="宋体"/>
          <w:color w:val="auto"/>
          <w:sz w:val="24"/>
          <w:szCs w:val="20"/>
          <w:highlight w:val="none"/>
        </w:rPr>
        <w:t>为每间会议室分配足够人数的技术助理，由其负责操作所有基础设施和设备并排除故障，配备掌握英语语言技能的网络支持人员。</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（3）供应商对此报价时，所报单价应包括该项目实施所需的所有费用，包含但不限于上述人员劳务费、加班费、培训费、管理费、税费及其他等一切费用。</w:t>
      </w:r>
    </w:p>
    <w:p>
      <w:pPr>
        <w:snapToGrid w:val="0"/>
        <w:spacing w:line="360" w:lineRule="auto"/>
        <w:ind w:firstLine="602" w:firstLineChars="250"/>
        <w:rPr>
          <w:rFonts w:ascii="宋体" w:hAnsi="宋体"/>
          <w:b/>
          <w:color w:val="auto"/>
          <w:sz w:val="24"/>
          <w:highlight w:val="none"/>
          <w:u w:val="single"/>
        </w:rPr>
      </w:pPr>
      <w:r>
        <w:rPr>
          <w:rFonts w:hint="eastAsia" w:ascii="宋体" w:hAnsi="宋体"/>
          <w:b/>
          <w:color w:val="auto"/>
          <w:sz w:val="24"/>
          <w:highlight w:val="none"/>
          <w:u w:val="single"/>
        </w:rPr>
        <w:t>（四）展览展示服务要求</w:t>
      </w:r>
    </w:p>
    <w:p>
      <w:pPr>
        <w:pStyle w:val="2"/>
        <w:ind w:left="-574" w:firstLine="0"/>
        <w:rPr>
          <w:rFonts w:ascii="宋体" w:hAnsi="宋体" w:eastAsia="宋体"/>
          <w:color w:val="auto"/>
          <w:sz w:val="24"/>
          <w:szCs w:val="24"/>
          <w:highlight w:val="none"/>
          <w:u w:val="single"/>
        </w:rPr>
      </w:pP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ascii="宋体" w:hAnsi="宋体" w:eastAsia="宋体"/>
          <w:color w:val="auto"/>
          <w:sz w:val="24"/>
          <w:szCs w:val="24"/>
          <w:highlight w:val="none"/>
          <w:u w:val="single"/>
        </w:rPr>
        <w:t>1.</w:t>
      </w:r>
      <w:r>
        <w:rPr>
          <w:rFonts w:hint="eastAsia" w:ascii="宋体" w:hAnsi="宋体" w:eastAsia="宋体"/>
          <w:color w:val="auto"/>
          <w:sz w:val="24"/>
          <w:szCs w:val="24"/>
          <w:highlight w:val="none"/>
          <w:u w:val="single"/>
        </w:rPr>
        <w:t>展览面积：2</w:t>
      </w:r>
      <w:r>
        <w:rPr>
          <w:rFonts w:ascii="宋体" w:hAnsi="宋体" w:eastAsia="宋体"/>
          <w:color w:val="auto"/>
          <w:sz w:val="24"/>
          <w:szCs w:val="24"/>
          <w:highlight w:val="none"/>
          <w:u w:val="single"/>
        </w:rPr>
        <w:t>000</w:t>
      </w:r>
      <w:r>
        <w:rPr>
          <w:rFonts w:hint="eastAsia" w:ascii="宋体" w:hAnsi="宋体" w:eastAsia="宋体"/>
          <w:color w:val="auto"/>
          <w:sz w:val="24"/>
          <w:szCs w:val="24"/>
          <w:highlight w:val="none"/>
          <w:u w:val="single"/>
        </w:rPr>
        <w:t>平方米（该面积为暂定面积，具体以实际为准，如最终展览面积增加费用不再增加，供应商须无条件服从）。</w:t>
      </w:r>
    </w:p>
    <w:p>
      <w:pPr>
        <w:snapToGrid w:val="0"/>
        <w:spacing w:line="360" w:lineRule="auto"/>
        <w:ind w:firstLine="482" w:firstLineChars="200"/>
        <w:rPr>
          <w:rFonts w:ascii="宋体" w:hAnsi="宋体"/>
          <w:b/>
          <w:color w:val="auto"/>
          <w:sz w:val="24"/>
          <w:highlight w:val="none"/>
          <w:u w:val="single"/>
        </w:rPr>
      </w:pPr>
      <w:r>
        <w:rPr>
          <w:rFonts w:ascii="宋体" w:hAnsi="宋体"/>
          <w:b/>
          <w:color w:val="auto"/>
          <w:sz w:val="24"/>
          <w:highlight w:val="none"/>
          <w:u w:val="single"/>
        </w:rPr>
        <w:t>2</w:t>
      </w:r>
      <w:r>
        <w:rPr>
          <w:rFonts w:hint="eastAsia" w:ascii="宋体" w:hAnsi="宋体"/>
          <w:b/>
          <w:color w:val="auto"/>
          <w:sz w:val="24"/>
          <w:highlight w:val="none"/>
          <w:u w:val="single"/>
        </w:rPr>
        <w:t>.总体要求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做好展览展示的的策划、组织、实施、管理，做好会场外的公共空间布置管理，设置全场指示标志。</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供应商应提供包括但不限于以下方案：展览展示总体方案；展览展示总体平面布局方案；展览展示整体设计方案；公共空间布置方案；指示系统设计方案；</w:t>
      </w:r>
      <w:r>
        <w:rPr>
          <w:rFonts w:hint="eastAsia" w:ascii="宋体" w:hAnsi="宋体"/>
          <w:color w:val="auto"/>
          <w:sz w:val="24"/>
          <w:highlight w:val="none"/>
          <w:u w:val="single"/>
        </w:rPr>
        <w:t>施工组织方案</w:t>
      </w:r>
      <w:r>
        <w:rPr>
          <w:rFonts w:hint="eastAsia" w:ascii="宋体" w:hAnsi="宋体"/>
          <w:color w:val="auto"/>
          <w:sz w:val="24"/>
          <w:highlight w:val="none"/>
          <w:u w:val="single"/>
        </w:rPr>
        <w:t>等。</w:t>
      </w:r>
    </w:p>
    <w:p>
      <w:pPr>
        <w:spacing w:line="360" w:lineRule="auto"/>
        <w:ind w:firstLine="602" w:firstLineChars="250"/>
        <w:rPr>
          <w:rFonts w:ascii="宋体" w:hAnsi="宋体"/>
          <w:b/>
          <w:bCs/>
          <w:color w:val="auto"/>
          <w:sz w:val="24"/>
          <w:highlight w:val="none"/>
          <w:u w:val="single"/>
        </w:rPr>
      </w:pPr>
      <w:r>
        <w:rPr>
          <w:rFonts w:ascii="宋体" w:hAnsi="宋体"/>
          <w:b/>
          <w:bCs/>
          <w:color w:val="auto"/>
          <w:sz w:val="24"/>
          <w:highlight w:val="none"/>
          <w:u w:val="single"/>
        </w:rPr>
        <w:t>3</w:t>
      </w:r>
      <w:r>
        <w:rPr>
          <w:rFonts w:hint="eastAsia" w:ascii="宋体" w:hAnsi="宋体"/>
          <w:b/>
          <w:bCs/>
          <w:color w:val="auto"/>
          <w:sz w:val="24"/>
          <w:highlight w:val="none"/>
          <w:u w:val="single"/>
        </w:rPr>
        <w:t>.展览区要求</w:t>
      </w:r>
    </w:p>
    <w:p>
      <w:pPr>
        <w:spacing w:line="360" w:lineRule="auto"/>
        <w:ind w:firstLine="600" w:firstLineChars="250"/>
        <w:rPr>
          <w:rFonts w:ascii="宋体" w:hAnsi="宋体"/>
          <w:color w:val="auto"/>
          <w:sz w:val="24"/>
          <w:highlight w:val="none"/>
          <w:u w:val="single"/>
        </w:rPr>
      </w:pPr>
      <w:r>
        <w:rPr>
          <w:rFonts w:hint="eastAsia" w:ascii="宋体" w:hAnsi="宋体"/>
          <w:color w:val="auto"/>
          <w:sz w:val="24"/>
          <w:highlight w:val="none"/>
          <w:u w:val="single"/>
        </w:rPr>
        <w:t>充分考虑展示与论坛主题相匹配的国际机构、政府、企业，展现我国和本省、本市相关成果的需求。整体设计美观、大气，空间布局合理，动线规划清晰。</w:t>
      </w:r>
    </w:p>
    <w:p>
      <w:pPr>
        <w:spacing w:line="360" w:lineRule="auto"/>
        <w:ind w:firstLine="602" w:firstLineChars="250"/>
        <w:rPr>
          <w:rFonts w:ascii="宋体" w:hAnsi="宋体"/>
          <w:b/>
          <w:bCs/>
          <w:color w:val="auto"/>
          <w:sz w:val="24"/>
          <w:highlight w:val="none"/>
          <w:u w:val="single"/>
        </w:rPr>
      </w:pPr>
      <w:r>
        <w:rPr>
          <w:rFonts w:ascii="宋体" w:hAnsi="宋体"/>
          <w:b/>
          <w:bCs/>
          <w:color w:val="auto"/>
          <w:sz w:val="24"/>
          <w:highlight w:val="none"/>
          <w:u w:val="single"/>
        </w:rPr>
        <w:t>4</w:t>
      </w:r>
      <w:r>
        <w:rPr>
          <w:rFonts w:hint="eastAsia" w:ascii="宋体" w:hAnsi="宋体"/>
          <w:b/>
          <w:bCs/>
          <w:color w:val="auto"/>
          <w:sz w:val="24"/>
          <w:highlight w:val="none"/>
          <w:u w:val="single"/>
        </w:rPr>
        <w:t>.公共空间布置要求</w:t>
      </w:r>
    </w:p>
    <w:p>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u w:val="single"/>
        </w:rPr>
        <w:t>国际博览中心内部、外围、功能区域、办公区域等的总体标识和相关延展制作物（包括制作LOGO、指示牌等），需提供设计效果图，</w:t>
      </w:r>
      <w:r>
        <w:rPr>
          <w:rFonts w:hint="eastAsia" w:ascii="宋体" w:hAnsi="宋体"/>
          <w:color w:val="auto"/>
          <w:sz w:val="24"/>
          <w:highlight w:val="none"/>
          <w:u w:val="single"/>
        </w:rPr>
        <w:t>包括但不限于</w:t>
      </w:r>
      <w:r>
        <w:rPr>
          <w:rFonts w:hint="eastAsia" w:ascii="宋体" w:hAnsi="宋体" w:cs="宋体"/>
          <w:color w:val="auto"/>
          <w:sz w:val="24"/>
          <w:highlight w:val="none"/>
          <w:u w:val="single"/>
        </w:rPr>
        <w:t>迎宾门、报到区、指示牌、主题墙、道旗、茶歇区、氛围布置等。（供应商可根据大会内容策划设计，最终方案需经主办方确认）。</w:t>
      </w:r>
    </w:p>
    <w:p>
      <w:pPr>
        <w:spacing w:line="360" w:lineRule="auto"/>
        <w:ind w:firstLine="602" w:firstLineChars="250"/>
        <w:rPr>
          <w:rFonts w:ascii="宋体" w:hAnsi="宋体"/>
          <w:b/>
          <w:bCs/>
          <w:color w:val="auto"/>
          <w:sz w:val="24"/>
          <w:highlight w:val="none"/>
          <w:u w:val="single"/>
        </w:rPr>
      </w:pPr>
      <w:r>
        <w:rPr>
          <w:rFonts w:ascii="宋体" w:hAnsi="宋体"/>
          <w:b/>
          <w:bCs/>
          <w:color w:val="auto"/>
          <w:sz w:val="24"/>
          <w:highlight w:val="none"/>
          <w:u w:val="single"/>
        </w:rPr>
        <w:t>5</w:t>
      </w:r>
      <w:r>
        <w:rPr>
          <w:rFonts w:hint="eastAsia" w:ascii="宋体" w:hAnsi="宋体"/>
          <w:b/>
          <w:bCs/>
          <w:color w:val="auto"/>
          <w:sz w:val="24"/>
          <w:highlight w:val="none"/>
          <w:u w:val="single"/>
        </w:rPr>
        <w:t>.指示系统要求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指示系统的设计应做到区域全覆盖，包括但不限于停车场、会议区、展示区、功能区等。指示系统的设计应与现场实际相匹配，做到醒目、合理、清晰。</w:t>
      </w:r>
    </w:p>
    <w:p>
      <w:pPr>
        <w:spacing w:line="360" w:lineRule="auto"/>
        <w:ind w:firstLine="602" w:firstLineChars="250"/>
        <w:rPr>
          <w:rFonts w:ascii="宋体" w:hAnsi="宋体"/>
          <w:b/>
          <w:bCs/>
          <w:color w:val="auto"/>
          <w:sz w:val="24"/>
          <w:highlight w:val="none"/>
          <w:u w:val="single"/>
        </w:rPr>
      </w:pPr>
      <w:r>
        <w:rPr>
          <w:rFonts w:ascii="宋体" w:hAnsi="宋体"/>
          <w:b/>
          <w:bCs/>
          <w:color w:val="auto"/>
          <w:sz w:val="24"/>
          <w:highlight w:val="none"/>
          <w:u w:val="single"/>
        </w:rPr>
        <w:t>6</w:t>
      </w:r>
      <w:r>
        <w:rPr>
          <w:rFonts w:hint="eastAsia" w:ascii="宋体" w:hAnsi="宋体"/>
          <w:b/>
          <w:bCs/>
          <w:color w:val="auto"/>
          <w:sz w:val="24"/>
          <w:highlight w:val="none"/>
          <w:u w:val="single"/>
        </w:rPr>
        <w:t>.施工管理</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临建设施的施工管理，应符合杭州市有关政策法规的规定。管理范围包含进场、撤展和施工全流程，并在会期内做好维护和安全管理。</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7</w:t>
      </w:r>
      <w:r>
        <w:rPr>
          <w:rFonts w:hint="eastAsia" w:ascii="宋体" w:hAnsi="宋体"/>
          <w:color w:val="auto"/>
          <w:sz w:val="24"/>
          <w:highlight w:val="none"/>
          <w:u w:val="single"/>
        </w:rPr>
        <w:t>.供应商以上报价请特别注意本文件第六条“报价说明”。</w:t>
      </w:r>
    </w:p>
    <w:p>
      <w:pPr>
        <w:snapToGrid w:val="0"/>
        <w:spacing w:line="360" w:lineRule="auto"/>
        <w:ind w:firstLine="472" w:firstLineChars="196"/>
        <w:rPr>
          <w:rFonts w:ascii="宋体" w:hAnsi="宋体"/>
          <w:color w:val="auto"/>
          <w:sz w:val="24"/>
          <w:highlight w:val="none"/>
          <w:u w:val="single"/>
        </w:rPr>
      </w:pPr>
      <w:r>
        <w:rPr>
          <w:rFonts w:hint="eastAsia" w:ascii="宋体" w:hAnsi="宋体"/>
          <w:b/>
          <w:color w:val="auto"/>
          <w:sz w:val="24"/>
          <w:highlight w:val="none"/>
          <w:u w:val="single"/>
        </w:rPr>
        <w:t>（五）接待服务要求</w:t>
      </w:r>
    </w:p>
    <w:p>
      <w:pPr>
        <w:snapToGrid w:val="0"/>
        <w:spacing w:line="360" w:lineRule="auto"/>
        <w:ind w:firstLine="472" w:firstLineChars="196"/>
        <w:rPr>
          <w:rFonts w:ascii="宋体" w:hAnsi="宋体"/>
          <w:b/>
          <w:color w:val="auto"/>
          <w:sz w:val="24"/>
          <w:highlight w:val="none"/>
          <w:u w:val="single"/>
        </w:rPr>
      </w:pPr>
      <w:r>
        <w:rPr>
          <w:rFonts w:hint="eastAsia" w:ascii="宋体" w:hAnsi="宋体"/>
          <w:b/>
          <w:color w:val="auto"/>
          <w:sz w:val="24"/>
          <w:highlight w:val="none"/>
          <w:u w:val="single"/>
        </w:rPr>
        <w:t>1.总体要求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按</w:t>
      </w:r>
      <w:r>
        <w:rPr>
          <w:rFonts w:hint="eastAsia" w:ascii="宋体" w:hAnsi="宋体"/>
          <w:color w:val="auto"/>
          <w:sz w:val="24"/>
          <w:highlight w:val="none"/>
          <w:u w:val="single"/>
          <w:shd w:val="clear" w:color="auto" w:fill="FFFFFF"/>
        </w:rPr>
        <w:t>线下参会正式代表1</w:t>
      </w:r>
      <w:r>
        <w:rPr>
          <w:rFonts w:ascii="宋体" w:hAnsi="宋体"/>
          <w:color w:val="auto"/>
          <w:sz w:val="24"/>
          <w:highlight w:val="none"/>
          <w:u w:val="single"/>
          <w:shd w:val="clear" w:color="auto" w:fill="FFFFFF"/>
        </w:rPr>
        <w:t>600</w:t>
      </w:r>
      <w:r>
        <w:rPr>
          <w:rFonts w:hint="eastAsia" w:ascii="宋体" w:hAnsi="宋体"/>
          <w:color w:val="auto"/>
          <w:sz w:val="24"/>
          <w:highlight w:val="none"/>
          <w:u w:val="single"/>
          <w:shd w:val="clear" w:color="auto" w:fill="FFFFFF"/>
        </w:rPr>
        <w:t>人，其中国外代表1</w:t>
      </w:r>
      <w:r>
        <w:rPr>
          <w:rFonts w:ascii="宋体" w:hAnsi="宋体"/>
          <w:color w:val="auto"/>
          <w:sz w:val="24"/>
          <w:highlight w:val="none"/>
          <w:u w:val="single"/>
          <w:shd w:val="clear" w:color="auto" w:fill="FFFFFF"/>
        </w:rPr>
        <w:t>2</w:t>
      </w:r>
      <w:r>
        <w:rPr>
          <w:rFonts w:hint="eastAsia" w:ascii="宋体" w:hAnsi="宋体"/>
          <w:color w:val="auto"/>
          <w:sz w:val="24"/>
          <w:highlight w:val="none"/>
          <w:u w:val="single"/>
          <w:shd w:val="clear" w:color="auto" w:fill="FFFFFF"/>
        </w:rPr>
        <w:t>00人左右，国内代表4</w:t>
      </w:r>
      <w:r>
        <w:rPr>
          <w:rFonts w:ascii="宋体" w:hAnsi="宋体"/>
          <w:color w:val="auto"/>
          <w:sz w:val="24"/>
          <w:highlight w:val="none"/>
          <w:u w:val="single"/>
          <w:shd w:val="clear" w:color="auto" w:fill="FFFFFF"/>
        </w:rPr>
        <w:t>00</w:t>
      </w:r>
      <w:r>
        <w:rPr>
          <w:rFonts w:hint="eastAsia" w:ascii="宋体" w:hAnsi="宋体"/>
          <w:color w:val="auto"/>
          <w:sz w:val="24"/>
          <w:highlight w:val="none"/>
          <w:u w:val="single"/>
          <w:shd w:val="clear" w:color="auto" w:fill="FFFFFF"/>
        </w:rPr>
        <w:t>人</w:t>
      </w:r>
      <w:r>
        <w:rPr>
          <w:rFonts w:ascii="宋体" w:hAnsi="宋体"/>
          <w:color w:val="auto"/>
          <w:sz w:val="24"/>
          <w:highlight w:val="none"/>
          <w:u w:val="single"/>
        </w:rPr>
        <w:t>的规模，</w:t>
      </w:r>
      <w:r>
        <w:rPr>
          <w:rFonts w:hint="eastAsia" w:ascii="宋体" w:hAnsi="宋体"/>
          <w:color w:val="auto"/>
          <w:sz w:val="24"/>
          <w:highlight w:val="none"/>
          <w:u w:val="single"/>
        </w:rPr>
        <w:t>做好参会代表接送机、住宿、用餐、交通、陪同、翻译、外事等相关接待工作。做好会议嘉宾在指定入住酒店的报到及资料证件发放工作。组织实施观摩考察活动。</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供应商应提供包括但不限于以下方案：</w:t>
      </w:r>
      <w:r>
        <w:rPr>
          <w:rFonts w:hint="eastAsia" w:ascii="宋体" w:hAnsi="宋体"/>
          <w:color w:val="auto"/>
          <w:sz w:val="24"/>
          <w:highlight w:val="none"/>
          <w:u w:val="single"/>
        </w:rPr>
        <w:t>接待服务总方案、酒店住宿安排方案、交通配套服务方案、餐饮配套服务方案、观摩考察方案</w:t>
      </w:r>
      <w:r>
        <w:rPr>
          <w:rFonts w:hint="eastAsia" w:ascii="宋体" w:hAnsi="宋体"/>
          <w:color w:val="auto"/>
          <w:sz w:val="24"/>
          <w:highlight w:val="none"/>
          <w:u w:val="single"/>
        </w:rPr>
        <w:t>等。</w:t>
      </w:r>
    </w:p>
    <w:p>
      <w:pPr>
        <w:snapToGrid w:val="0"/>
        <w:spacing w:line="360" w:lineRule="auto"/>
        <w:ind w:firstLine="472" w:firstLineChars="196"/>
        <w:rPr>
          <w:rFonts w:ascii="宋体" w:hAnsi="宋体"/>
          <w:b/>
          <w:color w:val="auto"/>
          <w:sz w:val="24"/>
          <w:highlight w:val="none"/>
          <w:u w:val="single"/>
        </w:rPr>
      </w:pPr>
      <w:r>
        <w:rPr>
          <w:rFonts w:hint="eastAsia" w:ascii="宋体" w:hAnsi="宋体"/>
          <w:b/>
          <w:color w:val="auto"/>
          <w:sz w:val="24"/>
          <w:highlight w:val="none"/>
          <w:u w:val="single"/>
        </w:rPr>
        <w:t>2.住宿服务需求</w:t>
      </w:r>
    </w:p>
    <w:p>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供应商提供的指定酒店地点应在以国际博览中心为中心，半径</w:t>
      </w:r>
      <w:r>
        <w:rPr>
          <w:rFonts w:ascii="宋体" w:hAnsi="宋体"/>
          <w:color w:val="auto"/>
          <w:sz w:val="24"/>
          <w:highlight w:val="none"/>
          <w:u w:val="single"/>
        </w:rPr>
        <w:t>1</w:t>
      </w:r>
      <w:r>
        <w:rPr>
          <w:rFonts w:hint="eastAsia" w:ascii="宋体" w:hAnsi="宋体"/>
          <w:color w:val="auto"/>
          <w:sz w:val="24"/>
          <w:highlight w:val="none"/>
          <w:u w:val="single"/>
        </w:rPr>
        <w:t>2公里以内，其中境外参会代表指定酒店须具有涉外接待能力，</w:t>
      </w:r>
      <w:r>
        <w:rPr>
          <w:rFonts w:hint="eastAsia" w:ascii="宋体" w:hAnsi="宋体"/>
          <w:color w:val="auto"/>
          <w:sz w:val="24"/>
          <w:highlight w:val="none"/>
          <w:u w:val="single"/>
        </w:rPr>
        <w:t>住宿时间暂定为</w:t>
      </w:r>
      <w:r>
        <w:rPr>
          <w:rFonts w:ascii="宋体" w:hAnsi="宋体"/>
          <w:color w:val="auto"/>
          <w:sz w:val="24"/>
          <w:highlight w:val="none"/>
          <w:u w:val="single"/>
        </w:rPr>
        <w:t>7</w:t>
      </w:r>
      <w:r>
        <w:rPr>
          <w:rFonts w:hint="eastAsia" w:ascii="宋体" w:hAnsi="宋体"/>
          <w:color w:val="auto"/>
          <w:sz w:val="24"/>
          <w:highlight w:val="none"/>
          <w:u w:val="single"/>
        </w:rPr>
        <w:t>天</w:t>
      </w:r>
      <w:r>
        <w:rPr>
          <w:rFonts w:ascii="宋体" w:hAnsi="宋体"/>
          <w:color w:val="auto"/>
          <w:sz w:val="24"/>
          <w:highlight w:val="none"/>
          <w:u w:val="single"/>
        </w:rPr>
        <w:t>6</w:t>
      </w:r>
      <w:r>
        <w:rPr>
          <w:rFonts w:hint="eastAsia" w:ascii="宋体" w:hAnsi="宋体"/>
          <w:color w:val="auto"/>
          <w:sz w:val="24"/>
          <w:highlight w:val="none"/>
          <w:u w:val="single"/>
        </w:rPr>
        <w:t>晚（具体以实际为准），</w:t>
      </w:r>
      <w:r>
        <w:rPr>
          <w:rFonts w:hint="eastAsia" w:ascii="宋体" w:hAnsi="宋体"/>
          <w:color w:val="auto"/>
          <w:sz w:val="24"/>
          <w:highlight w:val="none"/>
          <w:u w:val="single"/>
        </w:rPr>
        <w:t>酒店名单最终需经采购人确认同意。</w:t>
      </w:r>
    </w:p>
    <w:p>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3.交通服务需求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接送机站服务，会期通勤服务，观摩考察交通以及其他临时交通需求。</w:t>
      </w:r>
    </w:p>
    <w:p>
      <w:pPr>
        <w:spacing w:line="360" w:lineRule="auto"/>
        <w:ind w:firstLine="482" w:firstLineChars="200"/>
        <w:rPr>
          <w:rFonts w:ascii="宋体" w:hAnsi="宋体"/>
          <w:color w:val="auto"/>
          <w:sz w:val="24"/>
          <w:highlight w:val="none"/>
          <w:u w:val="single"/>
        </w:rPr>
      </w:pPr>
      <w:r>
        <w:rPr>
          <w:rFonts w:hint="eastAsia" w:ascii="宋体" w:hAnsi="宋体"/>
          <w:b/>
          <w:color w:val="auto"/>
          <w:sz w:val="24"/>
          <w:highlight w:val="none"/>
          <w:u w:val="single"/>
        </w:rPr>
        <w:t>4.餐饮服务需求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针对不同需求，合理安排桌餐、自助餐、工作餐，并根据国际会议参会代表特殊需求，安排相应餐饮。</w:t>
      </w:r>
    </w:p>
    <w:p>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5.观摩考察服务要求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观摩内容上能展现浙江杭州数字化城市治理、数字经济发展的特色和成果。接待能力上能满足成团参观的需求（参会观摩可分期分批，请在方案中体现）。供应商提供的方案包括但不限于以下内容：线路设置、观摩点推荐理由、人员组织、观摩点现场布置、讲解安排、车辆组织等。</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6.针对本项目报价时，包括该项目实施所需的所有费用，包含但不限于工作人员费用、物料设计制作费、交通餐饮住宿等对外支出，供应商以上报价请特别注意本文件第六条“报价说明”。</w:t>
      </w:r>
    </w:p>
    <w:p>
      <w:pPr>
        <w:snapToGrid w:val="0"/>
        <w:spacing w:line="360" w:lineRule="auto"/>
        <w:ind w:firstLine="472" w:firstLineChars="196"/>
        <w:rPr>
          <w:rFonts w:ascii="宋体" w:hAnsi="宋体"/>
          <w:b/>
          <w:color w:val="auto"/>
          <w:sz w:val="24"/>
          <w:highlight w:val="none"/>
          <w:u w:val="single"/>
        </w:rPr>
      </w:pPr>
      <w:r>
        <w:rPr>
          <w:rFonts w:hint="eastAsia" w:ascii="宋体" w:hAnsi="宋体"/>
          <w:b/>
          <w:color w:val="auto"/>
          <w:sz w:val="24"/>
          <w:highlight w:val="none"/>
          <w:u w:val="single"/>
        </w:rPr>
        <w:t>（六）宣传服务要求</w:t>
      </w:r>
    </w:p>
    <w:p>
      <w:pPr>
        <w:tabs>
          <w:tab w:val="left" w:pos="0"/>
        </w:tabs>
        <w:spacing w:line="360" w:lineRule="auto"/>
        <w:ind w:firstLine="482" w:firstLineChars="200"/>
        <w:rPr>
          <w:rFonts w:ascii="宋体" w:hAnsi="宋体" w:cs="仿宋_GB2312"/>
          <w:b/>
          <w:color w:val="auto"/>
          <w:sz w:val="24"/>
          <w:highlight w:val="none"/>
          <w:u w:val="single"/>
        </w:rPr>
      </w:pPr>
      <w:r>
        <w:rPr>
          <w:rFonts w:hint="eastAsia" w:ascii="宋体" w:hAnsi="宋体" w:cs="仿宋_GB2312"/>
          <w:b/>
          <w:color w:val="auto"/>
          <w:sz w:val="24"/>
          <w:highlight w:val="none"/>
          <w:u w:val="single"/>
        </w:rPr>
        <w:t>1.总体要求</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配合制定并组织实施整体宣传方案，做好本地新闻宣传工作，并配合组织实施新闻发布会等活动。组织实施环境宣传。协助进行媒体联络、记者接待等工作。开展新闻中心搭建与运营等工作。相关宣传片和短视频拍摄。</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供应商应提供包括但不限于以下方案：</w:t>
      </w:r>
      <w:r>
        <w:rPr>
          <w:rFonts w:hint="eastAsia" w:ascii="宋体" w:hAnsi="宋体"/>
          <w:color w:val="auto"/>
          <w:sz w:val="24"/>
          <w:highlight w:val="none"/>
          <w:u w:val="single"/>
        </w:rPr>
        <w:t>宣传推广总体方案；本地新闻宣传方案；环境宣传方案和相关设计稿；媒体接待方案；新闻中心建设和运维方案（含设计图）；宣传片和短视频脚本方案</w:t>
      </w:r>
      <w:r>
        <w:rPr>
          <w:rFonts w:hint="eastAsia" w:ascii="宋体" w:hAnsi="宋体"/>
          <w:color w:val="auto"/>
          <w:sz w:val="24"/>
          <w:highlight w:val="none"/>
          <w:u w:val="single"/>
        </w:rPr>
        <w:t>等。</w:t>
      </w:r>
    </w:p>
    <w:p>
      <w:pPr>
        <w:tabs>
          <w:tab w:val="left" w:pos="0"/>
        </w:tabs>
        <w:spacing w:line="360" w:lineRule="auto"/>
        <w:ind w:firstLine="482" w:firstLineChars="200"/>
        <w:rPr>
          <w:rFonts w:ascii="宋体" w:hAnsi="宋体" w:cs="仿宋_GB2312"/>
          <w:b/>
          <w:color w:val="auto"/>
          <w:sz w:val="24"/>
          <w:highlight w:val="none"/>
          <w:u w:val="single"/>
        </w:rPr>
      </w:pPr>
      <w:r>
        <w:rPr>
          <w:rFonts w:hint="eastAsia" w:ascii="宋体" w:hAnsi="宋体" w:cs="仿宋_GB2312"/>
          <w:b/>
          <w:color w:val="auto"/>
          <w:sz w:val="24"/>
          <w:highlight w:val="none"/>
          <w:u w:val="single"/>
        </w:rPr>
        <w:t>2.本地新闻宣传需求</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（1）常规新闻宣传要求覆盖本地报纸、广播、电视主流媒体，本地重点新闻网站、客户端不少于4家。</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（2）本地主流平面媒体专版不少于10个整版。</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（3）供应商可提供其他建议媒体形式。</w:t>
      </w:r>
    </w:p>
    <w:p>
      <w:pPr>
        <w:tabs>
          <w:tab w:val="left" w:pos="0"/>
        </w:tabs>
        <w:spacing w:line="360" w:lineRule="auto"/>
        <w:ind w:firstLine="482" w:firstLineChars="200"/>
        <w:rPr>
          <w:rFonts w:ascii="宋体" w:hAnsi="宋体" w:cs="仿宋_GB2312"/>
          <w:b/>
          <w:color w:val="auto"/>
          <w:sz w:val="24"/>
          <w:highlight w:val="none"/>
          <w:u w:val="single"/>
        </w:rPr>
      </w:pPr>
      <w:r>
        <w:rPr>
          <w:rFonts w:hint="eastAsia" w:ascii="宋体" w:hAnsi="宋体" w:cs="仿宋_GB2312"/>
          <w:b/>
          <w:color w:val="auto"/>
          <w:sz w:val="24"/>
          <w:highlight w:val="none"/>
          <w:u w:val="single"/>
        </w:rPr>
        <w:t>3.环境宣传要求</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（1）环境宣传重点覆盖机场火车站、会场周边、省市政府周边。</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（2）环境宣传形式包括但不限于道旗、灯箱、led大屏、广告板、</w:t>
      </w:r>
      <w:r>
        <w:rPr>
          <w:rFonts w:hint="eastAsia" w:ascii="宋体" w:hAnsi="宋体" w:cs="仿宋_GB2312"/>
          <w:color w:val="auto"/>
          <w:sz w:val="24"/>
          <w:highlight w:val="none"/>
          <w:u w:val="single"/>
        </w:rPr>
        <w:t>地铁语音播报</w:t>
      </w:r>
      <w:r>
        <w:rPr>
          <w:rFonts w:hint="eastAsia" w:ascii="宋体" w:hAnsi="宋体" w:cs="仿宋_GB2312"/>
          <w:color w:val="auto"/>
          <w:sz w:val="24"/>
          <w:highlight w:val="none"/>
          <w:u w:val="single"/>
        </w:rPr>
        <w:t>等。</w:t>
      </w:r>
    </w:p>
    <w:p>
      <w:pPr>
        <w:tabs>
          <w:tab w:val="left" w:pos="0"/>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（3）环境宣传启动时间至少早于正式会议前一周，并覆盖会议全程。</w:t>
      </w:r>
    </w:p>
    <w:p>
      <w:pPr>
        <w:snapToGrid w:val="0"/>
        <w:spacing w:line="360" w:lineRule="auto"/>
        <w:ind w:right="-687" w:rightChars="-327" w:firstLine="482" w:firstLineChars="200"/>
        <w:rPr>
          <w:rFonts w:ascii="宋体" w:hAnsi="宋体"/>
          <w:b/>
          <w:color w:val="auto"/>
          <w:sz w:val="24"/>
          <w:highlight w:val="none"/>
          <w:u w:val="single"/>
        </w:rPr>
      </w:pPr>
      <w:r>
        <w:rPr>
          <w:rFonts w:hint="eastAsia" w:ascii="宋体" w:hAnsi="宋体"/>
          <w:b/>
          <w:color w:val="auto"/>
          <w:sz w:val="24"/>
          <w:highlight w:val="none"/>
          <w:u w:val="single"/>
        </w:rPr>
        <w:t>4.新闻发布会需求</w:t>
      </w:r>
    </w:p>
    <w:p>
      <w:pPr>
        <w:tabs>
          <w:tab w:val="left" w:pos="0"/>
        </w:tabs>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筹备期将举办第四届联合国世界数据论坛新闻发布会，供应商需提供场地、搭建布置、会务服务、协助媒体邀请等。</w:t>
      </w:r>
    </w:p>
    <w:p>
      <w:pPr>
        <w:snapToGrid w:val="0"/>
        <w:spacing w:line="360" w:lineRule="auto"/>
        <w:ind w:right="-687" w:rightChars="-327" w:firstLine="482" w:firstLineChars="200"/>
        <w:rPr>
          <w:rFonts w:ascii="宋体" w:hAnsi="宋体"/>
          <w:b/>
          <w:color w:val="auto"/>
          <w:sz w:val="24"/>
          <w:highlight w:val="none"/>
          <w:u w:val="single"/>
        </w:rPr>
      </w:pPr>
      <w:r>
        <w:rPr>
          <w:rFonts w:hint="eastAsia" w:ascii="宋体" w:hAnsi="宋体"/>
          <w:b/>
          <w:color w:val="auto"/>
          <w:sz w:val="24"/>
          <w:highlight w:val="none"/>
          <w:u w:val="single"/>
        </w:rPr>
        <w:t>5.媒体中心搭建及运营需求</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（1）提供总体布局设计；</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（2）需安排新闻发布厅及直播设备；</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（3）提供媒体工位及设备，并提供打印、复印、茶歇等服务；</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（4）协助做好媒体邀约和媒体接待工作。</w:t>
      </w:r>
    </w:p>
    <w:p>
      <w:pPr>
        <w:snapToGrid w:val="0"/>
        <w:spacing w:line="360" w:lineRule="auto"/>
        <w:ind w:right="-687" w:rightChars="-327" w:firstLine="482" w:firstLineChars="200"/>
        <w:rPr>
          <w:rFonts w:ascii="宋体" w:hAnsi="宋体"/>
          <w:b/>
          <w:color w:val="auto"/>
          <w:sz w:val="24"/>
          <w:highlight w:val="none"/>
          <w:u w:val="single"/>
        </w:rPr>
      </w:pPr>
      <w:r>
        <w:rPr>
          <w:rFonts w:hint="eastAsia" w:ascii="宋体" w:hAnsi="宋体"/>
          <w:b/>
          <w:color w:val="auto"/>
          <w:sz w:val="24"/>
          <w:highlight w:val="none"/>
          <w:u w:val="single"/>
        </w:rPr>
        <w:t>6.视频制作需求</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（1）制作开幕式暖场片；</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（2）制作闭幕式回顾片；</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3）制作5</w:t>
      </w:r>
      <w:r>
        <w:rPr>
          <w:rFonts w:hint="eastAsia" w:ascii="宋体" w:hAnsi="宋体"/>
          <w:color w:val="auto"/>
          <w:sz w:val="24"/>
          <w:highlight w:val="none"/>
          <w:u w:val="single"/>
        </w:rPr>
        <w:t>个及以上新媒体宣传短视频；</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（4）需提供制作团队、制作脚本、拍摄方案。</w:t>
      </w:r>
    </w:p>
    <w:p>
      <w:pPr>
        <w:snapToGrid w:val="0"/>
        <w:spacing w:line="360" w:lineRule="auto"/>
        <w:ind w:right="-687" w:rightChars="-327" w:firstLine="480" w:firstLineChars="200"/>
        <w:rPr>
          <w:rFonts w:ascii="宋体" w:hAnsi="宋体"/>
          <w:color w:val="auto"/>
          <w:sz w:val="24"/>
          <w:highlight w:val="none"/>
          <w:u w:val="single"/>
        </w:rPr>
      </w:pPr>
      <w:r>
        <w:rPr>
          <w:rFonts w:hint="eastAsia" w:ascii="宋体" w:hAnsi="宋体"/>
          <w:color w:val="auto"/>
          <w:sz w:val="24"/>
          <w:highlight w:val="none"/>
          <w:u w:val="single"/>
        </w:rPr>
        <w:t>7.以上内容需经采购人确认同意；</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8.针对项报价的时，供应商写明各项目经费，相关经费应包括但不限于：设计费、拍摄费、制作费、发布费、税费、服务费等。</w:t>
      </w:r>
    </w:p>
    <w:p>
      <w:pPr>
        <w:spacing w:line="360" w:lineRule="auto"/>
        <w:ind w:firstLine="472" w:firstLineChars="196"/>
        <w:rPr>
          <w:rFonts w:ascii="宋体" w:hAnsi="宋体"/>
          <w:color w:val="auto"/>
          <w:sz w:val="24"/>
          <w:highlight w:val="none"/>
          <w:u w:val="single"/>
        </w:rPr>
      </w:pPr>
      <w:r>
        <w:rPr>
          <w:rFonts w:hint="eastAsia" w:ascii="宋体" w:hAnsi="宋体"/>
          <w:b/>
          <w:color w:val="auto"/>
          <w:sz w:val="24"/>
          <w:highlight w:val="none"/>
          <w:u w:val="single"/>
        </w:rPr>
        <w:t>（七）整体保障服务要求</w:t>
      </w:r>
    </w:p>
    <w:p>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1.总体要求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本条整体保障服务要求包括但不限于安保、消防、医疗防疫、后勤保障等。</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供应商应提供相应保障工作方案和应急预案，聘请具有相关资质的服务机构、配备相应的设备设施及物资做好相关保障工作。供应商在此项服务的执行环节应根据相关职能部门要去，不断修改完善服务保障工作方案，并无条件根据职能部门要求开展相关保障工作。</w:t>
      </w:r>
    </w:p>
    <w:p>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2.安保要求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（1）安保范围：会场及会场周边、指定酒店及酒店周边、接送机站沿线、观摩考察沿线等。</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（2）安保时间：搭建及测试彩排期，会期。</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（3）会场入口需设安检门、开包台、安检人员。</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（4）会场需设立安保指挥部。</w:t>
      </w:r>
    </w:p>
    <w:p>
      <w:pPr>
        <w:snapToGrid w:val="0"/>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3.医疗防疫要求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（1）根据国家、省、市关于新冠病毒感染最新防控要求，制定相应防控方案，提供相应设备设施及物资，配备充足保障人员。</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（2）制定医疗保障方案，组建医疗团队，准备必要的急救设备和药品，做好医疗保障服务工作。</w:t>
      </w:r>
    </w:p>
    <w:p>
      <w:pPr>
        <w:snapToGrid w:val="0"/>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4.志愿者服务要求</w:t>
      </w:r>
    </w:p>
    <w:p>
      <w:pPr>
        <w:snapToGrid w:val="0"/>
        <w:spacing w:line="360" w:lineRule="auto"/>
        <w:ind w:right="-687" w:rightChars="-327" w:firstLine="480" w:firstLineChars="200"/>
        <w:rPr>
          <w:rFonts w:ascii="宋体" w:hAnsi="宋体"/>
          <w:b/>
          <w:color w:val="auto"/>
          <w:sz w:val="24"/>
          <w:highlight w:val="none"/>
          <w:u w:val="single"/>
        </w:rPr>
      </w:pPr>
      <w:r>
        <w:rPr>
          <w:rFonts w:hint="eastAsia" w:ascii="宋体" w:hAnsi="宋体" w:cs="仿宋_GB2312"/>
          <w:color w:val="auto"/>
          <w:sz w:val="24"/>
          <w:highlight w:val="none"/>
          <w:u w:val="single"/>
        </w:rPr>
        <w:t>（1）协助采购人做好志愿者的招募、选拔、培训及现场管理；</w:t>
      </w:r>
    </w:p>
    <w:p>
      <w:pPr>
        <w:snapToGrid w:val="0"/>
        <w:spacing w:line="360" w:lineRule="auto"/>
        <w:ind w:right="-687" w:rightChars="-327" w:firstLine="480" w:firstLineChars="200"/>
        <w:rPr>
          <w:rFonts w:ascii="宋体" w:hAnsi="宋体"/>
          <w:b/>
          <w:color w:val="auto"/>
          <w:sz w:val="24"/>
          <w:highlight w:val="none"/>
          <w:u w:val="single"/>
        </w:rPr>
      </w:pPr>
      <w:r>
        <w:rPr>
          <w:rFonts w:hint="eastAsia" w:ascii="宋体" w:hAnsi="宋体" w:cs="仿宋_GB2312"/>
          <w:color w:val="auto"/>
          <w:sz w:val="24"/>
          <w:highlight w:val="none"/>
          <w:u w:val="single"/>
        </w:rPr>
        <w:t>（2）为本项目志愿服务人员购买短期综合意外伤害险；</w:t>
      </w:r>
    </w:p>
    <w:p>
      <w:pPr>
        <w:snapToGrid w:val="0"/>
        <w:spacing w:line="360" w:lineRule="auto"/>
        <w:ind w:firstLine="480" w:firstLineChars="200"/>
        <w:rPr>
          <w:rFonts w:ascii="宋体" w:hAnsi="宋体"/>
          <w:b/>
          <w:color w:val="auto"/>
          <w:sz w:val="24"/>
          <w:highlight w:val="none"/>
          <w:u w:val="single"/>
        </w:rPr>
      </w:pPr>
      <w:r>
        <w:rPr>
          <w:rFonts w:hint="eastAsia" w:ascii="宋体" w:hAnsi="宋体" w:cs="仿宋_GB2312"/>
          <w:color w:val="auto"/>
          <w:sz w:val="24"/>
          <w:highlight w:val="none"/>
          <w:u w:val="single"/>
        </w:rPr>
        <w:t>（3）制作志愿者统一服装和志愿者徽章；</w:t>
      </w:r>
    </w:p>
    <w:p>
      <w:pPr>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（4）制作印刷志愿者工作手册及证书；</w:t>
      </w:r>
    </w:p>
    <w:p>
      <w:pPr>
        <w:snapToGrid w:val="0"/>
        <w:spacing w:line="360" w:lineRule="auto"/>
        <w:ind w:firstLine="480" w:firstLineChars="200"/>
        <w:rPr>
          <w:rFonts w:ascii="宋体" w:hAnsi="宋体"/>
          <w:b/>
          <w:color w:val="auto"/>
          <w:sz w:val="24"/>
          <w:highlight w:val="none"/>
          <w:u w:val="single"/>
        </w:rPr>
      </w:pPr>
      <w:r>
        <w:rPr>
          <w:rFonts w:hint="eastAsia" w:ascii="宋体" w:hAnsi="宋体" w:cs="仿宋_GB2312"/>
          <w:color w:val="auto"/>
          <w:sz w:val="24"/>
          <w:highlight w:val="none"/>
          <w:u w:val="single"/>
        </w:rPr>
        <w:t>（5）根据需求提供相应数量的中英文双语志愿者。</w:t>
      </w:r>
    </w:p>
    <w:p>
      <w:pPr>
        <w:snapToGrid w:val="0"/>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5.后勤保障要求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（1）筹备期集中办公需求。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预计2月中旬至会期前，论坛执委会和执行机构将组建工作专班集中办公，需提供不少于50个工位的集中办公场所，并提供相应的办公设施设备和耗材，做好集中办公交通餐饮等后勤保障工作。</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（2）会期现场办公需求。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搭建彩排及论坛举办期间，执委会及执行机构现场办公，需做好现场工作人员、志愿者及其他保障人员的交通、餐饮、住宿等后勤保障工作</w:t>
      </w:r>
    </w:p>
    <w:p>
      <w:pPr>
        <w:snapToGrid w:val="0"/>
        <w:spacing w:line="360" w:lineRule="auto"/>
        <w:ind w:firstLine="480" w:firstLineChars="200"/>
        <w:rPr>
          <w:rFonts w:ascii="宋体" w:hAnsi="宋体"/>
          <w:color w:val="auto"/>
          <w:sz w:val="24"/>
          <w:highlight w:val="none"/>
          <w:u w:val="single"/>
        </w:rPr>
      </w:pPr>
      <w:r>
        <w:rPr>
          <w:rFonts w:hint="eastAsia" w:ascii="宋体" w:hAnsi="宋体" w:cs="仿宋_GB2312"/>
          <w:color w:val="auto"/>
          <w:sz w:val="24"/>
          <w:highlight w:val="none"/>
          <w:u w:val="single"/>
        </w:rPr>
        <w:t>6.</w:t>
      </w:r>
      <w:r>
        <w:rPr>
          <w:rFonts w:hint="eastAsia" w:ascii="宋体" w:hAnsi="宋体"/>
          <w:color w:val="auto"/>
          <w:sz w:val="24"/>
          <w:highlight w:val="none"/>
          <w:u w:val="single"/>
        </w:rPr>
        <w:t>针对本项目报价时，包括该项目实施所需的所有费用，包含但不限于</w:t>
      </w:r>
      <w:r>
        <w:rPr>
          <w:rFonts w:hint="eastAsia" w:ascii="宋体" w:hAnsi="宋体" w:cs="仿宋_GB2312"/>
          <w:color w:val="auto"/>
          <w:sz w:val="24"/>
          <w:highlight w:val="none"/>
          <w:u w:val="single"/>
        </w:rPr>
        <w:t>安保、消防、医疗防疫、后勤保障等</w:t>
      </w:r>
      <w:r>
        <w:rPr>
          <w:rFonts w:hint="eastAsia" w:ascii="宋体" w:hAnsi="宋体"/>
          <w:color w:val="auto"/>
          <w:sz w:val="24"/>
          <w:highlight w:val="none"/>
          <w:u w:val="single"/>
        </w:rPr>
        <w:t>工作人员费用（包括住宿、交通及饮食等）、保险费、培训费、管理费、税费及其他等一切费用。</w:t>
      </w:r>
    </w:p>
    <w:p>
      <w:pPr>
        <w:snapToGrid w:val="0"/>
        <w:spacing w:line="360" w:lineRule="auto"/>
        <w:ind w:right="-687" w:rightChars="-327" w:firstLine="472" w:firstLineChars="196"/>
        <w:rPr>
          <w:rFonts w:ascii="宋体" w:hAnsi="宋体"/>
          <w:color w:val="auto"/>
          <w:sz w:val="24"/>
          <w:highlight w:val="none"/>
          <w:u w:val="single"/>
        </w:rPr>
      </w:pPr>
      <w:r>
        <w:rPr>
          <w:rFonts w:hint="eastAsia" w:ascii="宋体" w:hAnsi="宋体"/>
          <w:b/>
          <w:color w:val="auto"/>
          <w:sz w:val="24"/>
          <w:highlight w:val="none"/>
          <w:u w:val="single"/>
        </w:rPr>
        <w:t>（八）其他要求</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1.供应商在中标通知书下达3日内须安排工作人员在筹备期入驻采购人筹备组；</w:t>
      </w:r>
    </w:p>
    <w:p>
      <w:pPr>
        <w:snapToGrid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u w:val="single"/>
        </w:rPr>
        <w:t>筹备期派驻工作人员数量：不少于25名（会议期间工作人员根据会议实际情况增加，保证会议顺利实施，供应商须无条件服从采购人要求）。</w:t>
      </w:r>
      <w:r>
        <w:rPr>
          <w:rFonts w:hint="eastAsia" w:ascii="宋体" w:hAnsi="宋体"/>
          <w:color w:val="auto"/>
          <w:sz w:val="24"/>
          <w:highlight w:val="none"/>
        </w:rPr>
        <w:t>项目负责人具有高级职称，项目组其他成员（不含项目负责人）不少于4人具有中级及以上职称。</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2.供应商在中标通知书下达3个工作日内，完成会议各项服务的保障方案制定（包括但不限于人员保障、会场保障、设备保障、应急预案等方案）；</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项目下的各项实施包括但不限于活动策划，现场布置，食宿服务（含国内外参会代表、志愿者、工作人员），交通服务（接机接站、会场酒店接驳），会务安排（如会场内会议安排、提供现场服务人员、提供现场中英速记、摄影摄像等服务），展览展示，观摩考察，活动安保，医疗防疫保障，活动宣传以及筹备期工作专班集中办公等其他服务（如协助采购人与会场进行所有服务事宜的沟通、落实和确认）等；</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4.做好活动各有关项目资料的保存和汇编，为活动保留影像和图片资料；</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5.制定各种突发事件的应急预案；</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6.配合采购人做好项目相关审批工作；</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7.完成采购人要求的与会议项目有关的其他工作；</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8.配合采购人进行总体会议、消防、安保、医护防疫等工作的组织、演练及实施；</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9.本项目涉及的所有创意、设计、物料等的知识产权都归采购人所有，如因第三方因素发生的产权纠纷等，由供应商承担；</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10.以上为本项目必须包含的内容，供应商可根据自身情况及对项目的理解自行整合以上内容，并可自行添加认为有必要的服务内容，针对会议提出一些建设性的建议或优化方案等。</w:t>
      </w:r>
    </w:p>
    <w:p>
      <w:pPr>
        <w:snapToGrid w:val="0"/>
        <w:spacing w:line="360" w:lineRule="auto"/>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11.本项目所有经费的报价，应符合财政部《在华举办国际会议管理办法》、《杭州市公务支出管理制度》的要求。</w:t>
      </w:r>
    </w:p>
    <w:p>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六、报价说明</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项目供应商可根据采购人提供的现有资料为基础进行测算，并以此计算出投标总价（如中标，该总价即为合同总价），同时提供分项报价。因国际性会议前期存在一定的不确定性，本招标文件所提供的数量及时间（如：人员数量、面积、会议时间等）为暂定（或预估）数量及时间，最终以实际发生为准，若最终因数量或时间减少导致合同金额减少，则按实结算支付；若最终因数量或时间增加导致合同金额增加，采购人不再增加费用，供应商须无条件服从，不得设置前提条件，相关风险由供应商自行考虑。</w:t>
      </w:r>
    </w:p>
    <w:p>
      <w:pPr>
        <w:keepNext/>
        <w:keepLines/>
        <w:tabs>
          <w:tab w:val="left" w:pos="706"/>
          <w:tab w:val="left" w:pos="1110"/>
        </w:tabs>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七、服务标准</w:t>
      </w:r>
      <w:bookmarkEnd w:id="30"/>
      <w:bookmarkEnd w:id="31"/>
      <w:bookmarkEnd w:id="32"/>
      <w:bookmarkEnd w:id="33"/>
    </w:p>
    <w:p>
      <w:pPr>
        <w:tabs>
          <w:tab w:val="left" w:pos="0"/>
        </w:tabs>
        <w:spacing w:line="360" w:lineRule="auto"/>
        <w:ind w:firstLine="480"/>
        <w:rPr>
          <w:rFonts w:ascii="宋体" w:hAnsi="宋体" w:cs="Helvetica"/>
          <w:color w:val="auto"/>
          <w:kern w:val="0"/>
          <w:sz w:val="24"/>
          <w:highlight w:val="none"/>
        </w:rPr>
      </w:pPr>
      <w:bookmarkStart w:id="34" w:name="_Hlk120190187"/>
      <w:r>
        <w:rPr>
          <w:rFonts w:hint="eastAsia" w:ascii="宋体" w:hAnsi="宋体" w:cs="Helvetica"/>
          <w:color w:val="auto"/>
          <w:kern w:val="0"/>
          <w:sz w:val="24"/>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2、中国国家标准及其它被普遍认可的标准，由采购人认可的其他国家的其他权威标准；原有规范若已被废弃，则以相应的新规范为准。</w:t>
      </w:r>
    </w:p>
    <w:p>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3、供应商提供的产品必须满足采购文件中提出的相关技术要求。</w:t>
      </w:r>
    </w:p>
    <w:p>
      <w:pPr>
        <w:spacing w:line="360" w:lineRule="auto"/>
        <w:rPr>
          <w:rFonts w:ascii="宋体" w:hAnsi="宋体" w:cs="Helvetica"/>
          <w:color w:val="auto"/>
          <w:kern w:val="0"/>
          <w:sz w:val="24"/>
          <w:highlight w:val="none"/>
        </w:rPr>
      </w:pPr>
      <w:r>
        <w:rPr>
          <w:rFonts w:hint="eastAsia" w:ascii="宋体" w:hAnsi="宋体" w:cs="Helvetica"/>
          <w:color w:val="auto"/>
          <w:kern w:val="0"/>
          <w:sz w:val="24"/>
          <w:highlight w:val="none"/>
        </w:rPr>
        <w:t>4．供应商提供的成果应是无任何质量缺陷、技术成熟，符合国家现行规范/标准要求。</w:t>
      </w:r>
      <w:bookmarkEnd w:id="34"/>
    </w:p>
    <w:p>
      <w:pPr>
        <w:keepNext/>
        <w:keepLines/>
        <w:tabs>
          <w:tab w:val="left" w:pos="706"/>
          <w:tab w:val="left" w:pos="1110"/>
        </w:tabs>
        <w:spacing w:line="360" w:lineRule="auto"/>
        <w:outlineLvl w:val="1"/>
        <w:rPr>
          <w:rFonts w:ascii="宋体" w:hAnsi="宋体" w:cs="Arial"/>
          <w:b/>
          <w:bCs/>
          <w:color w:val="auto"/>
          <w:sz w:val="24"/>
          <w:highlight w:val="none"/>
        </w:rPr>
      </w:pPr>
      <w:bookmarkStart w:id="35" w:name="_Toc18516"/>
      <w:bookmarkStart w:id="36" w:name="_Toc16588"/>
      <w:bookmarkStart w:id="37" w:name="_Toc22873"/>
      <w:r>
        <w:rPr>
          <w:rFonts w:hint="eastAsia" w:ascii="宋体" w:hAnsi="宋体" w:cs="Arial"/>
          <w:b/>
          <w:bCs/>
          <w:color w:val="auto"/>
          <w:sz w:val="24"/>
          <w:highlight w:val="none"/>
        </w:rPr>
        <w:t>八、验收</w:t>
      </w:r>
      <w:bookmarkEnd w:id="35"/>
      <w:bookmarkEnd w:id="36"/>
      <w:bookmarkEnd w:id="37"/>
    </w:p>
    <w:p>
      <w:pPr>
        <w:pStyle w:val="964"/>
        <w:ind w:firstLine="480"/>
        <w:rPr>
          <w:rFonts w:ascii="宋体" w:hAnsi="宋体" w:cs="仿宋"/>
          <w:color w:val="auto"/>
          <w:highlight w:val="none"/>
        </w:rPr>
      </w:pPr>
      <w:bookmarkStart w:id="38" w:name="_Toc9028"/>
      <w:bookmarkStart w:id="39" w:name="_Hlk102914293"/>
      <w:r>
        <w:rPr>
          <w:rFonts w:ascii="宋体" w:hAnsi="宋体" w:cs="仿宋"/>
          <w:color w:val="auto"/>
          <w:highlight w:val="none"/>
        </w:rPr>
        <w:t>1</w:t>
      </w:r>
      <w:r>
        <w:rPr>
          <w:rFonts w:hint="eastAsia" w:ascii="宋体" w:hAnsi="宋体" w:cs="仿宋"/>
          <w:color w:val="auto"/>
          <w:highlight w:val="none"/>
        </w:rPr>
        <w:t>、验收组织和程序</w:t>
      </w:r>
      <w:bookmarkEnd w:id="38"/>
    </w:p>
    <w:p>
      <w:pPr>
        <w:pStyle w:val="964"/>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pPr>
        <w:pStyle w:val="964"/>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pPr>
        <w:pStyle w:val="964"/>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组成。验收小组负责实施具体的验收活动。采购人可以邀请其他单位的相关专业人员参加验收小组。验收小组推选一名组长，主持验收小组的工作。</w:t>
      </w:r>
      <w:r>
        <w:rPr>
          <w:rFonts w:hint="eastAsia" w:ascii="宋体" w:hAnsi="宋体" w:cs="仿宋"/>
          <w:color w:val="auto"/>
          <w:highlight w:val="none"/>
        </w:rPr>
        <w:t xml:space="preserve"> </w:t>
      </w:r>
    </w:p>
    <w:p>
      <w:pPr>
        <w:pStyle w:val="964"/>
        <w:ind w:firstLine="48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pPr>
        <w:pStyle w:val="964"/>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根据验收方案组织验收小组现场验收，并准备验收材料并通知各验收参与方在指定时间指定地点联合验收，包括采购人、供应商、验收小组、其他验收参与方等。</w:t>
      </w:r>
    </w:p>
    <w:p>
      <w:pPr>
        <w:pStyle w:val="964"/>
        <w:ind w:firstLine="480"/>
        <w:rPr>
          <w:rFonts w:ascii="宋体" w:hAnsi="宋体" w:cs="仿宋"/>
          <w:color w:val="auto"/>
          <w:highlight w:val="none"/>
        </w:rPr>
      </w:pPr>
      <w:r>
        <w:rPr>
          <w:rFonts w:ascii="宋体" w:hAnsi="宋体"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pPr>
        <w:pStyle w:val="964"/>
        <w:ind w:firstLine="480"/>
        <w:rPr>
          <w:rFonts w:ascii="宋体" w:hAnsi="宋体" w:cs="仿宋"/>
          <w:color w:val="auto"/>
          <w:highlight w:val="none"/>
        </w:rPr>
      </w:pPr>
      <w:r>
        <w:rPr>
          <w:rFonts w:ascii="宋体" w:hAnsi="宋体"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964"/>
        <w:ind w:firstLine="480"/>
        <w:rPr>
          <w:rFonts w:ascii="宋体" w:hAnsi="宋体" w:cs="仿宋"/>
          <w:color w:val="auto"/>
          <w:highlight w:val="none"/>
        </w:rPr>
      </w:pPr>
      <w:r>
        <w:rPr>
          <w:rFonts w:ascii="宋体" w:hAnsi="宋体" w:cs="仿宋"/>
          <w:color w:val="auto"/>
          <w:highlight w:val="none"/>
        </w:rPr>
        <w:t>4）出具验收报告。验收结束后，验收小组应当出具验收报告，报告采购人。验收报告应当根据验收方案制作，以书面形式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964"/>
        <w:ind w:firstLine="480"/>
        <w:rPr>
          <w:rFonts w:ascii="宋体" w:hAnsi="宋体" w:cs="仿宋"/>
          <w:color w:val="auto"/>
          <w:highlight w:val="none"/>
        </w:rPr>
      </w:pPr>
      <w:r>
        <w:rPr>
          <w:rFonts w:ascii="宋体" w:hAnsi="宋体" w:cs="仿宋"/>
          <w:color w:val="auto"/>
          <w:highlight w:val="none"/>
        </w:rPr>
        <w:t>5）验收不合格的，采购人应责令供应商采取补救措施，向供应商发出整改通知书，并依法及时处理。整改结束后，由供应商通知采购人或其委托的验收组织机构重新验收。</w:t>
      </w:r>
    </w:p>
    <w:p>
      <w:pPr>
        <w:pStyle w:val="24"/>
        <w:spacing w:line="360" w:lineRule="auto"/>
        <w:rPr>
          <w:rFonts w:cs="宋体"/>
          <w:color w:val="auto"/>
          <w:highlight w:val="none"/>
        </w:rPr>
      </w:pPr>
      <w:bookmarkStart w:id="40" w:name="_Toc8526"/>
      <w:r>
        <w:rPr>
          <w:rFonts w:hint="eastAsia" w:cs="宋体"/>
          <w:color w:val="auto"/>
          <w:highlight w:val="none"/>
        </w:rPr>
        <w:t>2、履约验收内容</w:t>
      </w:r>
      <w:bookmarkEnd w:id="40"/>
    </w:p>
    <w:p>
      <w:pPr>
        <w:pStyle w:val="964"/>
        <w:ind w:firstLine="480"/>
        <w:rPr>
          <w:rFonts w:ascii="宋体" w:hAnsi="宋体" w:cs="仿宋"/>
          <w:color w:val="auto"/>
          <w:highlight w:val="none"/>
        </w:rPr>
      </w:pPr>
      <w:bookmarkStart w:id="41" w:name="_Toc354"/>
      <w:r>
        <w:rPr>
          <w:rFonts w:hint="eastAsia" w:ascii="宋体" w:hAnsi="宋体" w:cs="仿宋"/>
          <w:color w:val="auto"/>
          <w:highlight w:val="none"/>
        </w:rPr>
        <w:t>（1）技术履约内容</w:t>
      </w:r>
    </w:p>
    <w:p>
      <w:pPr>
        <w:pStyle w:val="24"/>
        <w:spacing w:after="120" w:line="360" w:lineRule="auto"/>
        <w:rPr>
          <w:rFonts w:cs="仿宋"/>
          <w:color w:val="auto"/>
          <w:highlight w:val="none"/>
        </w:rPr>
      </w:pPr>
      <w:r>
        <w:rPr>
          <w:rFonts w:cs="仿宋"/>
          <w:color w:val="auto"/>
          <w:highlight w:val="none"/>
        </w:rPr>
        <w:t>1</w:t>
      </w:r>
      <w:r>
        <w:rPr>
          <w:rFonts w:hint="eastAsia" w:cs="仿宋"/>
          <w:color w:val="auto"/>
          <w:highlight w:val="none"/>
        </w:rPr>
        <w:t>）满足所有采购需求及响应文件承诺；</w:t>
      </w:r>
    </w:p>
    <w:p>
      <w:pPr>
        <w:pStyle w:val="24"/>
        <w:spacing w:after="120" w:line="360" w:lineRule="auto"/>
        <w:rPr>
          <w:rFonts w:cs="仿宋"/>
          <w:color w:val="auto"/>
          <w:highlight w:val="none"/>
        </w:rPr>
      </w:pPr>
      <w:r>
        <w:rPr>
          <w:rFonts w:hint="eastAsia" w:cs="仿宋"/>
          <w:color w:val="auto"/>
          <w:highlight w:val="none"/>
        </w:rPr>
        <w:t>2）</w:t>
      </w:r>
      <w:r>
        <w:rPr>
          <w:rFonts w:cs="仿宋"/>
          <w:color w:val="auto"/>
          <w:highlight w:val="none"/>
        </w:rPr>
        <w:t>拟投服务团队人员全部到位，与</w:t>
      </w:r>
      <w:r>
        <w:rPr>
          <w:rFonts w:hint="eastAsia" w:cs="仿宋"/>
          <w:color w:val="auto"/>
          <w:highlight w:val="none"/>
        </w:rPr>
        <w:t>响应</w:t>
      </w:r>
      <w:r>
        <w:rPr>
          <w:rFonts w:cs="仿宋"/>
          <w:color w:val="auto"/>
          <w:highlight w:val="none"/>
        </w:rPr>
        <w:t>文件人员信息清单一致；</w:t>
      </w:r>
    </w:p>
    <w:p>
      <w:pPr>
        <w:pStyle w:val="964"/>
        <w:ind w:firstLine="480"/>
        <w:rPr>
          <w:rFonts w:ascii="宋体" w:hAnsi="宋体" w:cs="仿宋"/>
          <w:color w:val="auto"/>
          <w:highlight w:val="none"/>
        </w:rPr>
      </w:pPr>
      <w:r>
        <w:rPr>
          <w:rFonts w:hint="eastAsia" w:ascii="宋体" w:hAnsi="宋体" w:cs="仿宋"/>
          <w:color w:val="auto"/>
          <w:highlight w:val="none"/>
        </w:rPr>
        <w:t>（2）商务履约内容</w:t>
      </w:r>
    </w:p>
    <w:p>
      <w:pPr>
        <w:pStyle w:val="966"/>
        <w:spacing w:after="120"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）服务周期满足采购要求。</w:t>
      </w:r>
    </w:p>
    <w:p>
      <w:pPr>
        <w:pStyle w:val="966"/>
        <w:spacing w:after="120" w:line="360" w:lineRule="auto"/>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（3）验收标准</w:t>
      </w:r>
      <w:bookmarkEnd w:id="41"/>
    </w:p>
    <w:p>
      <w:pPr>
        <w:pStyle w:val="24"/>
        <w:spacing w:after="120" w:line="360" w:lineRule="auto"/>
        <w:rPr>
          <w:rFonts w:cs="仿宋"/>
          <w:color w:val="auto"/>
          <w:highlight w:val="none"/>
        </w:rPr>
      </w:pPr>
      <w:r>
        <w:rPr>
          <w:rFonts w:cs="仿宋"/>
          <w:color w:val="auto"/>
          <w:highlight w:val="none"/>
        </w:rPr>
        <w:t>1</w:t>
      </w:r>
      <w:r>
        <w:rPr>
          <w:rFonts w:hint="eastAsia" w:cs="仿宋"/>
          <w:color w:val="auto"/>
          <w:highlight w:val="none"/>
        </w:rPr>
        <w:t>）满足所有采购需求及响应文件承诺；</w:t>
      </w:r>
    </w:p>
    <w:p>
      <w:pPr>
        <w:pStyle w:val="24"/>
        <w:spacing w:after="120" w:line="360" w:lineRule="auto"/>
        <w:rPr>
          <w:rFonts w:cs="仿宋"/>
          <w:color w:val="auto"/>
          <w:highlight w:val="none"/>
        </w:rPr>
      </w:pPr>
      <w:r>
        <w:rPr>
          <w:rFonts w:hint="eastAsia" w:cs="仿宋"/>
          <w:color w:val="auto"/>
          <w:highlight w:val="none"/>
        </w:rPr>
        <w:t>2）</w:t>
      </w:r>
      <w:r>
        <w:rPr>
          <w:rFonts w:cs="仿宋"/>
          <w:color w:val="auto"/>
          <w:highlight w:val="none"/>
        </w:rPr>
        <w:t>拟投服务团队人员全部到位，与</w:t>
      </w:r>
      <w:r>
        <w:rPr>
          <w:rFonts w:hint="eastAsia" w:cs="仿宋"/>
          <w:color w:val="auto"/>
          <w:highlight w:val="none"/>
        </w:rPr>
        <w:t>响应</w:t>
      </w:r>
      <w:r>
        <w:rPr>
          <w:rFonts w:cs="仿宋"/>
          <w:color w:val="auto"/>
          <w:highlight w:val="none"/>
        </w:rPr>
        <w:t>文件人员信息清单一致；</w:t>
      </w:r>
    </w:p>
    <w:p>
      <w:pPr>
        <w:pStyle w:val="24"/>
        <w:spacing w:after="120" w:line="360" w:lineRule="auto"/>
        <w:rPr>
          <w:rFonts w:cs="仿宋"/>
          <w:color w:val="auto"/>
          <w:highlight w:val="none"/>
        </w:rPr>
      </w:pPr>
      <w:r>
        <w:rPr>
          <w:rFonts w:cs="仿宋"/>
          <w:color w:val="auto"/>
          <w:highlight w:val="none"/>
        </w:rPr>
        <w:t>3</w:t>
      </w:r>
      <w:r>
        <w:rPr>
          <w:rFonts w:hint="eastAsia" w:cs="仿宋"/>
          <w:color w:val="auto"/>
          <w:highlight w:val="none"/>
        </w:rPr>
        <w:t>）项目验收资料齐全；</w:t>
      </w:r>
    </w:p>
    <w:p>
      <w:pPr>
        <w:spacing w:line="360" w:lineRule="auto"/>
        <w:ind w:firstLine="480" w:firstLineChars="200"/>
        <w:jc w:val="left"/>
        <w:rPr>
          <w:rFonts w:ascii="宋体" w:hAnsi="宋体" w:cs="仿宋"/>
          <w:color w:val="auto"/>
          <w:sz w:val="24"/>
          <w:highlight w:val="none"/>
        </w:rPr>
      </w:pPr>
      <w:bookmarkStart w:id="42" w:name="_Toc24191"/>
      <w:bookmarkStart w:id="43" w:name="_Toc100838239"/>
      <w:r>
        <w:rPr>
          <w:rFonts w:ascii="宋体" w:hAnsi="宋体" w:cs="仿宋"/>
          <w:color w:val="auto"/>
          <w:sz w:val="24"/>
          <w:highlight w:val="none"/>
        </w:rPr>
        <w:t>3</w:t>
      </w:r>
      <w:r>
        <w:rPr>
          <w:rFonts w:hint="eastAsia" w:ascii="宋体" w:hAnsi="宋体" w:cs="仿宋"/>
          <w:color w:val="auto"/>
          <w:sz w:val="24"/>
          <w:highlight w:val="none"/>
        </w:rPr>
        <w:t>、履约验收其他事项</w:t>
      </w:r>
      <w:bookmarkEnd w:id="42"/>
      <w:bookmarkEnd w:id="43"/>
    </w:p>
    <w:p>
      <w:pPr>
        <w:pStyle w:val="966"/>
        <w:spacing w:after="120" w:line="360" w:lineRule="auto"/>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宋体" w:hAnsi="宋体" w:eastAsia="宋体" w:cs="仿宋"/>
          <w:color w:val="auto"/>
          <w:sz w:val="24"/>
          <w:szCs w:val="24"/>
          <w:highlight w:val="none"/>
        </w:rPr>
        <w:t>要求整改的，采购人有权拒绝验收，供应商应承担相应的违约责任。</w:t>
      </w:r>
    </w:p>
    <w:p>
      <w:pPr>
        <w:pStyle w:val="966"/>
        <w:spacing w:after="120" w:line="360" w:lineRule="auto"/>
        <w:ind w:firstLine="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r>
        <w:rPr>
          <w:rFonts w:ascii="宋体" w:hAnsi="宋体" w:eastAsia="宋体" w:cs="仿宋"/>
          <w:color w:val="auto"/>
          <w:sz w:val="24"/>
          <w:szCs w:val="24"/>
          <w:highlight w:val="none"/>
        </w:rPr>
        <w:t>供应商服务成果未通过采购人验收，采购人有权要求供应商进行整改，相关费用</w:t>
      </w:r>
      <w:r>
        <w:rPr>
          <w:rFonts w:hint="eastAsia" w:ascii="宋体" w:hAnsi="宋体" w:eastAsia="宋体" w:cs="仿宋"/>
          <w:color w:val="auto"/>
          <w:sz w:val="24"/>
          <w:szCs w:val="24"/>
          <w:highlight w:val="none"/>
        </w:rPr>
        <w:t>（包括但不限于重新组织验收等费用）</w:t>
      </w:r>
      <w:r>
        <w:rPr>
          <w:rFonts w:ascii="宋体" w:hAnsi="宋体" w:eastAsia="宋体" w:cs="仿宋"/>
          <w:color w:val="auto"/>
          <w:sz w:val="24"/>
          <w:szCs w:val="24"/>
          <w:highlight w:val="none"/>
        </w:rPr>
        <w:t>由供应商承担；如供应商</w:t>
      </w:r>
      <w:r>
        <w:rPr>
          <w:rFonts w:hint="eastAsia" w:ascii="宋体" w:hAnsi="宋体" w:eastAsia="宋体" w:cs="仿宋"/>
          <w:color w:val="auto"/>
          <w:sz w:val="24"/>
          <w:szCs w:val="24"/>
          <w:highlight w:val="none"/>
        </w:rPr>
        <w:t>未在采购人要求期限内整改或整改后仍不合格或已经无法整改的，采购人有权要求供应商承担相应的违约责任。</w:t>
      </w:r>
    </w:p>
    <w:bookmarkEnd w:id="39"/>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pStyle w:val="2"/>
        <w:rPr>
          <w:rFonts w:ascii="宋体" w:hAnsi="宋体" w:eastAsia="宋体"/>
          <w:color w:val="auto"/>
          <w:highlight w:val="none"/>
          <w:lang w:val="en-US"/>
        </w:rPr>
      </w:pPr>
    </w:p>
    <w:p>
      <w:pPr>
        <w:rPr>
          <w:rFonts w:ascii="宋体" w:hAnsi="宋体"/>
          <w:color w:val="auto"/>
          <w:highlight w:val="none"/>
        </w:rPr>
      </w:pPr>
    </w:p>
    <w:p>
      <w:pPr>
        <w:pStyle w:val="2"/>
        <w:rPr>
          <w:rFonts w:ascii="宋体" w:hAnsi="宋体" w:eastAsia="宋体"/>
          <w:color w:val="auto"/>
          <w:highlight w:val="none"/>
          <w:lang w:val="en-US"/>
        </w:rPr>
      </w:pPr>
    </w:p>
    <w:p>
      <w:pPr>
        <w:rPr>
          <w:rFonts w:ascii="宋体" w:hAnsi="宋体"/>
          <w:color w:val="auto"/>
          <w:highlight w:val="none"/>
        </w:rPr>
      </w:pPr>
    </w:p>
    <w:p>
      <w:pPr>
        <w:rPr>
          <w:rFonts w:ascii="宋体" w:hAnsi="宋体"/>
          <w:color w:val="auto"/>
          <w:highlight w:val="none"/>
        </w:rPr>
      </w:pPr>
    </w:p>
    <w:p>
      <w:pPr>
        <w:spacing w:line="360" w:lineRule="auto"/>
        <w:jc w:val="center"/>
        <w:outlineLvl w:val="0"/>
        <w:rPr>
          <w:rFonts w:ascii="宋体" w:hAnsi="宋体" w:cs="宋体"/>
          <w:b/>
          <w:color w:val="auto"/>
          <w:sz w:val="36"/>
          <w:szCs w:val="36"/>
          <w:highlight w:val="none"/>
        </w:rPr>
      </w:pPr>
    </w:p>
    <w:p>
      <w:pPr>
        <w:pStyle w:val="2"/>
        <w:rPr>
          <w:rFonts w:ascii="宋体" w:hAnsi="宋体" w:cs="宋体"/>
          <w:color w:val="auto"/>
          <w:sz w:val="36"/>
          <w:szCs w:val="36"/>
          <w:highlight w:val="none"/>
        </w:rPr>
      </w:pPr>
    </w:p>
    <w:p>
      <w:pPr>
        <w:rPr>
          <w:rFonts w:ascii="宋体" w:hAnsi="宋体" w:cs="宋体"/>
          <w:b/>
          <w:color w:val="auto"/>
          <w:sz w:val="36"/>
          <w:szCs w:val="36"/>
          <w:highlight w:val="none"/>
        </w:rPr>
      </w:pPr>
    </w:p>
    <w:p>
      <w:pPr>
        <w:pStyle w:val="2"/>
        <w:rPr>
          <w:rFonts w:ascii="宋体" w:hAnsi="宋体" w:cs="宋体"/>
          <w:color w:val="auto"/>
          <w:sz w:val="36"/>
          <w:szCs w:val="36"/>
          <w:highlight w:val="none"/>
        </w:rPr>
      </w:pPr>
    </w:p>
    <w:p>
      <w:pPr>
        <w:rPr>
          <w:rFonts w:ascii="宋体" w:hAnsi="宋体" w:cs="宋体"/>
          <w:b/>
          <w:color w:val="auto"/>
          <w:sz w:val="36"/>
          <w:szCs w:val="36"/>
          <w:highlight w:val="none"/>
        </w:rPr>
      </w:pPr>
    </w:p>
    <w:p>
      <w:pPr>
        <w:pStyle w:val="2"/>
        <w:rPr>
          <w:rFonts w:ascii="宋体" w:hAnsi="宋体" w:cs="宋体"/>
          <w:color w:val="auto"/>
          <w:sz w:val="36"/>
          <w:szCs w:val="36"/>
          <w:highlight w:val="none"/>
        </w:rPr>
      </w:pPr>
    </w:p>
    <w:p>
      <w:pPr>
        <w:rPr>
          <w:rFonts w:ascii="宋体" w:hAnsi="宋体" w:cs="宋体"/>
          <w:b/>
          <w:color w:val="auto"/>
          <w:sz w:val="36"/>
          <w:szCs w:val="36"/>
          <w:highlight w:val="none"/>
        </w:rPr>
      </w:pPr>
    </w:p>
    <w:p>
      <w:pPr>
        <w:pStyle w:val="2"/>
        <w:ind w:left="0" w:firstLine="0"/>
        <w:rPr>
          <w:color w:val="auto"/>
          <w:highlight w:val="none"/>
        </w:rPr>
      </w:pPr>
    </w:p>
    <w:p>
      <w:pPr>
        <w:pStyle w:val="2"/>
        <w:ind w:left="0" w:firstLine="0"/>
        <w:rPr>
          <w:color w:val="auto"/>
          <w:highlight w:val="none"/>
        </w:rPr>
      </w:pPr>
    </w:p>
    <w:p>
      <w:pPr>
        <w:rPr>
          <w:color w:val="auto"/>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4" w:name="_Toc184310338"/>
      <w:bookmarkEnd w:id="44"/>
      <w:bookmarkStart w:id="45" w:name="_Toc184312131"/>
      <w:bookmarkEnd w:id="45"/>
      <w:bookmarkStart w:id="46" w:name="_Toc184310309"/>
      <w:bookmarkEnd w:id="46"/>
      <w:bookmarkStart w:id="47" w:name="_Toc184310330"/>
      <w:bookmarkEnd w:id="47"/>
      <w:bookmarkStart w:id="48" w:name="_Toc184310327"/>
      <w:bookmarkEnd w:id="48"/>
      <w:bookmarkStart w:id="49" w:name="_Toc184308092"/>
      <w:bookmarkEnd w:id="49"/>
      <w:bookmarkStart w:id="50" w:name="_Toc184312090"/>
      <w:bookmarkEnd w:id="50"/>
      <w:bookmarkStart w:id="51" w:name="_Toc184308036"/>
      <w:bookmarkEnd w:id="51"/>
      <w:bookmarkStart w:id="52" w:name="_Toc184310298"/>
      <w:bookmarkEnd w:id="52"/>
      <w:bookmarkStart w:id="53" w:name="_Toc184313290"/>
      <w:bookmarkEnd w:id="53"/>
      <w:bookmarkStart w:id="54" w:name="_Toc184313296"/>
      <w:bookmarkEnd w:id="54"/>
      <w:bookmarkStart w:id="55" w:name="_Toc184310339"/>
      <w:bookmarkEnd w:id="55"/>
      <w:bookmarkStart w:id="56" w:name="_Toc184313243"/>
      <w:bookmarkEnd w:id="56"/>
      <w:bookmarkStart w:id="57" w:name="_Toc184310311"/>
      <w:bookmarkEnd w:id="57"/>
      <w:bookmarkStart w:id="58" w:name="_Toc184312086"/>
      <w:bookmarkEnd w:id="58"/>
      <w:bookmarkStart w:id="59" w:name="_Toc184308080"/>
      <w:bookmarkEnd w:id="59"/>
      <w:bookmarkStart w:id="60" w:name="_Toc184313260"/>
      <w:bookmarkEnd w:id="60"/>
      <w:bookmarkStart w:id="61" w:name="_Toc184314427"/>
      <w:bookmarkEnd w:id="61"/>
      <w:bookmarkStart w:id="62" w:name="_Toc184314457"/>
      <w:bookmarkEnd w:id="62"/>
      <w:bookmarkStart w:id="63" w:name="_Toc184308096"/>
      <w:bookmarkEnd w:id="63"/>
      <w:bookmarkStart w:id="64" w:name="_Toc184312129"/>
      <w:bookmarkEnd w:id="64"/>
      <w:bookmarkStart w:id="65" w:name="_Toc184313286"/>
      <w:bookmarkEnd w:id="65"/>
      <w:bookmarkStart w:id="66" w:name="_Toc184313293"/>
      <w:bookmarkEnd w:id="66"/>
      <w:bookmarkStart w:id="67" w:name="_Toc184313246"/>
      <w:bookmarkEnd w:id="67"/>
      <w:bookmarkStart w:id="68" w:name="_Toc184314480"/>
      <w:bookmarkEnd w:id="68"/>
      <w:bookmarkStart w:id="69" w:name="_Toc184310277"/>
      <w:bookmarkEnd w:id="69"/>
      <w:bookmarkStart w:id="70" w:name="_Toc184312078"/>
      <w:bookmarkEnd w:id="70"/>
      <w:bookmarkStart w:id="71" w:name="_Toc184313278"/>
      <w:bookmarkEnd w:id="71"/>
      <w:bookmarkStart w:id="72" w:name="_Toc184308074"/>
      <w:bookmarkEnd w:id="72"/>
      <w:bookmarkStart w:id="73" w:name="_Toc184310310"/>
      <w:bookmarkEnd w:id="73"/>
      <w:bookmarkStart w:id="74" w:name="_Toc184308047"/>
      <w:bookmarkEnd w:id="74"/>
      <w:bookmarkStart w:id="75" w:name="_Toc184310314"/>
      <w:bookmarkEnd w:id="75"/>
      <w:bookmarkStart w:id="76" w:name="_Toc184308095"/>
      <w:bookmarkEnd w:id="76"/>
      <w:bookmarkStart w:id="77" w:name="_Toc184314431"/>
      <w:bookmarkEnd w:id="77"/>
      <w:bookmarkStart w:id="78" w:name="_Toc184310344"/>
      <w:bookmarkEnd w:id="78"/>
      <w:bookmarkStart w:id="79" w:name="_Toc184312111"/>
      <w:bookmarkEnd w:id="79"/>
      <w:bookmarkStart w:id="80" w:name="_Toc184313301"/>
      <w:bookmarkEnd w:id="80"/>
      <w:bookmarkStart w:id="81" w:name="_Toc184312071"/>
      <w:bookmarkEnd w:id="81"/>
      <w:bookmarkStart w:id="82" w:name="_Toc184312128"/>
      <w:bookmarkEnd w:id="82"/>
      <w:bookmarkStart w:id="83" w:name="_Toc184310292"/>
      <w:bookmarkEnd w:id="83"/>
      <w:bookmarkStart w:id="84" w:name="_Toc184314430"/>
      <w:bookmarkEnd w:id="84"/>
      <w:bookmarkStart w:id="85" w:name="_Toc184310320"/>
      <w:bookmarkEnd w:id="85"/>
      <w:bookmarkStart w:id="86" w:name="_Toc184308058"/>
      <w:bookmarkEnd w:id="86"/>
      <w:bookmarkStart w:id="87" w:name="_Toc184312080"/>
      <w:bookmarkEnd w:id="87"/>
      <w:bookmarkStart w:id="88" w:name="_Toc184310294"/>
      <w:bookmarkEnd w:id="88"/>
      <w:bookmarkStart w:id="89" w:name="_Toc184308053"/>
      <w:bookmarkEnd w:id="89"/>
      <w:bookmarkStart w:id="90" w:name="_Toc184314481"/>
      <w:bookmarkEnd w:id="90"/>
      <w:bookmarkStart w:id="91" w:name="_Toc184308107"/>
      <w:bookmarkEnd w:id="91"/>
      <w:bookmarkStart w:id="92" w:name="_Toc184308076"/>
      <w:bookmarkEnd w:id="92"/>
      <w:bookmarkStart w:id="93" w:name="_Toc184313307"/>
      <w:bookmarkEnd w:id="93"/>
      <w:bookmarkStart w:id="94" w:name="_Toc184310300"/>
      <w:bookmarkEnd w:id="94"/>
      <w:bookmarkStart w:id="95" w:name="_Toc184313247"/>
      <w:bookmarkEnd w:id="95"/>
      <w:bookmarkStart w:id="96" w:name="_Toc184308082"/>
      <w:bookmarkEnd w:id="96"/>
      <w:bookmarkStart w:id="97" w:name="_Toc184310315"/>
      <w:bookmarkEnd w:id="97"/>
      <w:bookmarkStart w:id="98" w:name="_Toc184308045"/>
      <w:bookmarkEnd w:id="98"/>
      <w:bookmarkStart w:id="99" w:name="_Toc184312133"/>
      <w:bookmarkEnd w:id="99"/>
      <w:bookmarkStart w:id="100" w:name="_Toc184312118"/>
      <w:bookmarkEnd w:id="100"/>
      <w:bookmarkStart w:id="101" w:name="_Toc184314437"/>
      <w:bookmarkEnd w:id="101"/>
      <w:bookmarkStart w:id="102" w:name="_Toc184312070"/>
      <w:bookmarkEnd w:id="102"/>
      <w:bookmarkStart w:id="103" w:name="_Toc184310336"/>
      <w:bookmarkEnd w:id="103"/>
      <w:bookmarkStart w:id="104" w:name="_Toc184313284"/>
      <w:bookmarkEnd w:id="104"/>
      <w:bookmarkStart w:id="105" w:name="_Toc184313283"/>
      <w:bookmarkEnd w:id="105"/>
      <w:bookmarkStart w:id="106" w:name="_Toc184314454"/>
      <w:bookmarkEnd w:id="106"/>
      <w:bookmarkStart w:id="107" w:name="_Toc184313289"/>
      <w:bookmarkEnd w:id="107"/>
      <w:bookmarkStart w:id="108" w:name="_Toc184308098"/>
      <w:bookmarkEnd w:id="108"/>
      <w:bookmarkStart w:id="109" w:name="_Toc184313279"/>
      <w:bookmarkEnd w:id="109"/>
      <w:bookmarkStart w:id="110" w:name="_Toc184310280"/>
      <w:bookmarkEnd w:id="110"/>
      <w:bookmarkStart w:id="111" w:name="_Toc184310307"/>
      <w:bookmarkEnd w:id="111"/>
      <w:bookmarkStart w:id="112" w:name="_Toc184310329"/>
      <w:bookmarkEnd w:id="112"/>
      <w:bookmarkStart w:id="113" w:name="_Toc184313297"/>
      <w:bookmarkEnd w:id="113"/>
      <w:bookmarkStart w:id="114" w:name="_Toc184313292"/>
      <w:bookmarkEnd w:id="114"/>
      <w:bookmarkStart w:id="115" w:name="_Toc184308105"/>
      <w:bookmarkEnd w:id="115"/>
      <w:bookmarkStart w:id="116" w:name="_Toc184308087"/>
      <w:bookmarkEnd w:id="116"/>
      <w:bookmarkStart w:id="117" w:name="_Toc184308048"/>
      <w:bookmarkEnd w:id="117"/>
      <w:bookmarkStart w:id="118" w:name="_Toc184310281"/>
      <w:bookmarkEnd w:id="118"/>
      <w:bookmarkStart w:id="119" w:name="_Toc184310282"/>
      <w:bookmarkEnd w:id="119"/>
      <w:bookmarkStart w:id="120" w:name="_Toc184313280"/>
      <w:bookmarkEnd w:id="120"/>
      <w:bookmarkStart w:id="121" w:name="_Toc184314471"/>
      <w:bookmarkEnd w:id="121"/>
      <w:bookmarkStart w:id="122" w:name="_Toc184313309"/>
      <w:bookmarkEnd w:id="122"/>
      <w:bookmarkStart w:id="123" w:name="_Toc184310275"/>
      <w:bookmarkEnd w:id="123"/>
      <w:bookmarkStart w:id="124" w:name="_Toc184313271"/>
      <w:bookmarkEnd w:id="124"/>
      <w:bookmarkStart w:id="125" w:name="_Toc184313255"/>
      <w:bookmarkEnd w:id="125"/>
      <w:bookmarkStart w:id="126" w:name="_Toc184312107"/>
      <w:bookmarkEnd w:id="126"/>
      <w:bookmarkStart w:id="127" w:name="_Toc184308052"/>
      <w:bookmarkEnd w:id="127"/>
      <w:bookmarkStart w:id="128" w:name="_Toc184313253"/>
      <w:bookmarkEnd w:id="128"/>
      <w:bookmarkStart w:id="129" w:name="_Toc184313269"/>
      <w:bookmarkEnd w:id="129"/>
      <w:bookmarkStart w:id="130" w:name="_Toc184314470"/>
      <w:bookmarkEnd w:id="130"/>
      <w:bookmarkStart w:id="131" w:name="_Toc184314422"/>
      <w:bookmarkEnd w:id="131"/>
      <w:bookmarkStart w:id="132" w:name="_Toc184310293"/>
      <w:bookmarkEnd w:id="132"/>
      <w:bookmarkStart w:id="133" w:name="_Toc184308078"/>
      <w:bookmarkEnd w:id="133"/>
      <w:bookmarkStart w:id="134" w:name="_Toc184312115"/>
      <w:bookmarkEnd w:id="134"/>
      <w:bookmarkStart w:id="135" w:name="_Toc184308063"/>
      <w:bookmarkEnd w:id="135"/>
      <w:bookmarkStart w:id="136" w:name="_Toc184313275"/>
      <w:bookmarkEnd w:id="136"/>
      <w:bookmarkStart w:id="137" w:name="_Toc184308093"/>
      <w:bookmarkEnd w:id="137"/>
      <w:bookmarkStart w:id="138" w:name="_Toc184314451"/>
      <w:bookmarkEnd w:id="138"/>
      <w:bookmarkStart w:id="139" w:name="_Toc184312101"/>
      <w:bookmarkEnd w:id="139"/>
      <w:bookmarkStart w:id="140" w:name="_Toc184314435"/>
      <w:bookmarkEnd w:id="140"/>
      <w:bookmarkStart w:id="141" w:name="_Toc184313252"/>
      <w:bookmarkEnd w:id="141"/>
      <w:bookmarkStart w:id="142" w:name="_Toc184312110"/>
      <w:bookmarkEnd w:id="142"/>
      <w:bookmarkStart w:id="143" w:name="_Toc184310343"/>
      <w:bookmarkEnd w:id="143"/>
      <w:bookmarkStart w:id="144" w:name="_Toc184308060"/>
      <w:bookmarkEnd w:id="144"/>
      <w:bookmarkStart w:id="145" w:name="_Toc184308050"/>
      <w:bookmarkEnd w:id="145"/>
      <w:bookmarkStart w:id="146" w:name="_Toc184313299"/>
      <w:bookmarkEnd w:id="146"/>
      <w:bookmarkStart w:id="147" w:name="_Toc184310326"/>
      <w:bookmarkEnd w:id="147"/>
      <w:bookmarkStart w:id="148" w:name="_Toc184312105"/>
      <w:bookmarkEnd w:id="148"/>
      <w:bookmarkStart w:id="149" w:name="_Toc184314433"/>
      <w:bookmarkEnd w:id="149"/>
      <w:bookmarkStart w:id="150" w:name="_Toc184312095"/>
      <w:bookmarkEnd w:id="150"/>
      <w:bookmarkStart w:id="151" w:name="_Toc184308075"/>
      <w:bookmarkEnd w:id="151"/>
      <w:bookmarkStart w:id="152" w:name="_Toc184308089"/>
      <w:bookmarkEnd w:id="152"/>
      <w:bookmarkStart w:id="153" w:name="_Toc184308061"/>
      <w:bookmarkEnd w:id="153"/>
      <w:bookmarkStart w:id="154" w:name="_Toc184314474"/>
      <w:bookmarkEnd w:id="154"/>
      <w:bookmarkStart w:id="155" w:name="_Toc184310279"/>
      <w:bookmarkEnd w:id="155"/>
      <w:bookmarkStart w:id="156" w:name="_Toc184310332"/>
      <w:bookmarkEnd w:id="156"/>
      <w:bookmarkStart w:id="157" w:name="_Toc184314453"/>
      <w:bookmarkEnd w:id="157"/>
      <w:bookmarkStart w:id="158" w:name="_Toc184314477"/>
      <w:bookmarkEnd w:id="158"/>
      <w:bookmarkStart w:id="159" w:name="_Toc184313268"/>
      <w:bookmarkEnd w:id="159"/>
      <w:bookmarkStart w:id="160" w:name="_Toc184310295"/>
      <w:bookmarkEnd w:id="160"/>
      <w:bookmarkStart w:id="161" w:name="_Toc184312103"/>
      <w:bookmarkEnd w:id="161"/>
      <w:bookmarkStart w:id="162" w:name="_Toc184310341"/>
      <w:bookmarkEnd w:id="162"/>
      <w:bookmarkStart w:id="163" w:name="_Toc184313249"/>
      <w:bookmarkEnd w:id="163"/>
      <w:bookmarkStart w:id="164" w:name="_Toc184312082"/>
      <w:bookmarkEnd w:id="164"/>
      <w:bookmarkStart w:id="165" w:name="_Toc184314464"/>
      <w:bookmarkEnd w:id="165"/>
      <w:bookmarkStart w:id="166" w:name="_Toc184308094"/>
      <w:bookmarkEnd w:id="166"/>
      <w:bookmarkStart w:id="167" w:name="_Toc184310276"/>
      <w:bookmarkEnd w:id="167"/>
      <w:bookmarkStart w:id="168" w:name="_Toc184312092"/>
      <w:bookmarkEnd w:id="168"/>
      <w:bookmarkStart w:id="169" w:name="_Toc184313300"/>
      <w:bookmarkEnd w:id="169"/>
      <w:bookmarkStart w:id="170" w:name="_Toc184314429"/>
      <w:bookmarkEnd w:id="170"/>
      <w:bookmarkStart w:id="171" w:name="_Toc184314419"/>
      <w:bookmarkEnd w:id="171"/>
      <w:bookmarkStart w:id="172" w:name="_Toc184313302"/>
      <w:bookmarkEnd w:id="172"/>
      <w:bookmarkStart w:id="173" w:name="_Toc184314426"/>
      <w:bookmarkEnd w:id="173"/>
      <w:bookmarkStart w:id="174" w:name="_Toc184313266"/>
      <w:bookmarkEnd w:id="174"/>
      <w:bookmarkStart w:id="175" w:name="_Toc184314434"/>
      <w:bookmarkEnd w:id="175"/>
      <w:bookmarkStart w:id="176" w:name="_Toc184308083"/>
      <w:bookmarkEnd w:id="176"/>
      <w:bookmarkStart w:id="177" w:name="_Toc184313294"/>
      <w:bookmarkEnd w:id="177"/>
      <w:bookmarkStart w:id="178" w:name="_Toc184308057"/>
      <w:bookmarkEnd w:id="178"/>
      <w:bookmarkStart w:id="179" w:name="_Toc184313259"/>
      <w:bookmarkEnd w:id="179"/>
      <w:bookmarkStart w:id="180" w:name="_Toc184308091"/>
      <w:bookmarkEnd w:id="180"/>
      <w:bookmarkStart w:id="181" w:name="_Toc184310301"/>
      <w:bookmarkEnd w:id="181"/>
      <w:bookmarkStart w:id="182" w:name="_Toc184313254"/>
      <w:bookmarkEnd w:id="182"/>
      <w:bookmarkStart w:id="183" w:name="_Toc184312120"/>
      <w:bookmarkEnd w:id="183"/>
      <w:bookmarkStart w:id="184" w:name="_Toc184312127"/>
      <w:bookmarkEnd w:id="184"/>
      <w:bookmarkStart w:id="185" w:name="_Toc184314438"/>
      <w:bookmarkEnd w:id="185"/>
      <w:bookmarkStart w:id="186" w:name="_Toc184312123"/>
      <w:bookmarkEnd w:id="186"/>
      <w:bookmarkStart w:id="187" w:name="_Toc184310290"/>
      <w:bookmarkEnd w:id="187"/>
      <w:bookmarkStart w:id="188" w:name="_Toc184308038"/>
      <w:bookmarkEnd w:id="188"/>
      <w:bookmarkStart w:id="189" w:name="_Toc184310274"/>
      <w:bookmarkEnd w:id="189"/>
      <w:bookmarkStart w:id="190" w:name="_Toc184308042"/>
      <w:bookmarkEnd w:id="190"/>
      <w:bookmarkStart w:id="191" w:name="_Toc184314416"/>
      <w:bookmarkEnd w:id="191"/>
      <w:bookmarkStart w:id="192" w:name="_Toc184310303"/>
      <w:bookmarkEnd w:id="192"/>
      <w:bookmarkStart w:id="193" w:name="_Toc184312068"/>
      <w:bookmarkEnd w:id="193"/>
      <w:bookmarkStart w:id="194" w:name="_Toc184310337"/>
      <w:bookmarkEnd w:id="194"/>
      <w:bookmarkStart w:id="195" w:name="_Toc184313272"/>
      <w:bookmarkEnd w:id="195"/>
      <w:bookmarkStart w:id="196" w:name="_Toc184310291"/>
      <w:bookmarkEnd w:id="196"/>
      <w:bookmarkStart w:id="197" w:name="_Toc184310333"/>
      <w:bookmarkEnd w:id="197"/>
      <w:bookmarkStart w:id="198" w:name="_Toc184314461"/>
      <w:bookmarkEnd w:id="198"/>
      <w:bookmarkStart w:id="199" w:name="_Toc184313270"/>
      <w:bookmarkEnd w:id="199"/>
      <w:bookmarkStart w:id="200" w:name="_Toc184312097"/>
      <w:bookmarkEnd w:id="200"/>
      <w:bookmarkStart w:id="201" w:name="_Toc184312077"/>
      <w:bookmarkEnd w:id="201"/>
      <w:bookmarkStart w:id="202" w:name="_Toc184313308"/>
      <w:bookmarkEnd w:id="202"/>
      <w:bookmarkStart w:id="203" w:name="_Toc184314463"/>
      <w:bookmarkEnd w:id="203"/>
      <w:bookmarkStart w:id="204" w:name="_Toc184314467"/>
      <w:bookmarkEnd w:id="204"/>
      <w:bookmarkStart w:id="205" w:name="_Toc184314447"/>
      <w:bookmarkEnd w:id="205"/>
      <w:bookmarkStart w:id="206" w:name="_Toc184310331"/>
      <w:bookmarkEnd w:id="206"/>
      <w:bookmarkStart w:id="207" w:name="_Toc184308062"/>
      <w:bookmarkEnd w:id="207"/>
      <w:bookmarkStart w:id="208" w:name="_Toc184314417"/>
      <w:bookmarkEnd w:id="208"/>
      <w:bookmarkStart w:id="209" w:name="_Toc184313267"/>
      <w:bookmarkEnd w:id="209"/>
      <w:bookmarkStart w:id="210" w:name="_Toc184312084"/>
      <w:bookmarkEnd w:id="210"/>
      <w:bookmarkStart w:id="211" w:name="_Toc184310308"/>
      <w:bookmarkEnd w:id="211"/>
      <w:bookmarkStart w:id="212" w:name="_Toc184308043"/>
      <w:bookmarkEnd w:id="212"/>
      <w:bookmarkStart w:id="213" w:name="_Toc184312117"/>
      <w:bookmarkEnd w:id="213"/>
      <w:bookmarkStart w:id="214" w:name="_Toc184308049"/>
      <w:bookmarkEnd w:id="214"/>
      <w:bookmarkStart w:id="215" w:name="_Toc184312116"/>
      <w:bookmarkEnd w:id="215"/>
      <w:bookmarkStart w:id="216" w:name="_Toc184308106"/>
      <w:bookmarkEnd w:id="216"/>
      <w:bookmarkStart w:id="217" w:name="_Toc184310342"/>
      <w:bookmarkEnd w:id="217"/>
      <w:bookmarkStart w:id="218" w:name="_Toc184314442"/>
      <w:bookmarkEnd w:id="218"/>
      <w:bookmarkStart w:id="219" w:name="_Toc184308071"/>
      <w:bookmarkEnd w:id="219"/>
      <w:bookmarkStart w:id="220" w:name="_Toc184313298"/>
      <w:bookmarkEnd w:id="220"/>
      <w:bookmarkStart w:id="221" w:name="_Toc184310286"/>
      <w:bookmarkEnd w:id="221"/>
      <w:bookmarkStart w:id="222" w:name="_Toc184314440"/>
      <w:bookmarkEnd w:id="222"/>
      <w:bookmarkStart w:id="223" w:name="_Toc184312076"/>
      <w:bookmarkEnd w:id="223"/>
      <w:bookmarkStart w:id="224" w:name="_Toc184313261"/>
      <w:bookmarkEnd w:id="224"/>
      <w:bookmarkStart w:id="225" w:name="_Toc184313257"/>
      <w:bookmarkEnd w:id="225"/>
      <w:bookmarkStart w:id="226" w:name="_Toc184312106"/>
      <w:bookmarkEnd w:id="226"/>
      <w:bookmarkStart w:id="227" w:name="_Toc184308059"/>
      <w:bookmarkEnd w:id="227"/>
      <w:bookmarkStart w:id="228" w:name="_Toc184313245"/>
      <w:bookmarkEnd w:id="228"/>
      <w:bookmarkStart w:id="229" w:name="_Toc184313239"/>
      <w:bookmarkEnd w:id="229"/>
      <w:bookmarkStart w:id="230" w:name="_Toc184308085"/>
      <w:bookmarkEnd w:id="230"/>
      <w:bookmarkStart w:id="231" w:name="_Toc184314475"/>
      <w:bookmarkEnd w:id="231"/>
      <w:bookmarkStart w:id="232" w:name="_Toc184312122"/>
      <w:bookmarkEnd w:id="232"/>
      <w:bookmarkStart w:id="233" w:name="_Toc184312100"/>
      <w:bookmarkEnd w:id="233"/>
      <w:bookmarkStart w:id="234" w:name="_Toc184313248"/>
      <w:bookmarkEnd w:id="234"/>
      <w:bookmarkStart w:id="235" w:name="_Toc184312135"/>
      <w:bookmarkEnd w:id="235"/>
      <w:bookmarkStart w:id="236" w:name="_Toc184308067"/>
      <w:bookmarkEnd w:id="236"/>
      <w:bookmarkStart w:id="237" w:name="_Toc184314413"/>
      <w:bookmarkEnd w:id="237"/>
      <w:bookmarkStart w:id="238" w:name="_Toc184308088"/>
      <w:bookmarkEnd w:id="238"/>
      <w:bookmarkStart w:id="239" w:name="_Toc184314479"/>
      <w:bookmarkEnd w:id="239"/>
      <w:bookmarkStart w:id="240" w:name="_Toc184314425"/>
      <w:bookmarkEnd w:id="240"/>
      <w:bookmarkStart w:id="241" w:name="_Toc184310335"/>
      <w:bookmarkEnd w:id="241"/>
      <w:bookmarkStart w:id="242" w:name="_Toc184310325"/>
      <w:bookmarkEnd w:id="242"/>
      <w:bookmarkStart w:id="243" w:name="_Toc184313258"/>
      <w:bookmarkEnd w:id="243"/>
      <w:bookmarkStart w:id="244" w:name="_Toc184313285"/>
      <w:bookmarkEnd w:id="244"/>
      <w:bookmarkStart w:id="245" w:name="_Toc184310340"/>
      <w:bookmarkEnd w:id="245"/>
      <w:bookmarkStart w:id="246" w:name="_Toc184314466"/>
      <w:bookmarkEnd w:id="246"/>
      <w:bookmarkStart w:id="247" w:name="_Toc184312087"/>
      <w:bookmarkEnd w:id="247"/>
      <w:bookmarkStart w:id="248" w:name="_Toc184308104"/>
      <w:bookmarkEnd w:id="248"/>
      <w:bookmarkStart w:id="249" w:name="_Toc184312119"/>
      <w:bookmarkEnd w:id="249"/>
      <w:bookmarkStart w:id="250" w:name="_Toc184312069"/>
      <w:bookmarkEnd w:id="250"/>
      <w:bookmarkStart w:id="251" w:name="_Toc184314465"/>
      <w:bookmarkEnd w:id="251"/>
      <w:bookmarkStart w:id="252" w:name="_Toc184314423"/>
      <w:bookmarkEnd w:id="252"/>
      <w:bookmarkStart w:id="253" w:name="_Toc184312126"/>
      <w:bookmarkEnd w:id="253"/>
      <w:bookmarkStart w:id="254" w:name="_Toc184313287"/>
      <w:bookmarkEnd w:id="254"/>
      <w:bookmarkStart w:id="255" w:name="_Toc184312096"/>
      <w:bookmarkEnd w:id="255"/>
      <w:bookmarkStart w:id="256" w:name="_Toc184314441"/>
      <w:bookmarkEnd w:id="256"/>
      <w:bookmarkStart w:id="257" w:name="_Toc184310304"/>
      <w:bookmarkEnd w:id="257"/>
      <w:bookmarkStart w:id="258" w:name="_Toc184314476"/>
      <w:bookmarkEnd w:id="258"/>
      <w:bookmarkStart w:id="259" w:name="_Toc184312113"/>
      <w:bookmarkEnd w:id="259"/>
      <w:bookmarkStart w:id="260" w:name="_Toc184308072"/>
      <w:bookmarkEnd w:id="260"/>
      <w:bookmarkStart w:id="261" w:name="_Toc184312130"/>
      <w:bookmarkEnd w:id="261"/>
      <w:bookmarkStart w:id="262" w:name="_Toc184312136"/>
      <w:bookmarkEnd w:id="262"/>
      <w:bookmarkStart w:id="263" w:name="_Toc184312134"/>
      <w:bookmarkEnd w:id="263"/>
      <w:bookmarkStart w:id="264" w:name="_Toc184308054"/>
      <w:bookmarkEnd w:id="264"/>
      <w:bookmarkStart w:id="265" w:name="_Toc184314436"/>
      <w:bookmarkEnd w:id="265"/>
      <w:bookmarkStart w:id="266" w:name="_Toc184314446"/>
      <w:bookmarkEnd w:id="266"/>
      <w:bookmarkStart w:id="267" w:name="_Toc184308068"/>
      <w:bookmarkEnd w:id="267"/>
      <w:bookmarkStart w:id="268" w:name="_Toc184308073"/>
      <w:bookmarkEnd w:id="268"/>
      <w:bookmarkStart w:id="269" w:name="_Toc184308077"/>
      <w:bookmarkEnd w:id="269"/>
      <w:bookmarkStart w:id="270" w:name="_Toc184312094"/>
      <w:bookmarkEnd w:id="270"/>
      <w:bookmarkStart w:id="271" w:name="_Toc184312088"/>
      <w:bookmarkEnd w:id="271"/>
      <w:bookmarkStart w:id="272" w:name="_Toc184308102"/>
      <w:bookmarkEnd w:id="272"/>
      <w:bookmarkStart w:id="273" w:name="_Toc184313303"/>
      <w:bookmarkEnd w:id="273"/>
      <w:bookmarkStart w:id="274" w:name="_Toc184312091"/>
      <w:bookmarkEnd w:id="274"/>
      <w:bookmarkStart w:id="275" w:name="_Toc184313242"/>
      <w:bookmarkEnd w:id="275"/>
      <w:bookmarkStart w:id="276" w:name="_Toc184312114"/>
      <w:bookmarkEnd w:id="276"/>
      <w:bookmarkStart w:id="277" w:name="_Toc184313281"/>
      <w:bookmarkEnd w:id="277"/>
      <w:bookmarkStart w:id="278" w:name="_Toc184313288"/>
      <w:bookmarkEnd w:id="278"/>
      <w:bookmarkStart w:id="279" w:name="_Toc184308099"/>
      <w:bookmarkEnd w:id="279"/>
      <w:bookmarkStart w:id="280" w:name="_Toc184308051"/>
      <w:bookmarkEnd w:id="280"/>
      <w:bookmarkStart w:id="281" w:name="_Toc184313263"/>
      <w:bookmarkEnd w:id="281"/>
      <w:bookmarkStart w:id="282" w:name="_Toc184314445"/>
      <w:bookmarkEnd w:id="282"/>
      <w:bookmarkStart w:id="283" w:name="_Toc184310322"/>
      <w:bookmarkEnd w:id="283"/>
      <w:bookmarkStart w:id="284" w:name="_Toc184313241"/>
      <w:bookmarkEnd w:id="284"/>
      <w:bookmarkStart w:id="285" w:name="_Toc184312109"/>
      <w:bookmarkEnd w:id="285"/>
      <w:bookmarkStart w:id="286" w:name="_Toc184310288"/>
      <w:bookmarkEnd w:id="286"/>
      <w:bookmarkStart w:id="287" w:name="_Toc184314459"/>
      <w:bookmarkEnd w:id="287"/>
      <w:bookmarkStart w:id="288" w:name="_Toc184314420"/>
      <w:bookmarkEnd w:id="288"/>
      <w:bookmarkStart w:id="289" w:name="_Toc184314482"/>
      <w:bookmarkEnd w:id="289"/>
      <w:bookmarkStart w:id="290" w:name="_Toc184312089"/>
      <w:bookmarkEnd w:id="290"/>
      <w:bookmarkStart w:id="291" w:name="_Toc184308079"/>
      <w:bookmarkEnd w:id="291"/>
      <w:bookmarkStart w:id="292" w:name="_Toc184313274"/>
      <w:bookmarkEnd w:id="292"/>
      <w:bookmarkStart w:id="293" w:name="_Toc184314473"/>
      <w:bookmarkEnd w:id="293"/>
      <w:bookmarkStart w:id="294" w:name="_Toc184313251"/>
      <w:bookmarkEnd w:id="294"/>
      <w:bookmarkStart w:id="295" w:name="_Toc184312072"/>
      <w:bookmarkEnd w:id="295"/>
      <w:bookmarkStart w:id="296" w:name="_Toc184312083"/>
      <w:bookmarkEnd w:id="296"/>
      <w:bookmarkStart w:id="297" w:name="_Toc184308056"/>
      <w:bookmarkEnd w:id="297"/>
      <w:bookmarkStart w:id="298" w:name="_Toc184310334"/>
      <w:bookmarkEnd w:id="298"/>
      <w:bookmarkStart w:id="299" w:name="_Toc184313273"/>
      <w:bookmarkEnd w:id="299"/>
      <w:bookmarkStart w:id="300" w:name="_Toc184308046"/>
      <w:bookmarkEnd w:id="300"/>
      <w:bookmarkStart w:id="301" w:name="_Toc184308084"/>
      <w:bookmarkEnd w:id="301"/>
      <w:bookmarkStart w:id="302" w:name="_Toc184312125"/>
      <w:bookmarkEnd w:id="302"/>
      <w:bookmarkStart w:id="303" w:name="_Toc184310321"/>
      <w:bookmarkEnd w:id="303"/>
      <w:bookmarkStart w:id="304" w:name="_Toc184310305"/>
      <w:bookmarkEnd w:id="304"/>
      <w:bookmarkStart w:id="305" w:name="_Toc184312132"/>
      <w:bookmarkEnd w:id="305"/>
      <w:bookmarkStart w:id="306" w:name="_Toc184310297"/>
      <w:bookmarkEnd w:id="306"/>
      <w:bookmarkStart w:id="307" w:name="_Toc184312093"/>
      <w:bookmarkEnd w:id="307"/>
      <w:bookmarkStart w:id="308" w:name="_Toc184308041"/>
      <w:bookmarkEnd w:id="308"/>
      <w:bookmarkStart w:id="309" w:name="_Toc184308100"/>
      <w:bookmarkEnd w:id="309"/>
      <w:bookmarkStart w:id="310" w:name="_Toc184314432"/>
      <w:bookmarkEnd w:id="310"/>
      <w:bookmarkStart w:id="311" w:name="_Toc184310316"/>
      <w:bookmarkEnd w:id="311"/>
      <w:bookmarkStart w:id="312" w:name="_Toc184308044"/>
      <w:bookmarkEnd w:id="312"/>
      <w:bookmarkStart w:id="313" w:name="_Toc184314452"/>
      <w:bookmarkEnd w:id="313"/>
      <w:bookmarkStart w:id="314" w:name="_Toc184312099"/>
      <w:bookmarkEnd w:id="314"/>
      <w:bookmarkStart w:id="315" w:name="_Toc184313264"/>
      <w:bookmarkEnd w:id="315"/>
      <w:bookmarkStart w:id="316" w:name="_Toc184313238"/>
      <w:bookmarkEnd w:id="316"/>
      <w:bookmarkStart w:id="317" w:name="_Toc184314415"/>
      <w:bookmarkEnd w:id="317"/>
      <w:bookmarkStart w:id="318" w:name="_Toc184313244"/>
      <w:bookmarkEnd w:id="318"/>
      <w:bookmarkStart w:id="319" w:name="_Toc184312104"/>
      <w:bookmarkEnd w:id="319"/>
      <w:bookmarkStart w:id="320" w:name="_Toc184314460"/>
      <w:bookmarkEnd w:id="320"/>
      <w:bookmarkStart w:id="321" w:name="_Toc184313305"/>
      <w:bookmarkEnd w:id="321"/>
      <w:bookmarkStart w:id="322" w:name="_Toc184312138"/>
      <w:bookmarkEnd w:id="322"/>
      <w:bookmarkStart w:id="323" w:name="_Toc184310272"/>
      <w:bookmarkEnd w:id="323"/>
      <w:bookmarkStart w:id="324" w:name="_Toc184313262"/>
      <w:bookmarkEnd w:id="324"/>
      <w:bookmarkStart w:id="325" w:name="_Toc184310323"/>
      <w:bookmarkEnd w:id="325"/>
      <w:bookmarkStart w:id="326" w:name="_Toc184310284"/>
      <w:bookmarkEnd w:id="326"/>
      <w:bookmarkStart w:id="327" w:name="_Toc184313282"/>
      <w:bookmarkEnd w:id="327"/>
      <w:bookmarkStart w:id="328" w:name="_Toc184312081"/>
      <w:bookmarkEnd w:id="328"/>
      <w:bookmarkStart w:id="329" w:name="_Toc184310319"/>
      <w:bookmarkEnd w:id="329"/>
      <w:bookmarkStart w:id="330" w:name="_Toc184308097"/>
      <w:bookmarkEnd w:id="330"/>
      <w:bookmarkStart w:id="331" w:name="_Toc184312074"/>
      <w:bookmarkEnd w:id="331"/>
      <w:bookmarkStart w:id="332" w:name="_Toc184310328"/>
      <w:bookmarkEnd w:id="332"/>
      <w:bookmarkStart w:id="333" w:name="_Toc184308108"/>
      <w:bookmarkEnd w:id="333"/>
      <w:bookmarkStart w:id="334" w:name="_Toc184312098"/>
      <w:bookmarkEnd w:id="334"/>
      <w:bookmarkStart w:id="335" w:name="_Toc184308039"/>
      <w:bookmarkEnd w:id="335"/>
      <w:bookmarkStart w:id="336" w:name="_Toc184310318"/>
      <w:bookmarkEnd w:id="336"/>
      <w:bookmarkStart w:id="337" w:name="_Toc184314424"/>
      <w:bookmarkEnd w:id="337"/>
      <w:bookmarkStart w:id="338" w:name="_Toc184313256"/>
      <w:bookmarkEnd w:id="338"/>
      <w:bookmarkStart w:id="339" w:name="_Toc184314478"/>
      <w:bookmarkEnd w:id="339"/>
      <w:bookmarkStart w:id="340" w:name="_Toc184312085"/>
      <w:bookmarkEnd w:id="340"/>
      <w:bookmarkStart w:id="341" w:name="_Toc184312073"/>
      <w:bookmarkEnd w:id="341"/>
      <w:bookmarkStart w:id="342" w:name="_Toc184314448"/>
      <w:bookmarkEnd w:id="342"/>
      <w:bookmarkStart w:id="343" w:name="_Toc184314458"/>
      <w:bookmarkEnd w:id="343"/>
      <w:bookmarkStart w:id="344" w:name="_Toc184312108"/>
      <w:bookmarkEnd w:id="344"/>
      <w:bookmarkStart w:id="345" w:name="_Toc184313310"/>
      <w:bookmarkEnd w:id="345"/>
      <w:bookmarkStart w:id="346" w:name="_Toc184314411"/>
      <w:bookmarkEnd w:id="346"/>
      <w:bookmarkStart w:id="347" w:name="_Toc184310285"/>
      <w:bookmarkEnd w:id="347"/>
      <w:bookmarkStart w:id="348" w:name="_Toc184313276"/>
      <w:bookmarkEnd w:id="348"/>
      <w:bookmarkStart w:id="349" w:name="_Toc184313240"/>
      <w:bookmarkEnd w:id="349"/>
      <w:bookmarkStart w:id="350" w:name="_Toc184310312"/>
      <w:bookmarkEnd w:id="350"/>
      <w:bookmarkStart w:id="351" w:name="_Toc184310306"/>
      <w:bookmarkEnd w:id="351"/>
      <w:bookmarkStart w:id="352" w:name="_Toc184313304"/>
      <w:bookmarkEnd w:id="352"/>
      <w:bookmarkStart w:id="353" w:name="_Toc184314469"/>
      <w:bookmarkEnd w:id="353"/>
      <w:bookmarkStart w:id="354" w:name="_Toc184308066"/>
      <w:bookmarkEnd w:id="354"/>
      <w:bookmarkStart w:id="355" w:name="_Toc184310283"/>
      <w:bookmarkEnd w:id="355"/>
      <w:bookmarkStart w:id="356" w:name="_Toc184314444"/>
      <w:bookmarkEnd w:id="356"/>
      <w:bookmarkStart w:id="357" w:name="_Toc184308086"/>
      <w:bookmarkEnd w:id="357"/>
      <w:bookmarkStart w:id="358" w:name="_Toc184314428"/>
      <w:bookmarkEnd w:id="358"/>
      <w:bookmarkStart w:id="359" w:name="_Toc184312124"/>
      <w:bookmarkEnd w:id="359"/>
      <w:bookmarkStart w:id="360" w:name="_Toc184314462"/>
      <w:bookmarkEnd w:id="360"/>
      <w:bookmarkStart w:id="361" w:name="_Toc184314421"/>
      <w:bookmarkEnd w:id="361"/>
      <w:bookmarkStart w:id="362" w:name="_Toc184312102"/>
      <w:bookmarkEnd w:id="362"/>
      <w:bookmarkStart w:id="363" w:name="_Toc184310313"/>
      <w:bookmarkEnd w:id="363"/>
      <w:bookmarkStart w:id="364" w:name="_Toc184314455"/>
      <w:bookmarkEnd w:id="364"/>
      <w:bookmarkStart w:id="365" w:name="_Toc184310287"/>
      <w:bookmarkEnd w:id="365"/>
      <w:bookmarkStart w:id="366" w:name="_Toc184314418"/>
      <w:bookmarkEnd w:id="366"/>
      <w:bookmarkStart w:id="367" w:name="_Toc184313265"/>
      <w:bookmarkEnd w:id="367"/>
      <w:bookmarkStart w:id="368" w:name="_Toc184313291"/>
      <w:bookmarkEnd w:id="368"/>
      <w:bookmarkStart w:id="369" w:name="_Toc184310324"/>
      <w:bookmarkEnd w:id="369"/>
      <w:bookmarkStart w:id="370" w:name="_Toc184308101"/>
      <w:bookmarkEnd w:id="370"/>
      <w:bookmarkStart w:id="371" w:name="_Toc184310302"/>
      <w:bookmarkEnd w:id="371"/>
      <w:bookmarkStart w:id="372" w:name="_Toc184312112"/>
      <w:bookmarkEnd w:id="372"/>
      <w:bookmarkStart w:id="373" w:name="_Toc184312075"/>
      <w:bookmarkEnd w:id="373"/>
      <w:bookmarkStart w:id="374" w:name="_Toc184308055"/>
      <w:bookmarkEnd w:id="374"/>
      <w:bookmarkStart w:id="375" w:name="_Toc184313306"/>
      <w:bookmarkEnd w:id="375"/>
      <w:bookmarkStart w:id="376" w:name="_Toc184310289"/>
      <w:bookmarkEnd w:id="376"/>
      <w:bookmarkStart w:id="377" w:name="_Toc184314450"/>
      <w:bookmarkEnd w:id="377"/>
      <w:bookmarkStart w:id="378" w:name="_Toc184314443"/>
      <w:bookmarkEnd w:id="378"/>
      <w:bookmarkStart w:id="379" w:name="_Toc184312121"/>
      <w:bookmarkEnd w:id="379"/>
      <w:bookmarkStart w:id="380" w:name="_Toc184308103"/>
      <w:bookmarkEnd w:id="380"/>
      <w:bookmarkStart w:id="381" w:name="_Toc184310273"/>
      <w:bookmarkEnd w:id="381"/>
      <w:bookmarkStart w:id="382" w:name="_Toc184312139"/>
      <w:bookmarkEnd w:id="382"/>
      <w:bookmarkStart w:id="383" w:name="_Toc184314449"/>
      <w:bookmarkEnd w:id="383"/>
      <w:bookmarkStart w:id="384" w:name="_Toc184308069"/>
      <w:bookmarkEnd w:id="384"/>
      <w:bookmarkStart w:id="385" w:name="_Toc184314410"/>
      <w:bookmarkEnd w:id="385"/>
      <w:bookmarkStart w:id="386" w:name="_Toc184314472"/>
      <w:bookmarkEnd w:id="386"/>
      <w:bookmarkStart w:id="387" w:name="_Toc184312137"/>
      <w:bookmarkEnd w:id="387"/>
      <w:bookmarkStart w:id="388" w:name="_Toc184308081"/>
      <w:bookmarkEnd w:id="388"/>
      <w:bookmarkStart w:id="389" w:name="_Toc184313250"/>
      <w:bookmarkEnd w:id="389"/>
      <w:bookmarkStart w:id="390" w:name="_Toc184312079"/>
      <w:bookmarkEnd w:id="390"/>
      <w:bookmarkStart w:id="391" w:name="_Toc184308064"/>
      <w:bookmarkEnd w:id="391"/>
      <w:bookmarkStart w:id="392" w:name="_Toc184313277"/>
      <w:bookmarkEnd w:id="392"/>
      <w:bookmarkStart w:id="393" w:name="_Toc184314414"/>
      <w:bookmarkEnd w:id="393"/>
      <w:bookmarkStart w:id="394" w:name="_Toc184310299"/>
      <w:bookmarkEnd w:id="394"/>
      <w:bookmarkStart w:id="395" w:name="_Toc184312067"/>
      <w:bookmarkEnd w:id="395"/>
      <w:bookmarkStart w:id="396" w:name="_Toc184310296"/>
      <w:bookmarkEnd w:id="396"/>
      <w:bookmarkStart w:id="397" w:name="_Toc184314456"/>
      <w:bookmarkEnd w:id="397"/>
      <w:bookmarkStart w:id="398" w:name="_Toc184314439"/>
      <w:bookmarkEnd w:id="398"/>
      <w:bookmarkStart w:id="399" w:name="_Toc184308090"/>
      <w:bookmarkEnd w:id="399"/>
      <w:bookmarkStart w:id="400" w:name="_Toc184308040"/>
      <w:bookmarkEnd w:id="400"/>
      <w:bookmarkStart w:id="401" w:name="_Toc184313295"/>
      <w:bookmarkEnd w:id="401"/>
      <w:bookmarkStart w:id="402" w:name="_Toc184308037"/>
      <w:bookmarkEnd w:id="402"/>
      <w:bookmarkStart w:id="403" w:name="_Toc184308065"/>
      <w:bookmarkEnd w:id="403"/>
      <w:bookmarkStart w:id="404" w:name="_Toc184308070"/>
      <w:bookmarkEnd w:id="404"/>
      <w:bookmarkStart w:id="405" w:name="_Toc184310317"/>
      <w:bookmarkEnd w:id="405"/>
      <w:bookmarkStart w:id="406" w:name="_Toc184314468"/>
      <w:bookmarkEnd w:id="406"/>
      <w:bookmarkStart w:id="407" w:name="_Toc184310278"/>
      <w:bookmarkEnd w:id="407"/>
      <w:bookmarkStart w:id="408" w:name="_Toc184314412"/>
      <w:bookmarkEnd w:id="408"/>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06"/>
        <w:gridCol w:w="764"/>
        <w:gridCol w:w="114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4606"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764"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1147" w:type="dxa"/>
            <w:vAlign w:val="center"/>
          </w:tcPr>
          <w:p>
            <w:pPr>
              <w:snapToGrid w:val="0"/>
              <w:spacing w:line="36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207"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1</w:t>
            </w:r>
            <w:r>
              <w:rPr>
                <w:rFonts w:hint="eastAsia" w:ascii="宋体" w:hAnsi="宋体"/>
                <w:color w:val="auto"/>
                <w:sz w:val="24"/>
                <w:highlight w:val="none"/>
              </w:rPr>
              <w:t>、总体策划（2</w:t>
            </w:r>
            <w:r>
              <w:rPr>
                <w:rFonts w:ascii="宋体" w:hAnsi="宋体"/>
                <w:color w:val="auto"/>
                <w:sz w:val="24"/>
                <w:highlight w:val="none"/>
              </w:rPr>
              <w:t>0</w:t>
            </w:r>
            <w:r>
              <w:rPr>
                <w:rFonts w:hint="eastAsia" w:ascii="宋体" w:hAnsi="宋体"/>
                <w:color w:val="auto"/>
                <w:sz w:val="24"/>
                <w:highlight w:val="none"/>
              </w:rPr>
              <w:t>分）</w:t>
            </w:r>
          </w:p>
        </w:tc>
        <w:tc>
          <w:tcPr>
            <w:tcW w:w="460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总体方案：方案全面合理，符合本次会议要求</w:t>
            </w:r>
            <w:r>
              <w:rPr>
                <w:rFonts w:hint="eastAsia" w:ascii="宋体" w:hAnsi="宋体"/>
                <w:color w:val="auto"/>
                <w:sz w:val="24"/>
                <w:highlight w:val="none"/>
              </w:rPr>
              <w:t>得</w:t>
            </w:r>
            <w:r>
              <w:rPr>
                <w:rFonts w:ascii="宋体" w:hAnsi="宋体"/>
                <w:color w:val="auto"/>
                <w:sz w:val="24"/>
                <w:highlight w:val="none"/>
              </w:rPr>
              <w:t>4</w:t>
            </w:r>
            <w:r>
              <w:rPr>
                <w:rFonts w:hint="eastAsia" w:ascii="宋体" w:hAnsi="宋体"/>
                <w:color w:val="auto"/>
                <w:sz w:val="24"/>
                <w:highlight w:val="none"/>
              </w:rPr>
              <w:t>分；方案</w:t>
            </w:r>
            <w:r>
              <w:rPr>
                <w:rFonts w:hint="eastAsia" w:ascii="宋体" w:hAnsi="宋体"/>
                <w:color w:val="auto"/>
                <w:kern w:val="0"/>
                <w:sz w:val="24"/>
                <w:highlight w:val="none"/>
              </w:rPr>
              <w:t>较为全面，较为符合本次会议要求</w:t>
            </w:r>
            <w:r>
              <w:rPr>
                <w:rFonts w:hint="eastAsia" w:ascii="宋体" w:hAnsi="宋体"/>
                <w:color w:val="auto"/>
                <w:sz w:val="24"/>
                <w:highlight w:val="none"/>
              </w:rPr>
              <w:t>得</w:t>
            </w:r>
            <w:r>
              <w:rPr>
                <w:rFonts w:ascii="宋体" w:hAnsi="宋体"/>
                <w:color w:val="auto"/>
                <w:sz w:val="24"/>
                <w:highlight w:val="none"/>
              </w:rPr>
              <w:t>2</w:t>
            </w:r>
            <w:r>
              <w:rPr>
                <w:rFonts w:hint="eastAsia" w:ascii="宋体" w:hAnsi="宋体"/>
                <w:color w:val="auto"/>
                <w:sz w:val="24"/>
                <w:highlight w:val="none"/>
              </w:rPr>
              <w:t>分；方案</w:t>
            </w:r>
            <w:r>
              <w:rPr>
                <w:rFonts w:hint="eastAsia" w:ascii="宋体" w:hAnsi="宋体"/>
                <w:color w:val="auto"/>
                <w:kern w:val="0"/>
                <w:sz w:val="24"/>
                <w:highlight w:val="none"/>
              </w:rPr>
              <w:t>与本次会议性质有偏离，</w:t>
            </w:r>
            <w:r>
              <w:rPr>
                <w:rFonts w:hint="eastAsia" w:ascii="宋体" w:hAnsi="宋体"/>
                <w:color w:val="auto"/>
                <w:sz w:val="24"/>
                <w:highlight w:val="none"/>
              </w:rPr>
              <w:t>本次会议特色未能完全体现得1分；方案不合理或未提供方案不得分。</w:t>
            </w:r>
          </w:p>
        </w:tc>
        <w:tc>
          <w:tcPr>
            <w:tcW w:w="764" w:type="dxa"/>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4</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（2）</w:t>
            </w:r>
            <w:r>
              <w:rPr>
                <w:rFonts w:hint="eastAsia" w:ascii="宋体" w:hAnsi="宋体"/>
                <w:color w:val="auto"/>
                <w:kern w:val="0"/>
                <w:sz w:val="24"/>
                <w:highlight w:val="none"/>
              </w:rPr>
              <w:t>总体布局：方案全面合理，符合本次会议总体方案和场地租赁要求</w:t>
            </w:r>
            <w:r>
              <w:rPr>
                <w:rFonts w:hint="eastAsia" w:ascii="宋体" w:hAnsi="宋体"/>
                <w:color w:val="auto"/>
                <w:sz w:val="24"/>
                <w:highlight w:val="none"/>
              </w:rPr>
              <w:t>得4分；方案</w:t>
            </w:r>
            <w:r>
              <w:rPr>
                <w:rFonts w:hint="eastAsia" w:ascii="宋体" w:hAnsi="宋体"/>
                <w:color w:val="auto"/>
                <w:kern w:val="0"/>
                <w:sz w:val="24"/>
                <w:highlight w:val="none"/>
              </w:rPr>
              <w:t>较为全面，较为符合本次会议要求</w:t>
            </w:r>
            <w:r>
              <w:rPr>
                <w:rFonts w:hint="eastAsia" w:ascii="宋体" w:hAnsi="宋体"/>
                <w:color w:val="auto"/>
                <w:sz w:val="24"/>
                <w:highlight w:val="none"/>
              </w:rPr>
              <w:t>得2分；方案</w:t>
            </w:r>
            <w:r>
              <w:rPr>
                <w:rFonts w:hint="eastAsia" w:ascii="宋体" w:hAnsi="宋体"/>
                <w:color w:val="auto"/>
                <w:kern w:val="0"/>
                <w:sz w:val="24"/>
                <w:highlight w:val="none"/>
              </w:rPr>
              <w:t>与本次会议性质有偏离，</w:t>
            </w:r>
            <w:r>
              <w:rPr>
                <w:rFonts w:hint="eastAsia" w:ascii="宋体" w:hAnsi="宋体"/>
                <w:color w:val="auto"/>
                <w:sz w:val="24"/>
                <w:highlight w:val="none"/>
              </w:rPr>
              <w:t>本次会议特色未能完全体现得1分；方案不合理或未提供方案不得分。</w:t>
            </w:r>
          </w:p>
        </w:tc>
        <w:tc>
          <w:tcPr>
            <w:tcW w:w="764"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（3）</w:t>
            </w:r>
            <w:r>
              <w:rPr>
                <w:rFonts w:hint="eastAsia" w:ascii="宋体" w:hAnsi="宋体"/>
                <w:color w:val="auto"/>
                <w:kern w:val="0"/>
                <w:sz w:val="24"/>
                <w:highlight w:val="none"/>
              </w:rPr>
              <w:t>整体视觉设计：方案符合本次会议性质，</w:t>
            </w:r>
            <w:r>
              <w:rPr>
                <w:rFonts w:hint="eastAsia" w:ascii="宋体" w:hAnsi="宋体"/>
                <w:color w:val="auto"/>
                <w:sz w:val="24"/>
                <w:highlight w:val="none"/>
              </w:rPr>
              <w:t>体现本次会议特色得4分；</w:t>
            </w:r>
            <w:r>
              <w:rPr>
                <w:rFonts w:hint="eastAsia" w:ascii="宋体" w:hAnsi="宋体"/>
                <w:color w:val="auto"/>
                <w:kern w:val="0"/>
                <w:sz w:val="24"/>
                <w:highlight w:val="none"/>
              </w:rPr>
              <w:t>整体视觉设计方案较为符合本次会议性质，较能</w:t>
            </w:r>
            <w:r>
              <w:rPr>
                <w:rFonts w:hint="eastAsia" w:ascii="宋体" w:hAnsi="宋体"/>
                <w:color w:val="auto"/>
                <w:sz w:val="24"/>
                <w:highlight w:val="none"/>
              </w:rPr>
              <w:t>体现本次会议特色得2分；</w:t>
            </w:r>
            <w:r>
              <w:rPr>
                <w:rFonts w:hint="eastAsia" w:ascii="宋体" w:hAnsi="宋体"/>
                <w:color w:val="auto"/>
                <w:kern w:val="0"/>
                <w:sz w:val="24"/>
                <w:highlight w:val="none"/>
              </w:rPr>
              <w:t>整体视觉设计方案与本次会议性质有偏离，</w:t>
            </w:r>
            <w:r>
              <w:rPr>
                <w:rFonts w:hint="eastAsia" w:ascii="宋体" w:hAnsi="宋体"/>
                <w:color w:val="auto"/>
                <w:sz w:val="24"/>
                <w:highlight w:val="none"/>
              </w:rPr>
              <w:t>本次会议特色未能完全体现得</w:t>
            </w:r>
            <w:r>
              <w:rPr>
                <w:rFonts w:ascii="宋体" w:hAnsi="宋体"/>
                <w:color w:val="auto"/>
                <w:sz w:val="24"/>
                <w:highlight w:val="none"/>
              </w:rPr>
              <w:t>1</w:t>
            </w:r>
            <w:r>
              <w:rPr>
                <w:rFonts w:hint="eastAsia" w:ascii="宋体" w:hAnsi="宋体"/>
                <w:color w:val="auto"/>
                <w:sz w:val="24"/>
                <w:highlight w:val="none"/>
              </w:rPr>
              <w:t>分；方案不合理或未提供方案不得分。</w:t>
            </w:r>
          </w:p>
        </w:tc>
        <w:tc>
          <w:tcPr>
            <w:tcW w:w="764"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（4）市级筹备机构组建建议方案：全面合理无遗漏得4分；方案较为合理、较为全面得2分；方案遗漏过多影响执行得1分；完全不合理或未提供不得分。</w:t>
            </w:r>
          </w:p>
        </w:tc>
        <w:tc>
          <w:tcPr>
            <w:tcW w:w="764"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（5）任务清单：全面合理无遗漏得4分；较为合理、较为全面得2分；遗漏过多影响执行得1分；完全不合理或未提供不得分。</w:t>
            </w:r>
          </w:p>
        </w:tc>
        <w:tc>
          <w:tcPr>
            <w:tcW w:w="764" w:type="dxa"/>
            <w:vAlign w:val="center"/>
          </w:tcPr>
          <w:p>
            <w:pPr>
              <w:snapToGrid w:val="0"/>
              <w:spacing w:line="360" w:lineRule="auto"/>
              <w:rPr>
                <w:rFonts w:ascii="宋体" w:hAnsi="宋体" w:cs="仿宋_GB2312"/>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2</w:t>
            </w:r>
            <w:r>
              <w:rPr>
                <w:rFonts w:hint="eastAsia" w:ascii="宋体" w:hAnsi="宋体"/>
                <w:color w:val="auto"/>
                <w:sz w:val="24"/>
                <w:highlight w:val="none"/>
              </w:rPr>
              <w:t>、会议论坛（15分）</w:t>
            </w: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kern w:val="0"/>
                <w:sz w:val="24"/>
                <w:highlight w:val="none"/>
              </w:rPr>
              <w:t>（1）会场布置（会场平面布局、搭建、布置、物料等设计制作）：符合本次会议性质，大气有特色得5分；较为符合本次会议性质，较为大气有特色得3分；与本次会议性质有偏离，不够有特色得1分</w:t>
            </w:r>
            <w:r>
              <w:rPr>
                <w:rFonts w:hint="eastAsia" w:ascii="宋体" w:hAnsi="宋体"/>
                <w:color w:val="auto"/>
                <w:sz w:val="24"/>
                <w:highlight w:val="none"/>
              </w:rPr>
              <w:t>；方案严重偏离或未提供方案不得分（提供效果图）。</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5分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kern w:val="0"/>
                <w:sz w:val="24"/>
                <w:highlight w:val="none"/>
              </w:rPr>
              <w:t>（2）物料设计（</w:t>
            </w:r>
            <w:r>
              <w:rPr>
                <w:rFonts w:hint="eastAsia" w:ascii="宋体" w:hAnsi="宋体" w:cs="等线"/>
                <w:color w:val="auto"/>
                <w:kern w:val="0"/>
                <w:sz w:val="24"/>
                <w:highlight w:val="none"/>
                <w:lang w:bidi="ar"/>
              </w:rPr>
              <w:t>会议资料、参会指南、证件、席签、签约仪式用品等</w:t>
            </w:r>
            <w:r>
              <w:rPr>
                <w:rFonts w:hint="eastAsia" w:ascii="宋体" w:hAnsi="宋体"/>
                <w:color w:val="auto"/>
                <w:kern w:val="0"/>
                <w:sz w:val="24"/>
                <w:highlight w:val="none"/>
              </w:rPr>
              <w:t>）：方案符合本次会议性质，</w:t>
            </w:r>
            <w:r>
              <w:rPr>
                <w:rFonts w:hint="eastAsia" w:ascii="宋体" w:hAnsi="宋体"/>
                <w:color w:val="auto"/>
                <w:sz w:val="24"/>
                <w:highlight w:val="none"/>
              </w:rPr>
              <w:t>体现本次会议特色得</w:t>
            </w:r>
            <w:r>
              <w:rPr>
                <w:rFonts w:ascii="宋体" w:hAnsi="宋体"/>
                <w:color w:val="auto"/>
                <w:sz w:val="24"/>
                <w:highlight w:val="none"/>
              </w:rPr>
              <w:t>5</w:t>
            </w:r>
            <w:r>
              <w:rPr>
                <w:rFonts w:hint="eastAsia" w:ascii="宋体" w:hAnsi="宋体"/>
                <w:color w:val="auto"/>
                <w:sz w:val="24"/>
                <w:highlight w:val="none"/>
              </w:rPr>
              <w:t>分；</w:t>
            </w:r>
            <w:r>
              <w:rPr>
                <w:rFonts w:hint="eastAsia" w:ascii="宋体" w:hAnsi="宋体"/>
                <w:color w:val="auto"/>
                <w:kern w:val="0"/>
                <w:sz w:val="24"/>
                <w:highlight w:val="none"/>
              </w:rPr>
              <w:t>整体视觉设计方案较为符合本次会议性质，较能</w:t>
            </w:r>
            <w:r>
              <w:rPr>
                <w:rFonts w:hint="eastAsia" w:ascii="宋体" w:hAnsi="宋体"/>
                <w:color w:val="auto"/>
                <w:sz w:val="24"/>
                <w:highlight w:val="none"/>
              </w:rPr>
              <w:t>体现本次会议特色得</w:t>
            </w:r>
            <w:r>
              <w:rPr>
                <w:rFonts w:ascii="宋体" w:hAnsi="宋体"/>
                <w:color w:val="auto"/>
                <w:sz w:val="24"/>
                <w:highlight w:val="none"/>
              </w:rPr>
              <w:t>3</w:t>
            </w:r>
            <w:r>
              <w:rPr>
                <w:rFonts w:hint="eastAsia" w:ascii="宋体" w:hAnsi="宋体"/>
                <w:color w:val="auto"/>
                <w:sz w:val="24"/>
                <w:highlight w:val="none"/>
              </w:rPr>
              <w:t>分；</w:t>
            </w:r>
            <w:r>
              <w:rPr>
                <w:rFonts w:hint="eastAsia" w:ascii="宋体" w:hAnsi="宋体"/>
                <w:color w:val="auto"/>
                <w:kern w:val="0"/>
                <w:sz w:val="24"/>
                <w:highlight w:val="none"/>
              </w:rPr>
              <w:t>整体视觉设计方案与本次会议性质有偏离，</w:t>
            </w:r>
            <w:r>
              <w:rPr>
                <w:rFonts w:hint="eastAsia" w:ascii="宋体" w:hAnsi="宋体"/>
                <w:color w:val="auto"/>
                <w:sz w:val="24"/>
                <w:highlight w:val="none"/>
              </w:rPr>
              <w:t>本次会议特色未能完全体现得</w:t>
            </w:r>
            <w:r>
              <w:rPr>
                <w:rFonts w:ascii="宋体" w:hAnsi="宋体"/>
                <w:color w:val="auto"/>
                <w:sz w:val="24"/>
                <w:highlight w:val="none"/>
              </w:rPr>
              <w:t>1</w:t>
            </w:r>
            <w:r>
              <w:rPr>
                <w:rFonts w:hint="eastAsia" w:ascii="宋体" w:hAnsi="宋体"/>
                <w:color w:val="auto"/>
                <w:sz w:val="24"/>
                <w:highlight w:val="none"/>
              </w:rPr>
              <w:t>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5分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（3）</w:t>
            </w:r>
            <w:r>
              <w:rPr>
                <w:rFonts w:hint="eastAsia" w:ascii="宋体" w:hAnsi="宋体" w:cs="宋体"/>
                <w:bCs/>
                <w:color w:val="auto"/>
                <w:kern w:val="0"/>
                <w:sz w:val="24"/>
                <w:highlight w:val="none"/>
                <w:lang w:val="zh-CN"/>
              </w:rPr>
              <w:t>会场配套服务（</w:t>
            </w:r>
            <w:r>
              <w:rPr>
                <w:rFonts w:hint="eastAsia" w:ascii="宋体" w:hAnsi="宋体"/>
                <w:color w:val="auto"/>
                <w:sz w:val="24"/>
                <w:highlight w:val="none"/>
              </w:rPr>
              <w:t>包括但不限于串场及仪式动画、翻译、速记、礼仪、全场摄影摄像、茶歇等</w:t>
            </w:r>
            <w:r>
              <w:rPr>
                <w:rFonts w:hint="eastAsia" w:ascii="宋体" w:hAnsi="宋体" w:cs="宋体"/>
                <w:bCs/>
                <w:color w:val="auto"/>
                <w:kern w:val="0"/>
                <w:sz w:val="24"/>
                <w:highlight w:val="none"/>
                <w:lang w:val="zh-CN"/>
              </w:rPr>
              <w:t>）:符合本次会议要求，方案全面、细致、可行</w:t>
            </w:r>
            <w:r>
              <w:rPr>
                <w:rFonts w:hint="eastAsia" w:ascii="宋体" w:hAnsi="宋体"/>
                <w:color w:val="auto"/>
                <w:sz w:val="24"/>
                <w:highlight w:val="none"/>
              </w:rPr>
              <w:t>，各环节安排合理得5分；</w:t>
            </w:r>
            <w:r>
              <w:rPr>
                <w:rFonts w:hint="eastAsia" w:ascii="宋体" w:hAnsi="宋体" w:cs="宋体"/>
                <w:bCs/>
                <w:color w:val="auto"/>
                <w:kern w:val="0"/>
                <w:sz w:val="24"/>
                <w:highlight w:val="none"/>
                <w:lang w:val="zh-CN"/>
              </w:rPr>
              <w:t>较为符合本次会议要求，方案较为全面、细致、可行</w:t>
            </w:r>
            <w:r>
              <w:rPr>
                <w:rFonts w:hint="eastAsia" w:ascii="宋体" w:hAnsi="宋体"/>
                <w:color w:val="auto"/>
                <w:sz w:val="24"/>
                <w:highlight w:val="none"/>
              </w:rPr>
              <w:t>，各环节安排较为合理得3分；</w:t>
            </w:r>
            <w:r>
              <w:rPr>
                <w:rFonts w:hint="eastAsia" w:ascii="宋体" w:hAnsi="宋体" w:cs="宋体"/>
                <w:bCs/>
                <w:color w:val="auto"/>
                <w:kern w:val="0"/>
                <w:sz w:val="24"/>
                <w:highlight w:val="none"/>
                <w:lang w:val="zh-CN"/>
              </w:rPr>
              <w:t>与本次会议要求有偏离，方案有一定不足</w:t>
            </w:r>
            <w:r>
              <w:rPr>
                <w:rFonts w:hint="eastAsia" w:ascii="宋体" w:hAnsi="宋体"/>
                <w:color w:val="auto"/>
                <w:sz w:val="24"/>
                <w:highlight w:val="none"/>
              </w:rPr>
              <w:t>，各环节安排需进一步完善得</w:t>
            </w:r>
            <w:r>
              <w:rPr>
                <w:rFonts w:ascii="宋体" w:hAnsi="宋体"/>
                <w:color w:val="auto"/>
                <w:sz w:val="24"/>
                <w:highlight w:val="none"/>
              </w:rPr>
              <w:t>1</w:t>
            </w:r>
            <w:r>
              <w:rPr>
                <w:rFonts w:hint="eastAsia" w:ascii="宋体" w:hAnsi="宋体"/>
                <w:color w:val="auto"/>
                <w:sz w:val="24"/>
                <w:highlight w:val="none"/>
              </w:rPr>
              <w:t>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5分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3</w:t>
            </w:r>
            <w:r>
              <w:rPr>
                <w:rFonts w:hint="eastAsia" w:ascii="宋体" w:hAnsi="宋体"/>
                <w:color w:val="auto"/>
                <w:sz w:val="24"/>
                <w:highlight w:val="none"/>
              </w:rPr>
              <w:t>、展览展示(13分)</w:t>
            </w: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（1）展览展示：总体方案合理、平面布局合理、设计方案大气精彩得</w:t>
            </w:r>
            <w:r>
              <w:rPr>
                <w:rFonts w:ascii="宋体" w:hAnsi="宋体"/>
                <w:color w:val="auto"/>
                <w:sz w:val="24"/>
                <w:highlight w:val="none"/>
              </w:rPr>
              <w:t>4</w:t>
            </w:r>
            <w:r>
              <w:rPr>
                <w:rFonts w:hint="eastAsia" w:ascii="宋体" w:hAnsi="宋体"/>
                <w:color w:val="auto"/>
                <w:sz w:val="24"/>
                <w:highlight w:val="none"/>
              </w:rPr>
              <w:t>分；总体方案较为合理、平面布局较为合理、设计方案较为大气精彩、施工管理较为全面得</w:t>
            </w:r>
            <w:r>
              <w:rPr>
                <w:rFonts w:ascii="宋体" w:hAnsi="宋体"/>
                <w:color w:val="auto"/>
                <w:sz w:val="24"/>
                <w:highlight w:val="none"/>
              </w:rPr>
              <w:t>2</w:t>
            </w:r>
            <w:r>
              <w:rPr>
                <w:rFonts w:hint="eastAsia" w:ascii="宋体" w:hAnsi="宋体"/>
                <w:color w:val="auto"/>
                <w:sz w:val="24"/>
                <w:highlight w:val="none"/>
              </w:rPr>
              <w:t>分；总体方案有偏离、平面布局有偏离、设计方案平淡、施工管理有缺失得1分；方案不合理或未提供方案不得分。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kern w:val="0"/>
                <w:sz w:val="24"/>
                <w:highlight w:val="none"/>
              </w:rPr>
              <w:t>公共空间布置（外围氛围布置、背景板制作等）：</w:t>
            </w:r>
            <w:r>
              <w:rPr>
                <w:rFonts w:hint="eastAsia" w:ascii="宋体" w:hAnsi="宋体"/>
                <w:color w:val="auto"/>
                <w:sz w:val="24"/>
                <w:highlight w:val="none"/>
              </w:rPr>
              <w:t>符合本次会议特色，布置氛围好，大气、庄重得4分；布置氛围较好，大气、庄重得</w:t>
            </w:r>
            <w:r>
              <w:rPr>
                <w:rFonts w:ascii="宋体" w:hAnsi="宋体"/>
                <w:color w:val="auto"/>
                <w:sz w:val="24"/>
                <w:highlight w:val="none"/>
              </w:rPr>
              <w:t>2</w:t>
            </w:r>
            <w:r>
              <w:rPr>
                <w:rFonts w:hint="eastAsia" w:ascii="宋体" w:hAnsi="宋体"/>
                <w:color w:val="auto"/>
                <w:sz w:val="24"/>
                <w:highlight w:val="none"/>
              </w:rPr>
              <w:t>分；未能完全体现本次会议特色得</w:t>
            </w:r>
            <w:r>
              <w:rPr>
                <w:rFonts w:ascii="宋体" w:hAnsi="宋体"/>
                <w:color w:val="auto"/>
                <w:sz w:val="24"/>
                <w:highlight w:val="none"/>
              </w:rPr>
              <w:t>1</w:t>
            </w:r>
            <w:r>
              <w:rPr>
                <w:rFonts w:hint="eastAsia" w:ascii="宋体" w:hAnsi="宋体"/>
                <w:color w:val="auto"/>
                <w:sz w:val="24"/>
                <w:highlight w:val="none"/>
              </w:rPr>
              <w:t>分；方案不合理或未提供方案不得分（提供效果图）。</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（3）指示系统设计；符合本次会议特色，合理、清晰得3分；基本满足需求得1分；方案不合理或未提供方案不得分（提供效果图）。</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3分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（4）施工管理方案：管理方案科学、有效得</w:t>
            </w:r>
            <w:r>
              <w:rPr>
                <w:rFonts w:ascii="宋体" w:hAnsi="宋体"/>
                <w:color w:val="auto"/>
                <w:sz w:val="24"/>
                <w:highlight w:val="none"/>
              </w:rPr>
              <w:t>2</w:t>
            </w:r>
            <w:r>
              <w:rPr>
                <w:rFonts w:hint="eastAsia" w:ascii="宋体" w:hAnsi="宋体"/>
                <w:color w:val="auto"/>
                <w:sz w:val="24"/>
                <w:highlight w:val="none"/>
              </w:rPr>
              <w:t>分；基本合理得1分；方案不合理或未提供方案不得分。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4</w:t>
            </w:r>
            <w:r>
              <w:rPr>
                <w:rFonts w:hint="eastAsia" w:ascii="宋体" w:hAnsi="宋体"/>
                <w:color w:val="auto"/>
                <w:sz w:val="24"/>
                <w:highlight w:val="none"/>
              </w:rPr>
              <w:t>、接待服务（14分）</w:t>
            </w: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（1）住宿服务：方案合理可行，符合本次活动要求得4分；住宿方案安排有缺陷，与本次活动要求有偏离得2分；方案不合理或未提供方案不得分。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（2）用餐服务：方案合理可行，符合本次活动规格及规模要求得4分；用餐服务方案安排有缺陷，与本次活动规格及规模要求有偏离得2分；方案不合理或未提供方案不得分。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（3）交通服务：保障方案合理可行，所选车辆车况好，所配备司机经验丰富得4分；交通服务保障方案有缺陷，所选车辆车况不够良好，所配备司机经验有不足得2分；方案不合理或未提供方案不得分。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4分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（4）观摩考察：方案及设计紧扣主题、体现杭州特色，人员物资配备完善得2分；方案及设计较能体现杭州特色，人员物资配备不够完善得1分；严重偏离或未提供方案不得分。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restart"/>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5</w:t>
            </w:r>
            <w:r>
              <w:rPr>
                <w:rFonts w:hint="eastAsia" w:ascii="宋体" w:hAnsi="宋体"/>
                <w:color w:val="auto"/>
                <w:sz w:val="24"/>
                <w:highlight w:val="none"/>
              </w:rPr>
              <w:t>、宣传推广（1</w:t>
            </w:r>
            <w:r>
              <w:rPr>
                <w:rFonts w:ascii="宋体" w:hAnsi="宋体"/>
                <w:color w:val="auto"/>
                <w:sz w:val="24"/>
                <w:highlight w:val="none"/>
              </w:rPr>
              <w:t>0</w:t>
            </w:r>
            <w:r>
              <w:rPr>
                <w:rFonts w:hint="eastAsia" w:ascii="宋体" w:hAnsi="宋体"/>
                <w:color w:val="auto"/>
                <w:sz w:val="24"/>
                <w:highlight w:val="none"/>
              </w:rPr>
              <w:t>分）</w:t>
            </w: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（1）大会整体宣传方案：合理可行，符合本次大会的要求得</w:t>
            </w:r>
            <w:r>
              <w:rPr>
                <w:rFonts w:ascii="宋体" w:hAnsi="宋体"/>
                <w:color w:val="auto"/>
                <w:sz w:val="24"/>
                <w:highlight w:val="none"/>
              </w:rPr>
              <w:t>3</w:t>
            </w:r>
            <w:r>
              <w:rPr>
                <w:rFonts w:hint="eastAsia" w:ascii="宋体" w:hAnsi="宋体"/>
                <w:color w:val="auto"/>
                <w:sz w:val="24"/>
                <w:highlight w:val="none"/>
              </w:rPr>
              <w:t>分；较为合理可行，基本符合本次大会的要求得2分；有缺陷，与本次大会的要求有偏离得</w:t>
            </w:r>
            <w:r>
              <w:rPr>
                <w:rFonts w:ascii="宋体" w:hAnsi="宋体"/>
                <w:color w:val="auto"/>
                <w:sz w:val="24"/>
                <w:highlight w:val="none"/>
              </w:rPr>
              <w:t>1</w:t>
            </w:r>
            <w:r>
              <w:rPr>
                <w:rFonts w:hint="eastAsia" w:ascii="宋体" w:hAnsi="宋体"/>
                <w:color w:val="auto"/>
                <w:sz w:val="24"/>
                <w:highlight w:val="none"/>
              </w:rPr>
              <w:t>分</w:t>
            </w:r>
            <w:r>
              <w:rPr>
                <w:rFonts w:hint="eastAsia" w:ascii="宋体" w:hAnsi="宋体" w:cs="等线"/>
                <w:color w:val="auto"/>
                <w:sz w:val="24"/>
                <w:highlight w:val="none"/>
              </w:rPr>
              <w:t>；未提供不得分，</w:t>
            </w:r>
            <w:r>
              <w:rPr>
                <w:rFonts w:hint="eastAsia" w:ascii="宋体" w:hAnsi="宋体"/>
                <w:color w:val="auto"/>
                <w:sz w:val="24"/>
                <w:highlight w:val="none"/>
              </w:rPr>
              <w:t>投标人需详细列明媒体投放的类型、播出次数等量化数据</w:t>
            </w:r>
            <w:r>
              <w:rPr>
                <w:rFonts w:hint="eastAsia" w:ascii="宋体" w:hAnsi="宋体" w:cs="等线"/>
                <w:color w:val="auto"/>
                <w:sz w:val="24"/>
                <w:highlight w:val="none"/>
              </w:rPr>
              <w:t>。</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本地新闻宣传：所选投放媒体为主流媒体，覆盖面广，传播效应大，能为本次大会提供最大化的宣传效果得2分；所选投放媒体基本为主流媒体，覆盖面较广，传播效应较大，基本能为本次大会提供最大化的宣传效果得1分；所选投放媒体不是主流媒体，覆盖面不够，传播效应不足，不能为本次大会提供最大化的宣传效果或未提供的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（3）新闻发布会：场地选择、搭建、会务服务符合要求得1分；不合理或未提供不得分。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1分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（4）媒体中心建设运营：整体方案设计符合本次大会要求得</w:t>
            </w:r>
            <w:r>
              <w:rPr>
                <w:rFonts w:ascii="宋体" w:hAnsi="宋体"/>
                <w:color w:val="auto"/>
                <w:sz w:val="24"/>
                <w:highlight w:val="none"/>
              </w:rPr>
              <w:t>2</w:t>
            </w:r>
            <w:r>
              <w:rPr>
                <w:rFonts w:hint="eastAsia" w:ascii="宋体" w:hAnsi="宋体"/>
                <w:color w:val="auto"/>
                <w:sz w:val="24"/>
                <w:highlight w:val="none"/>
              </w:rPr>
              <w:t>分；基本符合本次大会要求得1分；有偏离或未提供不得分。</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s="等线"/>
                <w:color w:val="auto"/>
                <w:kern w:val="0"/>
                <w:sz w:val="24"/>
                <w:highlight w:val="none"/>
                <w:lang w:bidi="ar"/>
              </w:rPr>
              <w:t>（5）视频制作：团队专业、脚本精彩、拍摄方案合理得2分；视频制作团队较为专业、脚本较为精彩、拍摄方案较为合理得1分；视频制作团队业余、脚本平淡、拍摄方案有缺失或未提供不得分</w:t>
            </w:r>
            <w:r>
              <w:rPr>
                <w:rFonts w:ascii="宋体" w:hAnsi="宋体" w:cs="等线"/>
                <w:color w:val="auto"/>
                <w:kern w:val="0"/>
                <w:sz w:val="24"/>
                <w:highlight w:val="none"/>
                <w:lang w:bidi="ar"/>
              </w:rPr>
              <w:t>。</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rPr>
                <w:rFonts w:ascii="宋体" w:hAnsi="宋体" w:cs="仿宋_GB2312"/>
                <w:color w:val="auto"/>
                <w:sz w:val="24"/>
                <w:highlight w:val="none"/>
              </w:rPr>
            </w:pPr>
            <w:r>
              <w:rPr>
                <w:rFonts w:ascii="宋体" w:hAnsi="宋体"/>
                <w:color w:val="auto"/>
                <w:sz w:val="24"/>
                <w:highlight w:val="none"/>
              </w:rPr>
              <w:t>6</w:t>
            </w:r>
            <w:r>
              <w:rPr>
                <w:rFonts w:hint="eastAsia" w:ascii="宋体" w:hAnsi="宋体"/>
                <w:color w:val="auto"/>
                <w:sz w:val="24"/>
                <w:highlight w:val="none"/>
              </w:rPr>
              <w:t>、后勤保障（11分）</w:t>
            </w:r>
          </w:p>
        </w:tc>
        <w:tc>
          <w:tcPr>
            <w:tcW w:w="4606" w:type="dxa"/>
            <w:vAlign w:val="center"/>
          </w:tcPr>
          <w:p>
            <w:pPr>
              <w:snapToGrid w:val="0"/>
              <w:spacing w:line="360" w:lineRule="auto"/>
              <w:rPr>
                <w:rFonts w:ascii="宋体" w:hAnsi="宋体"/>
                <w:color w:val="auto"/>
                <w:sz w:val="24"/>
                <w:highlight w:val="none"/>
              </w:rPr>
            </w:pPr>
            <w:r>
              <w:rPr>
                <w:rFonts w:hint="eastAsia" w:ascii="宋体" w:hAnsi="宋体" w:cs="等线"/>
                <w:color w:val="auto"/>
                <w:sz w:val="24"/>
                <w:highlight w:val="none"/>
                <w:lang w:eastAsia="zh-Hans"/>
              </w:rPr>
              <w:t>（</w:t>
            </w:r>
            <w:r>
              <w:rPr>
                <w:rFonts w:hint="eastAsia" w:ascii="宋体" w:hAnsi="宋体" w:cs="等线"/>
                <w:color w:val="auto"/>
                <w:sz w:val="24"/>
                <w:highlight w:val="none"/>
              </w:rPr>
              <w:t>1</w:t>
            </w:r>
            <w:r>
              <w:rPr>
                <w:rFonts w:hint="eastAsia" w:ascii="宋体" w:hAnsi="宋体" w:cs="等线"/>
                <w:color w:val="auto"/>
                <w:sz w:val="24"/>
                <w:highlight w:val="none"/>
                <w:lang w:eastAsia="zh-Hans"/>
              </w:rPr>
              <w:t>）</w:t>
            </w:r>
            <w:r>
              <w:rPr>
                <w:rFonts w:hint="eastAsia" w:ascii="宋体" w:hAnsi="宋体" w:cs="等线"/>
                <w:color w:val="auto"/>
                <w:sz w:val="24"/>
                <w:highlight w:val="none"/>
              </w:rPr>
              <w:t>安全保障：方案全面合理得2分；基本合理</w:t>
            </w:r>
            <w:r>
              <w:rPr>
                <w:rFonts w:hint="eastAsia" w:ascii="宋体" w:hAnsi="宋体" w:cs="等线"/>
                <w:color w:val="auto"/>
                <w:sz w:val="24"/>
                <w:highlight w:val="none"/>
                <w:lang w:eastAsia="zh-Hans"/>
              </w:rPr>
              <w:t>得</w:t>
            </w:r>
            <w:r>
              <w:rPr>
                <w:rFonts w:hint="eastAsia" w:ascii="宋体" w:hAnsi="宋体" w:cs="等线"/>
                <w:color w:val="auto"/>
                <w:sz w:val="24"/>
                <w:highlight w:val="none"/>
              </w:rPr>
              <w:t>1分；不完善或未提供不得分</w:t>
            </w:r>
            <w:r>
              <w:rPr>
                <w:rFonts w:hint="eastAsia" w:ascii="宋体" w:hAnsi="宋体" w:cs="等线"/>
                <w:color w:val="auto"/>
                <w:sz w:val="24"/>
                <w:highlight w:val="none"/>
                <w:lang w:eastAsia="zh-Hans"/>
              </w:rPr>
              <w:t>。</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（2）医疗防疫：工作方案合理</w:t>
            </w:r>
            <w:r>
              <w:rPr>
                <w:rFonts w:hint="eastAsia" w:ascii="宋体" w:hAnsi="宋体" w:cs="等线"/>
                <w:color w:val="auto"/>
                <w:sz w:val="24"/>
                <w:highlight w:val="none"/>
              </w:rPr>
              <w:t>、物资人员配备充分得2分；</w:t>
            </w:r>
            <w:r>
              <w:rPr>
                <w:rFonts w:hint="eastAsia" w:ascii="宋体" w:hAnsi="宋体"/>
                <w:color w:val="auto"/>
                <w:sz w:val="24"/>
                <w:highlight w:val="none"/>
              </w:rPr>
              <w:t>医疗防疫工作方案基本合理</w:t>
            </w:r>
            <w:r>
              <w:rPr>
                <w:rFonts w:hint="eastAsia" w:ascii="宋体" w:hAnsi="宋体" w:cs="等线"/>
                <w:color w:val="auto"/>
                <w:sz w:val="24"/>
                <w:highlight w:val="none"/>
              </w:rPr>
              <w:t>、物资人员配备可行得1分</w:t>
            </w:r>
            <w:r>
              <w:rPr>
                <w:rFonts w:hint="eastAsia" w:ascii="宋体" w:hAnsi="宋体"/>
                <w:color w:val="auto"/>
                <w:sz w:val="24"/>
                <w:highlight w:val="none"/>
              </w:rPr>
              <w:t>；</w:t>
            </w:r>
            <w:r>
              <w:rPr>
                <w:rFonts w:hint="eastAsia" w:ascii="宋体" w:hAnsi="宋体" w:cs="等线"/>
                <w:color w:val="auto"/>
                <w:sz w:val="24"/>
                <w:highlight w:val="none"/>
              </w:rPr>
              <w:t>方案、物资有偏离或未提供不得分。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s="等线"/>
                <w:color w:val="auto"/>
                <w:sz w:val="24"/>
                <w:highlight w:val="none"/>
                <w:lang w:eastAsia="zh-Hans"/>
              </w:rPr>
              <w:t>（</w:t>
            </w:r>
            <w:r>
              <w:rPr>
                <w:rFonts w:hint="eastAsia" w:ascii="宋体" w:hAnsi="宋体" w:cs="等线"/>
                <w:color w:val="auto"/>
                <w:sz w:val="24"/>
                <w:highlight w:val="none"/>
              </w:rPr>
              <w:t>3</w:t>
            </w:r>
            <w:r>
              <w:rPr>
                <w:rFonts w:hint="eastAsia" w:ascii="宋体" w:hAnsi="宋体" w:cs="等线"/>
                <w:color w:val="auto"/>
                <w:sz w:val="24"/>
                <w:highlight w:val="none"/>
                <w:lang w:eastAsia="zh-Hans"/>
              </w:rPr>
              <w:t>）</w:t>
            </w:r>
            <w:r>
              <w:rPr>
                <w:rFonts w:hint="eastAsia" w:ascii="宋体" w:hAnsi="宋体" w:cs="等线"/>
                <w:color w:val="auto"/>
                <w:sz w:val="24"/>
                <w:highlight w:val="none"/>
              </w:rPr>
              <w:t>志愿者服务：培训方案、工作方案合理、服装美观大方、数量符合要求得</w:t>
            </w:r>
            <w:r>
              <w:rPr>
                <w:rFonts w:ascii="宋体" w:hAnsi="宋体" w:cs="等线"/>
                <w:color w:val="auto"/>
                <w:sz w:val="24"/>
                <w:highlight w:val="none"/>
              </w:rPr>
              <w:t>2</w:t>
            </w:r>
            <w:r>
              <w:rPr>
                <w:rFonts w:hint="eastAsia" w:ascii="宋体" w:hAnsi="宋体" w:cs="等线"/>
                <w:color w:val="auto"/>
                <w:sz w:val="24"/>
                <w:highlight w:val="none"/>
              </w:rPr>
              <w:t>分；志愿者培训方案、工作方案较为合理、服装一般、数量有所偏离得1分；不合理或严重偏离、未提供不得分。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Hans"/>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后勤保障：方案合理、设备设施准备齐全得</w:t>
            </w:r>
            <w:r>
              <w:rPr>
                <w:rFonts w:ascii="宋体" w:hAnsi="宋体"/>
                <w:color w:val="auto"/>
                <w:sz w:val="24"/>
                <w:highlight w:val="none"/>
              </w:rPr>
              <w:t>2</w:t>
            </w:r>
            <w:r>
              <w:rPr>
                <w:rFonts w:hint="eastAsia" w:ascii="宋体" w:hAnsi="宋体"/>
                <w:color w:val="auto"/>
                <w:sz w:val="24"/>
                <w:highlight w:val="none"/>
              </w:rPr>
              <w:t>分；后勤保障方案较为合理、设备设施准备不够齐全得1分；方案偏离、设备设施严重缺失，或</w:t>
            </w:r>
            <w:r>
              <w:rPr>
                <w:rFonts w:hint="eastAsia" w:ascii="宋体" w:hAnsi="宋体" w:cs="等线"/>
                <w:color w:val="auto"/>
                <w:sz w:val="24"/>
                <w:highlight w:val="none"/>
              </w:rPr>
              <w:t>未提供不得分。</w:t>
            </w:r>
          </w:p>
        </w:tc>
        <w:tc>
          <w:tcPr>
            <w:tcW w:w="764"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rPr>
                <w:rFonts w:ascii="宋体" w:hAnsi="宋体" w:cs="仿宋_GB2312"/>
                <w:color w:val="auto"/>
                <w:sz w:val="24"/>
                <w:highlight w:val="none"/>
              </w:rPr>
            </w:pP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（5）应急预案：相关预案周到、合理可行得</w:t>
            </w:r>
            <w:r>
              <w:rPr>
                <w:rFonts w:ascii="宋体" w:hAnsi="宋体"/>
                <w:color w:val="auto"/>
                <w:sz w:val="24"/>
                <w:highlight w:val="none"/>
              </w:rPr>
              <w:t>3</w:t>
            </w:r>
            <w:r>
              <w:rPr>
                <w:rFonts w:hint="eastAsia" w:ascii="宋体" w:hAnsi="宋体"/>
                <w:color w:val="auto"/>
                <w:sz w:val="24"/>
                <w:highlight w:val="none"/>
              </w:rPr>
              <w:t>分；相关预案较为周到、合理可行得</w:t>
            </w:r>
            <w:r>
              <w:rPr>
                <w:rFonts w:ascii="宋体" w:hAnsi="宋体"/>
                <w:color w:val="auto"/>
                <w:sz w:val="24"/>
                <w:highlight w:val="none"/>
              </w:rPr>
              <w:t>2</w:t>
            </w:r>
            <w:r>
              <w:rPr>
                <w:rFonts w:hint="eastAsia" w:ascii="宋体" w:hAnsi="宋体"/>
                <w:color w:val="auto"/>
                <w:sz w:val="24"/>
                <w:highlight w:val="none"/>
              </w:rPr>
              <w:t>分；相关预案周密性不够，有一定偏离得</w:t>
            </w:r>
            <w:r>
              <w:rPr>
                <w:rFonts w:ascii="宋体" w:hAnsi="宋体"/>
                <w:color w:val="auto"/>
                <w:sz w:val="24"/>
                <w:highlight w:val="none"/>
              </w:rPr>
              <w:t>1</w:t>
            </w:r>
            <w:r>
              <w:rPr>
                <w:rFonts w:hint="eastAsia" w:ascii="宋体" w:hAnsi="宋体"/>
                <w:color w:val="auto"/>
                <w:sz w:val="24"/>
                <w:highlight w:val="none"/>
              </w:rPr>
              <w:t>分；方案不合理或未提供方案不得分。</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7、人员配备（</w:t>
            </w:r>
            <w:r>
              <w:rPr>
                <w:rFonts w:ascii="宋体" w:hAnsi="宋体" w:cs="仿宋_GB2312"/>
                <w:color w:val="auto"/>
                <w:sz w:val="24"/>
                <w:highlight w:val="none"/>
              </w:rPr>
              <w:t>7</w:t>
            </w:r>
            <w:r>
              <w:rPr>
                <w:rFonts w:hint="eastAsia" w:ascii="宋体" w:hAnsi="宋体" w:cs="仿宋_GB2312"/>
                <w:color w:val="auto"/>
                <w:sz w:val="24"/>
                <w:highlight w:val="none"/>
              </w:rPr>
              <w:t>分）</w:t>
            </w:r>
          </w:p>
        </w:tc>
        <w:tc>
          <w:tcPr>
            <w:tcW w:w="4606" w:type="dxa"/>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拟投入本项目组成员不少于2</w:t>
            </w:r>
            <w:r>
              <w:rPr>
                <w:rFonts w:ascii="宋体" w:hAnsi="宋体"/>
                <w:color w:val="auto"/>
                <w:sz w:val="24"/>
                <w:highlight w:val="none"/>
              </w:rPr>
              <w:t>5</w:t>
            </w:r>
            <w:r>
              <w:rPr>
                <w:rFonts w:hint="eastAsia" w:ascii="宋体" w:hAnsi="宋体"/>
                <w:color w:val="auto"/>
                <w:sz w:val="24"/>
                <w:highlight w:val="none"/>
              </w:rPr>
              <w:t>人得3分，每缺少一人扣1分，扣完为止（提供人员名单及主要项目管理人员简历）。</w:t>
            </w:r>
          </w:p>
          <w:p>
            <w:pPr>
              <w:snapToGrid w:val="0"/>
              <w:spacing w:line="360" w:lineRule="auto"/>
              <w:rPr>
                <w:rFonts w:ascii="宋体" w:hAnsi="宋体"/>
                <w:color w:val="auto"/>
                <w:sz w:val="24"/>
                <w:highlight w:val="none"/>
              </w:rPr>
            </w:pPr>
            <w:r>
              <w:rPr>
                <w:rFonts w:hint="eastAsia" w:ascii="宋体" w:hAnsi="宋体"/>
                <w:color w:val="auto"/>
                <w:sz w:val="24"/>
                <w:highlight w:val="none"/>
              </w:rPr>
              <w:t>项目负责人具有高级职称得2分，没有不得分（提供人员证书扫描件）。</w:t>
            </w:r>
          </w:p>
          <w:p>
            <w:pPr>
              <w:snapToGrid w:val="0"/>
              <w:spacing w:line="360" w:lineRule="auto"/>
              <w:rPr>
                <w:rFonts w:ascii="宋体" w:hAnsi="宋体"/>
                <w:color w:val="auto"/>
                <w:sz w:val="24"/>
                <w:highlight w:val="none"/>
              </w:rPr>
            </w:pPr>
            <w:r>
              <w:rPr>
                <w:rFonts w:hint="eastAsia" w:ascii="宋体" w:hAnsi="宋体"/>
                <w:color w:val="auto"/>
                <w:sz w:val="24"/>
                <w:highlight w:val="none"/>
              </w:rPr>
              <w:t>项目组其他成员（不含项目负责人）具有中级及以上职称人员，每有一个人得</w:t>
            </w:r>
            <w:r>
              <w:rPr>
                <w:rFonts w:ascii="宋体" w:hAnsi="宋体"/>
                <w:color w:val="auto"/>
                <w:sz w:val="24"/>
                <w:highlight w:val="none"/>
              </w:rPr>
              <w:t>0.5</w:t>
            </w:r>
            <w:r>
              <w:rPr>
                <w:rFonts w:hint="eastAsia" w:ascii="宋体" w:hAnsi="宋体"/>
                <w:color w:val="auto"/>
                <w:sz w:val="24"/>
                <w:highlight w:val="none"/>
              </w:rPr>
              <w:t>分，最高</w:t>
            </w:r>
            <w:r>
              <w:rPr>
                <w:rFonts w:ascii="宋体" w:hAnsi="宋体"/>
                <w:color w:val="auto"/>
                <w:sz w:val="24"/>
                <w:highlight w:val="none"/>
              </w:rPr>
              <w:t>2</w:t>
            </w:r>
            <w:r>
              <w:rPr>
                <w:rFonts w:hint="eastAsia" w:ascii="宋体" w:hAnsi="宋体"/>
                <w:color w:val="auto"/>
                <w:sz w:val="24"/>
                <w:highlight w:val="none"/>
              </w:rPr>
              <w:t>分，没有不得分（提供人员证书扫描件）。</w:t>
            </w:r>
          </w:p>
        </w:tc>
        <w:tc>
          <w:tcPr>
            <w:tcW w:w="764" w:type="dxa"/>
            <w:vAlign w:val="center"/>
          </w:tcPr>
          <w:p>
            <w:pPr>
              <w:snapToGrid w:val="0"/>
              <w:spacing w:line="360" w:lineRule="auto"/>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分</w:t>
            </w:r>
          </w:p>
        </w:tc>
        <w:tc>
          <w:tcPr>
            <w:tcW w:w="1147" w:type="dxa"/>
            <w:vAlign w:val="center"/>
          </w:tcPr>
          <w:p>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207" w:type="dxa"/>
            <w:vAlign w:val="center"/>
          </w:tcPr>
          <w:p>
            <w:pPr>
              <w:snapToGrid w:val="0"/>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napToGrid w:val="0"/>
              <w:spacing w:line="360" w:lineRule="auto"/>
              <w:rPr>
                <w:rFonts w:ascii="宋体" w:hAnsi="宋体" w:cs="仿宋_GB2312"/>
                <w:color w:val="auto"/>
                <w:sz w:val="24"/>
                <w:highlight w:val="none"/>
              </w:rPr>
            </w:pPr>
            <w:r>
              <w:rPr>
                <w:rFonts w:ascii="宋体" w:hAnsi="宋体" w:cs="仿宋_GB2312"/>
                <w:color w:val="auto"/>
                <w:sz w:val="24"/>
                <w:highlight w:val="none"/>
              </w:rPr>
              <w:t>8</w:t>
            </w:r>
            <w:r>
              <w:rPr>
                <w:rFonts w:hint="eastAsia" w:ascii="宋体" w:hAnsi="宋体" w:cs="仿宋_GB2312"/>
                <w:color w:val="auto"/>
                <w:sz w:val="24"/>
                <w:highlight w:val="none"/>
              </w:rPr>
              <w:t>、报价（1</w:t>
            </w:r>
            <w:r>
              <w:rPr>
                <w:rFonts w:ascii="宋体" w:hAnsi="宋体" w:cs="仿宋_GB2312"/>
                <w:color w:val="auto"/>
                <w:sz w:val="24"/>
                <w:highlight w:val="none"/>
              </w:rPr>
              <w:t>0</w:t>
            </w:r>
            <w:r>
              <w:rPr>
                <w:rFonts w:hint="eastAsia" w:ascii="宋体" w:hAnsi="宋体" w:cs="仿宋_GB2312"/>
                <w:color w:val="auto"/>
                <w:sz w:val="24"/>
                <w:highlight w:val="none"/>
              </w:rPr>
              <w:t>分）</w:t>
            </w:r>
          </w:p>
        </w:tc>
        <w:tc>
          <w:tcPr>
            <w:tcW w:w="4606" w:type="dxa"/>
            <w:vAlign w:val="center"/>
          </w:tcPr>
          <w:p>
            <w:pPr>
              <w:spacing w:line="360" w:lineRule="auto"/>
              <w:outlineLvl w:val="0"/>
              <w:rPr>
                <w:rFonts w:ascii="宋体" w:hAnsi="宋体" w:cs="仿宋_GB2312"/>
                <w:color w:val="auto"/>
                <w:sz w:val="24"/>
                <w:highlight w:val="none"/>
              </w:rPr>
            </w:pPr>
            <w:r>
              <w:rPr>
                <w:rFonts w:hint="eastAsia" w:ascii="宋体" w:hAnsi="宋体" w:cs="仿宋_GB2312"/>
                <w:color w:val="auto"/>
                <w:sz w:val="24"/>
                <w:highlight w:val="none"/>
              </w:rPr>
              <w:t>有效投标报价的最低价作为评标基准价，其最低报价为满分；按［投标报价得分</w:t>
            </w:r>
            <w:r>
              <w:rPr>
                <w:rFonts w:ascii="宋体" w:hAnsi="宋体" w:cs="仿宋_GB2312"/>
                <w:color w:val="auto"/>
                <w:sz w:val="24"/>
                <w:highlight w:val="none"/>
              </w:rPr>
              <w:t>=（评标基准价/投标报价）*</w:t>
            </w:r>
            <w:r>
              <w:rPr>
                <w:rFonts w:hint="eastAsia" w:ascii="宋体" w:hAnsi="宋体" w:cs="仿宋_GB2312"/>
                <w:color w:val="auto"/>
                <w:sz w:val="24"/>
                <w:highlight w:val="none"/>
              </w:rPr>
              <w:t>权重</w:t>
            </w:r>
            <w:r>
              <w:rPr>
                <w:rFonts w:ascii="宋体" w:hAnsi="宋体" w:cs="仿宋_GB2312"/>
                <w:color w:val="auto"/>
                <w:sz w:val="24"/>
                <w:highlight w:val="none"/>
              </w:rPr>
              <w:t>］的计算公式计算。</w:t>
            </w:r>
          </w:p>
          <w:p>
            <w:pPr>
              <w:widowControl/>
              <w:shd w:val="clear" w:color="auto" w:fill="FFFFFF"/>
              <w:adjustRightInd/>
              <w:spacing w:after="225" w:line="360" w:lineRule="auto"/>
              <w:ind w:firstLine="420"/>
              <w:rPr>
                <w:rFonts w:ascii="宋体" w:hAnsi="宋体" w:cs="仿宋_GB2312"/>
                <w:color w:val="auto"/>
                <w:sz w:val="24"/>
                <w:highlight w:val="none"/>
              </w:rPr>
            </w:pPr>
            <w:r>
              <w:rPr>
                <w:rFonts w:ascii="宋体" w:hAnsi="宋体" w:cs="仿宋_GB2312"/>
                <w:color w:val="auto"/>
                <w:sz w:val="24"/>
                <w:highlight w:val="none"/>
              </w:rPr>
              <w:t>评标过程中，不得去掉报价中的最高报价和最低报价。</w:t>
            </w:r>
          </w:p>
          <w:p>
            <w:pPr>
              <w:widowControl/>
              <w:shd w:val="clear" w:color="auto" w:fill="FFFFFF"/>
              <w:adjustRightInd/>
              <w:spacing w:after="225" w:line="360" w:lineRule="auto"/>
              <w:ind w:firstLine="420"/>
              <w:rPr>
                <w:rFonts w:ascii="宋体" w:hAnsi="宋体"/>
                <w:color w:val="auto"/>
                <w:sz w:val="24"/>
                <w:highlight w:val="none"/>
              </w:rPr>
            </w:pPr>
            <w:r>
              <w:rPr>
                <w:rFonts w:hint="eastAsia" w:ascii="宋体" w:hAnsi="宋体" w:cs="仿宋_GB2312"/>
                <w:color w:val="auto"/>
                <w:sz w:val="24"/>
                <w:highlight w:val="none"/>
              </w:rPr>
              <w:t>对于未预留份额专门面向中小企业的政府采购服务项目，以及预留份额政府采购服务项目中的非预留部分标项，对小型和微型企业的投标报价给予</w:t>
            </w:r>
            <w:r>
              <w:rPr>
                <w:rFonts w:ascii="宋体" w:hAnsi="宋体" w:cs="仿宋_GB2312"/>
                <w:color w:val="auto"/>
                <w:sz w:val="24"/>
                <w:highlight w:val="none"/>
              </w:rPr>
              <w:t>10</w:t>
            </w:r>
            <w:r>
              <w:rPr>
                <w:rFonts w:hint="eastAsia" w:ascii="宋体" w:hAnsi="宋体" w:cs="仿宋_GB2312"/>
                <w:color w:val="auto"/>
                <w:sz w:val="24"/>
                <w:highlight w:val="none"/>
              </w:rPr>
              <w:t>%</w:t>
            </w:r>
            <w:r>
              <w:rPr>
                <w:rFonts w:hint="eastAsia" w:ascii="宋体" w:hAnsi="宋体" w:cs="仿宋_GB2312"/>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仿宋_GB2312"/>
                <w:color w:val="auto"/>
                <w:sz w:val="24"/>
                <w:highlight w:val="none"/>
              </w:rPr>
              <w:t>4</w:t>
            </w:r>
            <w:r>
              <w:rPr>
                <w:rFonts w:hint="eastAsia" w:ascii="宋体" w:hAnsi="宋体" w:cs="仿宋_GB2312"/>
                <w:color w:val="auto"/>
                <w:sz w:val="24"/>
                <w:highlight w:val="none"/>
              </w:rPr>
              <w:t>%</w:t>
            </w:r>
            <w:r>
              <w:rPr>
                <w:rFonts w:hint="eastAsia" w:ascii="宋体" w:hAnsi="宋体" w:cs="仿宋_GB2312"/>
                <w:color w:val="auto"/>
                <w:sz w:val="24"/>
                <w:highlight w:val="none"/>
              </w:rPr>
              <w:t>的扣除，用扣除后的价格参加评审</w:t>
            </w:r>
            <w:r>
              <w:rPr>
                <w:rFonts w:ascii="宋体" w:hAnsi="宋体" w:cs="仿宋_GB2312"/>
                <w:color w:val="auto"/>
                <w:sz w:val="24"/>
                <w:highlight w:val="none"/>
              </w:rPr>
              <w:t>。</w:t>
            </w:r>
          </w:p>
        </w:tc>
        <w:tc>
          <w:tcPr>
            <w:tcW w:w="764" w:type="dxa"/>
            <w:vAlign w:val="center"/>
          </w:tcPr>
          <w:p>
            <w:pPr>
              <w:spacing w:line="360" w:lineRule="auto"/>
              <w:outlineLvl w:val="0"/>
              <w:rPr>
                <w:rFonts w:ascii="宋体" w:hAnsi="宋体" w:cs="仿宋_GB2312"/>
                <w:color w:val="auto"/>
                <w:sz w:val="24"/>
                <w:highlight w:val="none"/>
              </w:rPr>
            </w:pPr>
          </w:p>
        </w:tc>
        <w:tc>
          <w:tcPr>
            <w:tcW w:w="1147" w:type="dxa"/>
            <w:vAlign w:val="center"/>
          </w:tcPr>
          <w:p>
            <w:pPr>
              <w:spacing w:line="360" w:lineRule="auto"/>
              <w:outlineLvl w:val="0"/>
              <w:rPr>
                <w:rFonts w:ascii="宋体" w:hAnsi="宋体" w:cs="仿宋_GB2312"/>
                <w:color w:val="auto"/>
                <w:sz w:val="24"/>
                <w:highlight w:val="none"/>
              </w:rPr>
            </w:pPr>
          </w:p>
        </w:tc>
        <w:tc>
          <w:tcPr>
            <w:tcW w:w="1207" w:type="dxa"/>
            <w:vAlign w:val="center"/>
          </w:tcPr>
          <w:p>
            <w:pPr>
              <w:spacing w:line="360" w:lineRule="auto"/>
              <w:outlineLvl w:val="0"/>
              <w:rPr>
                <w:rFonts w:ascii="宋体" w:hAnsi="宋体" w:cs="仿宋_GB2312"/>
                <w:color w:val="auto"/>
                <w:sz w:val="24"/>
                <w:highlight w:val="none"/>
              </w:rPr>
            </w:pPr>
            <w:r>
              <w:rPr>
                <w:rFonts w:ascii="宋体" w:hAnsi="宋体" w:cs="仿宋_GB2312"/>
                <w:color w:val="auto"/>
                <w:sz w:val="24"/>
                <w:highlight w:val="none"/>
              </w:rPr>
              <w:t>/</w:t>
            </w:r>
          </w:p>
        </w:tc>
      </w:tr>
    </w:tbl>
    <w:p>
      <w:pPr>
        <w:spacing w:line="360" w:lineRule="auto"/>
        <w:rPr>
          <w:rFonts w:ascii="宋体" w:hAnsi="宋体"/>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409" w:name="第五部分"/>
      <w:bookmarkStart w:id="410"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rFonts w:ascii="宋体" w:hAnsi="宋体" w:eastAsia="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rPr>
        <w:t>杭州市统计局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rPr>
        <w:t>第四届联合国世界数据论坛实施与综合保障</w:t>
      </w:r>
      <w:r>
        <w:rPr>
          <w:rFonts w:hint="eastAsia" w:ascii="宋体" w:hAnsi="宋体"/>
          <w:color w:val="auto"/>
          <w:sz w:val="24"/>
          <w:highlight w:val="none"/>
        </w:rPr>
        <w:t>项目进行了采购。经评定，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杭州市统计局</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11" w:name="_Toc19273"/>
      <w:bookmarkStart w:id="412" w:name="_Toc15367"/>
      <w:bookmarkStart w:id="413" w:name="_Toc20421"/>
      <w:bookmarkStart w:id="414" w:name="_Toc22967"/>
      <w:bookmarkStart w:id="415"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11"/>
      <w:bookmarkEnd w:id="412"/>
      <w:bookmarkEnd w:id="413"/>
      <w:bookmarkEnd w:id="414"/>
      <w:bookmarkEnd w:id="41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16" w:name="_Toc2918"/>
      <w:bookmarkStart w:id="417" w:name="_Toc6773"/>
      <w:bookmarkStart w:id="418" w:name="_Toc18585"/>
      <w:bookmarkStart w:id="419" w:name="_Toc6311"/>
      <w:bookmarkStart w:id="420"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16"/>
      <w:bookmarkEnd w:id="417"/>
      <w:bookmarkEnd w:id="418"/>
      <w:bookmarkEnd w:id="419"/>
      <w:bookmarkEnd w:id="42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标的</w:t>
      </w:r>
      <w:r>
        <w:rPr>
          <w:rFonts w:ascii="宋体" w:hAnsi="宋体"/>
          <w:color w:val="auto"/>
          <w:sz w:val="24"/>
          <w:highlight w:val="none"/>
        </w:rPr>
        <w:t>名称：</w:t>
      </w:r>
      <w:r>
        <w:rPr>
          <w:rFonts w:hint="eastAsia" w:ascii="宋体" w:hAnsi="宋体"/>
          <w:color w:val="auto"/>
          <w:sz w:val="24"/>
          <w:highlight w:val="none"/>
        </w:rPr>
        <w:t>第四届联合国世界数据论坛实施与综合保障项目；</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标的</w:t>
      </w:r>
      <w:r>
        <w:rPr>
          <w:rFonts w:ascii="宋体" w:hAnsi="宋体"/>
          <w:color w:val="auto"/>
          <w:sz w:val="24"/>
          <w:highlight w:val="none"/>
        </w:rPr>
        <w:t>数量：</w:t>
      </w:r>
      <w:r>
        <w:rPr>
          <w:rFonts w:hint="eastAsia" w:ascii="宋体" w:hAnsi="宋体"/>
          <w:color w:val="auto"/>
          <w:sz w:val="24"/>
          <w:highlight w:val="none"/>
          <w:u w:val="single"/>
        </w:rPr>
        <w:t>1项</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标的质量：</w:t>
      </w:r>
      <w:r>
        <w:rPr>
          <w:rFonts w:hint="eastAsia" w:ascii="宋体" w:hAnsi="宋体"/>
          <w:color w:val="auto"/>
          <w:sz w:val="24"/>
          <w:highlight w:val="none"/>
          <w:u w:val="single"/>
        </w:rPr>
        <w:t>按相关标准执行</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21" w:name="_Toc21124"/>
      <w:bookmarkStart w:id="422" w:name="_Toc1386"/>
      <w:bookmarkStart w:id="423" w:name="_Toc5635"/>
      <w:bookmarkStart w:id="424" w:name="_Toc4929"/>
      <w:bookmarkStart w:id="425" w:name="_Toc13918"/>
      <w:r>
        <w:rPr>
          <w:rFonts w:ascii="宋体" w:hAnsi="宋体"/>
          <w:b/>
          <w:color w:val="auto"/>
          <w:sz w:val="24"/>
          <w:highlight w:val="none"/>
        </w:rPr>
        <w:t>1.3 价款</w:t>
      </w:r>
      <w:bookmarkEnd w:id="421"/>
      <w:bookmarkEnd w:id="422"/>
      <w:bookmarkEnd w:id="423"/>
      <w:bookmarkEnd w:id="424"/>
      <w:bookmarkEnd w:id="425"/>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2" w:firstLineChars="200"/>
        <w:outlineLvl w:val="0"/>
        <w:rPr>
          <w:rFonts w:ascii="宋体" w:hAnsi="宋体"/>
          <w:b/>
          <w:color w:val="auto"/>
          <w:sz w:val="24"/>
          <w:highlight w:val="none"/>
        </w:rPr>
      </w:pPr>
      <w:bookmarkStart w:id="426" w:name="_Toc3654"/>
      <w:bookmarkStart w:id="427" w:name="_Toc30506"/>
      <w:bookmarkStart w:id="428" w:name="_Toc30158"/>
      <w:bookmarkStart w:id="429" w:name="_Toc14993"/>
      <w:bookmarkStart w:id="430" w:name="_Toc26916"/>
      <w:r>
        <w:rPr>
          <w:rFonts w:ascii="宋体" w:hAnsi="宋体"/>
          <w:b/>
          <w:color w:val="auto"/>
          <w:sz w:val="24"/>
          <w:highlight w:val="none"/>
        </w:rPr>
        <w:t>1.4 付款方式和发票开具方式</w:t>
      </w:r>
      <w:bookmarkEnd w:id="426"/>
      <w:bookmarkEnd w:id="427"/>
      <w:bookmarkEnd w:id="428"/>
      <w:bookmarkEnd w:id="429"/>
      <w:bookmarkEnd w:id="430"/>
    </w:p>
    <w:p>
      <w:pPr>
        <w:pStyle w:val="957"/>
        <w:spacing w:before="0" w:beforeAutospacing="0" w:after="0" w:afterAutospacing="0" w:line="360" w:lineRule="auto"/>
        <w:ind w:firstLine="480"/>
        <w:rPr>
          <w:rFonts w:cs="Times New Roman"/>
          <w:color w:val="auto"/>
          <w:highlight w:val="none"/>
        </w:rPr>
      </w:pPr>
      <w:r>
        <w:rPr>
          <w:rFonts w:cs="Times New Roman"/>
          <w:color w:val="auto"/>
          <w:highlight w:val="none"/>
        </w:rPr>
        <w:t>1.4.1</w:t>
      </w:r>
      <w:r>
        <w:rPr>
          <w:rFonts w:hint="eastAsia" w:cs="Times New Roman"/>
          <w:color w:val="auto"/>
          <w:highlight w:val="none"/>
        </w:rPr>
        <w:t>甲方应严格履行合同，及时组织验收，验收合格后及时将合同款支付完毕。对于满足合同约定支付条件的，甲方自收到发票后</w:t>
      </w:r>
      <w:r>
        <w:rPr>
          <w:rFonts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合同预付款比例为合同金额的</w:t>
      </w:r>
      <w:r>
        <w:rPr>
          <w:rFonts w:ascii="宋体" w:hAnsi="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政府采购工程以及与工程建设有关的货物、服务，采用招标方式采购的，预付款从其相关规定。乙方可登录政采云前台大厅选择金融服务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甲方迟延支付乙方款项的，向乙方支付逾期利息。双方可以在合同专用条款中约定逾期利率，约定利率不得低于合同订立时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color w:val="auto"/>
          <w:sz w:val="24"/>
          <w:highlight w:val="none"/>
        </w:rPr>
      </w:pPr>
      <w:r>
        <w:rPr>
          <w:rFonts w:ascii="宋体" w:hAnsi="宋体"/>
          <w:color w:val="auto"/>
          <w:sz w:val="24"/>
          <w:highlight w:val="none"/>
        </w:rPr>
        <w:t>1.4.4资金支付的方式、时间和条件详见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color w:val="auto"/>
          <w:sz w:val="24"/>
          <w:highlight w:val="none"/>
        </w:rPr>
      </w:pPr>
      <w:r>
        <w:rPr>
          <w:rFonts w:ascii="宋体" w:hAnsi="宋体"/>
          <w:color w:val="auto"/>
          <w:sz w:val="24"/>
          <w:highlight w:val="none"/>
        </w:rPr>
        <w:t>1.4.5</w:t>
      </w:r>
      <w:r>
        <w:rPr>
          <w:rFonts w:hint="eastAsia" w:ascii="宋体" w:hAnsi="宋体"/>
          <w:color w:val="auto"/>
          <w:sz w:val="24"/>
          <w:highlight w:val="none"/>
        </w:rPr>
        <w:t>乙方</w:t>
      </w:r>
      <w:r>
        <w:rPr>
          <w:rFonts w:ascii="宋体" w:hAnsi="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color w:val="auto"/>
          <w:sz w:val="24"/>
          <w:highlight w:val="none"/>
        </w:rPr>
        <w:t>杭财采监〔</w:t>
      </w:r>
      <w:r>
        <w:rPr>
          <w:rFonts w:ascii="宋体" w:hAnsi="宋体"/>
          <w:color w:val="auto"/>
          <w:sz w:val="24"/>
          <w:highlight w:val="none"/>
        </w:rPr>
        <w:t>2021〕17号）。</w:t>
      </w:r>
    </w:p>
    <w:p>
      <w:pPr>
        <w:spacing w:line="560" w:lineRule="exact"/>
        <w:ind w:firstLine="482" w:firstLineChars="200"/>
        <w:outlineLvl w:val="0"/>
        <w:rPr>
          <w:rFonts w:ascii="宋体" w:hAnsi="宋体"/>
          <w:b/>
          <w:color w:val="auto"/>
          <w:sz w:val="24"/>
          <w:highlight w:val="none"/>
        </w:rPr>
      </w:pPr>
      <w:bookmarkStart w:id="431" w:name="_Toc3625"/>
      <w:bookmarkStart w:id="432" w:name="_Toc8772"/>
      <w:bookmarkStart w:id="433" w:name="_Toc31421"/>
      <w:bookmarkStart w:id="434" w:name="_Toc11108"/>
      <w:bookmarkStart w:id="435" w:name="_Toc4760"/>
      <w:r>
        <w:rPr>
          <w:rFonts w:ascii="宋体" w:hAnsi="宋体"/>
          <w:b/>
          <w:color w:val="auto"/>
          <w:sz w:val="24"/>
          <w:highlight w:val="none"/>
        </w:rPr>
        <w:t>1.5 履行期限</w:t>
      </w:r>
      <w:r>
        <w:rPr>
          <w:rFonts w:hint="eastAsia" w:ascii="宋体" w:hAnsi="宋体"/>
          <w:b/>
          <w:color w:val="auto"/>
          <w:sz w:val="24"/>
          <w:highlight w:val="none"/>
        </w:rPr>
        <w:t>、地点和方式</w:t>
      </w:r>
      <w:bookmarkEnd w:id="431"/>
      <w:bookmarkEnd w:id="432"/>
      <w:bookmarkEnd w:id="433"/>
      <w:bookmarkEnd w:id="434"/>
      <w:bookmarkEnd w:id="43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1.5.1 </w:t>
      </w:r>
      <w:r>
        <w:rPr>
          <w:rFonts w:hint="eastAsia" w:ascii="宋体" w:hAnsi="宋体"/>
          <w:color w:val="auto"/>
          <w:sz w:val="24"/>
          <w:highlight w:val="none"/>
        </w:rPr>
        <w:t>履行期限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履行地点</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履行方式：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2" w:firstLineChars="200"/>
        <w:outlineLvl w:val="0"/>
        <w:rPr>
          <w:rFonts w:ascii="宋体" w:hAnsi="宋体"/>
          <w:color w:val="auto"/>
          <w:sz w:val="24"/>
          <w:highlight w:val="none"/>
          <w:u w:val="single"/>
        </w:rPr>
      </w:pPr>
      <w:bookmarkStart w:id="436" w:name="_Toc5698"/>
      <w:bookmarkStart w:id="437" w:name="_Toc2375"/>
      <w:bookmarkStart w:id="438" w:name="_Toc24662"/>
      <w:bookmarkStart w:id="439" w:name="_Toc3079"/>
      <w:bookmarkStart w:id="440" w:name="_Toc8586"/>
      <w:r>
        <w:rPr>
          <w:rFonts w:ascii="宋体" w:hAnsi="宋体"/>
          <w:b/>
          <w:color w:val="auto"/>
          <w:sz w:val="24"/>
          <w:highlight w:val="none"/>
        </w:rPr>
        <w:t xml:space="preserve">1.6 </w:t>
      </w:r>
      <w:r>
        <w:rPr>
          <w:rFonts w:hint="eastAsia" w:ascii="宋体" w:hAnsi="宋体"/>
          <w:b/>
          <w:color w:val="auto"/>
          <w:sz w:val="24"/>
          <w:highlight w:val="none"/>
        </w:rPr>
        <w:t>违约责任</w:t>
      </w:r>
      <w:bookmarkEnd w:id="436"/>
      <w:bookmarkEnd w:id="437"/>
      <w:bookmarkEnd w:id="438"/>
      <w:bookmarkEnd w:id="439"/>
      <w:bookmarkEnd w:id="440"/>
    </w:p>
    <w:p>
      <w:pPr>
        <w:spacing w:line="560" w:lineRule="exact"/>
        <w:ind w:firstLine="480" w:firstLineChars="200"/>
        <w:rPr>
          <w:rFonts w:ascii="宋体" w:hAnsi="宋体"/>
          <w:color w:val="auto"/>
          <w:sz w:val="24"/>
          <w:highlight w:val="none"/>
        </w:rPr>
      </w:pPr>
      <w:r>
        <w:rPr>
          <w:rFonts w:ascii="宋体" w:hAnsi="宋体"/>
          <w:color w:val="auto"/>
          <w:sz w:val="24"/>
          <w:highlight w:val="none"/>
        </w:rPr>
        <w:t>1.6.1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1.6.2 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1.6.6 </w:t>
      </w:r>
      <w:r>
        <w:rPr>
          <w:rFonts w:hint="eastAsia" w:ascii="宋体" w:hAnsi="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olor w:val="auto"/>
          <w:highlight w:val="none"/>
        </w:rPr>
      </w:pPr>
      <w:r>
        <w:rPr>
          <w:rFonts w:ascii="宋体" w:hAnsi="宋体"/>
          <w:color w:val="auto"/>
          <w:sz w:val="24"/>
          <w:highlight w:val="none"/>
        </w:rPr>
        <w:t>1.6.7违约责任</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另有约定的，从其约定。</w:t>
      </w:r>
    </w:p>
    <w:p>
      <w:pPr>
        <w:spacing w:line="560" w:lineRule="exact"/>
        <w:ind w:firstLine="482" w:firstLineChars="200"/>
        <w:outlineLvl w:val="0"/>
        <w:rPr>
          <w:rFonts w:ascii="宋体" w:hAnsi="宋体"/>
          <w:b/>
          <w:color w:val="auto"/>
          <w:sz w:val="24"/>
          <w:highlight w:val="none"/>
        </w:rPr>
      </w:pPr>
      <w:bookmarkStart w:id="441" w:name="_Toc30329"/>
      <w:bookmarkStart w:id="442" w:name="_Toc9497"/>
      <w:bookmarkStart w:id="443" w:name="_Toc18683"/>
      <w:bookmarkStart w:id="444" w:name="_Toc32454"/>
      <w:bookmarkStart w:id="445" w:name="_Toc26807"/>
      <w:r>
        <w:rPr>
          <w:rFonts w:ascii="宋体" w:hAnsi="宋体"/>
          <w:b/>
          <w:color w:val="auto"/>
          <w:sz w:val="24"/>
          <w:highlight w:val="none"/>
        </w:rPr>
        <w:t xml:space="preserve">1.7 </w:t>
      </w:r>
      <w:r>
        <w:rPr>
          <w:rFonts w:hint="eastAsia" w:ascii="宋体" w:hAnsi="宋体"/>
          <w:b/>
          <w:color w:val="auto"/>
          <w:sz w:val="24"/>
          <w:highlight w:val="none"/>
        </w:rPr>
        <w:t>合同</w:t>
      </w:r>
      <w:r>
        <w:rPr>
          <w:rFonts w:ascii="宋体" w:hAnsi="宋体"/>
          <w:b/>
          <w:color w:val="auto"/>
          <w:sz w:val="24"/>
          <w:highlight w:val="none"/>
        </w:rPr>
        <w:t>争议的解决</w:t>
      </w:r>
      <w:bookmarkEnd w:id="441"/>
      <w:bookmarkEnd w:id="442"/>
      <w:bookmarkEnd w:id="443"/>
      <w:bookmarkEnd w:id="444"/>
      <w:bookmarkEnd w:id="445"/>
    </w:p>
    <w:p>
      <w:pPr>
        <w:spacing w:line="560" w:lineRule="exact"/>
        <w:ind w:left="-61" w:leftChars="-29" w:right="-420" w:rightChars="-200" w:firstLine="240" w:firstLineChars="1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本合同履行过程中发生的任何争议，双方当事人均可通过和解或者调解解决；不愿和解、调解或者和解、调解不成的，可以选择以下第</w:t>
      </w:r>
      <w:r>
        <w:rPr>
          <w:rFonts w:ascii="宋体" w:hAnsi="宋体"/>
          <w:b/>
          <w:i/>
          <w:color w:val="auto"/>
          <w:sz w:val="24"/>
          <w:highlight w:val="none"/>
          <w:u w:val="single"/>
        </w:rPr>
        <w:t xml:space="preserve"> 合同专用条款  </w:t>
      </w:r>
      <w:r>
        <w:rPr>
          <w:rFonts w:hint="eastAsia" w:ascii="宋体" w:hAnsi="宋体"/>
          <w:color w:val="auto"/>
          <w:sz w:val="24"/>
          <w:highlight w:val="none"/>
        </w:rPr>
        <w:t>条款规定的方式解决：</w:t>
      </w:r>
    </w:p>
    <w:p>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将争议提交</w:t>
      </w:r>
      <w:r>
        <w:rPr>
          <w:rFonts w:hint="eastAsia" w:ascii="宋体" w:hAnsi="宋体"/>
          <w:b/>
          <w:i/>
          <w:color w:val="auto"/>
          <w:sz w:val="24"/>
          <w:highlight w:val="none"/>
          <w:u w:val="single"/>
        </w:rPr>
        <w:t>合同专用条款</w:t>
      </w:r>
      <w:r>
        <w:rPr>
          <w:rFonts w:hint="eastAsia" w:ascii="宋体" w:hAnsi="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向</w:t>
      </w:r>
      <w:r>
        <w:rPr>
          <w:rFonts w:hint="eastAsia" w:ascii="宋体" w:hAnsi="宋体"/>
          <w:b/>
          <w:i/>
          <w:color w:val="auto"/>
          <w:sz w:val="24"/>
          <w:highlight w:val="none"/>
          <w:u w:val="single"/>
        </w:rPr>
        <w:t>合同专用条款</w:t>
      </w:r>
      <w:r>
        <w:rPr>
          <w:rFonts w:hint="eastAsia" w:ascii="宋体" w:hAnsi="宋体"/>
          <w:color w:val="auto"/>
          <w:sz w:val="24"/>
          <w:highlight w:val="none"/>
        </w:rPr>
        <w:t>人民法院起诉。</w:t>
      </w:r>
    </w:p>
    <w:p>
      <w:pPr>
        <w:spacing w:line="560" w:lineRule="exact"/>
        <w:ind w:firstLine="241" w:firstLineChars="100"/>
        <w:outlineLvl w:val="0"/>
        <w:rPr>
          <w:rFonts w:ascii="宋体" w:hAnsi="宋体"/>
          <w:b/>
          <w:color w:val="auto"/>
          <w:sz w:val="24"/>
          <w:highlight w:val="none"/>
        </w:rPr>
      </w:pPr>
      <w:bookmarkStart w:id="446" w:name="_Toc26227"/>
      <w:bookmarkStart w:id="447" w:name="_Toc16417"/>
      <w:bookmarkStart w:id="448" w:name="_Toc23784"/>
      <w:bookmarkStart w:id="449" w:name="_Toc15827"/>
      <w:bookmarkStart w:id="450" w:name="_Toc12273"/>
      <w:r>
        <w:rPr>
          <w:rFonts w:ascii="宋体" w:hAnsi="宋体"/>
          <w:b/>
          <w:color w:val="auto"/>
          <w:sz w:val="24"/>
          <w:highlight w:val="none"/>
        </w:rPr>
        <w:t>1.8 合同生效</w:t>
      </w:r>
      <w:bookmarkEnd w:id="446"/>
      <w:bookmarkEnd w:id="447"/>
      <w:bookmarkEnd w:id="448"/>
      <w:bookmarkEnd w:id="449"/>
      <w:bookmarkEnd w:id="450"/>
    </w:p>
    <w:p>
      <w:pPr>
        <w:spacing w:line="560" w:lineRule="exact"/>
        <w:ind w:firstLine="480" w:firstLineChars="200"/>
        <w:rPr>
          <w:rFonts w:ascii="宋体" w:hAnsi="宋体"/>
          <w:b/>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双方当事人盖章或者签字时</w:t>
      </w:r>
      <w:r>
        <w:rPr>
          <w:rFonts w:ascii="宋体" w:hAnsi="宋体"/>
          <w:color w:val="auto"/>
          <w:sz w:val="24"/>
          <w:highlight w:val="none"/>
        </w:rPr>
        <w:t>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51" w:name="_Toc14021"/>
      <w:bookmarkStart w:id="452" w:name="_Toc5228"/>
      <w:bookmarkStart w:id="453" w:name="_Toc25079"/>
      <w:bookmarkStart w:id="454" w:name="_Toc31297"/>
      <w:bookmarkStart w:id="455" w:name="_Toc19680"/>
      <w:r>
        <w:rPr>
          <w:rFonts w:ascii="宋体" w:hAnsi="宋体"/>
          <w:b/>
          <w:color w:val="auto"/>
          <w:sz w:val="24"/>
          <w:highlight w:val="none"/>
        </w:rPr>
        <w:t>2.1 定义</w:t>
      </w:r>
      <w:bookmarkEnd w:id="451"/>
      <w:bookmarkEnd w:id="452"/>
      <w:bookmarkEnd w:id="453"/>
      <w:bookmarkEnd w:id="454"/>
      <w:bookmarkEnd w:id="455"/>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olor w:val="auto"/>
          <w:sz w:val="24"/>
          <w:highlight w:val="none"/>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56" w:name="_Toc19539"/>
      <w:bookmarkStart w:id="457" w:name="_Toc23289"/>
      <w:bookmarkStart w:id="458" w:name="_Toc16752"/>
      <w:bookmarkStart w:id="459" w:name="_Toc3769"/>
      <w:bookmarkStart w:id="460" w:name="_Toc31402"/>
      <w:r>
        <w:rPr>
          <w:rFonts w:ascii="宋体" w:hAnsi="宋体"/>
          <w:b/>
          <w:color w:val="auto"/>
          <w:sz w:val="24"/>
          <w:highlight w:val="none"/>
        </w:rPr>
        <w:t>2.2 技术规范</w:t>
      </w:r>
      <w:bookmarkEnd w:id="456"/>
      <w:bookmarkEnd w:id="457"/>
      <w:bookmarkEnd w:id="458"/>
      <w:bookmarkEnd w:id="459"/>
      <w:bookmarkEnd w:id="46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61" w:name="_Toc27945"/>
      <w:bookmarkStart w:id="462" w:name="_Toc13673"/>
      <w:bookmarkStart w:id="463" w:name="_Toc12412"/>
      <w:bookmarkStart w:id="464" w:name="_Toc4133"/>
      <w:bookmarkStart w:id="465" w:name="_Toc9161"/>
      <w:r>
        <w:rPr>
          <w:rFonts w:ascii="宋体" w:hAnsi="宋体"/>
          <w:b/>
          <w:color w:val="auto"/>
          <w:sz w:val="24"/>
          <w:highlight w:val="none"/>
        </w:rPr>
        <w:t>2.3 知识产权</w:t>
      </w:r>
      <w:bookmarkEnd w:id="461"/>
      <w:bookmarkEnd w:id="462"/>
      <w:bookmarkEnd w:id="463"/>
      <w:bookmarkEnd w:id="464"/>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因履行本合同形成的技术成果的归属和收益的分成办法的，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66" w:name="_Toc26555"/>
      <w:bookmarkStart w:id="467" w:name="_Toc22011"/>
      <w:bookmarkStart w:id="468" w:name="_Toc31233"/>
      <w:bookmarkStart w:id="469" w:name="_Toc32670"/>
      <w:bookmarkStart w:id="470" w:name="_Toc15447"/>
      <w:r>
        <w:rPr>
          <w:rFonts w:ascii="宋体" w:hAnsi="宋体"/>
          <w:b/>
          <w:color w:val="auto"/>
          <w:sz w:val="24"/>
          <w:highlight w:val="none"/>
        </w:rPr>
        <w:t>2.5 结算方式和付款条件</w:t>
      </w:r>
      <w:bookmarkEnd w:id="466"/>
      <w:bookmarkEnd w:id="467"/>
      <w:bookmarkEnd w:id="468"/>
      <w:bookmarkEnd w:id="469"/>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1" w:name="_Toc13467"/>
      <w:bookmarkStart w:id="472" w:name="_Toc13154"/>
      <w:bookmarkStart w:id="473" w:name="_Toc16163"/>
      <w:bookmarkStart w:id="474" w:name="_Toc30507"/>
      <w:bookmarkStart w:id="475" w:name="_Toc18990"/>
      <w:r>
        <w:rPr>
          <w:rFonts w:ascii="宋体" w:hAnsi="宋体"/>
          <w:b/>
          <w:color w:val="auto"/>
          <w:sz w:val="24"/>
          <w:highlight w:val="none"/>
        </w:rPr>
        <w:t>2.6 技术资料和保密义务</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7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在合同履行过程中，如果乙方遇到不能按时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7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9" w:name="_Toc26689"/>
      <w:bookmarkStart w:id="480" w:name="_Toc42"/>
      <w:bookmarkStart w:id="481" w:name="_Toc21830"/>
      <w:bookmarkStart w:id="482" w:name="_Toc23368"/>
      <w:bookmarkStart w:id="483" w:name="_Toc10663"/>
      <w:r>
        <w:rPr>
          <w:rFonts w:ascii="宋体" w:hAnsi="宋体"/>
          <w:b/>
          <w:color w:val="auto"/>
          <w:sz w:val="24"/>
          <w:highlight w:val="none"/>
        </w:rPr>
        <w:t>2.10 合同转让和分包</w:t>
      </w:r>
      <w:bookmarkEnd w:id="479"/>
      <w:bookmarkEnd w:id="480"/>
      <w:bookmarkEnd w:id="481"/>
      <w:bookmarkEnd w:id="482"/>
      <w:bookmarkEnd w:id="483"/>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84" w:name="_Toc14371"/>
      <w:bookmarkStart w:id="485" w:name="_Toc4720"/>
      <w:bookmarkStart w:id="486" w:name="_Toc26633"/>
      <w:bookmarkStart w:id="487" w:name="_Toc25571"/>
      <w:bookmarkStart w:id="488" w:name="_Toc32494"/>
      <w:r>
        <w:rPr>
          <w:rFonts w:ascii="宋体" w:hAnsi="宋体"/>
          <w:b/>
          <w:color w:val="auto"/>
          <w:sz w:val="24"/>
          <w:highlight w:val="none"/>
        </w:rPr>
        <w:t>2.11 不可抗力</w:t>
      </w:r>
      <w:bookmarkEnd w:id="484"/>
      <w:bookmarkEnd w:id="485"/>
      <w:bookmarkEnd w:id="486"/>
      <w:bookmarkEnd w:id="487"/>
      <w:bookmarkEnd w:id="488"/>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9" w:name="_Toc23854"/>
      <w:bookmarkStart w:id="490" w:name="_Toc3638"/>
      <w:bookmarkStart w:id="491" w:name="_Toc24465"/>
      <w:bookmarkStart w:id="492" w:name="_Toc14115"/>
      <w:bookmarkStart w:id="493" w:name="_Toc25783"/>
      <w:r>
        <w:rPr>
          <w:rFonts w:ascii="宋体" w:hAnsi="宋体"/>
          <w:b/>
          <w:color w:val="auto"/>
          <w:sz w:val="24"/>
          <w:highlight w:val="none"/>
        </w:rPr>
        <w:t>2.12 税费</w:t>
      </w:r>
      <w:bookmarkEnd w:id="489"/>
      <w:bookmarkEnd w:id="490"/>
      <w:bookmarkEnd w:id="491"/>
      <w:bookmarkEnd w:id="492"/>
      <w:bookmarkEnd w:id="493"/>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94" w:name="_Toc26883"/>
      <w:bookmarkStart w:id="495" w:name="_Toc25525"/>
      <w:bookmarkStart w:id="496" w:name="_Toc7315"/>
      <w:bookmarkStart w:id="497" w:name="_Toc14814"/>
      <w:bookmarkStart w:id="498" w:name="_Toc30105"/>
      <w:r>
        <w:rPr>
          <w:rFonts w:ascii="宋体" w:hAnsi="宋体"/>
          <w:b/>
          <w:color w:val="auto"/>
          <w:sz w:val="24"/>
          <w:highlight w:val="none"/>
        </w:rPr>
        <w:t>2.13 乙方破产</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9" w:name="_Toc2016"/>
      <w:bookmarkStart w:id="500" w:name="_Toc1123"/>
      <w:bookmarkStart w:id="501" w:name="_Toc23323"/>
      <w:r>
        <w:rPr>
          <w:rFonts w:ascii="宋体" w:hAnsi="宋体"/>
          <w:b/>
          <w:color w:val="auto"/>
          <w:sz w:val="24"/>
          <w:highlight w:val="none"/>
        </w:rPr>
        <w:t>2.14 合同中止、终止</w:t>
      </w:r>
      <w:bookmarkEnd w:id="499"/>
      <w:bookmarkEnd w:id="500"/>
      <w:bookmarkEnd w:id="50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502" w:name="_Toc14525"/>
      <w:bookmarkStart w:id="503" w:name="_Toc17363"/>
      <w:bookmarkStart w:id="504" w:name="_Toc1969"/>
      <w:r>
        <w:rPr>
          <w:rFonts w:ascii="宋体" w:hAnsi="宋体"/>
          <w:b/>
          <w:color w:val="auto"/>
          <w:sz w:val="24"/>
          <w:highlight w:val="none"/>
        </w:rPr>
        <w:t>2.15 检验和验收</w:t>
      </w:r>
      <w:bookmarkEnd w:id="502"/>
      <w:bookmarkEnd w:id="503"/>
      <w:bookmarkEnd w:id="504"/>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505" w:name="_Toc25198"/>
      <w:bookmarkStart w:id="506" w:name="_Toc12666"/>
      <w:bookmarkStart w:id="507" w:name="_Toc9808"/>
      <w:bookmarkStart w:id="508" w:name="_Toc2308"/>
      <w:bookmarkStart w:id="509" w:name="_Toc31892"/>
      <w:r>
        <w:rPr>
          <w:rFonts w:ascii="宋体" w:hAnsi="宋体"/>
          <w:b/>
          <w:color w:val="auto"/>
          <w:sz w:val="24"/>
          <w:highlight w:val="none"/>
        </w:rPr>
        <w:t>2.16 通知和送达</w:t>
      </w:r>
      <w:bookmarkEnd w:id="505"/>
      <w:bookmarkEnd w:id="506"/>
      <w:bookmarkEnd w:id="507"/>
      <w:bookmarkEnd w:id="508"/>
      <w:bookmarkEnd w:id="509"/>
    </w:p>
    <w:p>
      <w:pPr>
        <w:spacing w:line="560" w:lineRule="exact"/>
        <w:ind w:firstLine="480" w:firstLineChars="200"/>
        <w:rPr>
          <w:rFonts w:ascii="宋体" w:hAnsi="宋体"/>
          <w:color w:val="auto"/>
          <w:sz w:val="24"/>
          <w:highlight w:val="none"/>
        </w:rPr>
      </w:pPr>
      <w:bookmarkStart w:id="510" w:name="_Toc27674"/>
      <w:bookmarkStart w:id="511" w:name="_Toc18401"/>
      <w:r>
        <w:rPr>
          <w:rFonts w:ascii="宋体" w:hAnsi="宋体"/>
          <w:color w:val="auto"/>
          <w:sz w:val="24"/>
          <w:highlight w:val="none"/>
        </w:rPr>
        <w:t>2.</w:t>
      </w:r>
      <w:r>
        <w:rPr>
          <w:rFonts w:hint="eastAsia" w:ascii="宋体" w:hAnsi="宋体"/>
          <w:color w:val="auto"/>
          <w:sz w:val="24"/>
          <w:highlight w:val="none"/>
        </w:rPr>
        <w:t>16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0"/>
      <w:bookmarkEnd w:id="511"/>
    </w:p>
    <w:p>
      <w:pPr>
        <w:spacing w:line="560" w:lineRule="exact"/>
        <w:ind w:firstLine="482" w:firstLineChars="200"/>
        <w:outlineLvl w:val="0"/>
        <w:rPr>
          <w:rFonts w:ascii="宋体" w:hAnsi="宋体"/>
          <w:b/>
          <w:color w:val="auto"/>
          <w:sz w:val="24"/>
          <w:highlight w:val="none"/>
        </w:rPr>
      </w:pPr>
      <w:bookmarkStart w:id="512" w:name="_Toc12254"/>
      <w:bookmarkStart w:id="513" w:name="_Toc5063"/>
      <w:bookmarkStart w:id="514" w:name="_Toc28906"/>
      <w:bookmarkStart w:id="515" w:name="_Toc20808"/>
      <w:bookmarkStart w:id="51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2"/>
      <w:bookmarkEnd w:id="513"/>
      <w:bookmarkEnd w:id="514"/>
      <w:bookmarkEnd w:id="515"/>
      <w:bookmarkEnd w:id="516"/>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b/>
          <w:color w:val="auto"/>
          <w:sz w:val="24"/>
          <w:highlight w:val="none"/>
        </w:rPr>
      </w:pPr>
      <w:bookmarkStart w:id="517" w:name="_Toc30096"/>
      <w:bookmarkStart w:id="518" w:name="_Toc1492"/>
      <w:bookmarkStart w:id="519" w:name="_Toc22266"/>
      <w:bookmarkStart w:id="520" w:name="_Toc27403"/>
      <w:bookmarkStart w:id="521" w:name="_Toc27127"/>
      <w:r>
        <w:rPr>
          <w:rFonts w:ascii="宋体" w:hAnsi="宋体"/>
          <w:b/>
          <w:color w:val="auto"/>
          <w:sz w:val="24"/>
          <w:highlight w:val="none"/>
        </w:rPr>
        <w:t>2.18 履约保证金</w:t>
      </w:r>
      <w:bookmarkEnd w:id="517"/>
      <w:bookmarkEnd w:id="518"/>
      <w:bookmarkEnd w:id="519"/>
      <w:bookmarkEnd w:id="520"/>
      <w:bookmarkEnd w:id="521"/>
    </w:p>
    <w:p>
      <w:pPr>
        <w:pStyle w:val="957"/>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olor w:val="auto"/>
          <w:highlight w:val="none"/>
        </w:rPr>
      </w:pPr>
      <w:r>
        <w:rPr>
          <w:rFonts w:ascii="宋体" w:hAnsi="宋体"/>
          <w:color w:val="auto"/>
          <w:sz w:val="24"/>
          <w:highlight w:val="none"/>
        </w:rPr>
        <w:t>2.18.4</w:t>
      </w:r>
      <w:r>
        <w:rPr>
          <w:rFonts w:hint="eastAsia" w:ascii="宋体" w:hAnsi="宋体"/>
          <w:color w:val="auto"/>
          <w:sz w:val="24"/>
          <w:highlight w:val="none"/>
        </w:rPr>
        <w:t> 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22" w:name="_Toc331685784"/>
      <w:r>
        <w:rPr>
          <w:rFonts w:hint="eastAsia" w:ascii="宋体" w:hAnsi="宋体" w:cs="宋体"/>
          <w:b/>
          <w:color w:val="auto"/>
          <w:sz w:val="24"/>
          <w:highlight w:val="none"/>
        </w:rPr>
        <w:t xml:space="preserve"> </w:t>
      </w:r>
      <w:bookmarkEnd w:id="522"/>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4"/>
        <w:gridCol w:w="82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8"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2"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2" w:type="pct"/>
            <w:vAlign w:val="center"/>
          </w:tcPr>
          <w:p>
            <w:pPr>
              <w:pStyle w:val="23"/>
              <w:spacing w:before="125" w:after="120"/>
              <w:ind w:firstLine="480" w:firstLineChars="200"/>
              <w:rPr>
                <w:rFonts w:hAnsi="宋体" w:cs="Times New Roman"/>
                <w:color w:val="auto"/>
                <w:szCs w:val="24"/>
                <w:highlight w:val="none"/>
                <w:lang w:val="en-US"/>
              </w:rPr>
            </w:pPr>
            <w:r>
              <w:rPr>
                <w:rFonts w:hint="eastAsia" w:hAnsi="宋体" w:cs="Times New Roman"/>
                <w:color w:val="auto"/>
                <w:szCs w:val="24"/>
                <w:highlight w:val="none"/>
                <w:lang w:val="en-US"/>
              </w:rPr>
              <w:t>本次项目合同金额为大写人民币</w:t>
            </w:r>
            <w:r>
              <w:rPr>
                <w:rFonts w:hint="eastAsia" w:hAnsi="宋体" w:cs="Times New Roman"/>
                <w:color w:val="auto"/>
                <w:szCs w:val="24"/>
                <w:highlight w:val="none"/>
                <w:u w:val="single"/>
                <w:lang w:val="en-US"/>
              </w:rPr>
              <w:t xml:space="preserve">        </w:t>
            </w:r>
            <w:r>
              <w:rPr>
                <w:rFonts w:hint="eastAsia" w:hAnsi="宋体" w:cs="Times New Roman"/>
                <w:color w:val="auto"/>
                <w:szCs w:val="24"/>
                <w:highlight w:val="none"/>
                <w:lang w:val="en-US"/>
              </w:rPr>
              <w:t>元整（￥</w:t>
            </w:r>
            <w:r>
              <w:rPr>
                <w:rFonts w:hint="eastAsia" w:hAnsi="宋体" w:cs="Times New Roman"/>
                <w:color w:val="auto"/>
                <w:szCs w:val="24"/>
                <w:highlight w:val="none"/>
                <w:u w:val="single"/>
                <w:lang w:val="en-US"/>
              </w:rPr>
              <w:t xml:space="preserve">    </w:t>
            </w:r>
            <w:r>
              <w:rPr>
                <w:rFonts w:hint="eastAsia" w:hAnsi="宋体" w:cs="Times New Roman"/>
                <w:color w:val="auto"/>
                <w:szCs w:val="24"/>
                <w:highlight w:val="none"/>
                <w:lang w:val="en-US"/>
              </w:rPr>
              <w:t>元）</w:t>
            </w:r>
            <w:r>
              <w:rPr>
                <w:rFonts w:hint="eastAsia" w:hAnsi="宋体"/>
                <w:color w:val="auto"/>
                <w:szCs w:val="24"/>
                <w:highlight w:val="none"/>
              </w:rPr>
              <w:t>。付款方式具体如下：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合同签订后具备支付条件，乙方提供相关发票后</w:t>
            </w:r>
            <w:r>
              <w:rPr>
                <w:rFonts w:ascii="宋体" w:hAnsi="宋体"/>
                <w:color w:val="auto"/>
                <w:sz w:val="24"/>
                <w:highlight w:val="none"/>
              </w:rPr>
              <w:t>5</w:t>
            </w:r>
            <w:r>
              <w:rPr>
                <w:rFonts w:hint="eastAsia" w:ascii="宋体" w:hAnsi="宋体"/>
                <w:color w:val="auto"/>
                <w:sz w:val="24"/>
                <w:highlight w:val="none"/>
              </w:rPr>
              <w:t>个工作日内，甲方支付成交价的</w:t>
            </w:r>
            <w:r>
              <w:rPr>
                <w:rFonts w:ascii="宋体" w:hAnsi="宋体"/>
                <w:color w:val="auto"/>
                <w:sz w:val="24"/>
                <w:highlight w:val="none"/>
              </w:rPr>
              <w:t>4</w:t>
            </w:r>
            <w:r>
              <w:rPr>
                <w:rFonts w:hint="eastAsia" w:ascii="宋体" w:hAnsi="宋体"/>
                <w:color w:val="auto"/>
                <w:sz w:val="24"/>
                <w:highlight w:val="none"/>
              </w:rPr>
              <w:t>0%，项目结束，验收合格后具备支付条件（包括但不限于财政拨款到位），乙方提供相关发票后</w:t>
            </w:r>
            <w:r>
              <w:rPr>
                <w:rFonts w:ascii="宋体" w:hAnsi="宋体"/>
                <w:color w:val="auto"/>
                <w:sz w:val="24"/>
                <w:highlight w:val="none"/>
              </w:rPr>
              <w:t>5</w:t>
            </w:r>
            <w:r>
              <w:rPr>
                <w:rFonts w:hint="eastAsia" w:ascii="宋体" w:hAnsi="宋体"/>
                <w:color w:val="auto"/>
                <w:sz w:val="24"/>
                <w:highlight w:val="none"/>
              </w:rPr>
              <w:t>个工作日内根据实际结算金额结算余款。</w:t>
            </w:r>
          </w:p>
          <w:p>
            <w:pPr>
              <w:snapToGrid w:val="0"/>
              <w:spacing w:line="360" w:lineRule="auto"/>
              <w:ind w:firstLine="482" w:firstLineChars="200"/>
              <w:rPr>
                <w:rFonts w:ascii="宋体" w:hAnsi="宋体"/>
                <w:color w:val="auto"/>
                <w:sz w:val="24"/>
                <w:highlight w:val="none"/>
              </w:rPr>
            </w:pPr>
            <w:r>
              <w:rPr>
                <w:rFonts w:hint="eastAsia" w:ascii="宋体" w:hAnsi="宋体" w:cs="宋体"/>
                <w:b/>
                <w:bCs/>
                <w:color w:val="auto"/>
                <w:sz w:val="24"/>
                <w:highlight w:val="none"/>
              </w:rPr>
              <w:t>注：因国际性会议前期存在一定的不确定性，本招标文件所提供的数量及时间（如：人员数量、面积、会议时间等）为暂定（或预估）数量及时间，最终以实际发生为准，若最终因数量或时间减少导致合同金额减少，则按实结算支付；若最终因数量或时间增加导致合同金额增加，甲方不再增加费用，乙方须无条件服从，不得设置前提条件，相关风险由供应商自行考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2"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u w:val="single"/>
              </w:rPr>
              <w:t>合同签订之日至大会结束后两个月（</w:t>
            </w:r>
            <w:r>
              <w:rPr>
                <w:rFonts w:hint="eastAsia" w:ascii="宋体" w:hAnsi="宋体"/>
                <w:color w:val="auto"/>
                <w:sz w:val="24"/>
                <w:highlight w:val="none"/>
                <w:u w:val="single"/>
              </w:rPr>
              <w:t>2023年4月2</w:t>
            </w:r>
            <w:r>
              <w:rPr>
                <w:rFonts w:ascii="宋体" w:hAnsi="宋体"/>
                <w:color w:val="auto"/>
                <w:sz w:val="24"/>
                <w:highlight w:val="none"/>
                <w:u w:val="single"/>
              </w:rPr>
              <w:t>4</w:t>
            </w:r>
            <w:r>
              <w:rPr>
                <w:rFonts w:hint="eastAsia" w:ascii="宋体" w:hAnsi="宋体"/>
                <w:color w:val="auto"/>
                <w:sz w:val="24"/>
                <w:highlight w:val="none"/>
                <w:u w:val="single"/>
              </w:rPr>
              <w:t>日-</w:t>
            </w:r>
            <w:r>
              <w:rPr>
                <w:rFonts w:ascii="宋体" w:hAnsi="宋体"/>
                <w:color w:val="auto"/>
                <w:sz w:val="24"/>
                <w:highlight w:val="none"/>
                <w:u w:val="single"/>
              </w:rPr>
              <w:t>28</w:t>
            </w:r>
            <w:r>
              <w:rPr>
                <w:rFonts w:hint="eastAsia" w:ascii="宋体" w:hAnsi="宋体"/>
                <w:color w:val="auto"/>
                <w:sz w:val="24"/>
                <w:highlight w:val="none"/>
                <w:u w:val="single"/>
              </w:rPr>
              <w:t>日，会期</w:t>
            </w:r>
            <w:r>
              <w:rPr>
                <w:rFonts w:ascii="宋体" w:hAnsi="宋体"/>
                <w:color w:val="auto"/>
                <w:sz w:val="24"/>
                <w:highlight w:val="none"/>
                <w:u w:val="single"/>
              </w:rPr>
              <w:t>5</w:t>
            </w:r>
            <w:r>
              <w:rPr>
                <w:rFonts w:hint="eastAsia" w:ascii="宋体" w:hAnsi="宋体"/>
                <w:color w:val="auto"/>
                <w:sz w:val="24"/>
                <w:highlight w:val="none"/>
                <w:u w:val="single"/>
              </w:rPr>
              <w:t>天，</w:t>
            </w:r>
            <w:r>
              <w:rPr>
                <w:rFonts w:hint="eastAsia" w:ascii="宋体" w:hAnsi="宋体"/>
                <w:color w:val="auto"/>
                <w:sz w:val="24"/>
                <w:highlight w:val="none"/>
                <w:u w:val="single"/>
              </w:rPr>
              <w:t>其中</w:t>
            </w:r>
            <w:r>
              <w:rPr>
                <w:rFonts w:ascii="宋体" w:hAnsi="宋体"/>
                <w:color w:val="auto"/>
                <w:sz w:val="24"/>
                <w:highlight w:val="none"/>
                <w:u w:val="single"/>
              </w:rPr>
              <w:t>4</w:t>
            </w:r>
            <w:r>
              <w:rPr>
                <w:rFonts w:hint="eastAsia" w:ascii="宋体" w:hAnsi="宋体"/>
                <w:color w:val="auto"/>
                <w:sz w:val="24"/>
                <w:highlight w:val="none"/>
                <w:u w:val="single"/>
              </w:rPr>
              <w:t>月</w:t>
            </w:r>
            <w:r>
              <w:rPr>
                <w:rFonts w:ascii="宋体" w:hAnsi="宋体"/>
                <w:color w:val="auto"/>
                <w:sz w:val="24"/>
                <w:highlight w:val="none"/>
                <w:u w:val="single"/>
              </w:rPr>
              <w:t>28</w:t>
            </w:r>
            <w:r>
              <w:rPr>
                <w:rFonts w:hint="eastAsia" w:ascii="宋体" w:hAnsi="宋体"/>
                <w:color w:val="auto"/>
                <w:sz w:val="24"/>
                <w:highlight w:val="none"/>
                <w:u w:val="single"/>
              </w:rPr>
              <w:t>日仅安排召开一场高级别会议，</w:t>
            </w:r>
            <w:r>
              <w:rPr>
                <w:rFonts w:hint="eastAsia" w:ascii="宋体" w:hAnsi="宋体"/>
                <w:color w:val="auto"/>
                <w:sz w:val="24"/>
                <w:highlight w:val="none"/>
                <w:u w:val="single"/>
              </w:rPr>
              <w:t>具体以实际为准，如会议时间或会期调整，乙方须无条件服从</w:t>
            </w:r>
            <w:r>
              <w:rPr>
                <w:rFonts w:hint="eastAsia" w:ascii="宋体" w:hAnsi="宋体"/>
                <w:color w:val="auto"/>
                <w:sz w:val="24"/>
                <w:highlight w:val="none"/>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2"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2"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按行业通用模式执行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2" w:type="pct"/>
            <w:vAlign w:val="center"/>
          </w:tcPr>
          <w:p>
            <w:pPr>
              <w:spacing w:line="360" w:lineRule="auto"/>
              <w:rPr>
                <w:rFonts w:ascii="宋体" w:hAnsi="宋体" w:cs="宋体"/>
                <w:color w:val="auto"/>
                <w:sz w:val="24"/>
                <w:highlight w:val="none"/>
              </w:rPr>
            </w:pPr>
            <w:r>
              <w:rPr>
                <w:rFonts w:hint="eastAsia" w:ascii="宋体" w:hAnsi="宋体"/>
                <w:iCs/>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2"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2" w:type="pct"/>
            <w:vAlign w:val="center"/>
          </w:tcPr>
          <w:p>
            <w:pPr>
              <w:spacing w:line="360" w:lineRule="auto"/>
              <w:rPr>
                <w:rFonts w:ascii="宋体" w:hAnsi="宋体" w:cs="宋体"/>
                <w:color w:val="auto"/>
                <w:sz w:val="24"/>
                <w:highlight w:val="none"/>
              </w:rPr>
            </w:pPr>
            <w:r>
              <w:rPr>
                <w:rFonts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2" w:type="pct"/>
            <w:vAlign w:val="center"/>
          </w:tcPr>
          <w:p>
            <w:pPr>
              <w:spacing w:line="360" w:lineRule="auto"/>
              <w:rPr>
                <w:rFonts w:ascii="宋体" w:hAnsi="宋体" w:cs="宋体"/>
                <w:color w:val="auto"/>
                <w:sz w:val="24"/>
                <w:highlight w:val="none"/>
              </w:rPr>
            </w:pPr>
            <w:bookmarkStart w:id="523"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23"/>
            <w:r>
              <w:rPr>
                <w:rFonts w:ascii="宋体" w:hAnsi="宋体"/>
                <w:iCs/>
                <w:color w:val="auto"/>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2" w:type="pct"/>
            <w:vAlign w:val="center"/>
          </w:tcPr>
          <w:p>
            <w:pPr>
              <w:spacing w:line="360" w:lineRule="auto"/>
              <w:ind w:left="-420" w:leftChars="-200" w:right="-420" w:rightChars="-200" w:firstLine="480" w:firstLineChars="200"/>
              <w:rPr>
                <w:rFonts w:ascii="宋体" w:hAnsi="宋体"/>
                <w:iCs/>
                <w:color w:val="auto"/>
                <w:sz w:val="24"/>
                <w:highlight w:val="none"/>
              </w:rPr>
            </w:pPr>
            <w:r>
              <w:rPr>
                <w:rFonts w:hint="eastAsia" w:ascii="宋体" w:hAnsi="宋体"/>
                <w:color w:val="auto"/>
                <w:sz w:val="24"/>
                <w:highlight w:val="none"/>
              </w:rPr>
              <w:t>因履行本合同形成的技术成果的归属和收益均属于甲方。</w:t>
            </w:r>
            <w:r>
              <w:rPr>
                <w:rFonts w:hint="eastAsia" w:ascii="宋体" w:hAnsi="宋体"/>
                <w:iCs/>
                <w:color w:val="auto"/>
                <w:sz w:val="24"/>
                <w:highlight w:val="none"/>
              </w:rPr>
              <w:t>乙方应保证甲方在使用该</w:t>
            </w:r>
          </w:p>
          <w:p>
            <w:pPr>
              <w:spacing w:line="360" w:lineRule="auto"/>
              <w:ind w:left="-420" w:leftChars="-200" w:right="-420" w:rightChars="-200" w:firstLine="480" w:firstLineChars="200"/>
              <w:rPr>
                <w:rFonts w:ascii="宋体" w:hAnsi="宋体"/>
                <w:iCs/>
                <w:color w:val="auto"/>
                <w:sz w:val="24"/>
                <w:highlight w:val="none"/>
              </w:rPr>
            </w:pPr>
            <w:r>
              <w:rPr>
                <w:rFonts w:hint="eastAsia" w:ascii="宋体" w:hAnsi="宋体"/>
                <w:iCs/>
                <w:color w:val="auto"/>
                <w:sz w:val="24"/>
                <w:highlight w:val="none"/>
              </w:rPr>
              <w:t>标的物或其任何一部分时不受任何第三方提出的侵犯其著作权、商标权</w:t>
            </w:r>
          </w:p>
          <w:p>
            <w:pPr>
              <w:spacing w:line="360" w:lineRule="auto"/>
              <w:ind w:left="-420" w:leftChars="-200" w:right="-420" w:rightChars="-200" w:firstLine="480" w:firstLineChars="200"/>
              <w:rPr>
                <w:rFonts w:ascii="宋体" w:hAnsi="宋体"/>
                <w:iCs/>
                <w:color w:val="auto"/>
                <w:sz w:val="24"/>
                <w:highlight w:val="none"/>
              </w:rPr>
            </w:pPr>
            <w:r>
              <w:rPr>
                <w:rFonts w:hint="eastAsia" w:ascii="宋体" w:hAnsi="宋体"/>
                <w:iCs/>
                <w:color w:val="auto"/>
                <w:sz w:val="24"/>
                <w:highlight w:val="none"/>
              </w:rPr>
              <w:t>、专利权等知识产权方面的起诉；如果任何第三方提出侵权指控，那么</w:t>
            </w:r>
          </w:p>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iCs/>
                <w:color w:val="auto"/>
                <w:sz w:val="24"/>
                <w:highlight w:val="none"/>
              </w:rPr>
              <w:t>乙方须与该第三方交涉并承担由此发生的一切责任、费用和赔偿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2" w:type="pct"/>
            <w:vAlign w:val="center"/>
          </w:tcPr>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合同签订后具备支付条件，乙方提供相关发票后</w:t>
            </w:r>
            <w:r>
              <w:rPr>
                <w:rFonts w:ascii="宋体" w:hAnsi="宋体"/>
                <w:color w:val="auto"/>
                <w:sz w:val="24"/>
                <w:highlight w:val="none"/>
              </w:rPr>
              <w:t>5</w:t>
            </w:r>
            <w:r>
              <w:rPr>
                <w:rFonts w:hint="eastAsia" w:ascii="宋体" w:hAnsi="宋体"/>
                <w:color w:val="auto"/>
                <w:sz w:val="24"/>
                <w:highlight w:val="none"/>
              </w:rPr>
              <w:t>个工作日内，甲方支付成交价的</w:t>
            </w:r>
            <w:r>
              <w:rPr>
                <w:rFonts w:ascii="宋体" w:hAnsi="宋体"/>
                <w:color w:val="auto"/>
                <w:sz w:val="24"/>
                <w:highlight w:val="none"/>
              </w:rPr>
              <w:t>4</w:t>
            </w:r>
            <w:r>
              <w:rPr>
                <w:rFonts w:hint="eastAsia" w:ascii="宋体" w:hAnsi="宋体"/>
                <w:color w:val="auto"/>
                <w:sz w:val="24"/>
                <w:highlight w:val="none"/>
              </w:rPr>
              <w:t>0%，项目结束，验收合格后具备支付条件（包括但不限于财政拨款到位），乙方提供相关发票后</w:t>
            </w:r>
            <w:r>
              <w:rPr>
                <w:rFonts w:ascii="宋体" w:hAnsi="宋体"/>
                <w:color w:val="auto"/>
                <w:sz w:val="24"/>
                <w:highlight w:val="none"/>
              </w:rPr>
              <w:t>5</w:t>
            </w:r>
            <w:r>
              <w:rPr>
                <w:rFonts w:hint="eastAsia" w:ascii="宋体" w:hAnsi="宋体"/>
                <w:color w:val="auto"/>
                <w:sz w:val="24"/>
                <w:highlight w:val="none"/>
              </w:rPr>
              <w:t>个工作日内根据实际结算金额结算余款。</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因国际性会议前期存在一定的不确定性，本招标文件所提供的数量及时间（如：人员数量、面积、会议时间等）为暂定（或预估）数量及时间，最终以实际发生为准，若最终因数量或时间减少导致合同金额减少，则按实结算支付；若最终因数量或时间增加导致合同金额增加，甲方不再增加费用，乙方须无条件服从，不得设置前提条件，相关风险由供应商自行考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2" w:type="pct"/>
            <w:vAlign w:val="center"/>
          </w:tcPr>
          <w:p>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2" w:type="pct"/>
          </w:tcPr>
          <w:p>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2" w:type="pct"/>
            <w:vAlign w:val="center"/>
          </w:tcPr>
          <w:p>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2" w:type="pct"/>
            <w:vAlign w:val="center"/>
          </w:tcPr>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）采用本行业通用标准；满足所有采购需求及投标文件承诺；项目验收资料齐全。</w:t>
            </w:r>
          </w:p>
          <w:p>
            <w:pPr>
              <w:pStyle w:val="61"/>
              <w:spacing w:line="360" w:lineRule="auto"/>
              <w:ind w:left="0" w:leftChars="0" w:firstLine="480" w:firstLineChars="0"/>
              <w:rPr>
                <w:color w:val="auto"/>
                <w:sz w:val="24"/>
                <w:highlight w:val="none"/>
              </w:rPr>
            </w:pPr>
            <w:r>
              <w:rPr>
                <w:color w:val="auto"/>
                <w:sz w:val="24"/>
                <w:highlight w:val="none"/>
              </w:rPr>
              <w:t>2</w:t>
            </w:r>
            <w:r>
              <w:rPr>
                <w:rFonts w:hint="eastAsia"/>
                <w:color w:val="auto"/>
                <w:sz w:val="24"/>
                <w:highlight w:val="none"/>
              </w:rPr>
              <w:t>）采用一次性验收方式。</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2"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无需缴纳履约保证金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8"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2"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8"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2" w:type="pct"/>
          </w:tcPr>
          <w:p>
            <w:pPr>
              <w:spacing w:line="360" w:lineRule="auto"/>
              <w:rPr>
                <w:rFonts w:ascii="宋体" w:hAnsi="宋体" w:cs="宋体"/>
                <w:color w:val="auto"/>
                <w:sz w:val="24"/>
                <w:highlight w:val="none"/>
              </w:rPr>
            </w:pPr>
            <w:bookmarkStart w:id="524" w:name="_Hlk124179984"/>
            <w:r>
              <w:rPr>
                <w:rFonts w:hint="eastAsia" w:ascii="宋体" w:hAnsi="宋体" w:cs="仿宋"/>
                <w:color w:val="auto"/>
                <w:sz w:val="24"/>
                <w:highlight w:val="none"/>
              </w:rPr>
              <w:t>本合同壹式陆份，甲方执叁份，乙方执叁份。每份均具有同等法律效力。</w:t>
            </w:r>
            <w:bookmarkEnd w:id="524"/>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single"/>
        </w:rPr>
        <w:t>杭州市统计局 、浙江省成套招标代理有限公司</w:t>
      </w:r>
      <w:r>
        <w:rPr>
          <w:rFonts w:hint="eastAsia" w:ascii="宋体" w:hAnsi="宋体" w:cs="仿宋_GB2312"/>
          <w:color w:val="auto"/>
          <w:kern w:val="0"/>
          <w:sz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olor w:val="auto"/>
          <w:sz w:val="24"/>
          <w:highlight w:val="none"/>
        </w:rPr>
        <w:t>第四届联合国世界数据论坛实施与综合保障项目</w:t>
      </w:r>
      <w:r>
        <w:rPr>
          <w:rFonts w:hint="eastAsia" w:ascii="宋体" w:hAnsi="宋体" w:cs="宋体"/>
          <w:color w:val="auto"/>
          <w:sz w:val="24"/>
          <w:highlight w:val="none"/>
        </w:rPr>
        <w:t>【招标编号：</w:t>
      </w:r>
      <w:r>
        <w:rPr>
          <w:rFonts w:ascii="宋体" w:hAnsi="宋体" w:cs="宋体"/>
          <w:color w:val="auto"/>
          <w:sz w:val="24"/>
          <w:highlight w:val="none"/>
        </w:rPr>
        <w:t>CTZB-2023010132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single"/>
        </w:rPr>
        <w:t>杭州市统计局 、浙江省成套招标代理有限公司</w:t>
      </w:r>
      <w:r>
        <w:rPr>
          <w:rFonts w:hint="eastAsia" w:ascii="宋体" w:hAnsi="宋体" w:cs="仿宋_GB2312"/>
          <w:color w:val="auto"/>
          <w:kern w:val="0"/>
          <w:sz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olor w:val="auto"/>
          <w:sz w:val="24"/>
          <w:highlight w:val="none"/>
        </w:rPr>
        <w:t>第四届联合国世界数据论坛实施与综合保障项目</w:t>
      </w:r>
      <w:r>
        <w:rPr>
          <w:rFonts w:hint="eastAsia" w:ascii="宋体" w:hAnsi="宋体" w:cs="宋体"/>
          <w:color w:val="auto"/>
          <w:sz w:val="24"/>
          <w:highlight w:val="none"/>
        </w:rPr>
        <w:t>【招标编号：</w:t>
      </w:r>
      <w:r>
        <w:rPr>
          <w:rFonts w:ascii="宋体" w:hAnsi="宋体" w:cs="宋体"/>
          <w:color w:val="auto"/>
          <w:sz w:val="24"/>
          <w:highlight w:val="none"/>
        </w:rPr>
        <w:t>CTZB-2023010132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5" w:name="_Hlk101257010"/>
      <w:r>
        <w:rPr>
          <w:rFonts w:hint="eastAsia" w:ascii="宋体" w:hAnsi="宋体" w:cs="宋体"/>
          <w:color w:val="auto"/>
          <w:sz w:val="24"/>
          <w:highlight w:val="none"/>
        </w:rPr>
        <w:t>（如果有)</w:t>
      </w:r>
      <w:bookmarkEnd w:id="52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rFonts w:ascii="宋体" w:hAnsi="宋体" w:eastAsia="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single"/>
        </w:rPr>
        <w:t>杭州市统计局 、浙江省成套招标代理有限公司</w:t>
      </w:r>
      <w:r>
        <w:rPr>
          <w:rFonts w:hint="eastAsia" w:ascii="宋体" w:hAnsi="宋体" w:cs="仿宋_GB2312"/>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olor w:val="auto"/>
          <w:sz w:val="24"/>
          <w:highlight w:val="none"/>
        </w:rPr>
        <w:t>第四届联合国世界数据论坛实施与综合保障项目</w:t>
      </w:r>
      <w:r>
        <w:rPr>
          <w:rFonts w:hint="eastAsia" w:ascii="宋体" w:hAnsi="宋体" w:cs="宋体"/>
          <w:color w:val="auto"/>
          <w:sz w:val="24"/>
          <w:highlight w:val="none"/>
        </w:rPr>
        <w:t>【招标编号：</w:t>
      </w:r>
      <w:r>
        <w:rPr>
          <w:rFonts w:ascii="宋体" w:hAnsi="宋体" w:cs="宋体"/>
          <w:color w:val="auto"/>
          <w:sz w:val="24"/>
          <w:highlight w:val="none"/>
        </w:rPr>
        <w:t>CTZB-2023010132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single"/>
        </w:rPr>
        <w:t>杭州市统计局 、浙江省成套招标代理有限公司</w:t>
      </w:r>
      <w:r>
        <w:rPr>
          <w:rFonts w:hint="eastAsia" w:ascii="宋体" w:hAnsi="宋体" w:cs="仿宋_GB2312"/>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olor w:val="auto"/>
          <w:sz w:val="24"/>
          <w:highlight w:val="none"/>
        </w:rPr>
        <w:t>第四届联合国世界数据论坛实施与综合保障项目</w:t>
      </w:r>
      <w:r>
        <w:rPr>
          <w:rFonts w:hint="eastAsia" w:ascii="宋体" w:hAnsi="宋体" w:cs="宋体"/>
          <w:color w:val="auto"/>
          <w:sz w:val="24"/>
          <w:highlight w:val="none"/>
        </w:rPr>
        <w:t>【招标编号：</w:t>
      </w:r>
      <w:r>
        <w:rPr>
          <w:rFonts w:ascii="宋体" w:hAnsi="宋体" w:cs="宋体"/>
          <w:color w:val="auto"/>
          <w:sz w:val="24"/>
          <w:highlight w:val="none"/>
        </w:rPr>
        <w:t>CTZB-2023010132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rFonts w:ascii="宋体" w:hAnsi="宋体" w:eastAsia="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single"/>
        </w:rPr>
        <w:t>杭州市统计局 、浙江省成套招标代理有限公司</w:t>
      </w:r>
      <w:r>
        <w:rPr>
          <w:rFonts w:hint="eastAsia" w:ascii="宋体" w:hAnsi="宋体" w:cs="仿宋_GB2312"/>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single"/>
        </w:rPr>
        <w:t>杭州市统计局 、浙江省成套招标代理有限公司</w:t>
      </w:r>
      <w:r>
        <w:rPr>
          <w:rFonts w:hint="eastAsia" w:ascii="宋体" w:hAnsi="宋体" w:cs="仿宋_GB2312"/>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highlight w:val="none"/>
        </w:rPr>
        <w:t>第四届联合国世界数据论坛实施与综合保障项目</w:t>
      </w:r>
      <w:r>
        <w:rPr>
          <w:rFonts w:hint="eastAsia" w:ascii="宋体" w:hAnsi="宋体" w:cs="宋体"/>
          <w:color w:val="auto"/>
          <w:kern w:val="0"/>
          <w:sz w:val="24"/>
          <w:highlight w:val="none"/>
          <w:lang w:val="zh-CN"/>
        </w:rPr>
        <w:t>【招标编号：</w:t>
      </w:r>
      <w:r>
        <w:rPr>
          <w:rFonts w:ascii="宋体" w:hAnsi="宋体" w:cs="宋体"/>
          <w:color w:val="auto"/>
          <w:sz w:val="24"/>
          <w:highlight w:val="none"/>
        </w:rPr>
        <w:t>CTZB-2023010132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4394"/>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序号</w:t>
            </w:r>
          </w:p>
        </w:tc>
        <w:tc>
          <w:tcPr>
            <w:tcW w:w="1984"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名称</w:t>
            </w:r>
          </w:p>
        </w:tc>
        <w:tc>
          <w:tcPr>
            <w:tcW w:w="4394"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具体服务</w:t>
            </w:r>
          </w:p>
        </w:tc>
        <w:tc>
          <w:tcPr>
            <w:tcW w:w="993"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数量</w:t>
            </w:r>
          </w:p>
        </w:tc>
        <w:tc>
          <w:tcPr>
            <w:tcW w:w="1559"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单价</w:t>
            </w:r>
          </w:p>
        </w:tc>
        <w:tc>
          <w:tcPr>
            <w:tcW w:w="1984"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总价</w:t>
            </w:r>
          </w:p>
        </w:tc>
        <w:tc>
          <w:tcPr>
            <w:tcW w:w="3119" w:type="dxa"/>
            <w:vAlign w:val="center"/>
          </w:tcPr>
          <w:p>
            <w:pPr>
              <w:spacing w:line="360" w:lineRule="auto"/>
              <w:jc w:val="center"/>
              <w:rPr>
                <w:rFonts w:ascii="宋体" w:hAnsi="宋体"/>
                <w:b/>
                <w:color w:val="auto"/>
                <w:sz w:val="24"/>
                <w:highlight w:val="none"/>
              </w:rPr>
            </w:pPr>
          </w:p>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服务期限</w:t>
            </w:r>
          </w:p>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1984" w:type="dxa"/>
            <w:vAlign w:val="center"/>
          </w:tcPr>
          <w:p>
            <w:pPr>
              <w:snapToGrid w:val="0"/>
              <w:spacing w:line="360" w:lineRule="auto"/>
              <w:jc w:val="center"/>
              <w:rPr>
                <w:rFonts w:ascii="宋体" w:hAnsi="宋体" w:cs="仿宋_GB2312"/>
                <w:color w:val="auto"/>
                <w:sz w:val="24"/>
                <w:highlight w:val="none"/>
              </w:rPr>
            </w:pPr>
          </w:p>
        </w:tc>
        <w:tc>
          <w:tcPr>
            <w:tcW w:w="4394" w:type="dxa"/>
            <w:vAlign w:val="center"/>
          </w:tcPr>
          <w:p>
            <w:pPr>
              <w:snapToGrid w:val="0"/>
              <w:spacing w:line="360" w:lineRule="auto"/>
              <w:jc w:val="center"/>
              <w:rPr>
                <w:rFonts w:ascii="宋体" w:hAnsi="宋体" w:cs="仿宋_GB2312"/>
                <w:color w:val="auto"/>
                <w:sz w:val="24"/>
                <w:highlight w:val="none"/>
              </w:rPr>
            </w:pPr>
          </w:p>
        </w:tc>
        <w:tc>
          <w:tcPr>
            <w:tcW w:w="993" w:type="dxa"/>
            <w:vAlign w:val="center"/>
          </w:tcPr>
          <w:p>
            <w:pPr>
              <w:snapToGrid w:val="0"/>
              <w:spacing w:line="360" w:lineRule="auto"/>
              <w:jc w:val="center"/>
              <w:rPr>
                <w:rFonts w:ascii="宋体" w:hAnsi="宋体" w:cs="仿宋_GB2312"/>
                <w:color w:val="auto"/>
                <w:sz w:val="24"/>
                <w:highlight w:val="none"/>
              </w:rPr>
            </w:pPr>
          </w:p>
        </w:tc>
        <w:tc>
          <w:tcPr>
            <w:tcW w:w="1559" w:type="dxa"/>
            <w:vAlign w:val="center"/>
          </w:tcPr>
          <w:p>
            <w:pPr>
              <w:spacing w:line="360" w:lineRule="auto"/>
              <w:jc w:val="center"/>
              <w:rPr>
                <w:rFonts w:ascii="宋体" w:hAnsi="宋体" w:cs="仿宋_GB2312"/>
                <w:color w:val="auto"/>
                <w:sz w:val="24"/>
                <w:highlight w:val="none"/>
              </w:rPr>
            </w:pPr>
          </w:p>
        </w:tc>
        <w:tc>
          <w:tcPr>
            <w:tcW w:w="1984" w:type="dxa"/>
            <w:vAlign w:val="center"/>
          </w:tcPr>
          <w:p>
            <w:pPr>
              <w:spacing w:line="360" w:lineRule="auto"/>
              <w:jc w:val="center"/>
              <w:rPr>
                <w:rFonts w:ascii="宋体" w:hAnsi="宋体" w:cs="仿宋_GB2312"/>
                <w:color w:val="auto"/>
                <w:sz w:val="24"/>
                <w:highlight w:val="none"/>
              </w:rPr>
            </w:pPr>
          </w:p>
        </w:tc>
        <w:tc>
          <w:tcPr>
            <w:tcW w:w="3119" w:type="dxa"/>
            <w:vMerge w:val="restart"/>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2</w:t>
            </w:r>
          </w:p>
        </w:tc>
        <w:tc>
          <w:tcPr>
            <w:tcW w:w="1984" w:type="dxa"/>
            <w:vAlign w:val="center"/>
          </w:tcPr>
          <w:p>
            <w:pPr>
              <w:snapToGrid w:val="0"/>
              <w:spacing w:line="360" w:lineRule="auto"/>
              <w:jc w:val="center"/>
              <w:rPr>
                <w:rFonts w:ascii="宋体" w:hAnsi="宋体" w:cs="仿宋_GB2312"/>
                <w:color w:val="auto"/>
                <w:sz w:val="24"/>
                <w:highlight w:val="none"/>
              </w:rPr>
            </w:pPr>
          </w:p>
        </w:tc>
        <w:tc>
          <w:tcPr>
            <w:tcW w:w="4394" w:type="dxa"/>
            <w:vAlign w:val="center"/>
          </w:tcPr>
          <w:p>
            <w:pPr>
              <w:snapToGrid w:val="0"/>
              <w:spacing w:line="360" w:lineRule="auto"/>
              <w:jc w:val="center"/>
              <w:rPr>
                <w:rFonts w:ascii="宋体" w:hAnsi="宋体" w:cs="仿宋_GB2312"/>
                <w:color w:val="auto"/>
                <w:sz w:val="24"/>
                <w:highlight w:val="none"/>
              </w:rPr>
            </w:pPr>
          </w:p>
        </w:tc>
        <w:tc>
          <w:tcPr>
            <w:tcW w:w="993" w:type="dxa"/>
            <w:vAlign w:val="center"/>
          </w:tcPr>
          <w:p>
            <w:pPr>
              <w:snapToGrid w:val="0"/>
              <w:spacing w:line="360" w:lineRule="auto"/>
              <w:jc w:val="center"/>
              <w:rPr>
                <w:rFonts w:ascii="宋体" w:hAnsi="宋体" w:cs="仿宋_GB2312"/>
                <w:color w:val="auto"/>
                <w:sz w:val="24"/>
                <w:highlight w:val="none"/>
              </w:rPr>
            </w:pPr>
          </w:p>
        </w:tc>
        <w:tc>
          <w:tcPr>
            <w:tcW w:w="1559" w:type="dxa"/>
            <w:vAlign w:val="center"/>
          </w:tcPr>
          <w:p>
            <w:pPr>
              <w:spacing w:line="360" w:lineRule="auto"/>
              <w:jc w:val="center"/>
              <w:rPr>
                <w:rFonts w:ascii="宋体" w:hAnsi="宋体" w:cs="仿宋_GB2312"/>
                <w:color w:val="auto"/>
                <w:sz w:val="24"/>
                <w:highlight w:val="none"/>
              </w:rPr>
            </w:pPr>
          </w:p>
        </w:tc>
        <w:tc>
          <w:tcPr>
            <w:tcW w:w="1984" w:type="dxa"/>
            <w:vAlign w:val="center"/>
          </w:tcPr>
          <w:p>
            <w:pPr>
              <w:spacing w:line="360" w:lineRule="auto"/>
              <w:jc w:val="center"/>
              <w:rPr>
                <w:rFonts w:ascii="宋体" w:hAnsi="宋体" w:cs="仿宋_GB2312"/>
                <w:color w:val="auto"/>
                <w:sz w:val="24"/>
                <w:highlight w:val="none"/>
              </w:rPr>
            </w:pPr>
          </w:p>
        </w:tc>
        <w:tc>
          <w:tcPr>
            <w:tcW w:w="3119" w:type="dxa"/>
            <w:vMerge w:val="continue"/>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984" w:type="dxa"/>
            <w:vAlign w:val="center"/>
          </w:tcPr>
          <w:p>
            <w:pPr>
              <w:snapToGrid w:val="0"/>
              <w:spacing w:line="360" w:lineRule="auto"/>
              <w:jc w:val="center"/>
              <w:rPr>
                <w:rFonts w:ascii="宋体" w:hAnsi="宋体" w:cs="仿宋_GB2312"/>
                <w:color w:val="auto"/>
                <w:sz w:val="24"/>
                <w:highlight w:val="none"/>
              </w:rPr>
            </w:pPr>
          </w:p>
        </w:tc>
        <w:tc>
          <w:tcPr>
            <w:tcW w:w="4394" w:type="dxa"/>
            <w:vAlign w:val="center"/>
          </w:tcPr>
          <w:p>
            <w:pPr>
              <w:snapToGrid w:val="0"/>
              <w:spacing w:line="360" w:lineRule="auto"/>
              <w:jc w:val="center"/>
              <w:rPr>
                <w:rFonts w:ascii="宋体" w:hAnsi="宋体" w:cs="仿宋_GB2312"/>
                <w:color w:val="auto"/>
                <w:sz w:val="24"/>
                <w:highlight w:val="none"/>
              </w:rPr>
            </w:pPr>
          </w:p>
        </w:tc>
        <w:tc>
          <w:tcPr>
            <w:tcW w:w="993" w:type="dxa"/>
            <w:vAlign w:val="center"/>
          </w:tcPr>
          <w:p>
            <w:pPr>
              <w:snapToGrid w:val="0"/>
              <w:spacing w:line="360" w:lineRule="auto"/>
              <w:jc w:val="center"/>
              <w:rPr>
                <w:rFonts w:ascii="宋体" w:hAnsi="宋体" w:cs="仿宋_GB2312"/>
                <w:color w:val="auto"/>
                <w:sz w:val="24"/>
                <w:highlight w:val="none"/>
              </w:rPr>
            </w:pPr>
          </w:p>
        </w:tc>
        <w:tc>
          <w:tcPr>
            <w:tcW w:w="1559" w:type="dxa"/>
            <w:vAlign w:val="center"/>
          </w:tcPr>
          <w:p>
            <w:pPr>
              <w:spacing w:line="360" w:lineRule="auto"/>
              <w:jc w:val="center"/>
              <w:rPr>
                <w:rFonts w:ascii="宋体" w:hAnsi="宋体" w:cs="仿宋_GB2312"/>
                <w:color w:val="auto"/>
                <w:sz w:val="24"/>
                <w:highlight w:val="none"/>
              </w:rPr>
            </w:pPr>
          </w:p>
        </w:tc>
        <w:tc>
          <w:tcPr>
            <w:tcW w:w="1984" w:type="dxa"/>
            <w:vAlign w:val="center"/>
          </w:tcPr>
          <w:p>
            <w:pPr>
              <w:spacing w:line="360" w:lineRule="auto"/>
              <w:jc w:val="center"/>
              <w:rPr>
                <w:rFonts w:ascii="宋体" w:hAnsi="宋体" w:cs="仿宋_GB2312"/>
                <w:color w:val="auto"/>
                <w:sz w:val="24"/>
                <w:highlight w:val="none"/>
              </w:rPr>
            </w:pPr>
          </w:p>
        </w:tc>
        <w:tc>
          <w:tcPr>
            <w:tcW w:w="3119" w:type="dxa"/>
            <w:vMerge w:val="continue"/>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仿宋_GB2312"/>
                <w:color w:val="auto"/>
                <w:sz w:val="24"/>
                <w:highlight w:val="none"/>
              </w:rPr>
            </w:pPr>
          </w:p>
        </w:tc>
        <w:tc>
          <w:tcPr>
            <w:tcW w:w="1984" w:type="dxa"/>
            <w:vAlign w:val="center"/>
          </w:tcPr>
          <w:p>
            <w:pPr>
              <w:snapToGrid w:val="0"/>
              <w:spacing w:line="360" w:lineRule="auto"/>
              <w:jc w:val="center"/>
              <w:rPr>
                <w:rFonts w:ascii="宋体" w:hAnsi="宋体" w:cs="仿宋_GB2312"/>
                <w:color w:val="auto"/>
                <w:sz w:val="24"/>
                <w:highlight w:val="none"/>
              </w:rPr>
            </w:pPr>
          </w:p>
        </w:tc>
        <w:tc>
          <w:tcPr>
            <w:tcW w:w="4394" w:type="dxa"/>
            <w:vAlign w:val="center"/>
          </w:tcPr>
          <w:p>
            <w:pPr>
              <w:snapToGrid w:val="0"/>
              <w:spacing w:line="360" w:lineRule="auto"/>
              <w:jc w:val="center"/>
              <w:rPr>
                <w:rFonts w:ascii="宋体" w:hAnsi="宋体" w:cs="仿宋_GB2312"/>
                <w:color w:val="auto"/>
                <w:sz w:val="24"/>
                <w:highlight w:val="none"/>
              </w:rPr>
            </w:pPr>
          </w:p>
        </w:tc>
        <w:tc>
          <w:tcPr>
            <w:tcW w:w="993" w:type="dxa"/>
            <w:vAlign w:val="center"/>
          </w:tcPr>
          <w:p>
            <w:pPr>
              <w:snapToGrid w:val="0"/>
              <w:spacing w:line="360" w:lineRule="auto"/>
              <w:jc w:val="center"/>
              <w:rPr>
                <w:rFonts w:ascii="宋体" w:hAnsi="宋体" w:cs="仿宋_GB2312"/>
                <w:color w:val="auto"/>
                <w:sz w:val="24"/>
                <w:highlight w:val="none"/>
              </w:rPr>
            </w:pPr>
          </w:p>
        </w:tc>
        <w:tc>
          <w:tcPr>
            <w:tcW w:w="1559" w:type="dxa"/>
            <w:vAlign w:val="center"/>
          </w:tcPr>
          <w:p>
            <w:pPr>
              <w:spacing w:line="360" w:lineRule="auto"/>
              <w:jc w:val="center"/>
              <w:rPr>
                <w:rFonts w:ascii="宋体" w:hAnsi="宋体" w:cs="仿宋_GB2312"/>
                <w:color w:val="auto"/>
                <w:sz w:val="24"/>
                <w:highlight w:val="none"/>
              </w:rPr>
            </w:pPr>
          </w:p>
        </w:tc>
        <w:tc>
          <w:tcPr>
            <w:tcW w:w="1984" w:type="dxa"/>
            <w:vAlign w:val="center"/>
          </w:tcPr>
          <w:p>
            <w:pPr>
              <w:spacing w:line="360" w:lineRule="auto"/>
              <w:jc w:val="center"/>
              <w:rPr>
                <w:rFonts w:ascii="宋体" w:hAnsi="宋体" w:cs="仿宋_GB2312"/>
                <w:color w:val="auto"/>
                <w:sz w:val="24"/>
                <w:highlight w:val="none"/>
              </w:rPr>
            </w:pPr>
          </w:p>
        </w:tc>
        <w:tc>
          <w:tcPr>
            <w:tcW w:w="3119" w:type="dxa"/>
            <w:vMerge w:val="continue"/>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仿宋_GB2312"/>
                <w:color w:val="auto"/>
                <w:sz w:val="24"/>
                <w:highlight w:val="none"/>
              </w:rPr>
            </w:pPr>
          </w:p>
        </w:tc>
        <w:tc>
          <w:tcPr>
            <w:tcW w:w="1984" w:type="dxa"/>
            <w:vAlign w:val="center"/>
          </w:tcPr>
          <w:p>
            <w:pPr>
              <w:snapToGrid w:val="0"/>
              <w:spacing w:line="360" w:lineRule="auto"/>
              <w:jc w:val="center"/>
              <w:rPr>
                <w:rFonts w:ascii="宋体" w:hAnsi="宋体" w:cs="仿宋_GB2312"/>
                <w:color w:val="auto"/>
                <w:sz w:val="24"/>
                <w:highlight w:val="none"/>
              </w:rPr>
            </w:pPr>
          </w:p>
        </w:tc>
        <w:tc>
          <w:tcPr>
            <w:tcW w:w="4394" w:type="dxa"/>
            <w:vAlign w:val="center"/>
          </w:tcPr>
          <w:p>
            <w:pPr>
              <w:snapToGrid w:val="0"/>
              <w:spacing w:line="360" w:lineRule="auto"/>
              <w:jc w:val="center"/>
              <w:rPr>
                <w:rFonts w:ascii="宋体" w:hAnsi="宋体" w:cs="仿宋_GB2312"/>
                <w:color w:val="auto"/>
                <w:sz w:val="24"/>
                <w:highlight w:val="none"/>
              </w:rPr>
            </w:pPr>
          </w:p>
        </w:tc>
        <w:tc>
          <w:tcPr>
            <w:tcW w:w="993" w:type="dxa"/>
            <w:vAlign w:val="center"/>
          </w:tcPr>
          <w:p>
            <w:pPr>
              <w:snapToGrid w:val="0"/>
              <w:spacing w:line="360" w:lineRule="auto"/>
              <w:jc w:val="center"/>
              <w:rPr>
                <w:rFonts w:ascii="宋体" w:hAnsi="宋体" w:cs="仿宋_GB2312"/>
                <w:color w:val="auto"/>
                <w:sz w:val="24"/>
                <w:highlight w:val="none"/>
              </w:rPr>
            </w:pPr>
          </w:p>
        </w:tc>
        <w:tc>
          <w:tcPr>
            <w:tcW w:w="1559" w:type="dxa"/>
            <w:vAlign w:val="center"/>
          </w:tcPr>
          <w:p>
            <w:pPr>
              <w:spacing w:line="360" w:lineRule="auto"/>
              <w:jc w:val="center"/>
              <w:rPr>
                <w:rFonts w:ascii="宋体" w:hAnsi="宋体" w:cs="仿宋_GB2312"/>
                <w:color w:val="auto"/>
                <w:sz w:val="24"/>
                <w:highlight w:val="none"/>
              </w:rPr>
            </w:pPr>
          </w:p>
        </w:tc>
        <w:tc>
          <w:tcPr>
            <w:tcW w:w="1984" w:type="dxa"/>
            <w:vAlign w:val="center"/>
          </w:tcPr>
          <w:p>
            <w:pPr>
              <w:spacing w:line="360" w:lineRule="auto"/>
              <w:jc w:val="center"/>
              <w:rPr>
                <w:rFonts w:ascii="宋体" w:hAnsi="宋体" w:cs="仿宋_GB2312"/>
                <w:color w:val="auto"/>
                <w:sz w:val="24"/>
                <w:highlight w:val="none"/>
              </w:rPr>
            </w:pPr>
          </w:p>
        </w:tc>
        <w:tc>
          <w:tcPr>
            <w:tcW w:w="3119" w:type="dxa"/>
            <w:vMerge w:val="continue"/>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投标报价（小写）</w:t>
            </w:r>
          </w:p>
        </w:tc>
        <w:tc>
          <w:tcPr>
            <w:tcW w:w="7655" w:type="dxa"/>
            <w:gridSpan w:val="4"/>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投标报价（大写）</w:t>
            </w:r>
          </w:p>
        </w:tc>
        <w:tc>
          <w:tcPr>
            <w:tcW w:w="7655" w:type="dxa"/>
            <w:gridSpan w:val="4"/>
            <w:vAlign w:val="center"/>
          </w:tcPr>
          <w:p>
            <w:pPr>
              <w:spacing w:line="360" w:lineRule="auto"/>
              <w:jc w:val="center"/>
              <w:rPr>
                <w:rFonts w:ascii="宋体" w:hAnsi="宋体" w:cs="仿宋_GB2312"/>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0" w:firstLine="0"/>
        <w:jc w:val="center"/>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26" w:name="OLE_LINK14"/>
      <w:bookmarkStart w:id="527" w:name="OLE_LINK13"/>
      <w:r>
        <w:rPr>
          <w:rFonts w:hint="eastAsia" w:ascii="宋体" w:hAnsi="宋体" w:cs="宋体"/>
          <w:b/>
          <w:color w:val="auto"/>
          <w:spacing w:val="6"/>
          <w:sz w:val="32"/>
          <w:szCs w:val="32"/>
          <w:highlight w:val="none"/>
        </w:rPr>
        <w:t>残疾人福利性单位声明函</w:t>
      </w:r>
    </w:p>
    <w:bookmarkEnd w:id="526"/>
    <w:bookmarkEnd w:id="52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olor w:val="auto"/>
          <w:sz w:val="24"/>
          <w:highlight w:val="none"/>
        </w:rPr>
        <w:t>第四届联合国世界数据论坛实施与综合保障项目</w:t>
      </w:r>
      <w:r>
        <w:rPr>
          <w:rFonts w:hint="eastAsia" w:ascii="宋体" w:hAnsi="宋体" w:cs="宋体"/>
          <w:color w:val="auto"/>
          <w:sz w:val="24"/>
          <w:highlight w:val="none"/>
        </w:rPr>
        <w:t>【招标编号：</w:t>
      </w:r>
      <w:r>
        <w:rPr>
          <w:rFonts w:ascii="宋体" w:hAnsi="宋体" w:cs="宋体"/>
          <w:color w:val="auto"/>
          <w:sz w:val="24"/>
          <w:highlight w:val="none"/>
        </w:rPr>
        <w:t>CTZB-2023010132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ascii="宋体" w:hAnsi="宋体"/>
          <w:color w:val="auto"/>
          <w:highlight w:val="none"/>
        </w:rPr>
      </w:pPr>
      <w:r>
        <w:rPr>
          <w:rFonts w:hint="eastAsia" w:ascii="宋体" w:hAnsi="宋体"/>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olor w:val="auto"/>
          <w:sz w:val="24"/>
          <w:highlight w:val="none"/>
          <w:u w:val="single"/>
        </w:rPr>
        <w:t>第四届联合国世界数据论坛实施与综合保障项目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s="Arial"/>
          <w:b/>
          <w:bCs/>
          <w:color w:val="auto"/>
          <w:kern w:val="0"/>
          <w:sz w:val="24"/>
          <w:highlight w:val="none"/>
          <w:u w:val="single"/>
        </w:rPr>
        <w:t>其他未列明</w:t>
      </w:r>
      <w:r>
        <w:rPr>
          <w:rFonts w:hint="eastAsia" w:ascii="宋体" w:hAnsi="宋体"/>
          <w:color w:val="auto"/>
          <w:sz w:val="24"/>
          <w:highlight w:val="none"/>
          <w:u w:val="single"/>
        </w:rPr>
        <w:t>）</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第四届联合国世界数据论坛实施与综合保障项目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olor w:val="auto"/>
          <w:sz w:val="24"/>
          <w:highlight w:val="none"/>
          <w:u w:val="single"/>
        </w:rPr>
        <w:t>（</w:t>
      </w:r>
      <w:r>
        <w:rPr>
          <w:rFonts w:hint="eastAsia" w:ascii="宋体" w:hAnsi="宋体" w:cs="Arial"/>
          <w:b/>
          <w:bCs/>
          <w:color w:val="auto"/>
          <w:kern w:val="0"/>
          <w:sz w:val="24"/>
          <w:highlight w:val="none"/>
          <w:u w:val="single"/>
        </w:rPr>
        <w:t>其他未列明</w:t>
      </w:r>
      <w:r>
        <w:rPr>
          <w:rFonts w:hint="eastAsia" w:ascii="宋体" w:hAnsi="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31" w:name="_Toc164085800"/>
    <w:bookmarkStart w:id="532" w:name="_Toc91899912"/>
    <w:bookmarkStart w:id="533" w:name="_Toc131845147"/>
    <w:bookmarkStart w:id="534" w:name="_Toc36110187"/>
    <w:r>
      <w:rPr>
        <w:rFonts w:hint="eastAsia" w:ascii="仿宋_GB2312" w:eastAsia="仿宋_GB2312"/>
        <w:kern w:val="0"/>
        <w:szCs w:val="21"/>
      </w:rPr>
      <w:t xml:space="preserve"> 页</w:t>
    </w:r>
    <w:bookmarkEnd w:id="531"/>
    <w:bookmarkEnd w:id="532"/>
    <w:bookmarkEnd w:id="533"/>
    <w:bookmarkEnd w:id="5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OkH8jjHuRyndXHYXQWN8Dh2IQtU=" w:salt="2mP3MgHGwxKJXiDeDxHvBg=="/>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jg1MDdjOTBiZWY5OWEwODBiNjhmZWM3NGU0N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1FC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06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6C2"/>
    <w:rsid w:val="000A0729"/>
    <w:rsid w:val="000A0E69"/>
    <w:rsid w:val="000A1A52"/>
    <w:rsid w:val="000A1F98"/>
    <w:rsid w:val="000A3B12"/>
    <w:rsid w:val="000A3D58"/>
    <w:rsid w:val="000A3FE3"/>
    <w:rsid w:val="000A47B0"/>
    <w:rsid w:val="000A4851"/>
    <w:rsid w:val="000A49BB"/>
    <w:rsid w:val="000A4F22"/>
    <w:rsid w:val="000A5674"/>
    <w:rsid w:val="000A5A46"/>
    <w:rsid w:val="000A6E0B"/>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2A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F14"/>
    <w:rsid w:val="000D5C81"/>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9C4"/>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841"/>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716"/>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1B"/>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BC3"/>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4A9"/>
    <w:rsid w:val="001E7F81"/>
    <w:rsid w:val="001F0FD1"/>
    <w:rsid w:val="001F1526"/>
    <w:rsid w:val="001F19D1"/>
    <w:rsid w:val="001F1CB9"/>
    <w:rsid w:val="001F1F18"/>
    <w:rsid w:val="001F2F92"/>
    <w:rsid w:val="001F3C46"/>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C43"/>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CDA"/>
    <w:rsid w:val="00220F7B"/>
    <w:rsid w:val="002213CE"/>
    <w:rsid w:val="00221AF7"/>
    <w:rsid w:val="00222494"/>
    <w:rsid w:val="00222775"/>
    <w:rsid w:val="00222A31"/>
    <w:rsid w:val="00222CF6"/>
    <w:rsid w:val="00224037"/>
    <w:rsid w:val="002244E4"/>
    <w:rsid w:val="00224D2A"/>
    <w:rsid w:val="00224D8D"/>
    <w:rsid w:val="0022555A"/>
    <w:rsid w:val="0022568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E5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4F"/>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322"/>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8CC"/>
    <w:rsid w:val="00317E66"/>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180"/>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57BC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952"/>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0B8"/>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7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34"/>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208"/>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421"/>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E6E"/>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E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476"/>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87BA4"/>
    <w:rsid w:val="006901AC"/>
    <w:rsid w:val="00690C8D"/>
    <w:rsid w:val="00691890"/>
    <w:rsid w:val="00691AAD"/>
    <w:rsid w:val="00692416"/>
    <w:rsid w:val="00692AFF"/>
    <w:rsid w:val="00692D2D"/>
    <w:rsid w:val="006938C0"/>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250"/>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0DE5"/>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E45"/>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03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4A"/>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66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A10"/>
    <w:rsid w:val="00846D25"/>
    <w:rsid w:val="008478DB"/>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7C0"/>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CB"/>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505"/>
    <w:rsid w:val="008B48EC"/>
    <w:rsid w:val="008B4AF0"/>
    <w:rsid w:val="008B518E"/>
    <w:rsid w:val="008B527B"/>
    <w:rsid w:val="008B5AB9"/>
    <w:rsid w:val="008B67E6"/>
    <w:rsid w:val="008B69B8"/>
    <w:rsid w:val="008B7042"/>
    <w:rsid w:val="008B770C"/>
    <w:rsid w:val="008C0325"/>
    <w:rsid w:val="008C094A"/>
    <w:rsid w:val="008C0F43"/>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BD5"/>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1D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0FE4"/>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157"/>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8D3"/>
    <w:rsid w:val="00A0686F"/>
    <w:rsid w:val="00A0700C"/>
    <w:rsid w:val="00A102F8"/>
    <w:rsid w:val="00A10A20"/>
    <w:rsid w:val="00A10E5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5FCC"/>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D4"/>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0E9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1EFD"/>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DA9"/>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94E"/>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55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421"/>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A38"/>
    <w:rsid w:val="00CD1255"/>
    <w:rsid w:val="00CD1484"/>
    <w:rsid w:val="00CD1892"/>
    <w:rsid w:val="00CD1C01"/>
    <w:rsid w:val="00CD1D00"/>
    <w:rsid w:val="00CD2009"/>
    <w:rsid w:val="00CD27AC"/>
    <w:rsid w:val="00CD2A82"/>
    <w:rsid w:val="00CD3CAB"/>
    <w:rsid w:val="00CD44FF"/>
    <w:rsid w:val="00CD46A7"/>
    <w:rsid w:val="00CD47BC"/>
    <w:rsid w:val="00CD48CE"/>
    <w:rsid w:val="00CD4E50"/>
    <w:rsid w:val="00CD57CB"/>
    <w:rsid w:val="00CD64E1"/>
    <w:rsid w:val="00CD66BA"/>
    <w:rsid w:val="00CD68D5"/>
    <w:rsid w:val="00CD699D"/>
    <w:rsid w:val="00CD6BA3"/>
    <w:rsid w:val="00CD70DB"/>
    <w:rsid w:val="00CD7544"/>
    <w:rsid w:val="00CD78D4"/>
    <w:rsid w:val="00CE031E"/>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84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1BB"/>
    <w:rsid w:val="00D5552C"/>
    <w:rsid w:val="00D5556D"/>
    <w:rsid w:val="00D55C34"/>
    <w:rsid w:val="00D55C81"/>
    <w:rsid w:val="00D5674B"/>
    <w:rsid w:val="00D56B56"/>
    <w:rsid w:val="00D56BF5"/>
    <w:rsid w:val="00D56F99"/>
    <w:rsid w:val="00D5743F"/>
    <w:rsid w:val="00D57F1F"/>
    <w:rsid w:val="00D60065"/>
    <w:rsid w:val="00D60270"/>
    <w:rsid w:val="00D604ED"/>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4F2F"/>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36F"/>
    <w:rsid w:val="00EB2635"/>
    <w:rsid w:val="00EB2961"/>
    <w:rsid w:val="00EB2E1A"/>
    <w:rsid w:val="00EB2F8A"/>
    <w:rsid w:val="00EB3268"/>
    <w:rsid w:val="00EB3298"/>
    <w:rsid w:val="00EB3939"/>
    <w:rsid w:val="00EB3CE6"/>
    <w:rsid w:val="00EB3E92"/>
    <w:rsid w:val="00EB42D4"/>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5FD"/>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98"/>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22"/>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732EC"/>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5F76E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FA34B"/>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B55C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0367"/>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F0B76"/>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449F0"/>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7414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D7FFEA50"/>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未处理的提及2"/>
    <w:basedOn w:val="69"/>
    <w:semiHidden/>
    <w:unhideWhenUsed/>
    <w:qFormat/>
    <w:uiPriority w:val="99"/>
    <w:rPr>
      <w:color w:val="605E5C"/>
      <w:shd w:val="clear" w:color="auto" w:fill="E1DFDD"/>
    </w:rPr>
  </w:style>
  <w:style w:type="paragraph" w:customStyle="1" w:styleId="963">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4">
    <w:name w:val="_正文"/>
    <w:basedOn w:val="1"/>
    <w:link w:val="965"/>
    <w:qFormat/>
    <w:uiPriority w:val="0"/>
    <w:pPr>
      <w:tabs>
        <w:tab w:val="left" w:pos="840"/>
      </w:tabs>
      <w:adjustRightInd/>
      <w:spacing w:line="360" w:lineRule="auto"/>
      <w:ind w:firstLine="200" w:firstLineChars="200"/>
    </w:pPr>
    <w:rPr>
      <w:sz w:val="24"/>
    </w:rPr>
  </w:style>
  <w:style w:type="character" w:customStyle="1" w:styleId="965">
    <w:name w:val="_正文 Char"/>
    <w:link w:val="964"/>
    <w:qFormat/>
    <w:uiPriority w:val="0"/>
    <w:rPr>
      <w:kern w:val="2"/>
      <w:sz w:val="24"/>
      <w:szCs w:val="24"/>
    </w:rPr>
  </w:style>
  <w:style w:type="paragraph" w:customStyle="1" w:styleId="966">
    <w:name w:val="正文（上会）"/>
    <w:basedOn w:val="1"/>
    <w:link w:val="967"/>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67">
    <w:name w:val="正文（上会） 字符"/>
    <w:basedOn w:val="69"/>
    <w:link w:val="966"/>
    <w:qFormat/>
    <w:uiPriority w:val="0"/>
    <w:rPr>
      <w:rFonts w:ascii="仿宋_GB2312" w:hAnsi="仿宋_GB2312" w:eastAsia="仿宋_GB2312" w:cs="仿宋_GB2312"/>
      <w:kern w:val="2"/>
      <w:sz w:val="32"/>
      <w:szCs w:val="32"/>
    </w:rPr>
  </w:style>
  <w:style w:type="character" w:customStyle="1" w:styleId="968">
    <w:name w:val="未处理的提及3"/>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7E61D-1279-4D73-A124-23C671F7FA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7766</Words>
  <Characters>44267</Characters>
  <Lines>368</Lines>
  <Paragraphs>103</Paragraphs>
  <TotalTime>52</TotalTime>
  <ScaleCrop>false</ScaleCrop>
  <LinksUpToDate>false</LinksUpToDate>
  <CharactersWithSpaces>51930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蒋银洋</cp:lastModifiedBy>
  <cp:lastPrinted>2021-12-27T19:06:00Z</cp:lastPrinted>
  <dcterms:modified xsi:type="dcterms:W3CDTF">2023-02-01T09:00:43Z</dcterms:modified>
  <dc:title>杭州市市民卡扩大发卡工程</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BE7276AA05124485B93F111ACEDD1D04</vt:lpwstr>
  </property>
</Properties>
</file>