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仿宋_GB2312"/>
          <w:b/>
          <w:color w:val="auto"/>
          <w:sz w:val="24"/>
          <w:highlight w:val="none"/>
        </w:rPr>
      </w:pPr>
    </w:p>
    <w:p>
      <w:pPr>
        <w:snapToGrid w:val="0"/>
        <w:spacing w:line="360" w:lineRule="auto"/>
        <w:rPr>
          <w:rFonts w:ascii="仿宋" w:hAnsi="仿宋" w:eastAsia="仿宋" w:cs="仿宋_GB2312"/>
          <w:b/>
          <w:color w:val="auto"/>
          <w:sz w:val="48"/>
          <w:szCs w:val="48"/>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pacing w:val="6"/>
          <w:sz w:val="48"/>
          <w:szCs w:val="48"/>
          <w:highlight w:val="none"/>
        </w:rPr>
      </w:pPr>
      <w:bookmarkStart w:id="0" w:name="_Hlk94030499"/>
      <w:r>
        <w:rPr>
          <w:rFonts w:hint="eastAsia" w:ascii="仿宋" w:hAnsi="仿宋" w:eastAsia="仿宋" w:cs="宋体"/>
          <w:b/>
          <w:bCs/>
          <w:color w:val="auto"/>
          <w:spacing w:val="6"/>
          <w:sz w:val="48"/>
          <w:szCs w:val="48"/>
          <w:highlight w:val="none"/>
        </w:rPr>
        <w:t>2023年余杭区县道小修总包项目</w:t>
      </w:r>
      <w:bookmarkEnd w:id="0"/>
    </w:p>
    <w:p>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r>
        <w:rPr>
          <w:rFonts w:ascii="仿宋" w:hAnsi="仿宋" w:eastAsia="仿宋" w:cs="宋体"/>
          <w:color w:val="auto"/>
          <w:kern w:val="0"/>
          <w:sz w:val="24"/>
          <w:highlight w:val="none"/>
        </w:rPr>
        <w:drawing>
          <wp:inline distT="0" distB="0" distL="114300" distR="114300">
            <wp:extent cx="1783080" cy="1356360"/>
            <wp:effectExtent l="0" t="0" r="762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783080" cy="1356360"/>
                    </a:xfrm>
                    <a:prstGeom prst="rect">
                      <a:avLst/>
                    </a:prstGeom>
                    <a:noFill/>
                    <a:ln>
                      <a:noFill/>
                    </a:ln>
                  </pic:spPr>
                </pic:pic>
              </a:graphicData>
            </a:graphic>
          </wp:inline>
        </w:drawing>
      </w: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招标编号：CTZB-2022100196</w:t>
      </w: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olor w:val="auto"/>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72390</wp:posOffset>
                </wp:positionV>
                <wp:extent cx="63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0pt;margin-top:5.7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8jy61QAA&#10;AAkBAAAPAAAAAAAAAAEAIAAAACIAAABkcnMvZG93bnJldi54bWxQSwECFAAUAAAACACHTuJAWgbv&#10;AOgBAADWAwAADgAAAAAAAAABACAAAAAkAQAAZHJzL2Uyb0RvYy54bWxQSwUGAAAAAAYABgBZAQAA&#10;fgU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1419" w:firstLineChars="471"/>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标</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杭州市余杭区交通运输局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二O二二年十一月</w:t>
      </w:r>
    </w:p>
    <w:p>
      <w:pPr>
        <w:snapToGrid w:val="0"/>
        <w:spacing w:line="360" w:lineRule="auto"/>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pacing w:line="36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pStyle w:val="59"/>
        <w:tabs>
          <w:tab w:val="right" w:leader="dot" w:pos="8306"/>
        </w:tabs>
        <w:spacing w:line="360" w:lineRule="auto"/>
        <w:rPr>
          <w:rFonts w:ascii="仿宋" w:hAnsi="仿宋" w:eastAsia="仿宋"/>
          <w:b/>
          <w:bCs/>
          <w:color w:val="auto"/>
          <w:sz w:val="24"/>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TOC \o "1-3" \h \u </w:instrText>
      </w:r>
      <w:r>
        <w:rPr>
          <w:rFonts w:hint="eastAsia" w:ascii="仿宋" w:hAnsi="仿宋" w:eastAsia="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"_Toc24913" </w:instrText>
      </w:r>
      <w:r>
        <w:rPr>
          <w:color w:val="auto"/>
          <w:highlight w:val="none"/>
        </w:rPr>
        <w:fldChar w:fldCharType="separate"/>
      </w:r>
      <w:r>
        <w:rPr>
          <w:rFonts w:hint="eastAsia" w:ascii="仿宋" w:hAnsi="仿宋" w:eastAsia="仿宋"/>
          <w:b/>
          <w:bCs/>
          <w:color w:val="auto"/>
          <w:sz w:val="24"/>
          <w:highlight w:val="none"/>
        </w:rPr>
        <w:t>第一部分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招标公告</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_Toc24913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1</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"_Toc12764" </w:instrText>
      </w:r>
      <w:r>
        <w:rPr>
          <w:color w:val="auto"/>
          <w:highlight w:val="none"/>
        </w:rPr>
        <w:fldChar w:fldCharType="separate"/>
      </w:r>
      <w:r>
        <w:rPr>
          <w:rFonts w:hint="eastAsia" w:ascii="仿宋" w:hAnsi="仿宋" w:eastAsia="仿宋"/>
          <w:b/>
          <w:bCs/>
          <w:color w:val="auto"/>
          <w:sz w:val="24"/>
          <w:highlight w:val="none"/>
        </w:rPr>
        <w:t>第二部分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投标人</w:t>
      </w:r>
      <w:r>
        <w:rPr>
          <w:rFonts w:ascii="仿宋" w:hAnsi="仿宋" w:eastAsia="仿宋"/>
          <w:b/>
          <w:bCs/>
          <w:color w:val="auto"/>
          <w:sz w:val="24"/>
          <w:highlight w:val="none"/>
        </w:rPr>
        <w:t>须知</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_Toc12764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6</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"_Toc24825" </w:instrText>
      </w:r>
      <w:r>
        <w:rPr>
          <w:color w:val="auto"/>
          <w:highlight w:val="none"/>
        </w:rPr>
        <w:fldChar w:fldCharType="separate"/>
      </w:r>
      <w:r>
        <w:rPr>
          <w:rFonts w:hint="eastAsia" w:ascii="仿宋" w:hAnsi="仿宋" w:eastAsia="仿宋"/>
          <w:b/>
          <w:bCs/>
          <w:color w:val="auto"/>
          <w:sz w:val="24"/>
          <w:highlight w:val="none"/>
        </w:rPr>
        <w:t>第三部分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采购需求</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_Toc24825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24</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"_Toc24273" </w:instrText>
      </w:r>
      <w:r>
        <w:rPr>
          <w:color w:val="auto"/>
          <w:highlight w:val="none"/>
        </w:rPr>
        <w:fldChar w:fldCharType="separate"/>
      </w:r>
      <w:r>
        <w:rPr>
          <w:rFonts w:hint="eastAsia" w:ascii="仿宋" w:hAnsi="仿宋" w:eastAsia="仿宋" w:cs="宋体"/>
          <w:b/>
          <w:bCs/>
          <w:color w:val="auto"/>
          <w:sz w:val="24"/>
          <w:highlight w:val="none"/>
        </w:rPr>
        <w:t>第四部分 评标办法</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_Toc24273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42</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"_Toc16184" </w:instrText>
      </w:r>
      <w:r>
        <w:rPr>
          <w:color w:val="auto"/>
          <w:highlight w:val="none"/>
        </w:rPr>
        <w:fldChar w:fldCharType="separate"/>
      </w:r>
      <w:r>
        <w:rPr>
          <w:rFonts w:hint="eastAsia" w:ascii="仿宋" w:hAnsi="仿宋" w:eastAsia="仿宋"/>
          <w:b/>
          <w:bCs/>
          <w:color w:val="auto"/>
          <w:sz w:val="24"/>
          <w:highlight w:val="none"/>
        </w:rPr>
        <w:t>第五部分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拟签订的合同文本</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_Toc16184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52</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59"/>
        <w:tabs>
          <w:tab w:val="right" w:leader="dot" w:pos="8306"/>
        </w:tabs>
        <w:spacing w:line="360" w:lineRule="auto"/>
        <w:rPr>
          <w:rFonts w:ascii="仿宋" w:hAnsi="仿宋" w:eastAsia="仿宋"/>
          <w:b/>
          <w:bCs/>
          <w:color w:val="auto"/>
          <w:sz w:val="24"/>
          <w:highlight w:val="none"/>
        </w:rPr>
      </w:pPr>
      <w:r>
        <w:rPr>
          <w:color w:val="auto"/>
          <w:highlight w:val="none"/>
        </w:rPr>
        <w:fldChar w:fldCharType="begin"/>
      </w:r>
      <w:r>
        <w:rPr>
          <w:color w:val="auto"/>
          <w:highlight w:val="none"/>
        </w:rPr>
        <w:instrText xml:space="preserve"> HYPERLINK \l "_Toc17409" </w:instrText>
      </w:r>
      <w:r>
        <w:rPr>
          <w:color w:val="auto"/>
          <w:highlight w:val="none"/>
        </w:rPr>
        <w:fldChar w:fldCharType="separate"/>
      </w:r>
      <w:r>
        <w:rPr>
          <w:rFonts w:hint="eastAsia" w:ascii="仿宋" w:hAnsi="仿宋" w:eastAsia="仿宋"/>
          <w:b/>
          <w:bCs/>
          <w:color w:val="auto"/>
          <w:sz w:val="24"/>
          <w:highlight w:val="none"/>
        </w:rPr>
        <w:t>第六部分</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应提交的有关格式范例</w:t>
      </w:r>
      <w:r>
        <w:rPr>
          <w:rFonts w:ascii="仿宋" w:hAnsi="仿宋" w:eastAsia="仿宋"/>
          <w:b/>
          <w:bCs/>
          <w:color w:val="auto"/>
          <w:sz w:val="24"/>
          <w:highlight w:val="none"/>
        </w:rPr>
        <w:tab/>
      </w:r>
      <w:r>
        <w:rPr>
          <w:rFonts w:ascii="仿宋" w:hAnsi="仿宋" w:eastAsia="仿宋"/>
          <w:b/>
          <w:bCs/>
          <w:color w:val="auto"/>
          <w:sz w:val="24"/>
          <w:highlight w:val="none"/>
        </w:rPr>
        <w:fldChar w:fldCharType="begin"/>
      </w:r>
      <w:r>
        <w:rPr>
          <w:rFonts w:ascii="仿宋" w:hAnsi="仿宋" w:eastAsia="仿宋"/>
          <w:b/>
          <w:bCs/>
          <w:color w:val="auto"/>
          <w:sz w:val="24"/>
          <w:highlight w:val="none"/>
        </w:rPr>
        <w:instrText xml:space="preserve"> PAGEREF _Toc17409 \h </w:instrText>
      </w:r>
      <w:r>
        <w:rPr>
          <w:rFonts w:ascii="仿宋" w:hAnsi="仿宋" w:eastAsia="仿宋"/>
          <w:b/>
          <w:bCs/>
          <w:color w:val="auto"/>
          <w:sz w:val="24"/>
          <w:highlight w:val="none"/>
        </w:rPr>
        <w:fldChar w:fldCharType="separate"/>
      </w:r>
      <w:r>
        <w:rPr>
          <w:rFonts w:ascii="仿宋" w:hAnsi="仿宋" w:eastAsia="仿宋"/>
          <w:b/>
          <w:bCs/>
          <w:color w:val="auto"/>
          <w:sz w:val="24"/>
          <w:highlight w:val="none"/>
        </w:rPr>
        <w:t>65</w:t>
      </w:r>
      <w:r>
        <w:rPr>
          <w:rFonts w:ascii="仿宋" w:hAnsi="仿宋" w:eastAsia="仿宋"/>
          <w:b/>
          <w:bCs/>
          <w:color w:val="auto"/>
          <w:sz w:val="24"/>
          <w:highlight w:val="none"/>
        </w:rPr>
        <w:fldChar w:fldCharType="end"/>
      </w:r>
      <w:r>
        <w:rPr>
          <w:rFonts w:ascii="仿宋" w:hAnsi="仿宋" w:eastAsia="仿宋"/>
          <w:b/>
          <w:bCs/>
          <w:color w:val="auto"/>
          <w:sz w:val="24"/>
          <w:highlight w:val="none"/>
        </w:rPr>
        <w:fldChar w:fldCharType="end"/>
      </w:r>
    </w:p>
    <w:p>
      <w:pPr>
        <w:pStyle w:val="2"/>
        <w:spacing w:line="360" w:lineRule="auto"/>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fldChar w:fldCharType="end"/>
      </w:r>
    </w:p>
    <w:p>
      <w:pPr>
        <w:pStyle w:val="5"/>
        <w:rPr>
          <w:rFonts w:ascii="仿宋" w:hAnsi="仿宋" w:eastAsia="仿宋" w:cs="仿宋"/>
          <w:color w:val="auto"/>
          <w:sz w:val="24"/>
          <w:szCs w:val="24"/>
          <w:highlight w:val="none"/>
        </w:rPr>
        <w:sectPr>
          <w:footerReference r:id="rId4" w:type="first"/>
          <w:footerReference r:id="rId3" w:type="default"/>
          <w:pgSz w:w="11906" w:h="16838"/>
          <w:pgMar w:top="1440" w:right="1800" w:bottom="1440" w:left="1800" w:header="851" w:footer="992" w:gutter="0"/>
          <w:pgNumType w:start="1"/>
          <w:cols w:space="720" w:num="1"/>
          <w:docGrid w:linePitch="312" w:charSpace="0"/>
        </w:sectPr>
      </w:pPr>
      <w:bookmarkStart w:id="1" w:name="_Toc829790387"/>
      <w:bookmarkStart w:id="2" w:name="_Toc27876"/>
      <w:bookmarkStart w:id="3" w:name="_Toc95312933"/>
      <w:bookmarkStart w:id="4" w:name="_Toc24823"/>
      <w:bookmarkStart w:id="5" w:name="_Toc12868"/>
      <w:bookmarkStart w:id="6" w:name="第二部分"/>
      <w:bookmarkStart w:id="7" w:name="_Toc91899870"/>
      <w:bookmarkStart w:id="8" w:name="_Toc91899871"/>
    </w:p>
    <w:p>
      <w:pPr>
        <w:pStyle w:val="4"/>
        <w:jc w:val="center"/>
        <w:rPr>
          <w:rFonts w:ascii="仿宋" w:hAnsi="仿宋" w:eastAsia="仿宋"/>
          <w:color w:val="auto"/>
          <w:highlight w:val="none"/>
        </w:rPr>
      </w:pPr>
      <w:bookmarkStart w:id="9" w:name="_Toc24913"/>
      <w:r>
        <w:rPr>
          <w:rFonts w:hint="eastAsia" w:ascii="仿宋" w:hAnsi="仿宋" w:eastAsia="仿宋"/>
          <w:color w:val="auto"/>
          <w:highlight w:val="none"/>
        </w:rPr>
        <w:t>第一部分</w:t>
      </w:r>
      <w:r>
        <w:rPr>
          <w:rFonts w:ascii="仿宋" w:hAnsi="仿宋" w:eastAsia="仿宋"/>
          <w:color w:val="auto"/>
          <w:highlight w:val="none"/>
        </w:rPr>
        <w:t xml:space="preserve"> </w:t>
      </w:r>
      <w:r>
        <w:rPr>
          <w:rFonts w:hint="eastAsia" w:ascii="仿宋" w:hAnsi="仿宋" w:eastAsia="仿宋"/>
          <w:color w:val="auto"/>
          <w:highlight w:val="none"/>
        </w:rPr>
        <w:t>招标公告</w:t>
      </w:r>
      <w:bookmarkEnd w:id="1"/>
      <w:bookmarkEnd w:id="2"/>
      <w:bookmarkEnd w:id="3"/>
      <w:bookmarkEnd w:id="4"/>
      <w:bookmarkEnd w:id="5"/>
      <w:bookmarkEnd w:id="9"/>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olor w:val="auto"/>
          <w:sz w:val="24"/>
          <w:highlight w:val="none"/>
        </w:rPr>
      </w:pPr>
      <w:bookmarkStart w:id="10" w:name="_Hlk94195394"/>
      <w:r>
        <w:rPr>
          <w:rFonts w:hint="eastAsia" w:ascii="仿宋" w:hAnsi="仿宋" w:eastAsia="仿宋" w:cs="仿宋_GB2312"/>
          <w:color w:val="auto"/>
          <w:sz w:val="24"/>
          <w:highlight w:val="none"/>
        </w:rPr>
        <w:t>2023年余杭区县道小修总包</w:t>
      </w:r>
      <w:r>
        <w:rPr>
          <w:rFonts w:hint="eastAsia" w:ascii="仿宋" w:hAnsi="仿宋" w:eastAsia="仿宋"/>
          <w:color w:val="auto"/>
          <w:sz w:val="24"/>
          <w:highlight w:val="none"/>
        </w:rPr>
        <w:t>项目</w:t>
      </w:r>
      <w:bookmarkEnd w:id="10"/>
      <w:r>
        <w:rPr>
          <w:rFonts w:hint="eastAsia" w:ascii="仿宋" w:hAnsi="仿宋" w:eastAsia="仿宋"/>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"https://www.zcygov.cn/）获取（下载）采购文件，并于2022年%20%20月%20%20%20日09点30分00秒" </w:instrText>
      </w:r>
      <w:r>
        <w:rPr>
          <w:color w:val="auto"/>
          <w:highlight w:val="none"/>
        </w:rPr>
        <w:fldChar w:fldCharType="separate"/>
      </w:r>
      <w:r>
        <w:rPr>
          <w:rStyle w:val="102"/>
          <w:rFonts w:ascii="仿宋" w:hAnsi="仿宋" w:eastAsia="仿宋" w:cs="Times New Roman"/>
          <w:color w:val="auto"/>
          <w:kern w:val="2"/>
          <w:sz w:val="24"/>
          <w:szCs w:val="24"/>
          <w:highlight w:val="none"/>
        </w:rPr>
        <w:t>https://www.zcygov.cn/）获取（下载）采购文件，并于2022年</w:t>
      </w:r>
      <w:r>
        <w:rPr>
          <w:rStyle w:val="102"/>
          <w:rFonts w:hint="eastAsia" w:ascii="仿宋" w:hAnsi="仿宋" w:eastAsia="仿宋" w:cs="Times New Roman"/>
          <w:color w:val="auto"/>
          <w:kern w:val="2"/>
          <w:sz w:val="24"/>
          <w:szCs w:val="24"/>
          <w:highlight w:val="none"/>
          <w:lang w:val="en-US" w:eastAsia="zh-CN"/>
        </w:rPr>
        <w:t>12</w:t>
      </w:r>
      <w:r>
        <w:rPr>
          <w:rStyle w:val="102"/>
          <w:rFonts w:hint="eastAsia" w:ascii="仿宋" w:hAnsi="仿宋" w:eastAsia="仿宋" w:cs="Times New Roman"/>
          <w:color w:val="auto"/>
          <w:kern w:val="2"/>
          <w:sz w:val="24"/>
          <w:szCs w:val="24"/>
          <w:highlight w:val="none"/>
        </w:rPr>
        <w:t>月</w:t>
      </w:r>
      <w:r>
        <w:rPr>
          <w:rStyle w:val="102"/>
          <w:rFonts w:hint="eastAsia" w:ascii="仿宋" w:hAnsi="仿宋" w:eastAsia="仿宋" w:cs="Times New Roman"/>
          <w:color w:val="auto"/>
          <w:kern w:val="2"/>
          <w:sz w:val="24"/>
          <w:szCs w:val="24"/>
          <w:highlight w:val="none"/>
          <w:lang w:val="en-US" w:eastAsia="zh-CN"/>
        </w:rPr>
        <w:t>7</w:t>
      </w:r>
      <w:r>
        <w:rPr>
          <w:rStyle w:val="102"/>
          <w:rFonts w:hint="eastAsia" w:ascii="仿宋" w:hAnsi="仿宋" w:eastAsia="仿宋" w:cs="Times New Roman"/>
          <w:color w:val="auto"/>
          <w:kern w:val="2"/>
          <w:sz w:val="24"/>
          <w:szCs w:val="24"/>
          <w:highlight w:val="none"/>
        </w:rPr>
        <w:t>日</w:t>
      </w:r>
      <w:r>
        <w:rPr>
          <w:rStyle w:val="102"/>
          <w:rFonts w:hint="eastAsia" w:ascii="仿宋" w:hAnsi="仿宋" w:eastAsia="仿宋" w:cs="Times New Roman"/>
          <w:color w:val="auto"/>
          <w:kern w:val="2"/>
          <w:sz w:val="24"/>
          <w:szCs w:val="24"/>
          <w:highlight w:val="none"/>
          <w:lang w:val="en-US" w:eastAsia="zh-CN"/>
        </w:rPr>
        <w:t>13</w:t>
      </w:r>
      <w:r>
        <w:rPr>
          <w:rStyle w:val="102"/>
          <w:rFonts w:ascii="仿宋" w:hAnsi="仿宋" w:eastAsia="仿宋" w:cs="Times New Roman"/>
          <w:color w:val="auto"/>
          <w:kern w:val="2"/>
          <w:sz w:val="24"/>
          <w:szCs w:val="24"/>
          <w:highlight w:val="none"/>
        </w:rPr>
        <w:t>点</w:t>
      </w:r>
      <w:r>
        <w:rPr>
          <w:rStyle w:val="102"/>
          <w:rFonts w:hint="eastAsia" w:ascii="仿宋" w:hAnsi="仿宋" w:eastAsia="仿宋" w:cs="Times New Roman"/>
          <w:color w:val="auto"/>
          <w:kern w:val="2"/>
          <w:sz w:val="24"/>
          <w:szCs w:val="24"/>
          <w:highlight w:val="none"/>
        </w:rPr>
        <w:t>3</w:t>
      </w:r>
      <w:r>
        <w:rPr>
          <w:rStyle w:val="102"/>
          <w:rFonts w:ascii="仿宋" w:hAnsi="仿宋" w:eastAsia="仿宋" w:cs="Times New Roman"/>
          <w:color w:val="auto"/>
          <w:kern w:val="2"/>
          <w:sz w:val="24"/>
          <w:szCs w:val="24"/>
          <w:highlight w:val="none"/>
        </w:rPr>
        <w:t>0分</w:t>
      </w:r>
      <w:r>
        <w:rPr>
          <w:rStyle w:val="102"/>
          <w:rFonts w:ascii="仿宋" w:hAnsi="仿宋" w:eastAsia="仿宋" w:cs="Times New Roman"/>
          <w:bCs/>
          <w:color w:val="auto"/>
          <w:kern w:val="2"/>
          <w:sz w:val="24"/>
          <w:szCs w:val="24"/>
          <w:highlight w:val="none"/>
        </w:rPr>
        <w:t>00秒</w:t>
      </w:r>
      <w:r>
        <w:rPr>
          <w:rStyle w:val="102"/>
          <w:rFonts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pPr>
        <w:snapToGrid w:val="0"/>
        <w:spacing w:line="360" w:lineRule="auto"/>
        <w:rPr>
          <w:rFonts w:ascii="仿宋" w:hAnsi="仿宋" w:eastAsia="仿宋"/>
          <w:b/>
          <w:color w:val="auto"/>
          <w:sz w:val="24"/>
          <w:highlight w:val="none"/>
        </w:rPr>
      </w:pPr>
      <w:r>
        <w:rPr>
          <w:rFonts w:hint="eastAsia" w:ascii="仿宋" w:hAnsi="仿宋" w:eastAsia="仿宋" w:cs="仿宋_GB2312"/>
          <w:b/>
          <w:bCs/>
          <w:color w:val="auto"/>
          <w:sz w:val="24"/>
          <w:highlight w:val="none"/>
        </w:rPr>
        <w:t>一、项目基本情况</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项目编号：</w:t>
      </w:r>
      <w:r>
        <w:rPr>
          <w:rFonts w:hint="eastAsia" w:ascii="仿宋" w:hAnsi="仿宋" w:eastAsia="仿宋"/>
          <w:color w:val="auto"/>
          <w:sz w:val="24"/>
          <w:highlight w:val="none"/>
        </w:rPr>
        <w:t>CTZB-2022100196</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项目名称：</w:t>
      </w:r>
      <w:bookmarkStart w:id="11" w:name="_Hlk94199876"/>
      <w:r>
        <w:rPr>
          <w:rFonts w:hint="eastAsia" w:ascii="仿宋" w:hAnsi="仿宋" w:eastAsia="仿宋"/>
          <w:b/>
          <w:color w:val="auto"/>
          <w:sz w:val="24"/>
          <w:highlight w:val="none"/>
        </w:rPr>
        <w:t>2023年余杭区县道小修总包项目</w:t>
      </w:r>
      <w:bookmarkEnd w:id="11"/>
    </w:p>
    <w:p>
      <w:pPr>
        <w:snapToGrid w:val="0"/>
        <w:spacing w:line="360" w:lineRule="auto"/>
        <w:ind w:firstLine="480" w:firstLineChars="200"/>
        <w:rPr>
          <w:rFonts w:ascii="仿宋" w:hAnsi="仿宋" w:eastAsia="仿宋"/>
          <w:bCs/>
          <w:color w:val="auto"/>
          <w:sz w:val="24"/>
          <w:highlight w:val="none"/>
        </w:rPr>
      </w:pPr>
      <w:r>
        <w:rPr>
          <w:rFonts w:ascii="仿宋" w:hAnsi="仿宋" w:eastAsia="仿宋"/>
          <w:b/>
          <w:color w:val="auto"/>
          <w:sz w:val="24"/>
          <w:highlight w:val="none"/>
        </w:rPr>
        <w:t>预算金额（元）：11020000</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最高限价（元）：</w:t>
      </w:r>
      <w:r>
        <w:rPr>
          <w:rFonts w:ascii="仿宋" w:hAnsi="仿宋" w:eastAsia="仿宋"/>
          <w:b/>
          <w:color w:val="auto"/>
          <w:sz w:val="24"/>
          <w:highlight w:val="none"/>
        </w:rPr>
        <w:t>11020000</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采购需求：2023年余杭区县道小修。</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b/>
          <w:bCs/>
          <w:color w:val="auto"/>
          <w:sz w:val="24"/>
          <w:highlight w:val="none"/>
        </w:rPr>
        <w:t>合同履约期限：</w:t>
      </w:r>
      <w:r>
        <w:rPr>
          <w:rFonts w:hint="eastAsia" w:ascii="仿宋" w:hAnsi="仿宋" w:eastAsia="仿宋" w:cs="宋体"/>
          <w:color w:val="auto"/>
          <w:kern w:val="0"/>
          <w:sz w:val="24"/>
          <w:highlight w:val="none"/>
        </w:rPr>
        <w:t>养护期2023年1月1日-2023年12月31日（具体详见采购需求）</w:t>
      </w:r>
      <w:r>
        <w:rPr>
          <w:rFonts w:hint="eastAsia" w:ascii="仿宋" w:hAnsi="仿宋" w:eastAsia="仿宋"/>
          <w:b/>
          <w:bCs/>
          <w:color w:val="auto"/>
          <w:sz w:val="24"/>
          <w:highlight w:val="none"/>
        </w:rPr>
        <w:t>。</w:t>
      </w:r>
    </w:p>
    <w:p>
      <w:pPr>
        <w:pStyle w:val="22"/>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pPr>
        <w:snapToGrid w:val="0"/>
        <w:spacing w:line="360" w:lineRule="auto"/>
        <w:ind w:firstLine="480"/>
        <w:rPr>
          <w:rFonts w:ascii="仿宋" w:hAnsi="仿宋" w:eastAsia="仿宋" w:cs="仿宋_GB2312"/>
          <w:snapToGrid w:val="0"/>
          <w:color w:val="auto"/>
          <w:kern w:val="28"/>
          <w:sz w:val="24"/>
          <w:szCs w:val="20"/>
          <w:highlight w:val="none"/>
        </w:rPr>
      </w:pPr>
      <w:bookmarkStart w:id="12" w:name="_Hlk95001755"/>
      <w:bookmarkStart w:id="13" w:name="_Hlk94350648"/>
      <w:bookmarkStart w:id="14" w:name="_Hlk95832865"/>
      <w:bookmarkStart w:id="15" w:name="_Hlk101898998"/>
      <w:r>
        <w:rPr>
          <w:rFonts w:ascii="仿宋" w:hAnsi="仿宋" w:eastAsia="仿宋" w:cs="仿宋_GB2312"/>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bookmarkEnd w:id="12"/>
    </w:p>
    <w:bookmarkEnd w:id="13"/>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10%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rPr>
          <w:rFonts w:ascii="仿宋" w:hAnsi="仿宋" w:eastAsia="仿宋"/>
          <w:color w:val="auto"/>
          <w:sz w:val="24"/>
          <w:highlight w:val="none"/>
        </w:rPr>
      </w:pPr>
      <w:r>
        <w:rPr>
          <w:rFonts w:ascii="仿宋" w:hAnsi="仿宋" w:eastAsia="仿宋" w:cs="仿宋_GB2312"/>
          <w:snapToGrid w:val="0"/>
          <w:color w:val="auto"/>
          <w:kern w:val="28"/>
          <w:sz w:val="24"/>
          <w:szCs w:val="20"/>
          <w:highlight w:val="none"/>
        </w:rPr>
        <w:t>3.本项目的特定资格要求：</w:t>
      </w: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p>
    <w:bookmarkEnd w:id="14"/>
    <w:bookmarkEnd w:id="15"/>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三、获取采购文件</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12</w:t>
      </w:r>
      <w:r>
        <w:rPr>
          <w:rFonts w:ascii="仿宋" w:hAnsi="仿宋" w:eastAsia="仿宋"/>
          <w:color w:val="auto"/>
          <w:sz w:val="24"/>
          <w:highlight w:val="none"/>
        </w:rPr>
        <w:t>月</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点30分</w:t>
      </w:r>
      <w:r>
        <w:rPr>
          <w:rFonts w:hint="eastAsia" w:ascii="仿宋" w:hAnsi="仿宋" w:eastAsia="仿宋"/>
          <w:bCs/>
          <w:color w:val="auto"/>
          <w:sz w:val="24"/>
          <w:highlight w:val="none"/>
        </w:rPr>
        <w:t xml:space="preserve"> </w:t>
      </w:r>
      <w:r>
        <w:rPr>
          <w:rFonts w:hint="eastAsia" w:ascii="仿宋" w:hAnsi="仿宋" w:eastAsia="仿宋"/>
          <w:color w:val="auto"/>
          <w:sz w:val="24"/>
          <w:highlight w:val="none"/>
        </w:rPr>
        <w:t>（北京时间）</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pPr>
        <w:snapToGrid w:val="0"/>
        <w:spacing w:line="360" w:lineRule="auto"/>
        <w:ind w:firstLine="480"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hint="eastAsia" w:ascii="仿宋" w:hAnsi="仿宋" w:eastAsia="仿宋"/>
          <w:color w:val="auto"/>
          <w:sz w:val="24"/>
          <w:highlight w:val="none"/>
        </w:rPr>
        <w:t>2022</w:t>
      </w:r>
      <w:r>
        <w:rPr>
          <w:rFonts w:ascii="仿宋" w:hAnsi="仿宋" w:eastAsia="仿宋"/>
          <w:color w:val="auto"/>
          <w:sz w:val="24"/>
          <w:highlight w:val="none"/>
        </w:rPr>
        <w:t>年</w:t>
      </w: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13</w:t>
      </w:r>
      <w:r>
        <w:rPr>
          <w:rFonts w:hint="eastAsia" w:ascii="仿宋" w:hAnsi="仿宋" w:eastAsia="仿宋"/>
          <w:color w:val="auto"/>
          <w:sz w:val="24"/>
          <w:highlight w:val="none"/>
        </w:rPr>
        <w:t>点30分</w:t>
      </w:r>
      <w:r>
        <w:rPr>
          <w:rFonts w:hint="eastAsia" w:ascii="仿宋" w:hAnsi="仿宋" w:eastAsia="仿宋"/>
          <w:bCs/>
          <w:color w:val="auto"/>
          <w:sz w:val="24"/>
          <w:highlight w:val="none"/>
        </w:rPr>
        <w:t xml:space="preserve"> </w:t>
      </w:r>
    </w:p>
    <w:p>
      <w:pPr>
        <w:tabs>
          <w:tab w:val="left" w:pos="900"/>
        </w:tabs>
        <w:snapToGrid w:val="0"/>
        <w:spacing w:line="360" w:lineRule="auto"/>
        <w:ind w:firstLine="480" w:firstLineChars="200"/>
        <w:rPr>
          <w:rFonts w:ascii="仿宋" w:hAnsi="仿宋" w:eastAsia="仿宋" w:cs="仿宋"/>
          <w:b/>
          <w:bCs/>
          <w:color w:val="auto"/>
          <w:kern w:val="0"/>
          <w:sz w:val="24"/>
          <w:highlight w:val="none"/>
        </w:rPr>
      </w:pPr>
      <w:r>
        <w:rPr>
          <w:rFonts w:hint="eastAsia" w:ascii="仿宋" w:hAnsi="仿宋" w:eastAsia="仿宋" w:cs="仿宋"/>
          <w:b/>
          <w:bCs/>
          <w:color w:val="auto"/>
          <w:sz w:val="24"/>
          <w:highlight w:val="none"/>
        </w:rPr>
        <w:t>开标地点（网址）：政采云平台（</w:t>
      </w:r>
      <w:r>
        <w:rPr>
          <w:color w:val="auto"/>
          <w:highlight w:val="none"/>
        </w:rPr>
        <w:fldChar w:fldCharType="begin"/>
      </w:r>
      <w:r>
        <w:rPr>
          <w:color w:val="auto"/>
          <w:highlight w:val="none"/>
        </w:rPr>
        <w:instrText xml:space="preserve"> HYPERLINK "https://www.zcygov.cn/），杭州市文晖路42" </w:instrText>
      </w:r>
      <w:r>
        <w:rPr>
          <w:color w:val="auto"/>
          <w:highlight w:val="none"/>
        </w:rPr>
        <w:fldChar w:fldCharType="separate"/>
      </w:r>
      <w:r>
        <w:rPr>
          <w:rStyle w:val="102"/>
          <w:rFonts w:hint="eastAsia" w:ascii="仿宋" w:hAnsi="仿宋" w:eastAsia="仿宋" w:cs="仿宋"/>
          <w:b/>
          <w:bCs/>
          <w:color w:val="auto"/>
          <w:kern w:val="2"/>
          <w:sz w:val="24"/>
          <w:szCs w:val="24"/>
          <w:highlight w:val="none"/>
        </w:rPr>
        <w:t>https://www.zcygov.cn/），</w:t>
      </w:r>
      <w:r>
        <w:rPr>
          <w:rStyle w:val="102"/>
          <w:rFonts w:hint="eastAsia" w:ascii="仿宋" w:hAnsi="仿宋" w:eastAsia="仿宋" w:cs="仿宋"/>
          <w:b/>
          <w:bCs/>
          <w:color w:val="auto"/>
          <w:sz w:val="24"/>
          <w:szCs w:val="24"/>
          <w:highlight w:val="none"/>
        </w:rPr>
        <w:t>杭州市文晖路42</w:t>
      </w:r>
      <w:r>
        <w:rPr>
          <w:rStyle w:val="102"/>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kern w:val="0"/>
          <w:sz w:val="24"/>
          <w:highlight w:val="none"/>
        </w:rPr>
        <w:t>号现代置业大厦西楼17层开标室一</w:t>
      </w:r>
      <w:r>
        <w:rPr>
          <w:rFonts w:hint="eastAsia" w:ascii="仿宋" w:hAnsi="仿宋" w:eastAsia="仿宋" w:cs="仿宋"/>
          <w:b/>
          <w:bCs/>
          <w:color w:val="auto"/>
          <w:spacing w:val="-6"/>
          <w:kern w:val="0"/>
          <w:sz w:val="24"/>
          <w:highlight w:val="none"/>
        </w:rPr>
        <w:t>。</w:t>
      </w:r>
      <w:bookmarkStart w:id="16" w:name="_Toc29045"/>
      <w:bookmarkStart w:id="17" w:name="_Toc10486"/>
      <w:bookmarkStart w:id="18" w:name="_Toc20890"/>
    </w:p>
    <w:p>
      <w:pPr>
        <w:tabs>
          <w:tab w:val="left" w:pos="900"/>
        </w:tabs>
        <w:snapToGrid w:val="0"/>
        <w:spacing w:line="360" w:lineRule="auto"/>
        <w:ind w:firstLine="480"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五、采购意向公开链接</w:t>
      </w:r>
      <w:bookmarkEnd w:id="16"/>
      <w:bookmarkEnd w:id="17"/>
      <w:bookmarkEnd w:id="18"/>
    </w:p>
    <w:p>
      <w:pPr>
        <w:snapToGrid w:val="0"/>
        <w:spacing w:line="360" w:lineRule="auto"/>
        <w:ind w:firstLine="420" w:firstLineChars="200"/>
        <w:rPr>
          <w:rFonts w:ascii="仿宋" w:hAnsi="仿宋" w:eastAsia="仿宋"/>
          <w:color w:val="auto"/>
          <w:highlight w:val="none"/>
        </w:rPr>
      </w:pPr>
      <w:r>
        <w:rPr>
          <w:color w:val="auto"/>
          <w:highlight w:val="none"/>
        </w:rPr>
        <w:fldChar w:fldCharType="begin"/>
      </w:r>
      <w:r>
        <w:rPr>
          <w:color w:val="auto"/>
          <w:highlight w:val="none"/>
        </w:rPr>
        <w:instrText xml:space="preserve"> HYPERLINK "https://zfcg.czt.zj.gov.cn/innerUsed_noticeDetails/index.html?noticeId=8970238&amp;utm=web-government-front.49399a16.0.0.b68d66704e2511ed8e056df8b2eaa1f1" </w:instrText>
      </w:r>
      <w:r>
        <w:rPr>
          <w:color w:val="auto"/>
          <w:highlight w:val="none"/>
        </w:rPr>
        <w:fldChar w:fldCharType="separate"/>
      </w:r>
      <w:r>
        <w:rPr>
          <w:rStyle w:val="102"/>
          <w:rFonts w:ascii="仿宋" w:hAnsi="仿宋" w:eastAsia="仿宋" w:cs="Times New Roman"/>
          <w:color w:val="auto"/>
          <w:kern w:val="2"/>
          <w:sz w:val="21"/>
          <w:szCs w:val="24"/>
          <w:highlight w:val="none"/>
        </w:rPr>
        <w:t>https://zfcg.czt.zj.gov.cn/innerUsed_noticeDetails/index.html?noticeId=8970238&amp;utm=web-government-front.49399a16.0.0.b68d66704e2511ed8e056df8b2eaa1f1</w:t>
      </w:r>
      <w:r>
        <w:rPr>
          <w:rStyle w:val="102"/>
          <w:rFonts w:ascii="仿宋" w:hAnsi="仿宋" w:eastAsia="仿宋" w:cs="Times New Roman"/>
          <w:color w:val="auto"/>
          <w:kern w:val="2"/>
          <w:sz w:val="21"/>
          <w:szCs w:val="24"/>
          <w:highlight w:val="none"/>
        </w:rPr>
        <w:fldChar w:fldCharType="end"/>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六、公告期限</w:t>
      </w:r>
      <w:r>
        <w:rPr>
          <w:rFonts w:ascii="仿宋" w:hAnsi="仿宋" w:eastAsia="仿宋"/>
          <w:b/>
          <w:color w:val="auto"/>
          <w:sz w:val="24"/>
          <w:highlight w:val="none"/>
        </w:rPr>
        <w:t xml:space="preserve">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七、其他补充事宜</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采购文件的获取：使用账号登录或者使用CA登录政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采云平台；进入“项目采购”应用，在获取采购文件菜单中选择项目，获取采购文件；④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采云平台完成本项目的电子交易活动，平台不接受未按上述方式获取采购文件的供应商进行投标活动；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对未按上述方式获取采购文件的供应商对该文件提出的质疑，采购人或采购代理机构将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不提供采购文件纸质版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pPr>
        <w:pStyle w:val="2"/>
        <w:snapToGrid w:val="0"/>
        <w:spacing w:line="360" w:lineRule="auto"/>
        <w:rPr>
          <w:rFonts w:ascii="仿宋" w:hAnsi="仿宋" w:eastAsia="仿宋"/>
          <w:color w:val="auto"/>
          <w:highlight w:val="none"/>
        </w:rPr>
      </w:pPr>
      <w:r>
        <w:rPr>
          <w:rFonts w:hint="eastAsia" w:ascii="仿宋" w:hAnsi="仿宋" w:eastAsia="仿宋"/>
          <w:color w:val="auto"/>
          <w:highlight w:val="none"/>
        </w:rPr>
        <w:t>（3）单位负责人为同一人或者存在直接控股、管理关系的不同供应商，不得参加同一合同项下的政府采购活动；</w:t>
      </w:r>
      <w:r>
        <w:rPr>
          <w:rFonts w:ascii="仿宋" w:hAnsi="仿宋" w:eastAsia="仿宋" w:cs="仿宋_GB2312"/>
          <w:color w:val="auto"/>
          <w:highlight w:val="none"/>
        </w:rPr>
        <w:t>为采购项目提供整体设计、规范编制或者项目管理、监理、检测等服务后</w:t>
      </w:r>
      <w:r>
        <w:rPr>
          <w:rFonts w:hint="eastAsia" w:ascii="仿宋" w:hAnsi="仿宋" w:eastAsia="仿宋" w:cs="仿宋_GB2312"/>
          <w:color w:val="auto"/>
          <w:highlight w:val="none"/>
        </w:rPr>
        <w:t>不得</w:t>
      </w:r>
      <w:r>
        <w:rPr>
          <w:rFonts w:ascii="仿宋" w:hAnsi="仿宋" w:eastAsia="仿宋" w:cs="仿宋_GB2312"/>
          <w:color w:val="auto"/>
          <w:highlight w:val="none"/>
        </w:rPr>
        <w:t>再参加该采购项目的其他采购活动。</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八、对本次采购提出询问、质疑、投诉，请按以下方式联系</w:t>
      </w:r>
    </w:p>
    <w:p>
      <w:pPr>
        <w:pStyle w:val="644"/>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1.</w:t>
      </w:r>
      <w:r>
        <w:rPr>
          <w:rFonts w:hint="eastAsia" w:ascii="仿宋" w:hAnsi="仿宋" w:eastAsia="仿宋"/>
          <w:color w:val="auto"/>
          <w:szCs w:val="24"/>
          <w:highlight w:val="none"/>
        </w:rPr>
        <w:t>采购人信息</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rPr>
        <w:t>杭州市余杭区交通运输局</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地址：</w:t>
      </w:r>
      <w:r>
        <w:rPr>
          <w:rFonts w:hint="eastAsia" w:ascii="仿宋" w:hAnsi="仿宋" w:eastAsia="仿宋" w:cs="宋体"/>
          <w:color w:val="auto"/>
          <w:kern w:val="0"/>
          <w:highlight w:val="none"/>
        </w:rPr>
        <w:t>杭州市余杭区五常街道西坝路51号浙财科创中心A座</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项目联系人：</w:t>
      </w:r>
      <w:r>
        <w:rPr>
          <w:rFonts w:hint="eastAsia" w:ascii="仿宋" w:hAnsi="仿宋" w:eastAsia="仿宋" w:cs="宋体"/>
          <w:color w:val="auto"/>
          <w:kern w:val="0"/>
          <w:highlight w:val="none"/>
        </w:rPr>
        <w:t>沈锴</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项目联系方式：0571</w:t>
      </w:r>
      <w:r>
        <w:rPr>
          <w:rFonts w:hint="eastAsia" w:ascii="仿宋" w:hAnsi="仿宋" w:eastAsia="仿宋" w:cs="宋体"/>
          <w:color w:val="auto"/>
          <w:kern w:val="0"/>
          <w:highlight w:val="none"/>
        </w:rPr>
        <w:t>-89392075</w:t>
      </w:r>
      <w:r>
        <w:rPr>
          <w:rFonts w:ascii="仿宋" w:hAnsi="仿宋" w:eastAsia="仿宋" w:cs="宋体"/>
          <w:color w:val="auto"/>
          <w:kern w:val="0"/>
          <w:highlight w:val="none"/>
        </w:rPr>
        <w:t xml:space="preserve">  </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质疑联系人：</w:t>
      </w:r>
      <w:r>
        <w:rPr>
          <w:rFonts w:hint="eastAsia" w:ascii="仿宋" w:hAnsi="仿宋" w:eastAsia="仿宋" w:cs="宋体"/>
          <w:color w:val="auto"/>
          <w:kern w:val="0"/>
          <w:highlight w:val="none"/>
        </w:rPr>
        <w:t xml:space="preserve">盛峰  </w:t>
      </w:r>
    </w:p>
    <w:p>
      <w:pPr>
        <w:pStyle w:val="2"/>
        <w:spacing w:line="360" w:lineRule="auto"/>
        <w:rPr>
          <w:rFonts w:ascii="仿宋" w:hAnsi="仿宋" w:eastAsia="仿宋" w:cs="宋体"/>
          <w:color w:val="auto"/>
          <w:kern w:val="0"/>
          <w:highlight w:val="none"/>
        </w:rPr>
      </w:pPr>
      <w:r>
        <w:rPr>
          <w:rFonts w:ascii="仿宋" w:hAnsi="仿宋" w:eastAsia="仿宋" w:cs="宋体"/>
          <w:color w:val="auto"/>
          <w:kern w:val="0"/>
          <w:highlight w:val="none"/>
        </w:rPr>
        <w:t>质疑联系方式：0571</w:t>
      </w:r>
      <w:r>
        <w:rPr>
          <w:rFonts w:hint="eastAsia" w:ascii="仿宋" w:hAnsi="仿宋" w:eastAsia="仿宋" w:cs="宋体"/>
          <w:color w:val="auto"/>
          <w:kern w:val="0"/>
          <w:highlight w:val="none"/>
        </w:rPr>
        <w:t>-89392076</w:t>
      </w:r>
      <w:r>
        <w:rPr>
          <w:rFonts w:ascii="仿宋" w:hAnsi="仿宋" w:eastAsia="仿宋" w:cs="宋体"/>
          <w:color w:val="auto"/>
          <w:kern w:val="0"/>
          <w:highlight w:val="none"/>
        </w:rPr>
        <w:t xml:space="preserve"> </w:t>
      </w:r>
    </w:p>
    <w:p>
      <w:pPr>
        <w:widowControl/>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采购代理机构信息</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644"/>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3.同级政府采购监督管理部门            </w:t>
      </w:r>
    </w:p>
    <w:p>
      <w:pPr>
        <w:spacing w:line="360" w:lineRule="auto"/>
        <w:ind w:left="480"/>
        <w:rPr>
          <w:rFonts w:ascii="仿宋" w:hAnsi="仿宋" w:eastAsia="仿宋"/>
          <w:color w:val="auto"/>
          <w:sz w:val="24"/>
          <w:highlight w:val="none"/>
        </w:rPr>
      </w:pPr>
      <w:r>
        <w:rPr>
          <w:rFonts w:ascii="仿宋" w:hAnsi="仿宋" w:eastAsia="仿宋"/>
          <w:color w:val="auto"/>
          <w:sz w:val="24"/>
          <w:highlight w:val="none"/>
        </w:rPr>
        <w:t>名称：杭州市余杭区财政局</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bookmarkStart w:id="19" w:name="_Toc76824066"/>
      <w:r>
        <w:rPr>
          <w:rFonts w:ascii="仿宋" w:hAnsi="仿宋" w:eastAsia="仿宋"/>
          <w:color w:val="auto"/>
          <w:sz w:val="24"/>
          <w:highlight w:val="none"/>
        </w:rPr>
        <w:t>地址：杭州市余杭区五常街道溪沁路8号中国电信浙江创新园1号楼</w:t>
      </w:r>
      <w:bookmarkEnd w:id="19"/>
      <w:r>
        <w:rPr>
          <w:rFonts w:ascii="Calibri" w:hAnsi="Calibri" w:eastAsia="仿宋" w:cs="Calibri"/>
          <w:color w:val="auto"/>
          <w:sz w:val="24"/>
          <w:highlight w:val="none"/>
        </w:rPr>
        <w:t>  </w:t>
      </w:r>
      <w:r>
        <w:rPr>
          <w:rFonts w:ascii="仿宋" w:hAnsi="仿宋" w:eastAsia="仿宋"/>
          <w:color w:val="auto"/>
          <w:sz w:val="24"/>
          <w:highlight w:val="none"/>
        </w:rPr>
        <w:t>　</w:t>
      </w:r>
    </w:p>
    <w:p>
      <w:pPr>
        <w:spacing w:line="360" w:lineRule="auto"/>
        <w:ind w:firstLine="480" w:firstLineChars="200"/>
        <w:rPr>
          <w:rFonts w:ascii="仿宋" w:hAnsi="仿宋" w:eastAsia="仿宋"/>
          <w:color w:val="auto"/>
          <w:sz w:val="24"/>
          <w:highlight w:val="none"/>
        </w:rPr>
      </w:pPr>
      <w:bookmarkStart w:id="20" w:name="_Toc76824067"/>
      <w:r>
        <w:rPr>
          <w:rFonts w:ascii="仿宋" w:hAnsi="仿宋" w:eastAsia="仿宋"/>
          <w:color w:val="auto"/>
          <w:sz w:val="24"/>
          <w:highlight w:val="none"/>
        </w:rPr>
        <w:t>传真：</w:t>
      </w:r>
      <w:r>
        <w:rPr>
          <w:rFonts w:hint="eastAsia" w:ascii="仿宋" w:hAnsi="仿宋" w:eastAsia="仿宋"/>
          <w:color w:val="auto"/>
          <w:sz w:val="24"/>
          <w:highlight w:val="none"/>
        </w:rPr>
        <w:t>/</w:t>
      </w:r>
      <w:bookmarkEnd w:id="20"/>
      <w:r>
        <w:rPr>
          <w:rFonts w:ascii="仿宋" w:hAnsi="仿宋" w:eastAsia="仿宋"/>
          <w:color w:val="auto"/>
          <w:sz w:val="24"/>
          <w:highlight w:val="none"/>
        </w:rPr>
        <w:t>　</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bookmarkStart w:id="21" w:name="_Toc76824068"/>
      <w:r>
        <w:rPr>
          <w:rFonts w:ascii="仿宋" w:hAnsi="仿宋" w:eastAsia="仿宋"/>
          <w:color w:val="auto"/>
          <w:sz w:val="24"/>
          <w:highlight w:val="none"/>
        </w:rPr>
        <w:t>联系人 ：杜国强</w:t>
      </w:r>
      <w:bookmarkEnd w:id="21"/>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监督投诉电话：0571-88728858</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pStyle w:val="45"/>
        <w:snapToGrid w:val="0"/>
        <w:spacing w:line="360" w:lineRule="auto"/>
        <w:ind w:firstLine="480" w:firstLineChars="200"/>
        <w:rPr>
          <w:rFonts w:ascii="仿宋" w:hAnsi="仿宋" w:eastAsia="仿宋" w:cs="仿宋_GB2312"/>
          <w:color w:val="auto"/>
          <w:sz w:val="24"/>
          <w:highlight w:val="none"/>
        </w:rPr>
      </w:pPr>
    </w:p>
    <w:p>
      <w:pPr>
        <w:tabs>
          <w:tab w:val="left" w:pos="432"/>
        </w:tabs>
        <w:spacing w:line="360" w:lineRule="auto"/>
        <w:jc w:val="center"/>
        <w:rPr>
          <w:rFonts w:ascii="仿宋" w:hAnsi="仿宋" w:eastAsia="仿宋"/>
          <w:color w:val="auto"/>
          <w:highlight w:val="none"/>
        </w:rPr>
      </w:pPr>
      <w:bookmarkStart w:id="22" w:name="_Toc528230691"/>
      <w:bookmarkStart w:id="23" w:name="_Toc2935"/>
      <w:bookmarkStart w:id="24" w:name="_Toc9084"/>
      <w:bookmarkStart w:id="25" w:name="_Toc95312934"/>
      <w:bookmarkStart w:id="26" w:name="_Toc27720"/>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tabs>
          <w:tab w:val="left" w:pos="432"/>
        </w:tabs>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27" w:name="_Toc12764"/>
      <w:r>
        <w:rPr>
          <w:rFonts w:hint="eastAsia" w:ascii="仿宋" w:hAnsi="仿宋" w:eastAsia="仿宋"/>
          <w:color w:val="auto"/>
          <w:highlight w:val="none"/>
        </w:rPr>
        <w:t>第二部分</w:t>
      </w:r>
      <w:bookmarkEnd w:id="6"/>
      <w:r>
        <w:rPr>
          <w:rFonts w:ascii="仿宋" w:hAnsi="仿宋" w:eastAsia="仿宋"/>
          <w:color w:val="auto"/>
          <w:highlight w:val="none"/>
        </w:rPr>
        <w:t xml:space="preserve"> </w:t>
      </w:r>
      <w:r>
        <w:rPr>
          <w:rFonts w:hint="eastAsia" w:ascii="仿宋" w:hAnsi="仿宋" w:eastAsia="仿宋"/>
          <w:color w:val="auto"/>
          <w:highlight w:val="none"/>
        </w:rPr>
        <w:t>投标人</w:t>
      </w:r>
      <w:r>
        <w:rPr>
          <w:rFonts w:ascii="仿宋" w:hAnsi="仿宋" w:eastAsia="仿宋"/>
          <w:color w:val="auto"/>
          <w:highlight w:val="none"/>
        </w:rPr>
        <w:t>须知</w:t>
      </w:r>
      <w:bookmarkEnd w:id="7"/>
      <w:bookmarkEnd w:id="22"/>
      <w:bookmarkEnd w:id="23"/>
      <w:bookmarkEnd w:id="24"/>
      <w:bookmarkEnd w:id="25"/>
      <w:bookmarkEnd w:id="26"/>
      <w:bookmarkEnd w:id="27"/>
    </w:p>
    <w:p>
      <w:pPr>
        <w:pStyle w:val="5"/>
        <w:jc w:val="center"/>
        <w:rPr>
          <w:rFonts w:ascii="仿宋" w:hAnsi="仿宋" w:eastAsia="仿宋"/>
          <w:color w:val="auto"/>
          <w:highlight w:val="none"/>
        </w:rPr>
      </w:pPr>
      <w:bookmarkStart w:id="28" w:name="_Toc275826939"/>
      <w:bookmarkStart w:id="29" w:name="_Toc95312935"/>
      <w:bookmarkStart w:id="30" w:name="_Toc4935"/>
      <w:bookmarkStart w:id="31" w:name="_Toc12938"/>
      <w:bookmarkStart w:id="32" w:name="_Toc26268"/>
      <w:bookmarkStart w:id="33" w:name="_Toc28300"/>
      <w:r>
        <w:rPr>
          <w:rFonts w:hint="eastAsia" w:ascii="仿宋" w:hAnsi="仿宋" w:eastAsia="仿宋"/>
          <w:color w:val="auto"/>
          <w:highlight w:val="none"/>
        </w:rPr>
        <w:t>前附表</w:t>
      </w:r>
      <w:bookmarkEnd w:id="28"/>
      <w:bookmarkEnd w:id="29"/>
      <w:bookmarkEnd w:id="30"/>
      <w:bookmarkEnd w:id="31"/>
      <w:bookmarkEnd w:id="32"/>
      <w:bookmarkEnd w:id="33"/>
    </w:p>
    <w:tbl>
      <w:tblPr>
        <w:tblStyle w:val="88"/>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bCs/>
                <w:color w:val="auto"/>
                <w:sz w:val="24"/>
                <w:highlight w:val="none"/>
              </w:rPr>
            </w:pPr>
            <w:bookmarkStart w:id="34" w:name="_Toc95736576"/>
            <w:bookmarkStart w:id="35" w:name="_Toc547338095"/>
            <w:bookmarkStart w:id="36" w:name="_Toc1553653547"/>
            <w:bookmarkStart w:id="37" w:name="_Toc31589"/>
            <w:bookmarkStart w:id="38" w:name="_Toc18461"/>
            <w:bookmarkStart w:id="39" w:name="_Toc31188"/>
            <w:bookmarkStart w:id="40" w:name="_Toc95312936"/>
            <w:r>
              <w:rPr>
                <w:rFonts w:hint="eastAsia" w:ascii="仿宋" w:hAnsi="仿宋" w:eastAsia="仿宋"/>
                <w:b/>
                <w:bCs/>
                <w:color w:val="auto"/>
                <w:sz w:val="24"/>
                <w:highlight w:val="none"/>
              </w:rPr>
              <w:t>本次报价须包含按采购文件要求完成本项目所需的所有费用</w:t>
            </w:r>
            <w:r>
              <w:rPr>
                <w:rFonts w:ascii="仿宋" w:hAnsi="仿宋" w:eastAsia="仿宋"/>
                <w:b/>
                <w:bCs/>
                <w:color w:val="auto"/>
                <w:sz w:val="24"/>
                <w:highlight w:val="none"/>
              </w:rPr>
              <w:t>(包括</w:t>
            </w:r>
            <w:r>
              <w:rPr>
                <w:rFonts w:hint="eastAsia" w:ascii="仿宋" w:hAnsi="仿宋" w:eastAsia="仿宋"/>
                <w:b/>
                <w:bCs/>
                <w:color w:val="auto"/>
                <w:sz w:val="24"/>
                <w:highlight w:val="none"/>
              </w:rPr>
              <w:t>设备、</w:t>
            </w:r>
            <w:r>
              <w:rPr>
                <w:rFonts w:ascii="仿宋" w:hAnsi="仿宋" w:eastAsia="仿宋"/>
                <w:b/>
                <w:bCs/>
                <w:color w:val="auto"/>
                <w:sz w:val="24"/>
                <w:highlight w:val="none"/>
              </w:rPr>
              <w:t>人工费用、人员交通食宿费、税金、保险等，一切费用均计入报价。对于保障本项目完整顺利实施的必须项，如上述未包含，供应商需自行测算及预估，且费用均已包含在报价中)。</w:t>
            </w:r>
            <w:bookmarkEnd w:id="34"/>
            <w:bookmarkEnd w:id="35"/>
            <w:bookmarkEnd w:id="36"/>
            <w:bookmarkEnd w:id="37"/>
            <w:bookmarkEnd w:id="38"/>
            <w:bookmarkEnd w:id="39"/>
            <w:bookmarkEnd w:id="40"/>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投标报价出现下列情形的，投标无效：</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投标文件出现不是唯一的、有选择性投标报价的；</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投标报价超过采购文件中规定的预算金额或者最高限价的</w:t>
            </w:r>
            <w:r>
              <w:rPr>
                <w:rFonts w:ascii="仿宋" w:hAnsi="仿宋" w:eastAsia="仿宋"/>
                <w:b/>
                <w:bCs/>
                <w:color w:val="auto"/>
                <w:sz w:val="24"/>
                <w:highlight w:val="none"/>
                <w:lang w:val="zh-CN"/>
              </w:rPr>
              <w:t>;</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报价明显低于其他通过符合性审查供应商的报价，有可能影响产品质量或者不能诚信履约的，未能按要求提供书面说明或者提交相关证明材料证明其报价合理性的</w:t>
            </w:r>
            <w:r>
              <w:rPr>
                <w:rFonts w:ascii="仿宋" w:hAnsi="仿宋" w:eastAsia="仿宋"/>
                <w:b/>
                <w:bCs/>
                <w:color w:val="auto"/>
                <w:sz w:val="24"/>
                <w:highlight w:val="none"/>
              </w:rPr>
              <w:t>;</w:t>
            </w:r>
          </w:p>
          <w:p>
            <w:pPr>
              <w:snapToGrid w:val="0"/>
              <w:spacing w:line="360" w:lineRule="auto"/>
              <w:jc w:val="left"/>
              <w:rPr>
                <w:rFonts w:ascii="仿宋" w:hAnsi="仿宋" w:eastAsia="仿宋"/>
                <w:b/>
                <w:bCs/>
                <w:color w:val="auto"/>
                <w:sz w:val="24"/>
                <w:highlight w:val="none"/>
              </w:rPr>
            </w:pPr>
            <w:r>
              <w:rPr>
                <w:rFonts w:hint="eastAsia" w:ascii="仿宋" w:hAnsi="仿宋" w:eastAsia="仿宋"/>
                <w:b/>
                <w:bCs/>
                <w:color w:val="auto"/>
                <w:sz w:val="24"/>
                <w:highlight w:val="none"/>
              </w:rPr>
              <w:t>供应商对根据修正原则修正后的报价不确认的。</w:t>
            </w:r>
          </w:p>
          <w:p>
            <w:pPr>
              <w:snapToGrid w:val="0"/>
              <w:spacing w:line="360" w:lineRule="auto"/>
              <w:ind w:left="-425"/>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bookmarkStart w:id="41" w:name="_Hlk96377661"/>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（1）本项目接受联合体投标，联合体投标的联合体各方承担连带责任；</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（2）供应商以联合体形式投标的：提供联合协议。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（1）本项目允许分包，本项目允许小微企业向一家或多家小微企业对本项目非主体、非关键性部分进行合理</w:t>
            </w:r>
            <w:r>
              <w:rPr>
                <w:rFonts w:ascii="仿宋" w:hAnsi="仿宋" w:eastAsia="仿宋"/>
                <w:color w:val="auto"/>
                <w:sz w:val="24"/>
                <w:highlight w:val="none"/>
              </w:rPr>
              <w:t>分包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本项目非主体、非关键性部分为：</w:t>
            </w:r>
            <w:r>
              <w:rPr>
                <w:rFonts w:hint="eastAsia" w:ascii="仿宋" w:hAnsi="仿宋" w:eastAsia="仿宋"/>
                <w:color w:val="auto"/>
                <w:kern w:val="0"/>
                <w:sz w:val="24"/>
                <w:highlight w:val="none"/>
                <w:u w:val="single"/>
              </w:rPr>
              <w:t>道路巡查</w:t>
            </w:r>
            <w:r>
              <w:rPr>
                <w:rFonts w:hint="eastAsia" w:ascii="仿宋" w:hAnsi="仿宋" w:eastAsia="仿宋"/>
                <w:color w:val="auto"/>
                <w:sz w:val="24"/>
                <w:highlight w:val="none"/>
                <w:u w:val="singl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）供应商以分包方式投标的：提供分包意向协议。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分包单位须</w:t>
            </w:r>
            <w:r>
              <w:rPr>
                <w:rFonts w:hint="eastAsia" w:ascii="仿宋" w:hAnsi="仿宋" w:eastAsia="仿宋" w:cs="仿宋_GB2312"/>
                <w:snapToGrid w:val="0"/>
                <w:color w:val="auto"/>
                <w:kern w:val="28"/>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olor w:val="auto"/>
                <w:sz w:val="24"/>
                <w:highlight w:val="none"/>
              </w:rPr>
              <w:t>且须经采购人同意，如分包单位不具备承接分包内容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的，采购人有权拒绝分包；</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分包单位不得再次分包，总包供应商对分包内容承担连带责任。</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）本项目联合体投标的不允许分包。</w:t>
            </w:r>
          </w:p>
          <w:p>
            <w:pPr>
              <w:snapToGrid w:val="0"/>
              <w:spacing w:line="360" w:lineRule="auto"/>
              <w:rPr>
                <w:rFonts w:ascii="仿宋" w:hAnsi="仿宋" w:eastAsia="仿宋"/>
                <w:color w:val="auto"/>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）本项目不得进行转包。</w:t>
            </w:r>
          </w:p>
        </w:tc>
      </w:tr>
      <w:bookmarkEnd w:id="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资格证明文件：见采购文件第二部分11.1。</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15"/>
              </w:numPr>
              <w:snapToGrid w:val="0"/>
              <w:spacing w:line="360" w:lineRule="auto"/>
              <w:ind w:left="0"/>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15"/>
              </w:numPr>
              <w:snapToGrid w:val="0"/>
              <w:spacing w:line="360" w:lineRule="auto"/>
              <w:ind w:left="0"/>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5"/>
              </w:numPr>
              <w:snapToGrid w:val="0"/>
              <w:spacing w:line="360" w:lineRule="auto"/>
              <w:ind w:left="0"/>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00FE"/>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hint="eastAsia" w:ascii="仿宋" w:hAnsi="仿宋" w:eastAsia="仿宋"/>
                <w:color w:val="auto"/>
                <w:kern w:val="0"/>
                <w:sz w:val="24"/>
                <w:highlight w:val="none"/>
              </w:rPr>
            </w:pPr>
            <w:r>
              <w:rPr>
                <w:rFonts w:hint="eastAsia" w:ascii="仿宋" w:hAnsi="仿宋" w:eastAsia="仿宋"/>
                <w:color w:val="auto"/>
                <w:kern w:val="0"/>
                <w:sz w:val="24"/>
                <w:highlight w:val="none"/>
              </w:rPr>
              <w:sym w:font="Wingdings" w:char="00A8"/>
            </w:r>
            <w:r>
              <w:rPr>
                <w:rFonts w:ascii="仿宋" w:hAnsi="仿宋" w:eastAsia="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2023年余杭区县道小修总包项目</w:t>
            </w:r>
            <w:r>
              <w:rPr>
                <w:rFonts w:hint="eastAsia" w:ascii="仿宋" w:hAnsi="仿宋" w:eastAsia="仿宋" w:cs="Arial"/>
                <w:b/>
                <w:bCs/>
                <w:color w:val="auto"/>
                <w:kern w:val="0"/>
                <w:sz w:val="24"/>
                <w:highlight w:val="none"/>
              </w:rPr>
              <w:t>，属于</w:t>
            </w:r>
            <w:r>
              <w:rPr>
                <w:rFonts w:ascii="仿宋" w:hAnsi="仿宋" w:eastAsia="仿宋" w:cs="Arial"/>
                <w:b/>
                <w:bCs/>
                <w:color w:val="auto"/>
                <w:kern w:val="0"/>
                <w:sz w:val="24"/>
                <w:highlight w:val="none"/>
                <w:u w:val="single"/>
              </w:rPr>
              <w:t xml:space="preserve"> </w:t>
            </w:r>
            <w:r>
              <w:rPr>
                <w:rFonts w:hint="eastAsia" w:ascii="仿宋" w:hAnsi="仿宋" w:eastAsia="仿宋" w:cs="Arial"/>
                <w:b/>
                <w:bCs/>
                <w:color w:val="auto"/>
                <w:kern w:val="0"/>
                <w:sz w:val="24"/>
                <w:highlight w:val="none"/>
                <w:u w:val="single"/>
              </w:rPr>
              <w:t xml:space="preserve">其他未列明 </w:t>
            </w:r>
            <w:r>
              <w:rPr>
                <w:rFonts w:ascii="仿宋" w:hAnsi="仿宋" w:eastAsia="仿宋" w:cs="Arial"/>
                <w:b/>
                <w:bCs/>
                <w:color w:val="auto"/>
                <w:kern w:val="0"/>
                <w:sz w:val="24"/>
                <w:highlight w:val="none"/>
              </w:rPr>
              <w:t xml:space="preserve"> 行业。</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其他未列明行业中小企业划型标准：</w:t>
            </w:r>
            <w:r>
              <w:rPr>
                <w:rFonts w:ascii="仿宋" w:hAnsi="仿宋" w:eastAsia="仿宋"/>
                <w:b/>
                <w:bCs/>
                <w:color w:val="auto"/>
                <w:sz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napToGrid w:val="0"/>
              <w:spacing w:line="360" w:lineRule="auto"/>
              <w:ind w:firstLine="420" w:firstLineChars="200"/>
              <w:jc w:val="center"/>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ind w:firstLine="420" w:firstLineChars="200"/>
              <w:rPr>
                <w:rFonts w:ascii="仿宋" w:hAnsi="仿宋" w:eastAsia="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5"/>
              <w:snapToGrid w:val="0"/>
              <w:spacing w:line="360" w:lineRule="auto"/>
              <w:rPr>
                <w:rFonts w:ascii="仿宋" w:hAnsi="仿宋" w:eastAsia="仿宋" w:cs="Times New Roman"/>
                <w:color w:val="auto"/>
                <w:kern w:val="28"/>
                <w:sz w:val="24"/>
                <w:szCs w:val="24"/>
                <w:highlight w:val="none"/>
              </w:rPr>
            </w:pPr>
            <w:r>
              <w:rPr>
                <w:rFonts w:hint="eastAsia" w:ascii="仿宋" w:hAnsi="仿宋" w:eastAsia="仿宋" w:cs="Times New Roman"/>
                <w:color w:val="auto"/>
                <w:kern w:val="28"/>
                <w:sz w:val="24"/>
                <w:szCs w:val="24"/>
                <w:highlight w:val="none"/>
              </w:rPr>
              <w:t>备份投标文件送达地点：杭州市拱墅区文晖路42号现代置业大厦西楼1301室；</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Times New Roman"/>
                <w:color w:val="auto"/>
                <w:kern w:val="28"/>
                <w:sz w:val="24"/>
                <w:szCs w:val="24"/>
                <w:highlight w:val="none"/>
              </w:rPr>
              <w:t>备份投标文件签收人员联系电话：</w:t>
            </w:r>
            <w:r>
              <w:rPr>
                <w:rFonts w:hint="eastAsia" w:ascii="仿宋" w:hAnsi="仿宋" w:eastAsia="仿宋"/>
                <w:color w:val="auto"/>
                <w:sz w:val="24"/>
                <w:highlight w:val="none"/>
                <w:u w:val="single"/>
              </w:rPr>
              <w:t>陆佳，0571-87634685</w:t>
            </w:r>
            <w:r>
              <w:rPr>
                <w:rFonts w:hint="eastAsia" w:ascii="仿宋" w:hAnsi="仿宋" w:eastAsia="仿宋" w:cs="仿宋_GB2312"/>
                <w:color w:val="auto"/>
                <w:sz w:val="24"/>
                <w:szCs w:val="24"/>
                <w:highlight w:val="none"/>
              </w:rPr>
              <w:t>。</w:t>
            </w:r>
          </w:p>
          <w:p>
            <w:pPr>
              <w:pStyle w:val="45"/>
              <w:snapToGrid w:val="0"/>
              <w:spacing w:line="360" w:lineRule="auto"/>
              <w:rPr>
                <w:rFonts w:ascii="仿宋" w:hAnsi="仿宋" w:eastAsia="仿宋"/>
                <w:color w:val="auto"/>
                <w:kern w:val="28"/>
                <w:sz w:val="24"/>
                <w:highlight w:val="none"/>
              </w:rPr>
            </w:pPr>
            <w:r>
              <w:rPr>
                <w:rFonts w:hint="eastAsia" w:ascii="仿宋" w:hAnsi="仿宋" w:eastAsia="仿宋" w:cs="仿宋_GB2312"/>
                <w:b/>
                <w:color w:val="auto"/>
                <w:sz w:val="24"/>
                <w:szCs w:val="24"/>
                <w:highlight w:val="none"/>
              </w:rPr>
              <w:t>采购人、采购代理机构不强制或变相强制供应商提交备份投标文件。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11"/>
              <w:snapToGrid w:val="0"/>
              <w:spacing w:before="0"/>
              <w:ind w:firstLine="0" w:firstLineChars="0"/>
              <w:rPr>
                <w:rFonts w:ascii="仿宋" w:hAnsi="仿宋" w:eastAsia="仿宋" w:cs="宋体"/>
                <w:color w:val="auto"/>
                <w:spacing w:val="-6"/>
                <w:szCs w:val="24"/>
                <w:highlight w:val="none"/>
              </w:rPr>
            </w:pPr>
            <w:r>
              <w:rPr>
                <w:rFonts w:hint="eastAsia" w:ascii="仿宋" w:hAnsi="仿宋" w:eastAsia="仿宋" w:cs="宋体"/>
                <w:color w:val="auto"/>
                <w:spacing w:val="-6"/>
                <w:szCs w:val="24"/>
                <w:highlight w:val="none"/>
              </w:rPr>
              <w:t>本项目的招标代理费用由中标服务单位支付，代理费用付款按《关于规范余杭区政府投资项目中介服务付费限额标准》的通知（余财政〔2018〕24号）文件8</w:t>
            </w:r>
            <w:r>
              <w:rPr>
                <w:rFonts w:ascii="仿宋" w:hAnsi="仿宋" w:eastAsia="仿宋" w:cs="宋体"/>
                <w:color w:val="auto"/>
                <w:spacing w:val="-6"/>
                <w:szCs w:val="24"/>
                <w:highlight w:val="none"/>
              </w:rPr>
              <w:t>0</w:t>
            </w:r>
            <w:r>
              <w:rPr>
                <w:rFonts w:hint="eastAsia" w:ascii="仿宋" w:hAnsi="仿宋" w:eastAsia="仿宋" w:cs="宋体"/>
                <w:color w:val="auto"/>
                <w:spacing w:val="-6"/>
                <w:szCs w:val="24"/>
                <w:highlight w:val="none"/>
              </w:rPr>
              <w:t>%直接支付给分散采购招标代理单位（最低</w:t>
            </w:r>
            <w:r>
              <w:rPr>
                <w:rFonts w:ascii="仿宋" w:hAnsi="仿宋" w:eastAsia="仿宋" w:cs="宋体"/>
                <w:color w:val="auto"/>
                <w:spacing w:val="-6"/>
                <w:szCs w:val="24"/>
                <w:highlight w:val="none"/>
              </w:rPr>
              <w:t>5</w:t>
            </w:r>
            <w:r>
              <w:rPr>
                <w:rFonts w:hint="eastAsia" w:ascii="仿宋" w:hAnsi="仿宋" w:eastAsia="仿宋" w:cs="宋体"/>
                <w:color w:val="auto"/>
                <w:spacing w:val="-6"/>
                <w:szCs w:val="24"/>
                <w:highlight w:val="none"/>
              </w:rPr>
              <w:t>000元）。</w:t>
            </w:r>
          </w:p>
          <w:p>
            <w:pPr>
              <w:pStyle w:val="111"/>
              <w:snapToGrid w:val="0"/>
              <w:spacing w:before="0"/>
              <w:ind w:firstLine="0" w:firstLineChars="0"/>
              <w:rPr>
                <w:rFonts w:ascii="仿宋" w:hAnsi="仿宋" w:eastAsia="仿宋" w:cs="宋体"/>
                <w:color w:val="auto"/>
                <w:szCs w:val="24"/>
                <w:highlight w:val="none"/>
              </w:rPr>
            </w:pPr>
            <w:r>
              <w:rPr>
                <w:rFonts w:hint="eastAsia" w:ascii="仿宋" w:hAnsi="仿宋" w:eastAsia="仿宋" w:cs="宋体"/>
                <w:color w:val="auto"/>
                <w:spacing w:val="-6"/>
                <w:szCs w:val="24"/>
                <w:highlight w:val="none"/>
              </w:rPr>
              <w:t>收款单位（户名）：</w:t>
            </w:r>
            <w:r>
              <w:rPr>
                <w:rFonts w:hint="eastAsia" w:ascii="仿宋" w:hAnsi="仿宋" w:eastAsia="仿宋" w:cs="宋体"/>
                <w:bCs/>
                <w:color w:val="auto"/>
                <w:kern w:val="0"/>
                <w:szCs w:val="24"/>
                <w:highlight w:val="none"/>
              </w:rPr>
              <w:t>浙江省成套招标代理有限公司；</w:t>
            </w:r>
          </w:p>
          <w:p>
            <w:pPr>
              <w:pStyle w:val="111"/>
              <w:snapToGrid w:val="0"/>
              <w:spacing w:before="0"/>
              <w:ind w:firstLine="0" w:firstLineChars="0"/>
              <w:rPr>
                <w:rFonts w:ascii="仿宋" w:hAnsi="仿宋" w:eastAsia="仿宋" w:cs="宋体"/>
                <w:color w:val="auto"/>
                <w:spacing w:val="-6"/>
                <w:highlight w:val="none"/>
              </w:rPr>
            </w:pPr>
            <w:r>
              <w:rPr>
                <w:rFonts w:hint="eastAsia" w:ascii="仿宋" w:hAnsi="仿宋" w:eastAsia="仿宋" w:cs="宋体"/>
                <w:bCs/>
                <w:color w:val="auto"/>
                <w:kern w:val="0"/>
                <w:highlight w:val="none"/>
              </w:rPr>
              <w:t>开户银行：中信</w:t>
            </w:r>
            <w:r>
              <w:rPr>
                <w:rFonts w:hint="eastAsia" w:ascii="仿宋" w:hAnsi="仿宋" w:eastAsia="仿宋" w:cs="宋体"/>
                <w:color w:val="auto"/>
                <w:spacing w:val="-6"/>
                <w:szCs w:val="24"/>
                <w:highlight w:val="none"/>
              </w:rPr>
              <w:t>银行杭州西湖支行；</w:t>
            </w:r>
          </w:p>
          <w:p>
            <w:pPr>
              <w:pStyle w:val="111"/>
              <w:snapToGrid w:val="0"/>
              <w:spacing w:before="0"/>
              <w:ind w:firstLine="0" w:firstLineChars="0"/>
              <w:rPr>
                <w:rFonts w:ascii="仿宋" w:hAnsi="仿宋" w:eastAsia="仿宋"/>
                <w:color w:val="auto"/>
                <w:highlight w:val="none"/>
              </w:rPr>
            </w:pPr>
            <w:r>
              <w:rPr>
                <w:rFonts w:hint="eastAsia" w:ascii="仿宋" w:hAnsi="仿宋" w:eastAsia="仿宋" w:cs="宋体"/>
                <w:color w:val="auto"/>
                <w:spacing w:val="-6"/>
                <w:szCs w:val="24"/>
                <w:highlight w:val="none"/>
              </w:rPr>
              <w:t>银行账号：</w:t>
            </w:r>
            <w:r>
              <w:rPr>
                <w:rFonts w:ascii="仿宋" w:hAnsi="仿宋" w:eastAsia="仿宋" w:cs="宋体"/>
                <w:color w:val="auto"/>
                <w:spacing w:val="-6"/>
                <w:szCs w:val="24"/>
                <w:highlight w:val="none"/>
              </w:rPr>
              <w:t>7331 6101 8260 0126 385。</w:t>
            </w:r>
          </w:p>
        </w:tc>
      </w:tr>
      <w:bookmarkEnd w:id="8"/>
    </w:tbl>
    <w:p>
      <w:pPr>
        <w:snapToGrid w:val="0"/>
        <w:spacing w:line="360" w:lineRule="auto"/>
        <w:jc w:val="center"/>
        <w:rPr>
          <w:rFonts w:ascii="仿宋" w:hAnsi="仿宋" w:eastAsia="仿宋" w:cs="仿宋_GB2312"/>
          <w:b/>
          <w:color w:val="auto"/>
          <w:sz w:val="32"/>
          <w:szCs w:val="20"/>
          <w:highlight w:val="none"/>
        </w:rPr>
      </w:pPr>
    </w:p>
    <w:p>
      <w:pPr>
        <w:snapToGrid w:val="0"/>
        <w:spacing w:line="360" w:lineRule="auto"/>
        <w:rPr>
          <w:rFonts w:ascii="仿宋" w:hAnsi="仿宋" w:eastAsia="仿宋" w:cs="仿宋_GB2312"/>
          <w:b/>
          <w:color w:val="auto"/>
          <w:sz w:val="32"/>
          <w:szCs w:val="20"/>
          <w:highlight w:val="none"/>
        </w:rPr>
      </w:pPr>
      <w:bookmarkStart w:id="42" w:name="第三部分"/>
      <w:bookmarkStart w:id="43" w:name="_Toc164416483"/>
      <w:r>
        <w:rPr>
          <w:rFonts w:hint="eastAsia" w:ascii="仿宋" w:hAnsi="仿宋" w:eastAsia="仿宋" w:cs="仿宋_GB2312"/>
          <w:b/>
          <w:color w:val="auto"/>
          <w:sz w:val="32"/>
          <w:szCs w:val="20"/>
          <w:highlight w:val="none"/>
        </w:rPr>
        <w:br w:type="page"/>
      </w:r>
    </w:p>
    <w:p>
      <w:pPr>
        <w:pStyle w:val="5"/>
        <w:jc w:val="center"/>
        <w:rPr>
          <w:rFonts w:ascii="仿宋" w:hAnsi="仿宋" w:eastAsia="仿宋"/>
          <w:color w:val="auto"/>
          <w:highlight w:val="none"/>
        </w:rPr>
      </w:pPr>
      <w:bookmarkStart w:id="44" w:name="_Toc18125"/>
      <w:bookmarkStart w:id="45" w:name="_Toc13069"/>
      <w:bookmarkStart w:id="46" w:name="_Toc11537"/>
      <w:bookmarkStart w:id="47" w:name="_Toc243019506"/>
      <w:bookmarkStart w:id="48" w:name="_Toc95312938"/>
      <w:bookmarkStart w:id="49" w:name="_Toc6298"/>
      <w:r>
        <w:rPr>
          <w:rFonts w:hint="eastAsia" w:ascii="仿宋" w:hAnsi="仿宋" w:eastAsia="仿宋"/>
          <w:color w:val="auto"/>
          <w:highlight w:val="none"/>
        </w:rPr>
        <w:t>一、总则</w:t>
      </w:r>
      <w:bookmarkEnd w:id="44"/>
      <w:bookmarkEnd w:id="45"/>
      <w:bookmarkEnd w:id="46"/>
      <w:bookmarkEnd w:id="47"/>
      <w:bookmarkEnd w:id="48"/>
      <w:bookmarkEnd w:id="49"/>
    </w:p>
    <w:p>
      <w:pPr>
        <w:pStyle w:val="6"/>
        <w:rPr>
          <w:rFonts w:ascii="仿宋" w:hAnsi="仿宋" w:eastAsia="仿宋"/>
          <w:color w:val="auto"/>
          <w:highlight w:val="none"/>
        </w:rPr>
      </w:pPr>
      <w:bookmarkStart w:id="50" w:name="_Toc4118"/>
      <w:bookmarkStart w:id="51" w:name="_Toc95312939"/>
      <w:bookmarkStart w:id="52" w:name="_Toc5666"/>
      <w:bookmarkStart w:id="53" w:name="_Toc5493"/>
      <w:r>
        <w:rPr>
          <w:rFonts w:ascii="仿宋" w:hAnsi="仿宋" w:eastAsia="仿宋"/>
          <w:color w:val="auto"/>
          <w:highlight w:val="none"/>
        </w:rPr>
        <w:t>1.</w:t>
      </w:r>
      <w:r>
        <w:rPr>
          <w:rFonts w:hint="eastAsia" w:ascii="仿宋" w:hAnsi="仿宋" w:eastAsia="仿宋"/>
          <w:color w:val="auto"/>
          <w:highlight w:val="none"/>
        </w:rPr>
        <w:t>适用范围</w:t>
      </w:r>
      <w:bookmarkEnd w:id="50"/>
      <w:bookmarkEnd w:id="51"/>
      <w:bookmarkEnd w:id="52"/>
      <w:bookmarkEnd w:id="53"/>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本采购文件适用于该项目的招标、投标、开标、资格审查及信用信息查询、评标、定标、合同、验收等行为（法律、法规另有规定的，从其规定）。</w:t>
      </w:r>
    </w:p>
    <w:p>
      <w:pPr>
        <w:pStyle w:val="2"/>
        <w:spacing w:line="360" w:lineRule="auto"/>
        <w:rPr>
          <w:rFonts w:ascii="仿宋" w:hAnsi="仿宋" w:eastAsia="仿宋"/>
          <w:color w:val="auto"/>
          <w:highlight w:val="none"/>
        </w:rPr>
      </w:pPr>
    </w:p>
    <w:p>
      <w:pPr>
        <w:pStyle w:val="6"/>
        <w:rPr>
          <w:rFonts w:ascii="仿宋" w:hAnsi="仿宋" w:eastAsia="仿宋"/>
          <w:color w:val="auto"/>
          <w:highlight w:val="none"/>
        </w:rPr>
      </w:pPr>
      <w:bookmarkStart w:id="54" w:name="_Toc20903"/>
      <w:bookmarkStart w:id="55" w:name="_Toc95312940"/>
      <w:bookmarkStart w:id="56" w:name="_Toc17022"/>
      <w:bookmarkStart w:id="57" w:name="_Toc27293"/>
      <w:r>
        <w:rPr>
          <w:rFonts w:ascii="仿宋" w:hAnsi="仿宋" w:eastAsia="仿宋"/>
          <w:color w:val="auto"/>
          <w:highlight w:val="none"/>
        </w:rPr>
        <w:t>2.定义</w:t>
      </w:r>
      <w:bookmarkEnd w:id="54"/>
      <w:bookmarkEnd w:id="55"/>
      <w:bookmarkEnd w:id="56"/>
      <w:bookmarkEnd w:id="57"/>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2.1</w:t>
      </w:r>
      <w:r>
        <w:rPr>
          <w:rFonts w:hint="eastAsia" w:ascii="仿宋" w:hAnsi="仿宋" w:eastAsia="仿宋" w:cs="宋体"/>
          <w:snapToGrid w:val="0"/>
          <w:color w:val="auto"/>
          <w:kern w:val="0"/>
          <w:sz w:val="24"/>
          <w:highlight w:val="none"/>
        </w:rPr>
        <w:t>“采购人”系指杭州市余杭区交通运输局（合同中的甲方）。</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2.2</w:t>
      </w:r>
      <w:r>
        <w:rPr>
          <w:rFonts w:hint="eastAsia" w:ascii="仿宋" w:hAnsi="仿宋" w:eastAsia="仿宋" w:cs="宋体"/>
          <w:snapToGrid w:val="0"/>
          <w:color w:val="auto"/>
          <w:kern w:val="0"/>
          <w:sz w:val="24"/>
          <w:highlight w:val="none"/>
        </w:rPr>
        <w:t>“监督管理部门”系指杭州市余杭区财政局。</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“采购代理机构”</w:t>
      </w:r>
      <w:r>
        <w:rPr>
          <w:rFonts w:hint="eastAsia" w:ascii="仿宋" w:hAnsi="仿宋" w:eastAsia="仿宋" w:cs="宋体"/>
          <w:snapToGrid w:val="0"/>
          <w:color w:val="auto"/>
          <w:kern w:val="0"/>
          <w:sz w:val="24"/>
          <w:highlight w:val="none"/>
        </w:rPr>
        <w:t>系指浙江省成套招标代理有限公司</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2.4</w:t>
      </w:r>
      <w:r>
        <w:rPr>
          <w:rFonts w:hint="eastAsia" w:ascii="仿宋" w:hAnsi="仿宋" w:eastAsia="仿宋" w:cs="宋体"/>
          <w:snapToGrid w:val="0"/>
          <w:color w:val="auto"/>
          <w:kern w:val="0"/>
          <w:sz w:val="24"/>
          <w:highlight w:val="none"/>
        </w:rPr>
        <w:t>“服务”系指采购文件或合同规定供应商须承担的服务以及其他类似的义务。</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snapToGrid w:val="0"/>
          <w:color w:val="auto"/>
          <w:kern w:val="0"/>
          <w:sz w:val="24"/>
          <w:highlight w:val="none"/>
        </w:rPr>
        <w:t>2.5</w:t>
      </w:r>
      <w:r>
        <w:rPr>
          <w:rFonts w:hint="eastAsia" w:ascii="仿宋" w:hAnsi="仿宋" w:eastAsia="仿宋" w:cs="宋体"/>
          <w:snapToGrid w:val="0"/>
          <w:color w:val="auto"/>
          <w:kern w:val="0"/>
          <w:sz w:val="24"/>
          <w:highlight w:val="none"/>
        </w:rPr>
        <w:t>官方指定网站公示的内容视为书面告知。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 </w:t>
      </w:r>
      <w:r>
        <w:rPr>
          <w:rFonts w:hint="eastAsia" w:ascii="仿宋" w:hAnsi="仿宋" w:eastAsia="仿宋"/>
          <w:color w:val="auto"/>
          <w:sz w:val="24"/>
          <w:highlight w:val="none"/>
        </w:rPr>
        <w:t>“投标人”系指是指响应招标、参加投标竞争的法人、其他组织或者自然人。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2.8“电子签名”系指数据电文中以电子形式所含、所附用于识别签名人身份并表明签名人认可其中内容的数据；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2.9“电子交易平台”是指本项目政府采购活动所依托的政府采购云平台（https://www.zcygov.cn/）。</w:t>
      </w:r>
    </w:p>
    <w:p>
      <w:pPr>
        <w:snapToGrid w:val="0"/>
        <w:spacing w:line="360" w:lineRule="auto"/>
        <w:ind w:firstLine="480" w:firstLineChars="200"/>
        <w:rPr>
          <w:rFonts w:ascii="仿宋" w:hAnsi="仿宋" w:eastAsia="仿宋"/>
          <w:b/>
          <w:bCs/>
          <w:color w:val="auto"/>
          <w:sz w:val="24"/>
          <w:highlight w:val="none"/>
        </w:rPr>
      </w:pPr>
      <w:r>
        <w:rPr>
          <w:rFonts w:ascii="仿宋" w:hAnsi="仿宋" w:eastAsia="仿宋"/>
          <w:b/>
          <w:bCs/>
          <w:color w:val="auto"/>
          <w:sz w:val="24"/>
          <w:highlight w:val="none"/>
        </w:rPr>
        <w:t xml:space="preserve">2.10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pPr>
        <w:snapToGrid w:val="0"/>
        <w:spacing w:line="360" w:lineRule="auto"/>
        <w:ind w:firstLine="240" w:firstLineChars="100"/>
        <w:rPr>
          <w:rFonts w:ascii="仿宋" w:hAnsi="仿宋" w:eastAsia="仿宋"/>
          <w:b/>
          <w:color w:val="auto"/>
          <w:sz w:val="24"/>
          <w:highlight w:val="none"/>
        </w:rPr>
      </w:pPr>
    </w:p>
    <w:p>
      <w:pPr>
        <w:pStyle w:val="6"/>
        <w:rPr>
          <w:rFonts w:ascii="仿宋" w:hAnsi="仿宋" w:eastAsia="仿宋"/>
          <w:color w:val="auto"/>
          <w:highlight w:val="none"/>
        </w:rPr>
      </w:pPr>
      <w:bookmarkStart w:id="58" w:name="_Toc14912"/>
      <w:bookmarkStart w:id="59" w:name="_Toc95312941"/>
      <w:bookmarkStart w:id="60" w:name="_Toc19383"/>
      <w:bookmarkStart w:id="61" w:name="_Toc21010"/>
      <w:r>
        <w:rPr>
          <w:rFonts w:ascii="仿宋" w:hAnsi="仿宋" w:eastAsia="仿宋"/>
          <w:color w:val="auto"/>
          <w:highlight w:val="none"/>
        </w:rPr>
        <w:t>3.</w:t>
      </w:r>
      <w:r>
        <w:rPr>
          <w:rFonts w:hint="eastAsia" w:ascii="仿宋" w:hAnsi="仿宋" w:eastAsia="仿宋"/>
          <w:color w:val="auto"/>
          <w:highlight w:val="none"/>
        </w:rPr>
        <w:t>采购项目需要落实的政府采购政策</w:t>
      </w:r>
      <w:bookmarkEnd w:id="58"/>
      <w:bookmarkEnd w:id="59"/>
      <w:bookmarkEnd w:id="60"/>
      <w:bookmarkEnd w:id="61"/>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支持绿色发展</w:t>
      </w:r>
    </w:p>
    <w:p>
      <w:pPr>
        <w:snapToGrid w:val="0"/>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3.1.1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b/>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3.1.2 </w:t>
      </w:r>
      <w:r>
        <w:rPr>
          <w:rFonts w:hint="eastAsia" w:ascii="仿宋" w:hAnsi="仿宋" w:eastAsia="仿宋"/>
          <w:color w:val="auto"/>
          <w:sz w:val="24"/>
          <w:highlight w:val="none"/>
        </w:rPr>
        <w:t>修缮、装修类项目采购建材的，采购人应将绿色建筑和绿色建材性能、指标等作为实质性条件纳入采购文件和合同。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3.2支持中小企业发展</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bCs/>
          <w:color w:val="auto"/>
          <w:sz w:val="24"/>
          <w:highlight w:val="none"/>
        </w:rPr>
        <w:t>3.2.2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3.2.2.1在货物采购项目中，货物由中小企业制造，即货物由中小企业生产且使用该中小企业商号或者注册商标；</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3.2.2.2在工程采购项目中，工程由中小企业承建，即工程施工单位为中小企业；</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s="宋体"/>
          <w:color w:val="auto"/>
          <w:kern w:val="0"/>
          <w:sz w:val="24"/>
          <w:highlight w:val="none"/>
        </w:rPr>
        <w:t>3.2.2.3在服务采购项目中，服务由中小企业承接，即提供服务的人员为中小企业依照《中华人民共和国劳动合同法》订立劳动合同的从业人员。</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b/>
          <w:bCs/>
          <w:color w:val="auto"/>
          <w:sz w:val="24"/>
          <w:highlight w:val="none"/>
        </w:rPr>
        <w:t>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ascii="仿宋" w:hAnsi="仿宋" w:eastAsia="仿宋"/>
          <w:b/>
          <w:bCs/>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3.2.6</w:t>
      </w:r>
      <w:r>
        <w:rPr>
          <w:rFonts w:hint="eastAsia" w:ascii="仿宋" w:hAnsi="仿宋" w:eastAsia="仿宋"/>
          <w:color w:val="auto"/>
          <w:sz w:val="24"/>
          <w:highlight w:val="none"/>
        </w:rPr>
        <w:t>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bCs/>
          <w:color w:val="auto"/>
          <w:sz w:val="24"/>
          <w:highlight w:val="none"/>
        </w:rPr>
        <w:t>支持创新发展</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3.3.1 采购人优先采购被认定</w:t>
      </w:r>
      <w:r>
        <w:rPr>
          <w:rFonts w:hint="eastAsia" w:ascii="仿宋" w:hAnsi="仿宋" w:eastAsia="仿宋"/>
          <w:color w:val="auto"/>
          <w:sz w:val="24"/>
          <w:highlight w:val="none"/>
        </w:rPr>
        <w:t>为首台套产品和“制造精品”的自主创新产品。</w:t>
      </w:r>
    </w:p>
    <w:p>
      <w:pPr>
        <w:snapToGrid w:val="0"/>
        <w:spacing w:line="360" w:lineRule="auto"/>
        <w:ind w:firstLine="424" w:firstLineChars="177"/>
        <w:rPr>
          <w:rFonts w:ascii="仿宋" w:hAnsi="仿宋" w:eastAsia="仿宋"/>
          <w:color w:val="auto"/>
          <w:sz w:val="24"/>
          <w:highlight w:val="none"/>
        </w:rPr>
      </w:pPr>
      <w:r>
        <w:rPr>
          <w:rFonts w:ascii="仿宋" w:hAnsi="仿宋" w:eastAsia="仿宋"/>
          <w:color w:val="auto"/>
          <w:sz w:val="24"/>
          <w:highlight w:val="none"/>
        </w:rPr>
        <w:t>3.3.2首台套产品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pPr>
        <w:snapToGrid w:val="0"/>
        <w:spacing w:line="360" w:lineRule="auto"/>
        <w:ind w:firstLine="420"/>
        <w:rPr>
          <w:rFonts w:ascii="仿宋" w:hAnsi="仿宋" w:eastAsia="仿宋"/>
          <w:color w:val="auto"/>
          <w:sz w:val="24"/>
          <w:highlight w:val="none"/>
        </w:rPr>
      </w:pPr>
      <w:r>
        <w:rPr>
          <w:rFonts w:ascii="仿宋" w:hAnsi="仿宋" w:eastAsia="仿宋"/>
          <w:color w:val="auto"/>
          <w:sz w:val="24"/>
          <w:highlight w:val="none"/>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pPr>
        <w:pStyle w:val="6"/>
        <w:rPr>
          <w:rFonts w:ascii="仿宋" w:hAnsi="仿宋" w:eastAsia="仿宋"/>
          <w:color w:val="auto"/>
          <w:highlight w:val="none"/>
        </w:rPr>
      </w:pPr>
      <w:bookmarkStart w:id="62" w:name="_Toc4807"/>
      <w:bookmarkStart w:id="63" w:name="_Toc10216"/>
      <w:bookmarkStart w:id="64" w:name="_Toc30272"/>
      <w:bookmarkStart w:id="65" w:name="_Toc95312942"/>
      <w:r>
        <w:rPr>
          <w:rFonts w:ascii="仿宋" w:hAnsi="仿宋" w:eastAsia="仿宋"/>
          <w:color w:val="auto"/>
          <w:highlight w:val="none"/>
        </w:rPr>
        <w:t>4.</w:t>
      </w:r>
      <w:r>
        <w:rPr>
          <w:rFonts w:hint="eastAsia" w:ascii="仿宋" w:hAnsi="仿宋" w:eastAsia="仿宋"/>
          <w:color w:val="auto"/>
          <w:highlight w:val="none"/>
        </w:rPr>
        <w:t>询问、质疑、投诉</w:t>
      </w:r>
      <w:bookmarkEnd w:id="62"/>
      <w:bookmarkEnd w:id="63"/>
      <w:bookmarkEnd w:id="64"/>
      <w:bookmarkEnd w:id="65"/>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pPr>
        <w:autoSpaceDE w:val="0"/>
        <w:autoSpaceDN w:val="0"/>
        <w:snapToGrid w:val="0"/>
        <w:spacing w:line="360" w:lineRule="auto"/>
        <w:ind w:firstLine="480" w:firstLineChars="200"/>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2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2"/>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4.2.2.1对采购文件提出质疑的，质疑期限为供应商获得采购文件之日或者采购文件公告期限届满之日起计算。</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pPr>
        <w:pStyle w:val="45"/>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pPr>
        <w:pStyle w:val="45"/>
        <w:snapToGrid w:val="0"/>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pPr>
        <w:pStyle w:val="597"/>
        <w:shd w:val="clear" w:color="auto" w:fill="FFFFFF"/>
        <w:adjustRightInd w:val="0"/>
        <w:snapToGrid w:val="0"/>
        <w:spacing w:before="0" w:beforeAutospacing="0" w:after="0" w:afterAutospacing="0" w:line="360" w:lineRule="auto"/>
        <w:ind w:firstLine="400"/>
        <w:contextualSpacing/>
        <w:jc w:val="both"/>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w:t>
      </w:r>
      <w:r>
        <w:rPr>
          <w:rFonts w:ascii="仿宋" w:hAnsi="仿宋" w:eastAsia="仿宋"/>
          <w:color w:val="auto"/>
          <w:highlight w:val="none"/>
        </w:rPr>
        <w:t xml:space="preserve"> </w:t>
      </w:r>
      <w:r>
        <w:rPr>
          <w:rFonts w:hint="eastAsia" w:ascii="仿宋" w:hAnsi="仿宋" w:eastAsia="仿宋"/>
          <w:color w:val="auto"/>
          <w:highlight w:val="none"/>
        </w:rPr>
        <w:t>以联合体形式参加政府采购活动的，其投诉应当由组成联合体的所有供应商共同提出。</w:t>
      </w:r>
    </w:p>
    <w:p>
      <w:pPr>
        <w:pStyle w:val="597"/>
        <w:shd w:val="clear" w:color="auto" w:fill="FFFFFF"/>
        <w:adjustRightInd w:val="0"/>
        <w:snapToGrid w:val="0"/>
        <w:spacing w:before="0" w:beforeAutospacing="0" w:after="0" w:afterAutospacing="0" w:line="360" w:lineRule="auto"/>
        <w:ind w:firstLine="420"/>
        <w:contextualSpacing/>
        <w:jc w:val="both"/>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pPr>
        <w:spacing w:line="360" w:lineRule="auto"/>
        <w:rPr>
          <w:rFonts w:ascii="仿宋" w:hAnsi="仿宋" w:eastAsia="仿宋" w:cs="仿宋_GB2312"/>
          <w:color w:val="auto"/>
          <w:sz w:val="18"/>
          <w:szCs w:val="18"/>
          <w:highlight w:val="none"/>
        </w:rPr>
      </w:pPr>
      <w:r>
        <w:rPr>
          <w:rFonts w:ascii="仿宋" w:hAnsi="仿宋" w:eastAsia="仿宋"/>
          <w:color w:val="auto"/>
          <w:highlight w:val="none"/>
        </w:rPr>
        <w:br w:type="page"/>
      </w:r>
    </w:p>
    <w:p>
      <w:pPr>
        <w:pStyle w:val="5"/>
        <w:jc w:val="center"/>
        <w:rPr>
          <w:rFonts w:ascii="仿宋" w:hAnsi="仿宋" w:eastAsia="仿宋"/>
          <w:color w:val="auto"/>
          <w:highlight w:val="none"/>
        </w:rPr>
      </w:pPr>
      <w:bookmarkStart w:id="66" w:name="_Toc32377"/>
      <w:bookmarkStart w:id="67" w:name="_Toc95312943"/>
      <w:bookmarkStart w:id="68" w:name="_Toc2062424395"/>
      <w:bookmarkStart w:id="69" w:name="_Toc22555"/>
      <w:bookmarkStart w:id="70" w:name="_Toc5852"/>
      <w:bookmarkStart w:id="71" w:name="_Toc15814"/>
      <w:r>
        <w:rPr>
          <w:rFonts w:ascii="仿宋" w:hAnsi="仿宋" w:eastAsia="仿宋"/>
          <w:color w:val="auto"/>
          <w:highlight w:val="none"/>
        </w:rPr>
        <w:t>二、采购文件的构成、澄清、修改</w:t>
      </w:r>
      <w:bookmarkEnd w:id="66"/>
      <w:bookmarkEnd w:id="67"/>
      <w:bookmarkEnd w:id="68"/>
      <w:bookmarkEnd w:id="69"/>
      <w:bookmarkEnd w:id="70"/>
      <w:bookmarkEnd w:id="71"/>
    </w:p>
    <w:p>
      <w:pPr>
        <w:pStyle w:val="6"/>
        <w:rPr>
          <w:rFonts w:ascii="仿宋" w:hAnsi="仿宋" w:eastAsia="仿宋"/>
          <w:color w:val="auto"/>
          <w:highlight w:val="none"/>
        </w:rPr>
      </w:pPr>
      <w:bookmarkStart w:id="72" w:name="_Toc95312944"/>
      <w:bookmarkStart w:id="73" w:name="_Toc30129"/>
      <w:bookmarkStart w:id="74" w:name="_Toc32513"/>
      <w:bookmarkStart w:id="75" w:name="_Toc8219"/>
      <w:r>
        <w:rPr>
          <w:rFonts w:ascii="仿宋" w:hAnsi="仿宋" w:eastAsia="仿宋"/>
          <w:color w:val="auto"/>
          <w:highlight w:val="none"/>
        </w:rPr>
        <w:t>5．采购文件的构成</w:t>
      </w:r>
      <w:bookmarkEnd w:id="72"/>
      <w:bookmarkEnd w:id="73"/>
      <w:bookmarkEnd w:id="74"/>
      <w:bookmarkEnd w:id="75"/>
    </w:p>
    <w:p>
      <w:pPr>
        <w:pStyle w:val="45"/>
        <w:snapToGrid w:val="0"/>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采购文件包括下列文件及附件：</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5.1.2供应商须知；</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pPr>
        <w:pStyle w:val="45"/>
        <w:tabs>
          <w:tab w:val="left" w:pos="840"/>
        </w:tabs>
        <w:snapToGrid w:val="0"/>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pPr>
        <w:snapToGrid w:val="0"/>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澄清或者修改的内容为采购文件的组成部分</w:t>
      </w:r>
      <w:r>
        <w:rPr>
          <w:rFonts w:hint="eastAsia" w:ascii="仿宋" w:hAnsi="仿宋" w:eastAsia="仿宋" w:cs="仿宋_GB2312"/>
          <w:color w:val="auto"/>
          <w:sz w:val="24"/>
          <w:highlight w:val="none"/>
        </w:rPr>
        <w:t>。</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76" w:name="_Toc24512"/>
      <w:bookmarkStart w:id="77" w:name="_Toc7908"/>
      <w:bookmarkStart w:id="78" w:name="_Toc3070"/>
      <w:bookmarkStart w:id="79" w:name="_Toc95312945"/>
      <w:r>
        <w:rPr>
          <w:rFonts w:ascii="仿宋" w:hAnsi="仿宋" w:eastAsia="仿宋"/>
          <w:color w:val="auto"/>
          <w:highlight w:val="none"/>
        </w:rPr>
        <w:t>6.</w:t>
      </w:r>
      <w:r>
        <w:rPr>
          <w:rFonts w:hint="eastAsia" w:ascii="仿宋" w:hAnsi="仿宋" w:eastAsia="仿宋"/>
          <w:color w:val="auto"/>
          <w:highlight w:val="none"/>
        </w:rPr>
        <w:t>采购文件的澄清、修改</w:t>
      </w:r>
      <w:bookmarkEnd w:id="76"/>
      <w:bookmarkEnd w:id="77"/>
      <w:bookmarkEnd w:id="78"/>
      <w:bookmarkEnd w:id="79"/>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6.1已获取采购文件的潜在供应商，若有问题需要澄清，应于投标截止时间前，以书面形式向采购代理机构提出。</w:t>
      </w:r>
    </w:p>
    <w:p>
      <w:pPr>
        <w:pStyle w:val="111"/>
        <w:snapToGrid w:val="0"/>
        <w:spacing w:before="0"/>
        <w:ind w:firstLine="48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spacing w:line="360" w:lineRule="auto"/>
        <w:rPr>
          <w:rFonts w:ascii="仿宋" w:hAnsi="仿宋" w:eastAsia="仿宋" w:cs="仿宋_GB2312"/>
          <w:color w:val="auto"/>
          <w:sz w:val="18"/>
          <w:szCs w:val="18"/>
          <w:highlight w:val="none"/>
        </w:rPr>
      </w:pPr>
      <w:r>
        <w:rPr>
          <w:rFonts w:hint="eastAsia" w:ascii="仿宋" w:hAnsi="仿宋" w:eastAsia="仿宋"/>
          <w:color w:val="auto"/>
          <w:highlight w:val="none"/>
        </w:rPr>
        <w:br w:type="page"/>
      </w:r>
    </w:p>
    <w:p>
      <w:pPr>
        <w:pStyle w:val="5"/>
        <w:jc w:val="center"/>
        <w:rPr>
          <w:rFonts w:ascii="仿宋" w:hAnsi="仿宋" w:eastAsia="仿宋"/>
          <w:color w:val="auto"/>
          <w:highlight w:val="none"/>
        </w:rPr>
      </w:pPr>
      <w:bookmarkStart w:id="80" w:name="_Toc21412"/>
      <w:bookmarkStart w:id="81" w:name="_Toc11740"/>
      <w:bookmarkStart w:id="82" w:name="_Toc19628"/>
      <w:bookmarkStart w:id="83" w:name="_Toc633260538"/>
      <w:bookmarkStart w:id="84" w:name="_Toc32104"/>
      <w:bookmarkStart w:id="85" w:name="_Toc95312946"/>
      <w:r>
        <w:rPr>
          <w:rFonts w:hint="eastAsia" w:ascii="仿宋" w:hAnsi="仿宋" w:eastAsia="仿宋"/>
          <w:color w:val="auto"/>
          <w:highlight w:val="none"/>
        </w:rPr>
        <w:t>三、投标</w:t>
      </w:r>
      <w:bookmarkEnd w:id="80"/>
      <w:bookmarkEnd w:id="81"/>
      <w:bookmarkEnd w:id="82"/>
      <w:bookmarkEnd w:id="83"/>
      <w:bookmarkEnd w:id="84"/>
      <w:bookmarkEnd w:id="85"/>
    </w:p>
    <w:p>
      <w:pPr>
        <w:pStyle w:val="6"/>
        <w:rPr>
          <w:rFonts w:ascii="仿宋" w:hAnsi="仿宋" w:eastAsia="仿宋"/>
          <w:color w:val="auto"/>
          <w:highlight w:val="none"/>
        </w:rPr>
      </w:pPr>
      <w:bookmarkStart w:id="86" w:name="_Toc30176"/>
      <w:bookmarkStart w:id="87" w:name="_Toc95312947"/>
      <w:bookmarkStart w:id="88" w:name="_Toc20212"/>
      <w:bookmarkStart w:id="89" w:name="_Toc4596"/>
      <w:r>
        <w:rPr>
          <w:rFonts w:ascii="仿宋" w:hAnsi="仿宋" w:eastAsia="仿宋"/>
          <w:color w:val="auto"/>
          <w:highlight w:val="none"/>
        </w:rPr>
        <w:t>7.</w:t>
      </w:r>
      <w:r>
        <w:rPr>
          <w:rFonts w:hint="eastAsia" w:ascii="仿宋" w:hAnsi="仿宋" w:eastAsia="仿宋"/>
          <w:color w:val="auto"/>
          <w:highlight w:val="none"/>
        </w:rPr>
        <w:t>采购文件的获取</w:t>
      </w:r>
      <w:bookmarkEnd w:id="86"/>
      <w:bookmarkEnd w:id="87"/>
      <w:bookmarkEnd w:id="88"/>
      <w:bookmarkEnd w:id="89"/>
    </w:p>
    <w:p>
      <w:pPr>
        <w:snapToGrid w:val="0"/>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详见招标公告中获取采购文件的时间期限、地点、方式。</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0" w:name="_Toc18612"/>
      <w:bookmarkStart w:id="91" w:name="_Toc18862"/>
      <w:bookmarkStart w:id="92" w:name="_Toc95312948"/>
      <w:bookmarkStart w:id="93" w:name="_Toc4625"/>
      <w:r>
        <w:rPr>
          <w:rFonts w:ascii="仿宋" w:hAnsi="仿宋" w:eastAsia="仿宋"/>
          <w:color w:val="auto"/>
          <w:highlight w:val="none"/>
        </w:rPr>
        <w:t>8.开标前答疑会或现场考察</w:t>
      </w:r>
      <w:bookmarkEnd w:id="90"/>
      <w:bookmarkEnd w:id="91"/>
      <w:bookmarkEnd w:id="92"/>
      <w:bookmarkEnd w:id="93"/>
    </w:p>
    <w:p>
      <w:pPr>
        <w:pStyle w:val="45"/>
        <w:snapToGrid w:val="0"/>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本项目不组织现场考察和召开开标前答疑会。</w:t>
      </w:r>
    </w:p>
    <w:p>
      <w:pPr>
        <w:pStyle w:val="45"/>
        <w:snapToGrid w:val="0"/>
        <w:spacing w:line="360" w:lineRule="auto"/>
        <w:rPr>
          <w:rFonts w:ascii="仿宋" w:hAnsi="仿宋" w:eastAsia="仿宋"/>
          <w:b/>
          <w:color w:val="auto"/>
          <w:kern w:val="28"/>
          <w:sz w:val="24"/>
          <w:szCs w:val="24"/>
          <w:highlight w:val="none"/>
        </w:rPr>
      </w:pPr>
    </w:p>
    <w:p>
      <w:pPr>
        <w:pStyle w:val="6"/>
        <w:rPr>
          <w:rFonts w:ascii="仿宋" w:hAnsi="仿宋" w:eastAsia="仿宋"/>
          <w:color w:val="auto"/>
          <w:highlight w:val="none"/>
        </w:rPr>
      </w:pPr>
      <w:bookmarkStart w:id="94" w:name="_Toc32518"/>
      <w:bookmarkStart w:id="95" w:name="_Toc31033"/>
      <w:bookmarkStart w:id="96" w:name="_Toc95312949"/>
      <w:bookmarkStart w:id="97" w:name="_Toc10547"/>
      <w:r>
        <w:rPr>
          <w:rFonts w:ascii="仿宋" w:hAnsi="仿宋" w:eastAsia="仿宋"/>
          <w:color w:val="auto"/>
          <w:highlight w:val="none"/>
        </w:rPr>
        <w:t>9.投标保证金</w:t>
      </w:r>
      <w:bookmarkEnd w:id="94"/>
      <w:bookmarkEnd w:id="95"/>
      <w:bookmarkEnd w:id="96"/>
      <w:bookmarkEnd w:id="97"/>
    </w:p>
    <w:p>
      <w:pPr>
        <w:pStyle w:val="22"/>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98" w:name="_Toc5004"/>
      <w:bookmarkStart w:id="99" w:name="_Toc6335"/>
      <w:bookmarkStart w:id="100" w:name="_Toc95312950"/>
      <w:bookmarkStart w:id="101" w:name="_Toc6779"/>
      <w:r>
        <w:rPr>
          <w:rFonts w:ascii="仿宋" w:hAnsi="仿宋" w:eastAsia="仿宋"/>
          <w:color w:val="auto"/>
          <w:highlight w:val="none"/>
        </w:rPr>
        <w:t>10.</w:t>
      </w:r>
      <w:r>
        <w:rPr>
          <w:rFonts w:hint="eastAsia" w:ascii="仿宋" w:hAnsi="仿宋" w:eastAsia="仿宋"/>
          <w:color w:val="auto"/>
          <w:highlight w:val="none"/>
        </w:rPr>
        <w:t>投标文件的语言</w:t>
      </w:r>
      <w:bookmarkEnd w:id="98"/>
      <w:bookmarkEnd w:id="99"/>
      <w:bookmarkEnd w:id="100"/>
      <w:bookmarkEnd w:id="101"/>
    </w:p>
    <w:p>
      <w:pPr>
        <w:autoSpaceDE w:val="0"/>
        <w:autoSpaceDN w:val="0"/>
        <w:snapToGrid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投标文件及供应商与采购有关的来往通知、函件和文件均应使用中文。</w:t>
      </w:r>
    </w:p>
    <w:p>
      <w:pPr>
        <w:pStyle w:val="45"/>
        <w:snapToGrid w:val="0"/>
        <w:spacing w:line="360" w:lineRule="auto"/>
        <w:rPr>
          <w:rFonts w:ascii="仿宋" w:hAnsi="仿宋" w:eastAsia="仿宋" w:cs="仿宋_GB2312"/>
          <w:b/>
          <w:color w:val="auto"/>
          <w:sz w:val="24"/>
          <w:szCs w:val="24"/>
          <w:highlight w:val="none"/>
        </w:rPr>
      </w:pPr>
    </w:p>
    <w:p>
      <w:pPr>
        <w:pStyle w:val="6"/>
        <w:rPr>
          <w:rFonts w:ascii="仿宋" w:hAnsi="仿宋" w:eastAsia="仿宋"/>
          <w:color w:val="auto"/>
          <w:highlight w:val="none"/>
        </w:rPr>
      </w:pPr>
      <w:bookmarkStart w:id="102" w:name="_Toc31286"/>
      <w:bookmarkStart w:id="103" w:name="_Toc95312951"/>
      <w:bookmarkStart w:id="104" w:name="_Toc23118"/>
      <w:bookmarkStart w:id="105" w:name="_Toc607"/>
      <w:r>
        <w:rPr>
          <w:rFonts w:ascii="仿宋" w:hAnsi="仿宋" w:eastAsia="仿宋"/>
          <w:color w:val="auto"/>
          <w:highlight w:val="none"/>
        </w:rPr>
        <w:t>11.</w:t>
      </w:r>
      <w:r>
        <w:rPr>
          <w:rFonts w:hint="eastAsia" w:ascii="仿宋" w:hAnsi="仿宋" w:eastAsia="仿宋"/>
          <w:color w:val="auto"/>
          <w:highlight w:val="none"/>
        </w:rPr>
        <w:t>投标文件的组成</w:t>
      </w:r>
      <w:bookmarkEnd w:id="102"/>
      <w:bookmarkEnd w:id="103"/>
      <w:bookmarkEnd w:id="104"/>
      <w:bookmarkEnd w:id="105"/>
    </w:p>
    <w:p>
      <w:pPr>
        <w:snapToGrid w:val="0"/>
        <w:spacing w:line="360" w:lineRule="auto"/>
        <w:rPr>
          <w:rFonts w:ascii="仿宋" w:hAnsi="仿宋" w:eastAsia="仿宋" w:cs="仿宋_GB2312"/>
          <w:b/>
          <w:bCs/>
          <w:color w:val="auto"/>
          <w:sz w:val="24"/>
          <w:highlight w:val="none"/>
        </w:rPr>
      </w:pPr>
      <w:bookmarkStart w:id="106" w:name="_Hlk95263917"/>
      <w:r>
        <w:rPr>
          <w:rFonts w:ascii="仿宋" w:hAnsi="仿宋" w:eastAsia="仿宋" w:cs="仿宋_GB2312"/>
          <w:b/>
          <w:bCs/>
          <w:color w:val="auto"/>
          <w:sz w:val="24"/>
          <w:highlight w:val="none"/>
        </w:rPr>
        <w:t>11.1</w:t>
      </w:r>
      <w:r>
        <w:rPr>
          <w:rFonts w:hint="eastAsia" w:ascii="仿宋" w:hAnsi="仿宋" w:eastAsia="仿宋" w:cs="仿宋_GB2312"/>
          <w:b/>
          <w:bCs/>
          <w:color w:val="auto"/>
          <w:sz w:val="24"/>
          <w:highlight w:val="none"/>
        </w:rPr>
        <w:t>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color w:val="auto"/>
          <w:sz w:val="24"/>
          <w:highlight w:val="none"/>
        </w:rPr>
        <w:t>11.1.2落实政府采购政策需满足的资格要求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供应商单独投标且不分包的：无需提供联合体协议或分包意向协议；</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供应商采用联合体投标的：允许小微企业与小微企业组成联合体，组成联合体，提供联合协议，联合体投标的联合体各方承担连带责任；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供应商采用分包方式投标的：允许小微企业向一家或多家小微企业对本项目非主体、非关键性部分进行分包，提供分包意向协议，分包意向协议中，分包部分合同金额比例应达到合同总金额的</w:t>
      </w:r>
      <w:r>
        <w:rPr>
          <w:rFonts w:ascii="仿宋" w:hAnsi="仿宋" w:eastAsia="仿宋"/>
          <w:color w:val="auto"/>
          <w:sz w:val="24"/>
          <w:highlight w:val="none"/>
        </w:rPr>
        <w:t>10%</w:t>
      </w:r>
      <w:r>
        <w:rPr>
          <w:rFonts w:hint="eastAsia" w:ascii="仿宋" w:hAnsi="仿宋" w:eastAsia="仿宋"/>
          <w:color w:val="auto"/>
          <w:sz w:val="24"/>
          <w:highlight w:val="none"/>
        </w:rPr>
        <w:t>，分包供应商应具备承接分包内容</w:t>
      </w:r>
      <w:r>
        <w:rPr>
          <w:rFonts w:ascii="仿宋" w:hAnsi="仿宋" w:eastAsia="仿宋"/>
          <w:color w:val="auto"/>
          <w:sz w:val="24"/>
          <w:highlight w:val="none"/>
        </w:rPr>
        <w:t>所必需的设备和专业技术能力</w:t>
      </w:r>
      <w:r>
        <w:rPr>
          <w:rFonts w:hint="eastAsia" w:ascii="仿宋" w:hAnsi="仿宋" w:eastAsia="仿宋"/>
          <w:color w:val="auto"/>
          <w:sz w:val="24"/>
          <w:highlight w:val="none"/>
        </w:rPr>
        <w:t>，总包供应商对分包内容承担连带责任</w:t>
      </w:r>
      <w:r>
        <w:rPr>
          <w:rFonts w:ascii="仿宋" w:hAnsi="仿宋" w:eastAsia="仿宋"/>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r>
        <w:rPr>
          <w:rFonts w:hint="eastAsia" w:ascii="仿宋" w:hAnsi="仿宋" w:eastAsia="仿宋" w:cs="仿宋_GB2312"/>
          <w:color w:val="auto"/>
          <w:sz w:val="24"/>
          <w:highlight w:val="none"/>
        </w:rPr>
        <w:t>：</w:t>
      </w: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b/>
          <w:bCs/>
          <w:color w:val="auto"/>
          <w:sz w:val="24"/>
          <w:highlight w:val="none"/>
          <w:lang w:val="zh-CN"/>
        </w:rPr>
      </w:pPr>
      <w:r>
        <w:rPr>
          <w:rFonts w:ascii="仿宋" w:hAnsi="仿宋" w:eastAsia="仿宋" w:cs="仿宋_GB2312"/>
          <w:b/>
          <w:bCs/>
          <w:color w:val="auto"/>
          <w:sz w:val="24"/>
          <w:highlight w:val="none"/>
          <w:lang w:val="zh-CN"/>
        </w:rPr>
        <w:t>11.</w:t>
      </w:r>
      <w:r>
        <w:rPr>
          <w:rFonts w:ascii="仿宋" w:hAnsi="仿宋" w:eastAsia="仿宋" w:cs="仿宋_GB2312"/>
          <w:b/>
          <w:bCs/>
          <w:color w:val="auto"/>
          <w:sz w:val="24"/>
          <w:highlight w:val="none"/>
        </w:rPr>
        <w:t>2</w:t>
      </w:r>
      <w:r>
        <w:rPr>
          <w:rFonts w:ascii="仿宋" w:hAnsi="仿宋" w:eastAsia="仿宋" w:cs="仿宋_GB2312"/>
          <w:b/>
          <w:bCs/>
          <w:color w:val="auto"/>
          <w:sz w:val="24"/>
          <w:highlight w:val="none"/>
          <w:lang w:val="zh-CN"/>
        </w:rPr>
        <w:t xml:space="preserve"> </w:t>
      </w:r>
      <w:r>
        <w:rPr>
          <w:rFonts w:hint="eastAsia" w:ascii="仿宋" w:hAnsi="仿宋" w:eastAsia="仿宋" w:cs="仿宋_GB2312"/>
          <w:b/>
          <w:bCs/>
          <w:color w:val="auto"/>
          <w:sz w:val="24"/>
          <w:highlight w:val="none"/>
        </w:rPr>
        <w:t>商务技术</w:t>
      </w:r>
      <w:r>
        <w:rPr>
          <w:rFonts w:hint="eastAsia" w:ascii="仿宋" w:hAnsi="仿宋" w:eastAsia="仿宋" w:cs="仿宋_GB2312"/>
          <w:b/>
          <w:bCs/>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宋体"/>
          <w:color w:val="auto"/>
          <w:sz w:val="24"/>
          <w:highlight w:val="none"/>
        </w:rPr>
      </w:pPr>
      <w:bookmarkStart w:id="107" w:name="_Hlk87474952"/>
      <w:r>
        <w:rPr>
          <w:rFonts w:ascii="仿宋" w:hAnsi="仿宋" w:eastAsia="仿宋" w:cs="宋体"/>
          <w:color w:val="auto"/>
          <w:sz w:val="24"/>
          <w:highlight w:val="none"/>
        </w:rPr>
        <w:t>11.2.2</w:t>
      </w:r>
      <w:r>
        <w:rPr>
          <w:rFonts w:hint="eastAsia" w:ascii="仿宋" w:hAnsi="仿宋" w:eastAsia="仿宋" w:cs="宋体"/>
          <w:color w:val="auto"/>
          <w:sz w:val="24"/>
          <w:highlight w:val="none"/>
        </w:rPr>
        <w:t>授权委托书；</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11.2.3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11.2.4</w:t>
      </w:r>
      <w:r>
        <w:rPr>
          <w:rFonts w:hint="eastAsia" w:ascii="仿宋" w:hAnsi="仿宋" w:eastAsia="仿宋" w:cs="宋体"/>
          <w:snapToGrid w:val="0"/>
          <w:color w:val="auto"/>
          <w:kern w:val="0"/>
          <w:sz w:val="24"/>
          <w:highlight w:val="none"/>
        </w:rPr>
        <w:t>公司情况介绍；</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11.2.5</w:t>
      </w:r>
      <w:r>
        <w:rPr>
          <w:rFonts w:hint="eastAsia" w:ascii="仿宋" w:hAnsi="仿宋" w:eastAsia="仿宋" w:cs="宋体"/>
          <w:snapToGrid w:val="0"/>
          <w:color w:val="auto"/>
          <w:kern w:val="0"/>
          <w:sz w:val="24"/>
          <w:highlight w:val="none"/>
          <w:lang w:val="zh-CN"/>
        </w:rPr>
        <w:t>供应商成功案例；</w:t>
      </w:r>
    </w:p>
    <w:p>
      <w:pPr>
        <w:snapToGrid w:val="0"/>
        <w:spacing w:line="360" w:lineRule="auto"/>
        <w:ind w:firstLine="480" w:firstLineChars="200"/>
        <w:rPr>
          <w:rFonts w:ascii="仿宋" w:hAnsi="仿宋" w:eastAsia="仿宋" w:cs="宋体"/>
          <w:snapToGrid w:val="0"/>
          <w:color w:val="auto"/>
          <w:kern w:val="0"/>
          <w:sz w:val="24"/>
          <w:highlight w:val="none"/>
        </w:rPr>
      </w:pPr>
      <w:r>
        <w:rPr>
          <w:rFonts w:ascii="仿宋" w:hAnsi="仿宋" w:eastAsia="仿宋" w:cs="宋体"/>
          <w:color w:val="auto"/>
          <w:sz w:val="24"/>
          <w:highlight w:val="none"/>
        </w:rPr>
        <w:t>11.2.6</w:t>
      </w:r>
      <w:r>
        <w:rPr>
          <w:rFonts w:hint="eastAsia" w:ascii="仿宋" w:hAnsi="仿宋" w:eastAsia="仿宋" w:cs="宋体"/>
          <w:snapToGrid w:val="0"/>
          <w:color w:val="auto"/>
          <w:kern w:val="0"/>
          <w:sz w:val="24"/>
          <w:highlight w:val="none"/>
        </w:rPr>
        <w:t>相关资质文件（如有）；</w:t>
      </w:r>
    </w:p>
    <w:p>
      <w:pPr>
        <w:pStyle w:val="35"/>
        <w:snapToGrid w:val="0"/>
        <w:ind w:firstLine="480" w:firstLineChars="200"/>
        <w:rPr>
          <w:rFonts w:ascii="仿宋" w:hAnsi="仿宋" w:eastAsia="仿宋" w:cs="宋体"/>
          <w:color w:val="auto"/>
          <w:kern w:val="0"/>
          <w:highlight w:val="none"/>
        </w:rPr>
      </w:pPr>
      <w:r>
        <w:rPr>
          <w:rFonts w:ascii="仿宋" w:hAnsi="仿宋" w:eastAsia="仿宋" w:cs="宋体"/>
          <w:color w:val="auto"/>
          <w:highlight w:val="none"/>
        </w:rPr>
        <w:t>11.2.7</w:t>
      </w:r>
      <w:r>
        <w:rPr>
          <w:rFonts w:hint="eastAsia" w:ascii="仿宋" w:hAnsi="仿宋" w:eastAsia="仿宋" w:cs="宋体"/>
          <w:color w:val="auto"/>
          <w:kern w:val="0"/>
          <w:highlight w:val="none"/>
        </w:rPr>
        <w:t>供应商应提供针对项目的完整服务解决方案；</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11.2.8</w:t>
      </w:r>
      <w:r>
        <w:rPr>
          <w:rFonts w:hint="eastAsia" w:ascii="仿宋" w:hAnsi="仿宋" w:eastAsia="仿宋"/>
          <w:color w:val="auto"/>
          <w:highlight w:val="none"/>
        </w:rPr>
        <w:t>项目组人员介绍、职责分配；</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11.2.9</w:t>
      </w:r>
      <w:r>
        <w:rPr>
          <w:rFonts w:hint="eastAsia" w:ascii="仿宋" w:hAnsi="仿宋" w:eastAsia="仿宋"/>
          <w:color w:val="auto"/>
          <w:highlight w:val="none"/>
        </w:rPr>
        <w:t>商务技术偏离表；</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11.2.10</w:t>
      </w:r>
      <w:r>
        <w:rPr>
          <w:rFonts w:hint="eastAsia" w:ascii="仿宋" w:hAnsi="仿宋" w:eastAsia="仿宋"/>
          <w:color w:val="auto"/>
          <w:highlight w:val="none"/>
        </w:rPr>
        <w:t>其他商务技术文件或说明；</w:t>
      </w:r>
    </w:p>
    <w:p>
      <w:pPr>
        <w:pStyle w:val="35"/>
        <w:snapToGrid w:val="0"/>
        <w:ind w:firstLine="480" w:firstLineChars="200"/>
        <w:rPr>
          <w:rFonts w:ascii="仿宋" w:hAnsi="仿宋" w:eastAsia="仿宋"/>
          <w:color w:val="auto"/>
          <w:highlight w:val="none"/>
        </w:rPr>
      </w:pPr>
      <w:r>
        <w:rPr>
          <w:rFonts w:ascii="仿宋" w:hAnsi="仿宋" w:eastAsia="仿宋"/>
          <w:color w:val="auto"/>
          <w:highlight w:val="none"/>
        </w:rPr>
        <w:t>11.2.11</w:t>
      </w:r>
      <w:r>
        <w:rPr>
          <w:rFonts w:hint="eastAsia" w:ascii="仿宋" w:hAnsi="仿宋" w:eastAsia="仿宋"/>
          <w:color w:val="auto"/>
          <w:highlight w:val="none"/>
        </w:rPr>
        <w:t>政府采购供应商廉洁自律承诺书。</w:t>
      </w:r>
      <w:bookmarkEnd w:id="106"/>
      <w:bookmarkEnd w:id="107"/>
    </w:p>
    <w:p>
      <w:pPr>
        <w:snapToGrid w:val="0"/>
        <w:spacing w:line="360" w:lineRule="auto"/>
        <w:rPr>
          <w:rFonts w:ascii="仿宋" w:hAnsi="仿宋" w:eastAsia="仿宋" w:cs="仿宋_GB2312"/>
          <w:color w:val="auto"/>
          <w:sz w:val="24"/>
          <w:highlight w:val="none"/>
          <w:u w:val="single"/>
          <w:lang w:val="zh-CN"/>
        </w:rPr>
      </w:pPr>
      <w:r>
        <w:rPr>
          <w:rFonts w:ascii="仿宋" w:hAnsi="仿宋" w:eastAsia="仿宋" w:cs="仿宋_GB2312"/>
          <w:b/>
          <w:bCs/>
          <w:color w:val="auto"/>
          <w:kern w:val="0"/>
          <w:sz w:val="24"/>
          <w:highlight w:val="none"/>
          <w:lang w:val="zh-CN"/>
        </w:rPr>
        <w:t>11.</w:t>
      </w:r>
      <w:r>
        <w:rPr>
          <w:rFonts w:ascii="仿宋" w:hAnsi="仿宋" w:eastAsia="仿宋" w:cs="仿宋_GB2312"/>
          <w:b/>
          <w:bCs/>
          <w:color w:val="auto"/>
          <w:kern w:val="0"/>
          <w:sz w:val="24"/>
          <w:highlight w:val="none"/>
        </w:rPr>
        <w:t>3</w:t>
      </w:r>
      <w:r>
        <w:rPr>
          <w:rFonts w:hint="eastAsia" w:ascii="仿宋" w:hAnsi="仿宋" w:eastAsia="仿宋" w:cs="仿宋_GB2312"/>
          <w:b/>
          <w:bCs/>
          <w:color w:val="auto"/>
          <w:kern w:val="0"/>
          <w:sz w:val="24"/>
          <w:highlight w:val="none"/>
        </w:rPr>
        <w:t xml:space="preserve"> </w:t>
      </w:r>
      <w:r>
        <w:rPr>
          <w:rFonts w:hint="eastAsia" w:ascii="仿宋" w:hAnsi="仿宋" w:eastAsia="仿宋" w:cs="仿宋_GB2312"/>
          <w:b/>
          <w:bCs/>
          <w:color w:val="auto"/>
          <w:sz w:val="24"/>
          <w:highlight w:val="none"/>
        </w:rPr>
        <w:t>报价文件：</w:t>
      </w:r>
      <w:r>
        <w:rPr>
          <w:rFonts w:ascii="仿宋" w:hAnsi="仿宋" w:eastAsia="仿宋" w:cs="仿宋_GB2312"/>
          <w:color w:val="auto"/>
          <w:sz w:val="24"/>
          <w:highlight w:val="none"/>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pPr>
        <w:snapToGrid w:val="0"/>
        <w:spacing w:line="360" w:lineRule="auto"/>
        <w:ind w:firstLine="480" w:firstLineChars="200"/>
        <w:rPr>
          <w:rFonts w:ascii="仿宋" w:hAnsi="仿宋" w:eastAsia="仿宋" w:cs="仿宋_GB2312"/>
          <w:b/>
          <w:color w:val="auto"/>
          <w:highlight w:val="none"/>
        </w:rPr>
      </w:pPr>
      <w:r>
        <w:rPr>
          <w:rFonts w:ascii="仿宋" w:hAnsi="仿宋" w:eastAsia="仿宋"/>
          <w:color w:val="auto"/>
          <w:sz w:val="24"/>
          <w:highlight w:val="none"/>
        </w:rPr>
        <w:t>▲</w:t>
      </w:r>
      <w:r>
        <w:rPr>
          <w:rFonts w:hint="eastAsia" w:ascii="仿宋" w:hAnsi="仿宋" w:eastAsia="仿宋"/>
          <w:b/>
          <w:color w:val="auto"/>
          <w:sz w:val="24"/>
          <w:highlight w:val="none"/>
        </w:rPr>
        <w:t>供应商提供虚假材料投标的，投标无效。</w:t>
      </w:r>
    </w:p>
    <w:p>
      <w:pPr>
        <w:pStyle w:val="107"/>
        <w:snapToGrid w:val="0"/>
        <w:ind w:firstLine="480" w:firstLineChars="200"/>
        <w:rPr>
          <w:color w:val="auto"/>
          <w:highlight w:val="none"/>
        </w:rPr>
      </w:pPr>
      <w:bookmarkStart w:id="108" w:name="_Toc22083"/>
      <w:bookmarkStart w:id="109" w:name="_Toc95312952"/>
      <w:bookmarkStart w:id="110" w:name="_Toc6294"/>
    </w:p>
    <w:p>
      <w:pPr>
        <w:pStyle w:val="6"/>
        <w:rPr>
          <w:rFonts w:ascii="仿宋" w:hAnsi="仿宋" w:eastAsia="仿宋"/>
          <w:color w:val="auto"/>
          <w:highlight w:val="none"/>
        </w:rPr>
      </w:pPr>
      <w:bookmarkStart w:id="111" w:name="_Toc30772"/>
      <w:r>
        <w:rPr>
          <w:rFonts w:ascii="仿宋" w:hAnsi="仿宋" w:eastAsia="仿宋"/>
          <w:color w:val="auto"/>
          <w:highlight w:val="none"/>
        </w:rPr>
        <w:t xml:space="preserve">12. </w:t>
      </w:r>
      <w:r>
        <w:rPr>
          <w:rFonts w:hint="eastAsia" w:ascii="仿宋" w:hAnsi="仿宋" w:eastAsia="仿宋"/>
          <w:color w:val="auto"/>
          <w:highlight w:val="none"/>
        </w:rPr>
        <w:t>投标文件的编制</w:t>
      </w:r>
      <w:bookmarkEnd w:id="108"/>
      <w:bookmarkEnd w:id="109"/>
      <w:bookmarkEnd w:id="110"/>
      <w:bookmarkEnd w:id="111"/>
    </w:p>
    <w:p>
      <w:pPr>
        <w:snapToGrid w:val="0"/>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12.1投标文件分为资格文件、商务技术文件、报价文件三部分。各供应商在编制投标文件时请按照采购文件第六部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分规定的格式进行，混乱的编排导致投标文件被误读或评标委员会查找不到有效文件是供应商的风险。</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12.2供应商进行电子投标应安装客户端软件—“政</w:t>
      </w:r>
      <w:r>
        <w:rPr>
          <w:rFonts w:hint="eastAsia" w:ascii="仿宋" w:hAnsi="仿宋" w:eastAsia="仿宋" w:cs="仿宋_GB2312"/>
          <w:color w:val="auto"/>
          <w:kern w:val="0"/>
          <w:sz w:val="24"/>
          <w:highlight w:val="none"/>
          <w:lang w:val="zh-CN"/>
        </w:rPr>
        <w:t>采云电子交易客户端”，并按照采购文件和电子交易平台的要求编制并加密投标文件。供应商未按规定加密的投标文件，电子交易平台将拒收并提示。</w:t>
      </w:r>
    </w:p>
    <w:p>
      <w:pPr>
        <w:snapToGrid w:val="0"/>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 w:hAnsi="仿宋" w:eastAsia="仿宋"/>
          <w:b/>
          <w:color w:val="auto"/>
          <w:sz w:val="24"/>
          <w:highlight w:val="none"/>
        </w:rPr>
      </w:pPr>
    </w:p>
    <w:p>
      <w:pPr>
        <w:pStyle w:val="6"/>
        <w:rPr>
          <w:rFonts w:ascii="仿宋" w:hAnsi="仿宋" w:eastAsia="仿宋"/>
          <w:color w:val="auto"/>
          <w:highlight w:val="none"/>
        </w:rPr>
      </w:pPr>
      <w:bookmarkStart w:id="112" w:name="_Toc3269"/>
      <w:bookmarkStart w:id="113" w:name="_Toc95312953"/>
      <w:bookmarkStart w:id="114" w:name="_Toc7352"/>
      <w:bookmarkStart w:id="115" w:name="_Toc18716"/>
      <w:r>
        <w:rPr>
          <w:rFonts w:ascii="仿宋" w:hAnsi="仿宋" w:eastAsia="仿宋"/>
          <w:color w:val="auto"/>
          <w:highlight w:val="none"/>
        </w:rPr>
        <w:t>13.投标文件的签署、盖章</w:t>
      </w:r>
      <w:bookmarkEnd w:id="112"/>
      <w:bookmarkEnd w:id="113"/>
      <w:bookmarkEnd w:id="114"/>
      <w:bookmarkEnd w:id="115"/>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13.1投标文件按照采购文件第六部分格式要</w:t>
      </w:r>
      <w:r>
        <w:rPr>
          <w:rFonts w:hint="eastAsia" w:ascii="仿宋" w:hAnsi="仿宋" w:eastAsia="仿宋" w:cs="仿宋_GB2312"/>
          <w:color w:val="auto"/>
          <w:highlight w:val="none"/>
        </w:rPr>
        <w:t>求进行签署、盖章。</w:t>
      </w:r>
    </w:p>
    <w:p>
      <w:pPr>
        <w:pStyle w:val="111"/>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供应商的投标文件未按照采购文件要求签署、盖章的，其投标无效</w:t>
      </w:r>
      <w:r>
        <w:rPr>
          <w:rFonts w:hint="eastAsia" w:ascii="仿宋" w:hAnsi="仿宋" w:eastAsia="仿宋" w:cs="仿宋_GB2312"/>
          <w:color w:val="auto"/>
          <w:szCs w:val="24"/>
          <w:highlight w:val="none"/>
        </w:rPr>
        <w:t>。</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highlight w:val="none"/>
        </w:rPr>
        <w:t>13.3采购文件对投标文件签署、盖章的要求适用于电子签名。</w:t>
      </w:r>
    </w:p>
    <w:p>
      <w:pPr>
        <w:pStyle w:val="107"/>
        <w:rPr>
          <w:color w:val="auto"/>
          <w:highlight w:val="none"/>
        </w:rPr>
      </w:pPr>
      <w:bookmarkStart w:id="116" w:name="_Toc5131"/>
      <w:bookmarkStart w:id="117" w:name="_Toc22736"/>
      <w:bookmarkStart w:id="118" w:name="_Toc95312954"/>
    </w:p>
    <w:p>
      <w:pPr>
        <w:pStyle w:val="6"/>
        <w:rPr>
          <w:rFonts w:ascii="仿宋" w:hAnsi="仿宋" w:eastAsia="仿宋"/>
          <w:color w:val="auto"/>
          <w:highlight w:val="none"/>
        </w:rPr>
      </w:pPr>
      <w:bookmarkStart w:id="119" w:name="_Toc30288"/>
      <w:r>
        <w:rPr>
          <w:rFonts w:ascii="仿宋" w:hAnsi="仿宋" w:eastAsia="仿宋"/>
          <w:color w:val="auto"/>
          <w:highlight w:val="none"/>
        </w:rPr>
        <w:t xml:space="preserve">14. </w:t>
      </w:r>
      <w:r>
        <w:rPr>
          <w:rFonts w:hint="eastAsia" w:ascii="仿宋" w:hAnsi="仿宋" w:eastAsia="仿宋"/>
          <w:color w:val="auto"/>
          <w:highlight w:val="none"/>
        </w:rPr>
        <w:t>投标文件的提交、补充、修改、撤回</w:t>
      </w:r>
      <w:bookmarkEnd w:id="116"/>
      <w:bookmarkEnd w:id="117"/>
      <w:bookmarkEnd w:id="118"/>
      <w:bookmarkEnd w:id="119"/>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1"/>
        <w:snapToGrid w:val="0"/>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pPr>
        <w:pStyle w:val="107"/>
        <w:rPr>
          <w:color w:val="auto"/>
          <w:highlight w:val="none"/>
        </w:rPr>
      </w:pPr>
      <w:bookmarkStart w:id="120" w:name="_Toc95312955"/>
      <w:bookmarkStart w:id="121" w:name="_Toc14673"/>
      <w:bookmarkStart w:id="122" w:name="_Toc16394"/>
    </w:p>
    <w:p>
      <w:pPr>
        <w:pStyle w:val="6"/>
        <w:rPr>
          <w:rFonts w:ascii="仿宋" w:hAnsi="仿宋" w:eastAsia="仿宋"/>
          <w:color w:val="auto"/>
          <w:highlight w:val="none"/>
        </w:rPr>
      </w:pPr>
      <w:bookmarkStart w:id="123" w:name="_Toc18576"/>
      <w:r>
        <w:rPr>
          <w:rFonts w:ascii="仿宋" w:hAnsi="仿宋" w:eastAsia="仿宋"/>
          <w:color w:val="auto"/>
          <w:highlight w:val="none"/>
        </w:rPr>
        <w:t>15.备份投标文件</w:t>
      </w:r>
      <w:bookmarkEnd w:id="120"/>
      <w:bookmarkEnd w:id="121"/>
      <w:bookmarkEnd w:id="122"/>
      <w:bookmarkEnd w:id="123"/>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15.1供应商在电子交易平台传输递交投标文件后，还可以在投标截止时间前直接提交或者以邮政快递方式递交备份投标文件1份，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但采购人、采购代理机构不强制或变相强制供应商提交备份投标文件。</w:t>
      </w:r>
    </w:p>
    <w:p>
      <w:pPr>
        <w:pStyle w:val="45"/>
        <w:snapToGrid w:val="0"/>
        <w:spacing w:line="360" w:lineRule="auto"/>
        <w:ind w:firstLine="480" w:firstLineChars="20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中。备份投标文件应当密封包装并在包装上加盖公章并注明项目名称，供应商名称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pPr>
        <w:pStyle w:val="45"/>
        <w:snapToGrid w:val="0"/>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采购文件第二部分供应商须知前附表规定的备份投标文件送达地点，送达时间以签收人签收时间为准。采购代理机构将拒绝接受逾期送达的备份投标文件。邮寄过程中，电子备份投标文件发生泄露、遗失、损坏或延期送达等情况的，由供应商自行负责。</w:t>
      </w:r>
    </w:p>
    <w:p>
      <w:pPr>
        <w:pStyle w:val="45"/>
        <w:snapToGrid w:val="0"/>
        <w:spacing w:line="360" w:lineRule="auto"/>
        <w:ind w:firstLine="480" w:firstLineChars="200"/>
        <w:rPr>
          <w:rFonts w:ascii="仿宋" w:hAnsi="仿宋" w:eastAsia="仿宋" w:cs="仿宋_GB2312"/>
          <w:b/>
          <w:color w:val="auto"/>
          <w:szCs w:val="24"/>
          <w:highlight w:val="none"/>
        </w:rPr>
      </w:pPr>
      <w:r>
        <w:rPr>
          <w:rFonts w:ascii="仿宋" w:hAnsi="仿宋" w:eastAsia="仿宋" w:cs="仿宋_GB2312"/>
          <w:b/>
          <w:color w:val="auto"/>
          <w:sz w:val="24"/>
          <w:szCs w:val="24"/>
          <w:highlight w:val="none"/>
        </w:rPr>
        <w:t>15.5供应商仅提交备份投标文件，没有在电子交易平台传输递交投标文件的，投标无效。</w:t>
      </w:r>
    </w:p>
    <w:p>
      <w:pPr>
        <w:pStyle w:val="107"/>
        <w:rPr>
          <w:color w:val="auto"/>
          <w:highlight w:val="none"/>
        </w:rPr>
      </w:pPr>
      <w:bookmarkStart w:id="124" w:name="_Toc95312956"/>
      <w:bookmarkStart w:id="125" w:name="_Toc20132"/>
      <w:bookmarkStart w:id="126" w:name="_Toc28686"/>
    </w:p>
    <w:p>
      <w:pPr>
        <w:pStyle w:val="6"/>
        <w:rPr>
          <w:rFonts w:ascii="仿宋" w:hAnsi="仿宋" w:eastAsia="仿宋"/>
          <w:color w:val="auto"/>
          <w:highlight w:val="none"/>
        </w:rPr>
      </w:pPr>
      <w:bookmarkStart w:id="127" w:name="_Toc22374"/>
      <w:r>
        <w:rPr>
          <w:rFonts w:ascii="仿宋" w:hAnsi="仿宋" w:eastAsia="仿宋"/>
          <w:color w:val="auto"/>
          <w:highlight w:val="none"/>
        </w:rPr>
        <w:t>16.投标文件的无效处理</w:t>
      </w:r>
      <w:bookmarkEnd w:id="124"/>
      <w:bookmarkEnd w:id="125"/>
      <w:bookmarkEnd w:id="126"/>
      <w:bookmarkEnd w:id="127"/>
    </w:p>
    <w:p>
      <w:pPr>
        <w:pStyle w:val="2"/>
        <w:snapToGrid w:val="0"/>
        <w:spacing w:line="360" w:lineRule="auto"/>
        <w:ind w:firstLine="360" w:firstLineChars="150"/>
        <w:rPr>
          <w:rFonts w:ascii="仿宋" w:hAnsi="仿宋" w:eastAsia="仿宋" w:cs="仿宋_GB2312"/>
          <w:b/>
          <w:color w:val="auto"/>
          <w:highlight w:val="none"/>
        </w:rPr>
      </w:pPr>
      <w:r>
        <w:rPr>
          <w:rFonts w:hint="eastAsia" w:ascii="仿宋" w:hAnsi="仿宋" w:eastAsia="仿宋" w:cs="仿宋_GB2312"/>
          <w:color w:val="auto"/>
          <w:szCs w:val="21"/>
          <w:highlight w:val="none"/>
        </w:rPr>
        <w:t>有采购文件第四部分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pPr>
        <w:pStyle w:val="107"/>
        <w:rPr>
          <w:color w:val="auto"/>
          <w:highlight w:val="none"/>
        </w:rPr>
      </w:pPr>
      <w:bookmarkStart w:id="128" w:name="_Toc95312957"/>
      <w:bookmarkStart w:id="129" w:name="_Toc30999"/>
      <w:bookmarkStart w:id="130" w:name="_Toc6061"/>
    </w:p>
    <w:p>
      <w:pPr>
        <w:pStyle w:val="6"/>
        <w:rPr>
          <w:rFonts w:ascii="仿宋" w:hAnsi="仿宋" w:eastAsia="仿宋"/>
          <w:color w:val="auto"/>
          <w:highlight w:val="none"/>
        </w:rPr>
      </w:pPr>
      <w:bookmarkStart w:id="131" w:name="_Toc29203"/>
      <w:r>
        <w:rPr>
          <w:rFonts w:ascii="仿宋" w:hAnsi="仿宋" w:eastAsia="仿宋"/>
          <w:color w:val="auto"/>
          <w:highlight w:val="none"/>
        </w:rPr>
        <w:t>17.投标有效期</w:t>
      </w:r>
      <w:bookmarkEnd w:id="128"/>
      <w:bookmarkEnd w:id="129"/>
      <w:bookmarkEnd w:id="130"/>
      <w:bookmarkEnd w:id="131"/>
    </w:p>
    <w:p>
      <w:pPr>
        <w:snapToGrid w:val="0"/>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pPr>
        <w:pStyle w:val="111"/>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pPr>
        <w:pStyle w:val="5"/>
        <w:jc w:val="center"/>
        <w:rPr>
          <w:rFonts w:ascii="仿宋" w:hAnsi="仿宋" w:eastAsia="仿宋"/>
          <w:color w:val="auto"/>
          <w:highlight w:val="none"/>
        </w:rPr>
      </w:pPr>
      <w:bookmarkStart w:id="132" w:name="_Toc14207"/>
      <w:bookmarkStart w:id="133" w:name="_Toc1196"/>
      <w:bookmarkStart w:id="134" w:name="_Toc280907634"/>
      <w:r>
        <w:rPr>
          <w:rFonts w:hint="eastAsia" w:ascii="仿宋" w:hAnsi="仿宋" w:eastAsia="仿宋"/>
          <w:color w:val="auto"/>
          <w:highlight w:val="none"/>
        </w:rPr>
        <w:t>四、开标、资格审查与信用信息查询</w:t>
      </w:r>
      <w:bookmarkEnd w:id="132"/>
      <w:bookmarkEnd w:id="133"/>
      <w:bookmarkEnd w:id="134"/>
    </w:p>
    <w:p>
      <w:pPr>
        <w:pStyle w:val="6"/>
        <w:rPr>
          <w:rFonts w:ascii="仿宋" w:hAnsi="仿宋" w:eastAsia="仿宋"/>
          <w:color w:val="auto"/>
          <w:highlight w:val="none"/>
        </w:rPr>
      </w:pPr>
      <w:bookmarkStart w:id="135" w:name="_Toc95312958"/>
      <w:bookmarkStart w:id="136" w:name="_Toc19884"/>
      <w:bookmarkStart w:id="137" w:name="_Toc15474"/>
      <w:bookmarkStart w:id="138" w:name="_Toc16060"/>
      <w:r>
        <w:rPr>
          <w:rFonts w:ascii="仿宋" w:hAnsi="仿宋" w:eastAsia="仿宋"/>
          <w:color w:val="auto"/>
          <w:highlight w:val="none"/>
        </w:rPr>
        <w:t>18.开标</w:t>
      </w:r>
      <w:bookmarkEnd w:id="135"/>
      <w:bookmarkEnd w:id="136"/>
      <w:bookmarkEnd w:id="137"/>
      <w:bookmarkEnd w:id="138"/>
      <w:r>
        <w:rPr>
          <w:rFonts w:ascii="仿宋" w:hAnsi="仿宋" w:eastAsia="仿宋"/>
          <w:color w:val="auto"/>
          <w:highlight w:val="none"/>
        </w:rPr>
        <w:t xml:space="preserve"> </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18.1采购代理机构按照采购文件规定的时间通过电子交易平台组织开标，所有供应商均应当准时在线参加。供应商不足3家的，不得开标。</w:t>
      </w:r>
    </w:p>
    <w:p>
      <w:pPr>
        <w:pStyle w:val="265"/>
        <w:snapToGrid w:val="0"/>
        <w:spacing w:before="0" w:line="360" w:lineRule="auto"/>
        <w:ind w:left="0" w:firstLine="480" w:firstLineChars="2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18.2开标时，电子交易平台按开标时间自动提取所有投标文件。采购代理机构依托电子交易平台发起开始解密指令，供应商按照平台提示和采购文件的规定在半小时内完成在线解密。</w:t>
      </w:r>
    </w:p>
    <w:p>
      <w:pPr>
        <w:pStyle w:val="265"/>
        <w:snapToGrid w:val="0"/>
        <w:spacing w:before="0" w:line="360" w:lineRule="auto"/>
        <w:ind w:left="0" w:firstLine="480" w:firstLineChars="2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投标文件未按时解密，供应商提供了备份投标文件的，以备份投标文件作为依据，否则视为投标文件撤回。投标文件已按时解密的，备份投标文件自动失效。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_GB2312"/>
          <w:b/>
          <w:color w:val="auto"/>
          <w:sz w:val="24"/>
          <w:szCs w:val="20"/>
          <w:highlight w:val="none"/>
        </w:rPr>
      </w:pPr>
    </w:p>
    <w:p>
      <w:pPr>
        <w:pStyle w:val="6"/>
        <w:rPr>
          <w:rFonts w:ascii="仿宋" w:hAnsi="仿宋" w:eastAsia="仿宋"/>
          <w:color w:val="auto"/>
          <w:highlight w:val="none"/>
        </w:rPr>
      </w:pPr>
      <w:bookmarkStart w:id="139" w:name="_Toc16408"/>
      <w:r>
        <w:rPr>
          <w:rFonts w:ascii="仿宋" w:hAnsi="仿宋" w:eastAsia="仿宋"/>
          <w:color w:val="auto"/>
          <w:highlight w:val="none"/>
        </w:rPr>
        <w:t>19</w:t>
      </w:r>
      <w:r>
        <w:rPr>
          <w:rFonts w:hint="eastAsia" w:ascii="仿宋" w:hAnsi="仿宋" w:eastAsia="仿宋"/>
          <w:color w:val="auto"/>
          <w:highlight w:val="none"/>
        </w:rPr>
        <w:t>.</w:t>
      </w:r>
      <w:r>
        <w:rPr>
          <w:rFonts w:ascii="仿宋" w:hAnsi="仿宋" w:eastAsia="仿宋"/>
          <w:color w:val="auto"/>
          <w:highlight w:val="none"/>
        </w:rPr>
        <w:t>资格审查</w:t>
      </w:r>
      <w:bookmarkEnd w:id="139"/>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19.1开标后，采购人或采购代理机构将依法对供应商的资格进行审查。</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采购人或采购代理机构依据法律法规和采购文件的规定，对供应商的基本资格条件、特定资格条件进行审查。</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19.3供应商未按照采购文件要求提供与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供应商不具备采购文件中规定的资格要求，其投标无效。</w:t>
      </w:r>
    </w:p>
    <w:p>
      <w:pPr>
        <w:pStyle w:val="111"/>
        <w:snapToGrid w:val="0"/>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4对未通过资格审查的供应商，采购人或采购代理机构告知其未通过的原因。</w:t>
      </w:r>
    </w:p>
    <w:p>
      <w:pPr>
        <w:pStyle w:val="111"/>
        <w:snapToGrid w:val="0"/>
        <w:spacing w:before="0"/>
        <w:ind w:firstLine="480"/>
        <w:rPr>
          <w:rFonts w:ascii="仿宋" w:hAnsi="仿宋" w:eastAsia="仿宋" w:cs="仿宋_GB2312"/>
          <w:b/>
          <w:color w:val="auto"/>
          <w:szCs w:val="24"/>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5合格供应商不足3家的，不再评标。</w:t>
      </w:r>
    </w:p>
    <w:p>
      <w:pPr>
        <w:pStyle w:val="111"/>
        <w:snapToGrid w:val="0"/>
        <w:spacing w:before="0"/>
        <w:ind w:firstLine="482"/>
        <w:rPr>
          <w:rFonts w:ascii="仿宋" w:hAnsi="仿宋" w:eastAsia="仿宋" w:cs="仿宋_GB2312"/>
          <w:b/>
          <w:color w:val="auto"/>
          <w:szCs w:val="24"/>
          <w:highlight w:val="none"/>
        </w:rPr>
      </w:pPr>
    </w:p>
    <w:p>
      <w:pPr>
        <w:pStyle w:val="6"/>
        <w:rPr>
          <w:rFonts w:ascii="仿宋" w:hAnsi="仿宋" w:eastAsia="仿宋"/>
          <w:color w:val="auto"/>
          <w:highlight w:val="none"/>
        </w:rPr>
      </w:pPr>
      <w:bookmarkStart w:id="140" w:name="_Toc1839"/>
      <w:r>
        <w:rPr>
          <w:rFonts w:ascii="仿宋" w:hAnsi="仿宋" w:eastAsia="仿宋"/>
          <w:color w:val="auto"/>
          <w:highlight w:val="none"/>
        </w:rPr>
        <w:t>20</w:t>
      </w:r>
      <w:r>
        <w:rPr>
          <w:rFonts w:hint="eastAsia" w:ascii="仿宋" w:hAnsi="仿宋" w:eastAsia="仿宋"/>
          <w:color w:val="auto"/>
          <w:highlight w:val="none"/>
        </w:rPr>
        <w:t>.</w:t>
      </w:r>
      <w:r>
        <w:rPr>
          <w:rFonts w:ascii="仿宋" w:hAnsi="仿宋" w:eastAsia="仿宋"/>
          <w:color w:val="auto"/>
          <w:highlight w:val="none"/>
        </w:rPr>
        <w:t>信用信息查询</w:t>
      </w:r>
      <w:bookmarkEnd w:id="140"/>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20.1信用信息查询渠道及截止时间：采购代理机构将通过“信用中国”网站(www.creditchina.gov.cn)、中国政府采购网(www.ccgp.gov.cn)渠道查询供应商投标截止时间当天的信用记录。</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20.2信用信息查询记录和证据留存的具体方式：现场查询的供应商的信用记录、查询结果经确认后将与采购文件一起存档。</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pPr>
        <w:pStyle w:val="111"/>
        <w:snapToGrid w:val="0"/>
        <w:spacing w:before="0"/>
        <w:ind w:firstLine="48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pPr>
        <w:pStyle w:val="111"/>
        <w:snapToGrid w:val="0"/>
        <w:spacing w:before="0"/>
        <w:ind w:firstLine="0" w:firstLineChars="0"/>
        <w:rPr>
          <w:rFonts w:ascii="仿宋" w:hAnsi="仿宋" w:eastAsia="仿宋" w:cs="Arial"/>
          <w:color w:val="auto"/>
          <w:kern w:val="0"/>
          <w:szCs w:val="24"/>
          <w:highlight w:val="none"/>
        </w:rPr>
      </w:pPr>
    </w:p>
    <w:p>
      <w:pPr>
        <w:pStyle w:val="5"/>
        <w:jc w:val="center"/>
        <w:rPr>
          <w:rFonts w:ascii="仿宋" w:hAnsi="仿宋" w:eastAsia="仿宋"/>
          <w:color w:val="auto"/>
          <w:highlight w:val="none"/>
        </w:rPr>
      </w:pPr>
      <w:bookmarkStart w:id="141" w:name="_Toc4565"/>
      <w:bookmarkStart w:id="142" w:name="_Toc1045548532"/>
      <w:bookmarkStart w:id="143" w:name="_Toc23183"/>
      <w:bookmarkStart w:id="144" w:name="_Toc24831"/>
      <w:bookmarkStart w:id="145" w:name="_Toc95312959"/>
      <w:bookmarkStart w:id="146" w:name="_Toc772"/>
      <w:r>
        <w:rPr>
          <w:rFonts w:hint="eastAsia" w:ascii="仿宋" w:hAnsi="仿宋" w:eastAsia="仿宋"/>
          <w:color w:val="auto"/>
          <w:highlight w:val="none"/>
        </w:rPr>
        <w:t>五、评标</w:t>
      </w:r>
      <w:bookmarkEnd w:id="141"/>
      <w:bookmarkEnd w:id="142"/>
      <w:bookmarkEnd w:id="143"/>
      <w:bookmarkEnd w:id="144"/>
      <w:bookmarkEnd w:id="145"/>
      <w:bookmarkEnd w:id="146"/>
    </w:p>
    <w:p>
      <w:pPr>
        <w:snapToGrid w:val="0"/>
        <w:spacing w:line="360" w:lineRule="auto"/>
        <w:rPr>
          <w:rFonts w:ascii="仿宋" w:hAnsi="仿宋" w:eastAsia="仿宋" w:cs="仿宋_GB2312"/>
          <w:b/>
          <w:color w:val="auto"/>
          <w:sz w:val="24"/>
          <w:highlight w:val="none"/>
        </w:rPr>
      </w:pPr>
      <w:bookmarkStart w:id="147"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详见采购文件第四部分评标办法。</w:t>
      </w:r>
    </w:p>
    <w:p>
      <w:pPr>
        <w:snapToGrid w:val="0"/>
        <w:spacing w:line="360" w:lineRule="auto"/>
        <w:rPr>
          <w:rFonts w:ascii="仿宋" w:hAnsi="仿宋" w:eastAsia="仿宋" w:cs="仿宋_GB2312"/>
          <w:b/>
          <w:color w:val="auto"/>
          <w:sz w:val="24"/>
          <w:highlight w:val="none"/>
        </w:rPr>
      </w:pPr>
    </w:p>
    <w:p>
      <w:pPr>
        <w:pStyle w:val="5"/>
        <w:jc w:val="center"/>
        <w:rPr>
          <w:rFonts w:ascii="仿宋" w:hAnsi="仿宋" w:eastAsia="仿宋"/>
          <w:color w:val="auto"/>
          <w:highlight w:val="none"/>
        </w:rPr>
      </w:pPr>
      <w:bookmarkStart w:id="148" w:name="_Toc1822977570"/>
      <w:bookmarkStart w:id="149" w:name="_Toc95312960"/>
      <w:bookmarkStart w:id="150" w:name="_Toc5442"/>
      <w:bookmarkStart w:id="151" w:name="_Toc8276"/>
      <w:bookmarkStart w:id="152" w:name="_Toc16557"/>
      <w:bookmarkStart w:id="153" w:name="_Toc1709"/>
      <w:r>
        <w:rPr>
          <w:rFonts w:hint="eastAsia" w:ascii="仿宋" w:hAnsi="仿宋" w:eastAsia="仿宋"/>
          <w:color w:val="auto"/>
          <w:highlight w:val="none"/>
        </w:rPr>
        <w:t>六、定</w:t>
      </w:r>
      <w:r>
        <w:rPr>
          <w:rFonts w:ascii="仿宋" w:hAnsi="仿宋" w:eastAsia="仿宋"/>
          <w:color w:val="auto"/>
          <w:highlight w:val="none"/>
        </w:rPr>
        <w:t xml:space="preserve"> </w:t>
      </w:r>
      <w:r>
        <w:rPr>
          <w:rFonts w:hint="eastAsia" w:ascii="仿宋" w:hAnsi="仿宋" w:eastAsia="仿宋"/>
          <w:color w:val="auto"/>
          <w:highlight w:val="none"/>
        </w:rPr>
        <w:t>标</w:t>
      </w:r>
      <w:bookmarkEnd w:id="148"/>
      <w:bookmarkEnd w:id="149"/>
      <w:bookmarkEnd w:id="150"/>
      <w:bookmarkEnd w:id="151"/>
      <w:bookmarkEnd w:id="152"/>
      <w:bookmarkEnd w:id="153"/>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pPr>
        <w:pStyle w:val="111"/>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pPr>
        <w:pStyle w:val="111"/>
        <w:snapToGrid w:val="0"/>
        <w:spacing w:before="0"/>
        <w:ind w:firstLine="0" w:firstLineChars="0"/>
        <w:rPr>
          <w:rFonts w:ascii="仿宋" w:hAnsi="仿宋" w:eastAsia="仿宋" w:cs="仿宋_GB2312"/>
          <w:b/>
          <w:color w:val="auto"/>
          <w:szCs w:val="24"/>
          <w:highlight w:val="none"/>
        </w:rPr>
      </w:pPr>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23.2中标结果公告内容包括采购人及其委托的采购代理机构的名称、地址、联系方式，</w:t>
      </w:r>
      <w:r>
        <w:rPr>
          <w:rFonts w:hint="eastAsia" w:ascii="仿宋" w:hAnsi="仿宋" w:eastAsia="仿宋" w:cs="仿宋_GB2312"/>
          <w:color w:val="auto"/>
          <w:sz w:val="24"/>
          <w:highlight w:val="none"/>
        </w:rPr>
        <w:t>2023年余杭区县道小修总包</w:t>
      </w:r>
      <w:r>
        <w:rPr>
          <w:rFonts w:ascii="仿宋" w:hAnsi="仿宋" w:eastAsia="仿宋" w:cs="仿宋_GB2312"/>
          <w:color w:val="auto"/>
          <w:sz w:val="24"/>
          <w:highlight w:val="none"/>
        </w:rPr>
        <w:t>项目编号，中标人名称、地址和中标金额，主要中标标的</w:t>
      </w:r>
      <w:r>
        <w:rPr>
          <w:rFonts w:hint="eastAsia" w:ascii="仿宋" w:hAnsi="仿宋" w:eastAsia="仿宋" w:cs="仿宋_GB2312"/>
          <w:color w:val="auto"/>
          <w:sz w:val="24"/>
          <w:highlight w:val="none"/>
        </w:rPr>
        <w:t>的名称、规格型号（如有）、数量、单价、服务要求，开标记录、未中标情况说明、中标公告期限以及评审专家名单、评分汇总及明细。</w:t>
      </w:r>
    </w:p>
    <w:p>
      <w:pPr>
        <w:widowControl/>
        <w:shd w:val="clear" w:color="auto" w:fill="FFFFFF"/>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23.3公告期限为1个工作日。</w:t>
      </w:r>
    </w:p>
    <w:p>
      <w:pPr>
        <w:spacing w:line="360" w:lineRule="auto"/>
        <w:jc w:val="center"/>
        <w:rPr>
          <w:rFonts w:ascii="仿宋" w:hAnsi="仿宋" w:eastAsia="仿宋" w:cs="仿宋_GB2312"/>
          <w:b/>
          <w:color w:val="auto"/>
          <w:sz w:val="32"/>
          <w:highlight w:val="none"/>
        </w:rPr>
      </w:pPr>
      <w:r>
        <w:rPr>
          <w:rFonts w:ascii="仿宋" w:hAnsi="仿宋" w:eastAsia="仿宋" w:cs="仿宋_GB2312"/>
          <w:color w:val="auto"/>
          <w:sz w:val="24"/>
          <w:highlight w:val="none"/>
        </w:rPr>
        <w:br w:type="page"/>
      </w:r>
    </w:p>
    <w:p>
      <w:pPr>
        <w:pStyle w:val="5"/>
        <w:jc w:val="center"/>
        <w:rPr>
          <w:rFonts w:ascii="仿宋" w:hAnsi="仿宋" w:eastAsia="仿宋"/>
          <w:color w:val="auto"/>
          <w:highlight w:val="none"/>
        </w:rPr>
      </w:pPr>
      <w:bookmarkStart w:id="154" w:name="_Toc27304"/>
      <w:bookmarkStart w:id="155" w:name="_Toc8690"/>
      <w:bookmarkStart w:id="156" w:name="_Toc634827241"/>
      <w:bookmarkStart w:id="157" w:name="_Toc95312961"/>
      <w:bookmarkStart w:id="158" w:name="_Toc11039"/>
      <w:bookmarkStart w:id="159" w:name="_Toc5863"/>
      <w:r>
        <w:rPr>
          <w:rFonts w:hint="eastAsia" w:ascii="仿宋" w:hAnsi="仿宋" w:eastAsia="仿宋"/>
          <w:color w:val="auto"/>
          <w:highlight w:val="none"/>
        </w:rPr>
        <w:t>七、合同授予</w:t>
      </w:r>
      <w:bookmarkEnd w:id="154"/>
      <w:bookmarkEnd w:id="155"/>
      <w:bookmarkEnd w:id="156"/>
      <w:bookmarkEnd w:id="157"/>
      <w:bookmarkEnd w:id="158"/>
      <w:bookmarkEnd w:id="159"/>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pPr>
        <w:widowControl/>
        <w:shd w:val="clear" w:color="auto" w:fill="FFFFFF"/>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采购人与中标人应当通过电子交易平台在中标通知书发出之日起三十日内，按照采购文件确定的事项签订政府采购合同，并在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111"/>
        <w:snapToGrid w:val="0"/>
        <w:spacing w:before="0"/>
        <w:ind w:firstLine="48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111"/>
        <w:snapToGrid w:val="0"/>
        <w:spacing w:before="0"/>
        <w:ind w:firstLine="48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采购文件、投标文件等内容通过政府采购电子交易平台在线签订，自动备案。</w:t>
      </w:r>
    </w:p>
    <w:p>
      <w:pPr>
        <w:pStyle w:val="2"/>
        <w:snapToGrid w:val="0"/>
        <w:spacing w:line="360" w:lineRule="auto"/>
        <w:ind w:left="479" w:firstLine="482"/>
        <w:rPr>
          <w:rFonts w:ascii="仿宋" w:hAnsi="仿宋" w:eastAsia="仿宋" w:cs="仿宋_GB2312"/>
          <w:b/>
          <w:color w:val="auto"/>
          <w:highlight w:val="none"/>
        </w:rPr>
      </w:pPr>
    </w:p>
    <w:p>
      <w:pPr>
        <w:pStyle w:val="2"/>
        <w:snapToGrid w:val="0"/>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pPr>
        <w:tabs>
          <w:tab w:val="left" w:pos="0"/>
        </w:tabs>
        <w:snapToGrid w:val="0"/>
        <w:spacing w:line="360" w:lineRule="auto"/>
        <w:ind w:firstLine="480" w:firstLineChars="200"/>
        <w:jc w:val="left"/>
        <w:rPr>
          <w:rFonts w:ascii="仿宋" w:hAnsi="仿宋" w:eastAsia="仿宋" w:cs="仿宋_GB2312"/>
          <w:color w:val="auto"/>
          <w:sz w:val="24"/>
          <w:szCs w:val="20"/>
          <w:highlight w:val="none"/>
        </w:rPr>
      </w:pPr>
      <w:r>
        <w:rPr>
          <w:rFonts w:hint="eastAsia" w:ascii="仿宋" w:hAnsi="仿宋" w:eastAsia="仿宋" w:cs="Helvetica"/>
          <w:color w:val="auto"/>
          <w:kern w:val="0"/>
          <w:sz w:val="24"/>
          <w:highlight w:val="none"/>
        </w:rPr>
        <w:t>无</w:t>
      </w:r>
    </w:p>
    <w:p>
      <w:pPr>
        <w:snapToGrid w:val="0"/>
        <w:spacing w:line="360" w:lineRule="auto"/>
        <w:ind w:firstLine="3344" w:firstLineChars="1045"/>
        <w:rPr>
          <w:rFonts w:ascii="仿宋" w:hAnsi="仿宋" w:eastAsia="仿宋" w:cs="仿宋_GB2312"/>
          <w:b/>
          <w:color w:val="auto"/>
          <w:sz w:val="32"/>
          <w:highlight w:val="none"/>
        </w:rPr>
      </w:pPr>
    </w:p>
    <w:p>
      <w:pPr>
        <w:pStyle w:val="5"/>
        <w:jc w:val="center"/>
        <w:rPr>
          <w:rFonts w:ascii="仿宋" w:hAnsi="仿宋" w:eastAsia="仿宋"/>
          <w:color w:val="auto"/>
          <w:highlight w:val="none"/>
        </w:rPr>
      </w:pPr>
      <w:bookmarkStart w:id="160" w:name="_Toc842681191"/>
      <w:bookmarkStart w:id="161" w:name="_Toc21125"/>
      <w:bookmarkStart w:id="162" w:name="_Toc21878"/>
      <w:bookmarkStart w:id="163" w:name="_Toc17103"/>
      <w:bookmarkStart w:id="164" w:name="_Toc17059"/>
      <w:bookmarkStart w:id="165" w:name="_Toc95312962"/>
      <w:r>
        <w:rPr>
          <w:rFonts w:hint="eastAsia" w:ascii="仿宋" w:hAnsi="仿宋" w:eastAsia="仿宋"/>
          <w:color w:val="auto"/>
          <w:highlight w:val="none"/>
        </w:rPr>
        <w:t>八、电子交易活动的中止</w:t>
      </w:r>
      <w:bookmarkEnd w:id="160"/>
      <w:bookmarkEnd w:id="161"/>
      <w:bookmarkEnd w:id="162"/>
      <w:bookmarkEnd w:id="163"/>
      <w:bookmarkEnd w:id="164"/>
      <w:bookmarkEnd w:id="165"/>
    </w:p>
    <w:p>
      <w:pPr>
        <w:pStyle w:val="111"/>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pPr>
        <w:pStyle w:val="111"/>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pPr>
        <w:pStyle w:val="111"/>
        <w:snapToGrid w:val="0"/>
        <w:spacing w:before="0"/>
        <w:ind w:firstLine="482"/>
        <w:rPr>
          <w:rFonts w:ascii="仿宋" w:hAnsi="仿宋" w:eastAsia="仿宋" w:cs="仿宋_GB2312"/>
          <w:b/>
          <w:color w:val="auto"/>
          <w:sz w:val="36"/>
          <w:szCs w:val="36"/>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bookmarkEnd w:id="42"/>
      <w:bookmarkEnd w:id="43"/>
      <w:bookmarkEnd w:id="147"/>
      <w:bookmarkStart w:id="166" w:name="_Toc95312963"/>
      <w:bookmarkStart w:id="167" w:name="_Toc26111"/>
      <w:bookmarkStart w:id="168" w:name="_Toc15967"/>
      <w:bookmarkStart w:id="169" w:name="第四部分"/>
      <w:r>
        <w:rPr>
          <w:rFonts w:hint="eastAsia" w:ascii="仿宋" w:hAnsi="仿宋" w:eastAsia="仿宋" w:cs="仿宋_GB2312"/>
          <w:b/>
          <w:color w:val="auto"/>
          <w:sz w:val="36"/>
          <w:szCs w:val="36"/>
          <w:highlight w:val="none"/>
        </w:rPr>
        <w:br w:type="page"/>
      </w:r>
    </w:p>
    <w:p>
      <w:pPr>
        <w:pStyle w:val="4"/>
        <w:jc w:val="center"/>
        <w:rPr>
          <w:rFonts w:ascii="仿宋" w:hAnsi="仿宋" w:eastAsia="仿宋"/>
          <w:color w:val="auto"/>
          <w:highlight w:val="none"/>
        </w:rPr>
      </w:pPr>
      <w:bookmarkStart w:id="170" w:name="_Toc288125172"/>
      <w:bookmarkStart w:id="171" w:name="_Toc24825"/>
      <w:bookmarkStart w:id="172" w:name="_Toc727"/>
      <w:r>
        <w:rPr>
          <w:rFonts w:hint="eastAsia" w:ascii="仿宋" w:hAnsi="仿宋" w:eastAsia="仿宋"/>
          <w:color w:val="auto"/>
          <w:highlight w:val="none"/>
        </w:rPr>
        <w:t>第三部分</w:t>
      </w:r>
      <w:r>
        <w:rPr>
          <w:rFonts w:ascii="仿宋" w:hAnsi="仿宋" w:eastAsia="仿宋"/>
          <w:color w:val="auto"/>
          <w:highlight w:val="none"/>
        </w:rPr>
        <w:t xml:space="preserve"> </w:t>
      </w:r>
      <w:r>
        <w:rPr>
          <w:rFonts w:hint="eastAsia" w:ascii="仿宋" w:hAnsi="仿宋" w:eastAsia="仿宋"/>
          <w:color w:val="auto"/>
          <w:highlight w:val="none"/>
        </w:rPr>
        <w:t>采购需求</w:t>
      </w:r>
      <w:bookmarkEnd w:id="166"/>
      <w:bookmarkEnd w:id="167"/>
      <w:bookmarkEnd w:id="168"/>
      <w:bookmarkEnd w:id="170"/>
      <w:bookmarkEnd w:id="171"/>
      <w:bookmarkEnd w:id="172"/>
      <w:bookmarkStart w:id="173" w:name="_Toc18662"/>
      <w:bookmarkStart w:id="174" w:name="_Hlk112332864"/>
    </w:p>
    <w:p>
      <w:pPr>
        <w:pStyle w:val="4"/>
        <w:rPr>
          <w:rFonts w:ascii="仿宋" w:hAnsi="仿宋" w:eastAsia="仿宋"/>
          <w:color w:val="auto"/>
          <w:sz w:val="24"/>
          <w:szCs w:val="24"/>
          <w:highlight w:val="none"/>
        </w:rPr>
      </w:pPr>
      <w:r>
        <w:rPr>
          <w:rFonts w:hint="eastAsia" w:ascii="仿宋" w:hAnsi="仿宋" w:eastAsia="仿宋" w:cs="宋体"/>
          <w:color w:val="auto"/>
          <w:sz w:val="24"/>
          <w:szCs w:val="24"/>
          <w:highlight w:val="none"/>
        </w:rPr>
        <w:t>一、招标范围和内容</w:t>
      </w:r>
    </w:p>
    <w:p>
      <w:pPr>
        <w:spacing w:line="360" w:lineRule="auto"/>
        <w:ind w:firstLine="480"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1.1招标范围</w:t>
      </w:r>
    </w:p>
    <w:p>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包含长径线、漕雅线、双后线、石关线、百甘线、小交线、双洞线、长西线、彭余线、鸬鸟大道、祥余线、良上线、汽北线、石茶线、安上线、石横线、荆余线、凤中线、长下线、良塘线、毛潘线、舟青线、荆大线、长连线、勾陈线、东姚线、高泰线、高桦线、余百线、瓶仓线、祥彭线、临余线、新长西线、老104国道、老04省道、老15省道等公路共计263.7</w:t>
      </w:r>
      <w:r>
        <w:rPr>
          <w:rFonts w:ascii="仿宋" w:hAnsi="仿宋" w:eastAsia="仿宋" w:cs="宋体"/>
          <w:color w:val="auto"/>
          <w:kern w:val="0"/>
          <w:sz w:val="24"/>
          <w:highlight w:val="none"/>
        </w:rPr>
        <w:t>4</w:t>
      </w:r>
      <w:r>
        <w:rPr>
          <w:rFonts w:hint="eastAsia" w:ascii="仿宋" w:hAnsi="仿宋" w:eastAsia="仿宋" w:cs="宋体"/>
          <w:color w:val="auto"/>
          <w:kern w:val="0"/>
          <w:sz w:val="24"/>
          <w:highlight w:val="none"/>
        </w:rPr>
        <w:t>公里，区内大型桥梁养护（具体数量以采购人要求为主）。</w:t>
      </w:r>
    </w:p>
    <w:p>
      <w:pPr>
        <w:spacing w:line="360" w:lineRule="auto"/>
        <w:ind w:firstLine="470"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1.2工作内容</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招标范围内的所有公路（含桥梁）的小修工作，包括路基、路面、桥涵、公路设施维修维护等（按公路养护技术规范和余政办[2010]250号文件中明确的小修内容执行）。</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1.路基</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（1）小段开挖边沟、截水沟或分期铺砌边沟；</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（2）清除零星塌方，填补路基缺口，轻微沉陷 翻浆的处理；</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（3）桥头接线或桥头、涵顶跳车的处理</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（4）修理挡土墙、护坡、护坡道、泄水槽、护栏和防冰雪设施等局部损坏；</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（5）局部加固路肩</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2.路面</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（1）桥头、涵顶跳车的处理</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（2）沥青路面修补坑槽、沉陷，处理波浪、局 部龟裂、啃边等病害；</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3. 桥梁、 涵洞</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（1）局部修理、更换桥栏杆和修理泄水孔、伸缩缝、支座和桥面的局部轻微损坏；</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（2）修补墩、台及河床铺底和防护圬工的微小损坏；</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（3）涵洞进出口铺砌的加固理；</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4.交通工程及沿线设施</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（1）护栏、隔离栅、轮廓标、标志牌、里程牌、百米桩、防雪栏栅等修理、或部分添置更换；</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（2）路面标线的局部补画</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5.做好必要的三防及节庆和重大活动等应急任务。</w:t>
      </w:r>
    </w:p>
    <w:p>
      <w:pPr>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6.按要求完成涉及以上工作内容的12345、12328、110联动等投诉件或反映件。</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bCs/>
          <w:color w:val="auto"/>
          <w:kern w:val="0"/>
          <w:sz w:val="24"/>
          <w:highlight w:val="none"/>
        </w:rPr>
        <w:t>1</w:t>
      </w:r>
      <w:r>
        <w:rPr>
          <w:rFonts w:hint="eastAsia" w:ascii="仿宋" w:hAnsi="仿宋" w:eastAsia="仿宋" w:cs="宋体"/>
          <w:b/>
          <w:color w:val="auto"/>
          <w:sz w:val="24"/>
          <w:highlight w:val="none"/>
        </w:rPr>
        <w:t>.3人员及车辆安排：</w:t>
      </w:r>
    </w:p>
    <w:p>
      <w:pPr>
        <w:spacing w:line="360" w:lineRule="auto"/>
        <w:ind w:firstLine="480"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1.3.1养护人员及主要设备配置要求</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根据养护等级、路面宽度、养护要求等情况测算人员和主要设备数量。具体如下：</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1.人员配置要求：不少于30名养护人员；</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注：①上述人员和主要设备配置数量仅指完成项目的最低要求，在一些重要活动中，必须按业主要求增加人员和设备。男性需在60周岁以下，女性需在55周岁以下。</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②承包人必须按业主要求安排一定的人员、设备负责处理突发事件（如：台风、雪灾、塌方等任务）。</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③道路小修应实行8小时工作制，但不免除因三防及节庆和重大活动等需要按照业主要求延长作业时间；</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④承包人需在签订合同前为本项目所有养护人员办理好人身意外伤害保险和第三方责任险，人身意外伤害险保险金额每人不小于100万元。</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⑤上述工作的费用均包含在投标报价内，业主不再另行支付。</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1.3.2管理人员配备要求</w:t>
      </w:r>
    </w:p>
    <w:tbl>
      <w:tblPr>
        <w:tblStyle w:val="88"/>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060"/>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306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管理人员</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bCs/>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06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项目负责人</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06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仿宋"/>
                <w:bCs/>
                <w:color w:val="auto"/>
                <w:sz w:val="24"/>
                <w:highlight w:val="none"/>
              </w:rPr>
              <w:t>路面</w:t>
            </w:r>
            <w:r>
              <w:rPr>
                <w:rFonts w:hint="eastAsia" w:ascii="仿宋" w:hAnsi="仿宋" w:eastAsia="仿宋" w:cs="宋体"/>
                <w:color w:val="auto"/>
                <w:sz w:val="24"/>
                <w:highlight w:val="none"/>
              </w:rPr>
              <w:t>负</w:t>
            </w:r>
            <w:r>
              <w:rPr>
                <w:rFonts w:hint="eastAsia" w:ascii="仿宋" w:hAnsi="仿宋" w:eastAsia="仿宋" w:cs="仿宋"/>
                <w:bCs/>
                <w:color w:val="auto"/>
                <w:sz w:val="24"/>
                <w:highlight w:val="none"/>
              </w:rPr>
              <w:t>责人</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06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olor w:val="auto"/>
                <w:sz w:val="24"/>
                <w:highlight w:val="none"/>
              </w:rPr>
              <w:t>绿化负责人</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060"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小修负责人</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3060"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安全负责人</w:t>
            </w:r>
          </w:p>
        </w:tc>
        <w:tc>
          <w:tcPr>
            <w:tcW w:w="4080" w:type="dxa"/>
            <w:vAlign w:val="center"/>
          </w:tcPr>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不少于4人</w:t>
            </w:r>
          </w:p>
        </w:tc>
      </w:tr>
    </w:tbl>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注：①负责人需为道路养护方面有丰富经验的人员，并需常驻现场，参加业主组织的相关技术培训等，根据业主的要求指导本项目的小修工作。</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②如遇节庆、重大活动等事项承包人应按业主需要指派一人配合业主进行值班及巡查等工作。</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③出勤天数：负责人每月出勤天数不少于25天，在有重大任务和突发事件时必须到位并组织工作。</w:t>
      </w:r>
    </w:p>
    <w:p>
      <w:pPr>
        <w:spacing w:line="360" w:lineRule="auto"/>
        <w:rPr>
          <w:color w:val="auto"/>
          <w:highlight w:val="none"/>
        </w:rPr>
      </w:pPr>
      <w:r>
        <w:rPr>
          <w:rFonts w:hint="eastAsia" w:ascii="仿宋" w:hAnsi="仿宋" w:eastAsia="仿宋" w:cs="宋体"/>
          <w:b/>
          <w:color w:val="auto"/>
          <w:sz w:val="24"/>
          <w:highlight w:val="none"/>
        </w:rPr>
        <w:t xml:space="preserve">  1.3.3养护车辆及设备要求</w:t>
      </w:r>
    </w:p>
    <w:tbl>
      <w:tblPr>
        <w:tblStyle w:val="88"/>
        <w:tblW w:w="828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3201"/>
        <w:gridCol w:w="2115"/>
        <w:gridCol w:w="21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3201"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车辆名称</w:t>
            </w:r>
          </w:p>
        </w:tc>
        <w:tc>
          <w:tcPr>
            <w:tcW w:w="2115"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olor w:val="auto"/>
                <w:sz w:val="24"/>
                <w:highlight w:val="none"/>
              </w:rPr>
              <w:t>规格、参数</w:t>
            </w:r>
          </w:p>
        </w:tc>
        <w:tc>
          <w:tcPr>
            <w:tcW w:w="2115"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设备数量要求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皮卡车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≥2.5t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不少于15辆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养护车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≥4t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不少于20辆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重型洒水车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≥16t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重型洗扫车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≥15t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随车起重运输车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≥5t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不少于3辆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多功能抑尘车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≥18t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护栏抢修车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≥5t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沥青砼保温车</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≥16t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不少于1辆</w:t>
            </w:r>
          </w:p>
        </w:tc>
      </w:tr>
    </w:tbl>
    <w:p>
      <w:pPr>
        <w:tabs>
          <w:tab w:val="left" w:pos="540"/>
          <w:tab w:val="left" w:pos="720"/>
        </w:tabs>
        <w:jc w:val="center"/>
        <w:rPr>
          <w:rFonts w:ascii="仿宋" w:hAnsi="仿宋" w:eastAsia="仿宋" w:cs="宋体"/>
          <w:color w:val="auto"/>
          <w:sz w:val="24"/>
          <w:highlight w:val="none"/>
        </w:rPr>
      </w:pPr>
    </w:p>
    <w:tbl>
      <w:tblPr>
        <w:tblStyle w:val="88"/>
        <w:tblW w:w="8282" w:type="dxa"/>
        <w:tblInd w:w="2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3201"/>
        <w:gridCol w:w="2115"/>
        <w:gridCol w:w="21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序号</w:t>
            </w:r>
          </w:p>
        </w:tc>
        <w:tc>
          <w:tcPr>
            <w:tcW w:w="3201"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设备名称</w:t>
            </w:r>
          </w:p>
        </w:tc>
        <w:tc>
          <w:tcPr>
            <w:tcW w:w="2115"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olor w:val="auto"/>
                <w:sz w:val="24"/>
                <w:highlight w:val="none"/>
              </w:rPr>
              <w:t>规格、参数</w:t>
            </w:r>
          </w:p>
        </w:tc>
        <w:tc>
          <w:tcPr>
            <w:tcW w:w="2115" w:type="dxa"/>
            <w:vAlign w:val="center"/>
          </w:tcPr>
          <w:p>
            <w:pPr>
              <w:tabs>
                <w:tab w:val="left" w:pos="540"/>
                <w:tab w:val="left" w:pos="720"/>
              </w:tabs>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设备数量要求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压实设备</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≥3t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不少于6台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铣刨设备</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铣刨宽度≥0.5m</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不少于5台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摊铺设备</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摊铺宽度≥4.5m</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不少于2台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装载机</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≥5t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不少于3台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5</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滑移装载机</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不少于4台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6</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沥青混凝土拌和装置</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≥4000型</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7</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大型应急照明灯</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≥8KW</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5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8</w:t>
            </w:r>
          </w:p>
        </w:tc>
        <w:tc>
          <w:tcPr>
            <w:tcW w:w="3201"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柴油发电机组</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≥30KW</w:t>
            </w:r>
          </w:p>
        </w:tc>
        <w:tc>
          <w:tcPr>
            <w:tcW w:w="2115" w:type="dxa"/>
            <w:vAlign w:val="center"/>
          </w:tcPr>
          <w:p>
            <w:pPr>
              <w:tabs>
                <w:tab w:val="left" w:pos="540"/>
                <w:tab w:val="left" w:pos="720"/>
              </w:tabs>
              <w:jc w:val="center"/>
              <w:rPr>
                <w:rFonts w:ascii="仿宋" w:hAnsi="仿宋" w:eastAsia="仿宋" w:cs="宋体"/>
                <w:color w:val="auto"/>
                <w:sz w:val="24"/>
                <w:highlight w:val="none"/>
              </w:rPr>
            </w:pPr>
            <w:r>
              <w:rPr>
                <w:rFonts w:hint="eastAsia" w:ascii="仿宋" w:hAnsi="仿宋" w:eastAsia="仿宋" w:cs="宋体"/>
                <w:color w:val="auto"/>
                <w:sz w:val="24"/>
                <w:highlight w:val="none"/>
              </w:rPr>
              <w:t>不少于1台</w:t>
            </w:r>
          </w:p>
        </w:tc>
      </w:tr>
    </w:tbl>
    <w:p>
      <w:pPr>
        <w:pStyle w:val="2"/>
        <w:rPr>
          <w:color w:val="auto"/>
          <w:highlight w:val="none"/>
        </w:rPr>
      </w:pPr>
    </w:p>
    <w:p>
      <w:pPr>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二、承包方式及期限</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2.1本次招标项目采用总价承包。</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2.2本养护作业除在招投标文件中列明并经招标单位同意外，中标人一律不得将本项目转包，一经发现立即取消承包资格，作违约处理，并由中标人承担由此引起的法律责任及一切经济损失。</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2.3本项目招标的养护服务期为202</w:t>
      </w:r>
      <w:r>
        <w:rPr>
          <w:rFonts w:ascii="仿宋" w:hAnsi="仿宋" w:eastAsia="仿宋" w:cs="宋体"/>
          <w:color w:val="auto"/>
          <w:sz w:val="24"/>
          <w:highlight w:val="none"/>
        </w:rPr>
        <w:t>3</w:t>
      </w:r>
      <w:r>
        <w:rPr>
          <w:rFonts w:hint="eastAsia" w:ascii="仿宋" w:hAnsi="仿宋" w:eastAsia="仿宋" w:cs="宋体"/>
          <w:color w:val="auto"/>
          <w:sz w:val="24"/>
          <w:highlight w:val="none"/>
        </w:rPr>
        <w:t>年</w:t>
      </w:r>
      <w:r>
        <w:rPr>
          <w:rFonts w:ascii="仿宋" w:hAnsi="仿宋" w:eastAsia="仿宋" w:cs="宋体"/>
          <w:color w:val="auto"/>
          <w:sz w:val="24"/>
          <w:highlight w:val="none"/>
        </w:rPr>
        <w:t>1</w:t>
      </w:r>
      <w:r>
        <w:rPr>
          <w:rFonts w:hint="eastAsia" w:ascii="仿宋" w:hAnsi="仿宋" w:eastAsia="仿宋" w:cs="宋体"/>
          <w:color w:val="auto"/>
          <w:sz w:val="24"/>
          <w:highlight w:val="none"/>
        </w:rPr>
        <w:t>月</w:t>
      </w:r>
      <w:r>
        <w:rPr>
          <w:rFonts w:ascii="仿宋" w:hAnsi="仿宋" w:eastAsia="仿宋" w:cs="宋体"/>
          <w:color w:val="auto"/>
          <w:sz w:val="24"/>
          <w:highlight w:val="none"/>
        </w:rPr>
        <w:t>1</w:t>
      </w:r>
      <w:r>
        <w:rPr>
          <w:rFonts w:hint="eastAsia" w:ascii="仿宋" w:hAnsi="仿宋" w:eastAsia="仿宋" w:cs="宋体"/>
          <w:color w:val="auto"/>
          <w:sz w:val="24"/>
          <w:highlight w:val="none"/>
        </w:rPr>
        <w:t>日-202</w:t>
      </w:r>
      <w:r>
        <w:rPr>
          <w:rFonts w:ascii="仿宋" w:hAnsi="仿宋" w:eastAsia="仿宋" w:cs="宋体"/>
          <w:color w:val="auto"/>
          <w:sz w:val="24"/>
          <w:highlight w:val="none"/>
        </w:rPr>
        <w:t>3</w:t>
      </w:r>
      <w:r>
        <w:rPr>
          <w:rFonts w:hint="eastAsia" w:ascii="仿宋" w:hAnsi="仿宋" w:eastAsia="仿宋" w:cs="宋体"/>
          <w:color w:val="auto"/>
          <w:sz w:val="24"/>
          <w:highlight w:val="none"/>
        </w:rPr>
        <w:t>年</w:t>
      </w:r>
      <w:r>
        <w:rPr>
          <w:rFonts w:ascii="仿宋" w:hAnsi="仿宋" w:eastAsia="仿宋" w:cs="宋体"/>
          <w:color w:val="auto"/>
          <w:sz w:val="24"/>
          <w:highlight w:val="none"/>
        </w:rPr>
        <w:t>12</w:t>
      </w:r>
      <w:r>
        <w:rPr>
          <w:rFonts w:hint="eastAsia" w:ascii="仿宋" w:hAnsi="仿宋" w:eastAsia="仿宋" w:cs="宋体"/>
          <w:color w:val="auto"/>
          <w:sz w:val="24"/>
          <w:highlight w:val="none"/>
        </w:rPr>
        <w:t>月</w:t>
      </w:r>
      <w:r>
        <w:rPr>
          <w:rFonts w:ascii="仿宋" w:hAnsi="仿宋" w:eastAsia="仿宋" w:cs="宋体"/>
          <w:color w:val="auto"/>
          <w:sz w:val="24"/>
          <w:highlight w:val="none"/>
        </w:rPr>
        <w:t>31</w:t>
      </w:r>
      <w:r>
        <w:rPr>
          <w:rFonts w:hint="eastAsia" w:ascii="仿宋" w:hAnsi="仿宋" w:eastAsia="仿宋" w:cs="宋体"/>
          <w:color w:val="auto"/>
          <w:sz w:val="24"/>
          <w:highlight w:val="none"/>
        </w:rPr>
        <w:t>日。合同期满后采购人有权终止或续签合同。若在合同期内中标人有严重违约行为，采购人有权提前终止合同，由此造成的一切后果和损失由中标人承担。</w:t>
      </w:r>
    </w:p>
    <w:p>
      <w:pPr>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三、项目技术规范和服务要求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参考《公路养护技术规范》、《余杭区城市化管理范围内绿化、市政、保洁分级分类办法及相关养护标准的实施意见（试行）》（余政办〔2010〕250号）、《余杭区城市管理范围内市政、绿化、保洁、保序分级分类及考核办法(试行)》（余政办〔2018〕46号）《余杭区城市管理范围内市政、绿化、保洁、保序分级分类及考核办法》（余城组〔2018〕1号）文件及《余杭区公路日常养护市场化考核办法(试行)》执行。</w:t>
      </w:r>
    </w:p>
    <w:p>
      <w:pPr>
        <w:snapToGrid w:val="0"/>
        <w:spacing w:line="360" w:lineRule="auto"/>
        <w:ind w:firstLine="480" w:firstLineChars="200"/>
        <w:rPr>
          <w:rFonts w:ascii="仿宋" w:hAnsi="仿宋" w:eastAsia="仿宋" w:cs="宋体"/>
          <w:b/>
          <w:bCs/>
          <w:color w:val="auto"/>
          <w:sz w:val="24"/>
          <w:highlight w:val="none"/>
        </w:rPr>
      </w:pPr>
      <w:r>
        <w:rPr>
          <w:rFonts w:hint="eastAsia" w:ascii="仿宋" w:hAnsi="仿宋" w:eastAsia="仿宋" w:cs="宋体"/>
          <w:b/>
          <w:bCs/>
          <w:color w:val="auto"/>
          <w:sz w:val="24"/>
          <w:highlight w:val="none"/>
        </w:rPr>
        <w:t>3.1道路养护基本要求</w:t>
      </w:r>
    </w:p>
    <w:p>
      <w:pPr>
        <w:numPr>
          <w:ilvl w:val="0"/>
          <w:numId w:val="16"/>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人行道板铺砌平整，牢固稳定，裂缝长度小于1m或宽度小于5mm，下沉或拱起变形小于20mm或面积小于1㎡；无堆积物、障碍物，平侧石整齐稳固，线型顺直；道板铺装材料统一，砌块及平侧石松动破碎面积小于0.1㎡。</w:t>
      </w:r>
    </w:p>
    <w:p>
      <w:pPr>
        <w:numPr>
          <w:ilvl w:val="0"/>
          <w:numId w:val="16"/>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沥青及混凝土路面线裂缝宽度小于5mm；网裂、碎裂面积小于0.1㎡；泛油、车辙、沉陷、坑槽、搓板、拥包、剥落、脱皮、烂边、啃边面积小于0.1㎡；雨水检查井、雨水篦子以及其他井盖与道路标高保持一致，误差不大于15mm；窨井盖无缺失、破损、断裂、反盖、错盖等现象；雨天路面临时积水面积每处不超过2㎡（积水深度3cm以上）。</w:t>
      </w:r>
    </w:p>
    <w:p>
      <w:pPr>
        <w:numPr>
          <w:ilvl w:val="0"/>
          <w:numId w:val="16"/>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路基：路肩无车辙、坑洼、隆起、沉陷、缺口，横坡适度，边缘顺直；边坡稳定、平顺，无冲沟，坡度达到规定要求；挡土墙、护坡等设施完整无损，砌体伸缩缝填料完好；对易翻浆路段做好防治工作，塌方、滑坡、泥石流等病害及时防护和抢修。</w:t>
      </w:r>
    </w:p>
    <w:p>
      <w:pPr>
        <w:numPr>
          <w:ilvl w:val="0"/>
          <w:numId w:val="16"/>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排水设施完好，无因排水设施破损而造成阻水现象，检查井安全防护网设置到位。</w:t>
      </w:r>
    </w:p>
    <w:p>
      <w:pPr>
        <w:numPr>
          <w:ilvl w:val="0"/>
          <w:numId w:val="16"/>
        </w:num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桥面平整完好，无裂缝、坑槽、破损；梁板无麻面、变形、开裂、锈蚀、通缝；伸缩缝外形整齐平整牢固无破损；支座安全有效，无破损、锈蚀；墩台墙柱外形齐整，无破损、开裂变形，设置墩台沉降观测点；基础牢固完整，无冲毁冻胀、下沉、位移开裂；栏杆结构牢固无破损；泄水孔、排水管道、落水管无损坏、残缺脱落；挡墙等基础牢固，无破损、开裂变形；桥名、限重等标志齐全清晰，无缺少、破损。</w:t>
      </w:r>
    </w:p>
    <w:p>
      <w:pPr>
        <w:spacing w:line="360" w:lineRule="auto"/>
        <w:rPr>
          <w:rFonts w:ascii="仿宋" w:hAnsi="仿宋" w:eastAsia="仿宋" w:cs="宋体"/>
          <w:color w:val="auto"/>
          <w:sz w:val="24"/>
          <w:highlight w:val="none"/>
        </w:rPr>
      </w:pPr>
    </w:p>
    <w:p>
      <w:pPr>
        <w:snapToGrid w:val="0"/>
        <w:spacing w:line="360" w:lineRule="auto"/>
        <w:ind w:firstLine="470"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3.2养护管理其他要求：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投标方在养护作业中投入的机械设备、人员配置等必须与投标文件中所承诺的数量规格相符合。加强日常作业质量管理，做好作业质量自查日记，建立养护管理工作台帐，做好养护工作日报、月报、年报，健全养护档案制度。对日常养护管理形成日志，并由专人记录。合同结束后最近一期资金支付前养护日志移交采购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作业时应严格遵守交通规则、遵守安全操作规程，作业人员上路作业时须统一穿戴安全反光背心。加强日常安全生产管理，确保职工人身安全。如遇各种意外事故发生由中标人自行负责，并依照法律法规妥善处理（事故情况应及时书面告知采购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4、建立日常巡查制度，巡查人员对所管辖的道路每天巡查一次，填写巡查记录，发现问题及时整改。对非法破坏道路及设施行为及时予以制止，并上报甲方及执法部门。</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制定全年及每月养护工作计划、养护质量及安全保证、养护应急管理预案、重点技术措施等，并于中标后及时上报采购人。安排养护管理力量，制定劳动力计划表，做好突击性工作的应急安排等，落实专职养护人员名单，养护管理责任人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6、做好交通量观测、整理汇总数据，以及观测设备维修保养和流量卡充值等工作，确保观测设备正常运行。</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7、做好养护生产台帐资料，主要包括：公路养护、桥隧养护、绿化养护、整改案卷、养护设备、应急管理、巡查记录等。</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8、中标人根据采购人通知要求，做好各类“迎检”和“创建”准备工作。</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9、做好公路桥梁环保工程有关设施的养护维修工作。</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10、中标人在养护管理期间，由于养管不力，采购人有权终止合同，并由中标人承担一切责任。</w:t>
      </w:r>
    </w:p>
    <w:p>
      <w:pPr>
        <w:snapToGrid w:val="0"/>
        <w:spacing w:line="360" w:lineRule="auto"/>
        <w:ind w:firstLine="480" w:firstLineChars="200"/>
        <w:rPr>
          <w:rFonts w:ascii="仿宋" w:hAnsi="仿宋" w:eastAsia="仿宋" w:cs="宋体"/>
          <w:color w:val="auto"/>
          <w:sz w:val="24"/>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四、本项目实施考核办法</w:t>
      </w:r>
    </w:p>
    <w:p>
      <w:pPr>
        <w:spacing w:before="210" w:line="360" w:lineRule="auto"/>
        <w:ind w:left="470"/>
        <w:jc w:val="left"/>
        <w:rPr>
          <w:rFonts w:ascii="仿宋" w:hAnsi="仿宋" w:eastAsia="仿宋" w:cs="宋体"/>
          <w:color w:val="auto"/>
          <w:spacing w:val="1"/>
          <w:sz w:val="24"/>
          <w:highlight w:val="none"/>
        </w:rPr>
      </w:pPr>
      <w:r>
        <w:rPr>
          <w:rFonts w:ascii="仿宋" w:hAnsi="仿宋" w:eastAsia="仿宋"/>
          <w:color w:val="auto"/>
          <w:sz w:val="24"/>
          <w:highlight w:val="none"/>
        </w:rPr>
        <w:t>1</w:t>
      </w:r>
      <w:r>
        <w:rPr>
          <w:rFonts w:ascii="仿宋" w:hAnsi="仿宋" w:eastAsia="仿宋" w:cs="宋体"/>
          <w:color w:val="auto"/>
          <w:spacing w:val="1"/>
          <w:sz w:val="24"/>
          <w:highlight w:val="none"/>
        </w:rPr>
        <w:t>、采购人管理考核采取日常巡查和不定期考核和年度考核相结合形式进行，考核依据《</w:t>
      </w:r>
      <w:r>
        <w:rPr>
          <w:rFonts w:hint="eastAsia" w:ascii="仿宋" w:hAnsi="仿宋" w:eastAsia="仿宋" w:cs="宋体"/>
          <w:color w:val="auto"/>
          <w:spacing w:val="1"/>
          <w:sz w:val="24"/>
          <w:highlight w:val="none"/>
        </w:rPr>
        <w:t>余杭区公路日常养护考核办法</w:t>
      </w:r>
      <w:r>
        <w:rPr>
          <w:rFonts w:ascii="仿宋" w:hAnsi="仿宋" w:eastAsia="仿宋" w:cs="宋体"/>
          <w:color w:val="auto"/>
          <w:spacing w:val="1"/>
          <w:sz w:val="24"/>
          <w:highlight w:val="none"/>
        </w:rPr>
        <w:t>》（</w:t>
      </w:r>
      <w:r>
        <w:rPr>
          <w:rFonts w:hint="eastAsia" w:ascii="仿宋" w:hAnsi="仿宋" w:eastAsia="仿宋" w:cs="宋体"/>
          <w:color w:val="auto"/>
          <w:spacing w:val="1"/>
          <w:sz w:val="24"/>
          <w:highlight w:val="none"/>
        </w:rPr>
        <w:t>余公运[2021]12号</w:t>
      </w:r>
      <w:r>
        <w:rPr>
          <w:rFonts w:ascii="仿宋" w:hAnsi="仿宋" w:eastAsia="仿宋" w:cs="宋体"/>
          <w:color w:val="auto"/>
          <w:spacing w:val="1"/>
          <w:sz w:val="24"/>
          <w:highlight w:val="none"/>
        </w:rPr>
        <w:t>）。</w:t>
      </w:r>
    </w:p>
    <w:p>
      <w:pPr>
        <w:spacing w:after="156" w:afterLines="50"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余杭区公路日常保洁、小修市场化考核标准及评分细则</w:t>
      </w:r>
    </w:p>
    <w:p>
      <w:pPr>
        <w:spacing w:after="156" w:afterLines="50"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通用类指标（30分）</w:t>
      </w:r>
    </w:p>
    <w:tbl>
      <w:tblPr>
        <w:tblStyle w:val="8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49"/>
        <w:gridCol w:w="3115"/>
        <w:gridCol w:w="311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3"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9"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考核内容</w:t>
            </w:r>
          </w:p>
        </w:tc>
        <w:tc>
          <w:tcPr>
            <w:tcW w:w="3115"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考核要求</w:t>
            </w:r>
          </w:p>
        </w:tc>
        <w:tc>
          <w:tcPr>
            <w:tcW w:w="3115"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评分标准</w:t>
            </w:r>
          </w:p>
        </w:tc>
        <w:tc>
          <w:tcPr>
            <w:tcW w:w="947"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1</w:t>
            </w:r>
          </w:p>
        </w:tc>
        <w:tc>
          <w:tcPr>
            <w:tcW w:w="1249" w:type="dxa"/>
            <w:vMerge w:val="restart"/>
            <w:vAlign w:val="center"/>
          </w:tcPr>
          <w:p>
            <w:pPr>
              <w:spacing w:line="360" w:lineRule="auto"/>
              <w:jc w:val="center"/>
              <w:rPr>
                <w:rFonts w:ascii="仿宋" w:hAnsi="仿宋" w:eastAsia="仿宋"/>
                <w:b/>
                <w:color w:val="auto"/>
                <w:sz w:val="24"/>
                <w:highlight w:val="none"/>
              </w:rPr>
            </w:pP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综合管理</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（7分）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1．养护工作者切实根据合同要求按时出勤，确保到岗到位，规范化着装（4分）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出勤人数没有按照合同要求的，按缺席数以每人次0.5分扣除；出勤时间没有按照合同要求的，按缺席时间以每工时0.1分扣除；有聚众闲聊、消极怠工、不按要求着装者，按规定时间整改的，不予扣分，未在规定时间整改的或整改不到位的，每次扣0.5分，扣完为止。</w:t>
            </w:r>
          </w:p>
        </w:tc>
        <w:tc>
          <w:tcPr>
            <w:tcW w:w="947" w:type="dxa"/>
            <w:vAlign w:val="center"/>
          </w:tcPr>
          <w:p>
            <w:pPr>
              <w:spacing w:line="360" w:lineRule="auto"/>
              <w:jc w:val="center"/>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2.养管单位项目组织管理体系健全，内业资料完整、详尽（3分）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未按时按要求内容及格式对内业资料进行整理或内业资料不合理的，酌情扣1-3分。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2</w:t>
            </w:r>
          </w:p>
        </w:tc>
        <w:tc>
          <w:tcPr>
            <w:tcW w:w="1249"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安全生产</w:t>
            </w:r>
          </w:p>
          <w:p>
            <w:pPr>
              <w:spacing w:line="360" w:lineRule="auto"/>
              <w:jc w:val="center"/>
              <w:rPr>
                <w:rFonts w:ascii="仿宋" w:hAnsi="仿宋" w:eastAsia="仿宋"/>
                <w:b/>
                <w:color w:val="auto"/>
                <w:sz w:val="24"/>
                <w:highlight w:val="none"/>
              </w:rPr>
            </w:pPr>
            <w:r>
              <w:rPr>
                <w:rFonts w:hint="eastAsia" w:ascii="仿宋" w:hAnsi="仿宋" w:eastAsia="仿宋" w:cs="宋体"/>
                <w:b/>
                <w:color w:val="auto"/>
                <w:sz w:val="24"/>
                <w:highlight w:val="none"/>
              </w:rPr>
              <w:t>（6分）</w:t>
            </w:r>
          </w:p>
        </w:tc>
        <w:tc>
          <w:tcPr>
            <w:tcW w:w="3115" w:type="dxa"/>
            <w:vMerge w:val="restart"/>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1.按照《公路养护安全作业规程》(JTG H30-2015)安全、文明作业，无生产安全责任事故。(2分)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发生生产安全一般责任事故的，每次扣2分，直至安全生产6分扣完为止。</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Merge w:val="continue"/>
            <w:vAlign w:val="center"/>
          </w:tcPr>
          <w:p>
            <w:pPr>
              <w:spacing w:line="360" w:lineRule="auto"/>
              <w:rPr>
                <w:rFonts w:ascii="仿宋" w:hAnsi="仿宋" w:eastAsia="仿宋"/>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发现违规作业的, 每次扣1分，扣完为止。</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2.对养护作业人员进行安全教育培训，使其熟知并严格遵守各项安全技术操作规程并执证上岗作业（2分）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未对养护作业人员进行安全教育培训或没有按规定执证上岗作业的，酌情扣1-2分。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3.大面积作业计划作业现场按规定设置安全设施，并向公路管理所报备（2分）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大面积作业计划作业现场未按规定设置安全设施的或未向公路管理所报备的，酌情扣1-2分。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3</w:t>
            </w:r>
          </w:p>
        </w:tc>
        <w:tc>
          <w:tcPr>
            <w:tcW w:w="1249"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社会监督及中心理</w:t>
            </w:r>
          </w:p>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（5分）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1.无责任范围内媒体曝光（包括电话投诉、12345热线、电视电台等各级各类媒体）（2分）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一经媒体曝光，根据发生时间及整改情况，酌情扣1-2分，扣完为止；媒体曝光两次及以上的，扣2分。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2.在规定时效内处理各类投诉、上级检查、数字城管及所长（路长）交办案件（3分）</w:t>
            </w:r>
          </w:p>
        </w:tc>
        <w:tc>
          <w:tcPr>
            <w:tcW w:w="3115" w:type="dxa"/>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在接到各类投诉、上级检查、数字城管及所（路）长交办案件后，未在规定时限内按要求整改的或整改不到位的，扣2分，督促两次以上的扣3分。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3" w:type="dxa"/>
            <w:vMerge w:val="restart"/>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4</w:t>
            </w:r>
          </w:p>
        </w:tc>
        <w:tc>
          <w:tcPr>
            <w:tcW w:w="1249"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应急中心置</w:t>
            </w: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s="Arial"/>
                <w:color w:val="auto"/>
                <w:sz w:val="24"/>
                <w:highlight w:val="none"/>
              </w:rPr>
              <w:t>1.制定</w:t>
            </w:r>
            <w:r>
              <w:rPr>
                <w:rFonts w:hint="eastAsia" w:ascii="仿宋" w:hAnsi="仿宋" w:eastAsia="仿宋"/>
                <w:color w:val="auto"/>
                <w:sz w:val="24"/>
                <w:highlight w:val="none"/>
              </w:rPr>
              <w:t>三防期间应急抢险方案并落实相关人员机械配置（2分）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未制定三防应急抢险方案的，酌情扣1-2分；未按要求配备相关人员及机械的，酌情扣1-2分。</w:t>
            </w:r>
          </w:p>
        </w:tc>
        <w:tc>
          <w:tcPr>
            <w:tcW w:w="947" w:type="dxa"/>
            <w:vAlign w:val="center"/>
          </w:tcPr>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93" w:type="dxa"/>
            <w:vMerge w:val="continue"/>
            <w:vAlign w:val="center"/>
          </w:tcPr>
          <w:p>
            <w:pPr>
              <w:spacing w:line="360" w:lineRule="auto"/>
              <w:jc w:val="center"/>
              <w:rPr>
                <w:rFonts w:ascii="仿宋" w:hAnsi="仿宋" w:eastAsia="仿宋"/>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2.及时发现并上报公路安全隐患及切实根据需要，高标准、高质量完成应急抢险工作（3分）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1.知情未报或未能主动参与中心置的，或在接到公路中心通知后，未能及时处置，每次扣2分，拒不处理的每次扣3分。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2.应急处置工作未达到指定标准的，酌情扣1-3分。扣完为止。</w:t>
            </w:r>
          </w:p>
        </w:tc>
        <w:tc>
          <w:tcPr>
            <w:tcW w:w="947"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w:t>
            </w:r>
          </w:p>
        </w:tc>
        <w:tc>
          <w:tcPr>
            <w:tcW w:w="1249"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活动保障   （2分）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做好各类重大活动或节假日的保障工作，配合做好各类创建工作。（2分）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保障不力的，酌情扣1-2分。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6</w:t>
            </w:r>
          </w:p>
          <w:p>
            <w:pPr>
              <w:spacing w:line="360" w:lineRule="auto"/>
              <w:jc w:val="center"/>
              <w:rPr>
                <w:rFonts w:ascii="仿宋" w:hAnsi="仿宋" w:eastAsia="仿宋" w:cs="宋体"/>
                <w:b/>
                <w:color w:val="auto"/>
                <w:sz w:val="24"/>
                <w:highlight w:val="none"/>
              </w:rPr>
            </w:pPr>
          </w:p>
        </w:tc>
        <w:tc>
          <w:tcPr>
            <w:tcW w:w="1249" w:type="dxa"/>
            <w:vMerge w:val="restart"/>
            <w:vAlign w:val="center"/>
          </w:tcPr>
          <w:p>
            <w:pPr>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资料管理</w:t>
            </w:r>
          </w:p>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（5分）</w:t>
            </w: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养护保洁记录完整。（1分）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养护基础报表。（1分）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养护巡查记录、桥涵设施经常性与定期检查资料完整。（1分）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病害修复资料齐全，有照片或声像资料。（1分）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不齐全、真实、规范，每1处扣0.5分。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3" w:type="dxa"/>
            <w:vMerge w:val="continue"/>
            <w:vAlign w:val="center"/>
          </w:tcPr>
          <w:p>
            <w:pPr>
              <w:spacing w:line="360" w:lineRule="auto"/>
              <w:jc w:val="center"/>
              <w:rPr>
                <w:rFonts w:ascii="仿宋" w:hAnsi="仿宋" w:eastAsia="仿宋" w:cs="宋体"/>
                <w:b/>
                <w:color w:val="auto"/>
                <w:sz w:val="24"/>
                <w:highlight w:val="none"/>
              </w:rPr>
            </w:pPr>
          </w:p>
        </w:tc>
        <w:tc>
          <w:tcPr>
            <w:tcW w:w="1249" w:type="dxa"/>
            <w:vMerge w:val="continue"/>
            <w:vAlign w:val="center"/>
          </w:tcPr>
          <w:p>
            <w:pPr>
              <w:spacing w:line="360" w:lineRule="auto"/>
              <w:jc w:val="center"/>
              <w:rPr>
                <w:rFonts w:ascii="仿宋" w:hAnsi="仿宋" w:eastAsia="仿宋" w:cs="宋体"/>
                <w:b/>
                <w:color w:val="auto"/>
                <w:sz w:val="24"/>
                <w:highlight w:val="none"/>
              </w:rPr>
            </w:pPr>
          </w:p>
        </w:tc>
        <w:tc>
          <w:tcPr>
            <w:tcW w:w="3115" w:type="dxa"/>
            <w:vAlign w:val="center"/>
          </w:tcPr>
          <w:p>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按时上报规定的统计报表。（1分）</w:t>
            </w:r>
          </w:p>
        </w:tc>
        <w:tc>
          <w:tcPr>
            <w:tcW w:w="3115"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不真实、及时、规范，每1处扣0.5分。</w:t>
            </w:r>
          </w:p>
        </w:tc>
        <w:tc>
          <w:tcPr>
            <w:tcW w:w="947" w:type="dxa"/>
            <w:vAlign w:val="center"/>
          </w:tcPr>
          <w:p>
            <w:pPr>
              <w:spacing w:line="360" w:lineRule="auto"/>
              <w:ind w:firstLine="240" w:firstLineChars="100"/>
              <w:jc w:val="center"/>
              <w:rPr>
                <w:rFonts w:ascii="仿宋" w:hAnsi="仿宋" w:eastAsia="仿宋"/>
                <w:color w:val="auto"/>
                <w:sz w:val="24"/>
                <w:highlight w:val="none"/>
              </w:rPr>
            </w:pPr>
          </w:p>
        </w:tc>
      </w:tr>
    </w:tbl>
    <w:p>
      <w:pPr>
        <w:spacing w:line="360" w:lineRule="auto"/>
        <w:rPr>
          <w:rFonts w:ascii="仿宋" w:hAnsi="仿宋" w:eastAsia="仿宋"/>
          <w:color w:val="auto"/>
          <w:sz w:val="24"/>
          <w:highlight w:val="none"/>
        </w:rPr>
      </w:pPr>
    </w:p>
    <w:p>
      <w:pPr>
        <w:spacing w:before="312" w:beforeLines="100" w:after="312" w:afterLines="100" w:line="360" w:lineRule="auto"/>
        <w:jc w:val="center"/>
        <w:rPr>
          <w:rFonts w:ascii="仿宋" w:hAnsi="仿宋" w:eastAsia="仿宋"/>
          <w:color w:val="auto"/>
          <w:sz w:val="24"/>
          <w:highlight w:val="none"/>
        </w:rPr>
      </w:pPr>
      <w:r>
        <w:rPr>
          <w:rFonts w:hint="eastAsia" w:ascii="仿宋" w:hAnsi="仿宋" w:eastAsia="仿宋"/>
          <w:color w:val="auto"/>
          <w:sz w:val="24"/>
          <w:highlight w:val="none"/>
        </w:rPr>
        <w:t>余杭区公路日常保洁、小修市场化考核标准及评分细则</w:t>
      </w:r>
    </w:p>
    <w:p>
      <w:pPr>
        <w:spacing w:after="156" w:afterLines="50" w:line="360" w:lineRule="auto"/>
        <w:jc w:val="center"/>
        <w:rPr>
          <w:rFonts w:ascii="仿宋" w:hAnsi="仿宋" w:eastAsia="仿宋"/>
          <w:color w:val="auto"/>
          <w:sz w:val="24"/>
          <w:highlight w:val="none"/>
        </w:rPr>
      </w:pPr>
      <w:r>
        <w:rPr>
          <w:rFonts w:hint="eastAsia" w:ascii="仿宋" w:hAnsi="仿宋" w:eastAsia="仿宋"/>
          <w:color w:val="auto"/>
          <w:sz w:val="24"/>
          <w:highlight w:val="none"/>
        </w:rPr>
        <w:t>业务类指标（小修保养）（70分）</w:t>
      </w:r>
    </w:p>
    <w:tbl>
      <w:tblPr>
        <w:tblStyle w:val="8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10"/>
        <w:gridCol w:w="3024"/>
        <w:gridCol w:w="304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510" w:type="dxa"/>
            <w:vAlign w:val="center"/>
          </w:tcPr>
          <w:p>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考核内容</w:t>
            </w:r>
          </w:p>
        </w:tc>
        <w:tc>
          <w:tcPr>
            <w:tcW w:w="3024"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考核要求</w:t>
            </w:r>
          </w:p>
        </w:tc>
        <w:tc>
          <w:tcPr>
            <w:tcW w:w="3048" w:type="dxa"/>
            <w:vAlign w:val="center"/>
          </w:tcPr>
          <w:p>
            <w:pPr>
              <w:spacing w:line="360" w:lineRule="auto"/>
              <w:jc w:val="center"/>
              <w:rPr>
                <w:rFonts w:ascii="仿宋" w:hAnsi="仿宋" w:eastAsia="仿宋"/>
                <w:color w:val="auto"/>
                <w:sz w:val="24"/>
                <w:highlight w:val="none"/>
              </w:rPr>
            </w:pPr>
            <w:r>
              <w:rPr>
                <w:rFonts w:hint="eastAsia" w:ascii="仿宋" w:hAnsi="仿宋" w:eastAsia="仿宋"/>
                <w:b/>
                <w:color w:val="auto"/>
                <w:sz w:val="24"/>
                <w:highlight w:val="none"/>
              </w:rPr>
              <w:t>评分标准</w:t>
            </w:r>
          </w:p>
        </w:tc>
        <w:tc>
          <w:tcPr>
            <w:tcW w:w="699" w:type="dxa"/>
            <w:vAlign w:val="center"/>
          </w:tcPr>
          <w:p>
            <w:pPr>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考核</w:t>
            </w:r>
          </w:p>
          <w:p>
            <w:pPr>
              <w:spacing w:line="360" w:lineRule="auto"/>
              <w:rPr>
                <w:rFonts w:ascii="仿宋" w:hAnsi="仿宋" w:eastAsia="仿宋"/>
                <w:color w:val="auto"/>
                <w:sz w:val="24"/>
                <w:highlight w:val="none"/>
              </w:rPr>
            </w:pPr>
            <w:r>
              <w:rPr>
                <w:rFonts w:hint="eastAsia" w:ascii="仿宋" w:hAnsi="仿宋" w:eastAsia="仿宋"/>
                <w:b/>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7" w:type="dxa"/>
            <w:vMerge w:val="restart"/>
            <w:vAlign w:val="center"/>
          </w:tcPr>
          <w:p>
            <w:pPr>
              <w:spacing w:line="360" w:lineRule="auto"/>
              <w:ind w:firstLine="120" w:firstLineChars="50"/>
              <w:rPr>
                <w:rFonts w:ascii="仿宋" w:hAnsi="仿宋" w:eastAsia="仿宋"/>
                <w:b/>
                <w:color w:val="auto"/>
                <w:sz w:val="24"/>
                <w:highlight w:val="none"/>
              </w:rPr>
            </w:pPr>
            <w:r>
              <w:rPr>
                <w:rFonts w:hint="eastAsia" w:ascii="仿宋" w:hAnsi="仿宋" w:eastAsia="仿宋"/>
                <w:b/>
                <w:color w:val="auto"/>
                <w:sz w:val="24"/>
                <w:highlight w:val="none"/>
              </w:rPr>
              <w:t>2</w:t>
            </w:r>
          </w:p>
        </w:tc>
        <w:tc>
          <w:tcPr>
            <w:tcW w:w="1510" w:type="dxa"/>
            <w:vMerge w:val="restart"/>
            <w:vAlign w:val="center"/>
          </w:tcPr>
          <w:p>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小修保养</w:t>
            </w: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一、路基及人行道（15分）</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1.排水设施无损坏，排水畅通。</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2.路肩无病害，边坡稳定。</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3.挡土墙等附属设施良好。</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1.排水设施损坏或应设边沟没有设立的，每处扣1分。</w:t>
            </w:r>
          </w:p>
        </w:tc>
        <w:tc>
          <w:tcPr>
            <w:tcW w:w="699" w:type="dxa"/>
            <w:vAlign w:val="center"/>
          </w:tcPr>
          <w:p>
            <w:pPr>
              <w:spacing w:line="360" w:lineRule="auto"/>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2.边坡有垮塌现象的，每处扣1分。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3.挡土墙有损坏的，每处扣1分。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color w:val="auto"/>
                <w:sz w:val="24"/>
                <w:highlight w:val="none"/>
              </w:rPr>
              <w:t>4.人行道板铺砌平整美观，质量牢固稳定；平侧石线型整齐，盲道等无障碍设施设置规范齐全，铺装材料统一（3）。</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4.坑洞、坑槽每平方米扣0.2分。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5.道板破损、拱起、沉陷、松脱、跷破、缺失、错台等超出养护标准每平方米扣0.2分。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7" w:type="dxa"/>
            <w:vMerge w:val="continue"/>
            <w:vAlign w:val="center"/>
          </w:tcPr>
          <w:p>
            <w:pPr>
              <w:spacing w:line="360" w:lineRule="auto"/>
              <w:ind w:firstLine="120" w:firstLineChars="50"/>
              <w:rPr>
                <w:rFonts w:ascii="仿宋" w:hAnsi="仿宋" w:eastAsia="仿宋"/>
                <w:b/>
                <w:color w:val="auto"/>
                <w:sz w:val="24"/>
                <w:highlight w:val="none"/>
              </w:rPr>
            </w:pPr>
          </w:p>
        </w:tc>
        <w:tc>
          <w:tcPr>
            <w:tcW w:w="1510" w:type="dxa"/>
            <w:vMerge w:val="continue"/>
            <w:vAlign w:val="center"/>
          </w:tcPr>
          <w:p>
            <w:pPr>
              <w:spacing w:line="360" w:lineRule="auto"/>
              <w:rPr>
                <w:rFonts w:ascii="仿宋" w:hAnsi="仿宋" w:eastAsia="仿宋" w:cs="宋体"/>
                <w:b/>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6.平侧石破损缺少每米扣0.2分。</w:t>
            </w:r>
          </w:p>
        </w:tc>
        <w:tc>
          <w:tcPr>
            <w:tcW w:w="699" w:type="dxa"/>
            <w:vAlign w:val="center"/>
          </w:tcPr>
          <w:p>
            <w:pPr>
              <w:spacing w:line="360" w:lineRule="auto"/>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二、路面（30分）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1.路面是否有网裂、断板、坑槽、沉陷等病害（10分）。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2.路面裂缝、水泥砼路面接缝是否灌缝（10分）。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3.道路井盖高度与路面标高一致；路面排水功能良好，无大面积积水。排水设施完好，管道畅通，窨井盖无缺失、破损、断裂、错盖等情况（10分）。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1.路面有网裂、断板、拥包、车辙、坑槽、沉陷等病害的，每平方米扣0.2分。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2.路面裂缝、水泥砼路面接缝没有灌缝的，裂缝每处扣0.2分，接缝每10米扣0.5分。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3.雨水检查井盖、雨水篦子等与道路高差明显的每处扣0.2分；窨井、边沟盖板缺失每个（块）扣1分，破损、断裂每处扣0.5分，反盖、错盖、松动每处扣0.2分。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三、桥隧、涵洞（15分）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1.构部件破损修复及时，保持排水、伸缩缝、支座、护墙、栏杆、衬砌等设施齐全良好（7分）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2.桥墩、台及河床铺底和防护污工无损坏（5分）。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3.涵洞无堵塞，出入口铺砌坚固（3分）。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kern w:val="0"/>
                <w:sz w:val="24"/>
                <w:highlight w:val="none"/>
              </w:rPr>
              <w:t>构建损坏一处扣1-2分。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pacing w:val="-8"/>
                <w:sz w:val="24"/>
                <w:highlight w:val="none"/>
              </w:rPr>
              <w:t>桥栏要保持洁净，应涂料刷白，一年均至少一次，钢质栏杆应涂漆防锈，桥梁两端的栏杆柱或防撞墙端面，涂有立面标记或示警标志的，应定期涂刷，未定期涂漆刷白的每座桥梁扣</w:t>
            </w:r>
            <w:r>
              <w:rPr>
                <w:rFonts w:hint="eastAsia" w:ascii="仿宋" w:hAnsi="仿宋" w:eastAsia="仿宋"/>
                <w:color w:val="auto"/>
                <w:sz w:val="24"/>
                <w:highlight w:val="none"/>
              </w:rPr>
              <w:t>1-3分，</w:t>
            </w:r>
            <w:r>
              <w:rPr>
                <w:rFonts w:hint="eastAsia" w:ascii="仿宋" w:hAnsi="仿宋" w:eastAsia="仿宋"/>
                <w:color w:val="auto"/>
                <w:spacing w:val="-8"/>
                <w:sz w:val="24"/>
                <w:highlight w:val="none"/>
              </w:rPr>
              <w:t>涂漆刷白不到位的</w:t>
            </w:r>
            <w:r>
              <w:rPr>
                <w:rFonts w:hint="eastAsia" w:ascii="仿宋" w:hAnsi="仿宋" w:eastAsia="仿宋"/>
                <w:color w:val="auto"/>
                <w:sz w:val="24"/>
                <w:highlight w:val="none"/>
              </w:rPr>
              <w:t>每处扣0.5分。</w:t>
            </w:r>
          </w:p>
          <w:p>
            <w:pPr>
              <w:spacing w:line="360" w:lineRule="auto"/>
              <w:rPr>
                <w:rFonts w:ascii="仿宋" w:hAnsi="仿宋" w:eastAsia="仿宋"/>
                <w:color w:val="auto"/>
                <w:spacing w:val="-8"/>
                <w:sz w:val="24"/>
                <w:highlight w:val="none"/>
              </w:rPr>
            </w:pPr>
            <w:r>
              <w:rPr>
                <w:rFonts w:hint="eastAsia" w:ascii="仿宋" w:hAnsi="仿宋" w:eastAsia="仿宋"/>
                <w:color w:val="auto"/>
                <w:sz w:val="24"/>
                <w:highlight w:val="none"/>
              </w:rPr>
              <w:t>3.</w:t>
            </w:r>
            <w:r>
              <w:rPr>
                <w:rFonts w:hint="eastAsia" w:ascii="仿宋" w:hAnsi="仿宋" w:eastAsia="仿宋"/>
                <w:color w:val="auto"/>
                <w:kern w:val="0"/>
                <w:sz w:val="24"/>
                <w:highlight w:val="none"/>
              </w:rPr>
              <w:t>排水不良发现1处扣0.5分。</w:t>
            </w:r>
          </w:p>
          <w:p>
            <w:pPr>
              <w:spacing w:line="360" w:lineRule="auto"/>
              <w:rPr>
                <w:rFonts w:ascii="仿宋" w:hAnsi="仿宋" w:eastAsia="仿宋"/>
                <w:color w:val="auto"/>
                <w:sz w:val="24"/>
                <w:highlight w:val="none"/>
              </w:rPr>
            </w:pPr>
            <w:r>
              <w:rPr>
                <w:rFonts w:hint="eastAsia" w:ascii="仿宋" w:hAnsi="仿宋" w:eastAsia="仿宋"/>
                <w:color w:val="auto"/>
                <w:spacing w:val="-8"/>
                <w:sz w:val="24"/>
                <w:highlight w:val="none"/>
              </w:rPr>
              <w:t>4.</w:t>
            </w:r>
            <w:r>
              <w:rPr>
                <w:rFonts w:hint="eastAsia" w:ascii="仿宋" w:hAnsi="仿宋" w:eastAsia="仿宋"/>
                <w:color w:val="auto"/>
                <w:kern w:val="0"/>
                <w:sz w:val="24"/>
                <w:highlight w:val="none"/>
              </w:rPr>
              <w:t>桥头、涵顶跳车发现一处扣0.5分。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2.桥墩、台及河床铺底和防护污工出现损坏的，每处酌情扣1-4分。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3.涵洞出现堵塞的或出入口铺砌欠坚固的，每处扣0.5分。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restart"/>
            <w:vAlign w:val="center"/>
          </w:tcPr>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四、沿线设施（10分）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1.标志标牌、里程碑、百米桩、声屏障、防眩板、各类护栏、警示桩等设施是否完好，路面标线是否缺失（5分）</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2.安全设施是否完好（5分）</w:t>
            </w: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1.标志标牌、里程碑、百米桩、声屏障、防眩板、各类护栏、警示桩等设施缺损的，每处扣0.2分；路面标线有缺失现象的，每平方米扣0.1分。</w:t>
            </w:r>
          </w:p>
        </w:tc>
        <w:tc>
          <w:tcPr>
            <w:tcW w:w="699" w:type="dxa"/>
            <w:vAlign w:val="center"/>
          </w:tcPr>
          <w:p>
            <w:pPr>
              <w:spacing w:line="360" w:lineRule="auto"/>
              <w:ind w:firstLine="117" w:firstLineChars="49"/>
              <w:rPr>
                <w:rFonts w:ascii="仿宋" w:hAnsi="仿宋" w:eastAsia="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77" w:type="dxa"/>
            <w:vMerge w:val="continue"/>
            <w:vAlign w:val="center"/>
          </w:tcPr>
          <w:p>
            <w:pPr>
              <w:spacing w:line="360" w:lineRule="auto"/>
              <w:rPr>
                <w:rFonts w:ascii="仿宋" w:hAnsi="仿宋" w:eastAsia="仿宋"/>
                <w:color w:val="auto"/>
                <w:sz w:val="24"/>
                <w:highlight w:val="none"/>
              </w:rPr>
            </w:pPr>
          </w:p>
        </w:tc>
        <w:tc>
          <w:tcPr>
            <w:tcW w:w="1510" w:type="dxa"/>
            <w:vMerge w:val="continue"/>
            <w:vAlign w:val="center"/>
          </w:tcPr>
          <w:p>
            <w:pPr>
              <w:spacing w:line="360" w:lineRule="auto"/>
              <w:rPr>
                <w:rFonts w:ascii="仿宋" w:hAnsi="仿宋" w:eastAsia="仿宋" w:cs="宋体"/>
                <w:color w:val="auto"/>
                <w:sz w:val="24"/>
                <w:highlight w:val="none"/>
              </w:rPr>
            </w:pPr>
          </w:p>
        </w:tc>
        <w:tc>
          <w:tcPr>
            <w:tcW w:w="3024" w:type="dxa"/>
            <w:vMerge w:val="continue"/>
            <w:vAlign w:val="center"/>
          </w:tcPr>
          <w:p>
            <w:pPr>
              <w:spacing w:line="360" w:lineRule="auto"/>
              <w:rPr>
                <w:rFonts w:ascii="仿宋" w:hAnsi="仿宋" w:eastAsia="仿宋"/>
                <w:b/>
                <w:color w:val="auto"/>
                <w:sz w:val="24"/>
                <w:highlight w:val="none"/>
              </w:rPr>
            </w:pPr>
          </w:p>
        </w:tc>
        <w:tc>
          <w:tcPr>
            <w:tcW w:w="3048" w:type="dxa"/>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 安全设施破损，缺失的，酌情扣1-5分。</w:t>
            </w:r>
          </w:p>
        </w:tc>
        <w:tc>
          <w:tcPr>
            <w:tcW w:w="699" w:type="dxa"/>
            <w:vAlign w:val="center"/>
          </w:tcPr>
          <w:p>
            <w:pPr>
              <w:spacing w:line="360" w:lineRule="auto"/>
              <w:ind w:firstLine="117" w:firstLineChars="49"/>
              <w:rPr>
                <w:rFonts w:ascii="仿宋" w:hAnsi="仿宋" w:eastAsia="仿宋"/>
                <w:b/>
                <w:color w:val="auto"/>
                <w:sz w:val="24"/>
                <w:highlight w:val="none"/>
              </w:rPr>
            </w:pPr>
          </w:p>
        </w:tc>
      </w:tr>
    </w:tbl>
    <w:p>
      <w:pPr>
        <w:spacing w:before="216" w:line="360" w:lineRule="auto"/>
        <w:ind w:left="470"/>
        <w:jc w:val="left"/>
        <w:rPr>
          <w:rFonts w:ascii="仿宋" w:hAnsi="仿宋" w:eastAsia="仿宋"/>
          <w:color w:val="auto"/>
          <w:sz w:val="24"/>
          <w:highlight w:val="none"/>
        </w:rPr>
      </w:pPr>
      <w:r>
        <w:rPr>
          <w:rFonts w:hint="eastAsia" w:ascii="仿宋" w:hAnsi="仿宋" w:eastAsia="仿宋" w:cs="宋体"/>
          <w:color w:val="auto"/>
          <w:sz w:val="24"/>
          <w:highlight w:val="none"/>
        </w:rPr>
        <w:t>考核评分计算方式=</w:t>
      </w:r>
      <w:r>
        <w:rPr>
          <w:rFonts w:hint="eastAsia" w:ascii="仿宋" w:hAnsi="仿宋" w:eastAsia="仿宋"/>
          <w:b/>
          <w:bCs/>
          <w:color w:val="auto"/>
          <w:sz w:val="24"/>
          <w:highlight w:val="none"/>
        </w:rPr>
        <w:t>通用类指标+业务类指标</w:t>
      </w:r>
      <w:r>
        <w:rPr>
          <w:rFonts w:hint="eastAsia" w:ascii="仿宋" w:hAnsi="仿宋" w:eastAsia="仿宋"/>
          <w:color w:val="auto"/>
          <w:sz w:val="24"/>
          <w:highlight w:val="none"/>
        </w:rPr>
        <w:t>（小修保养）</w:t>
      </w:r>
    </w:p>
    <w:p>
      <w:pPr>
        <w:spacing w:before="216" w:line="360" w:lineRule="auto"/>
        <w:ind w:left="470"/>
        <w:jc w:val="left"/>
        <w:rPr>
          <w:rFonts w:ascii="仿宋" w:hAnsi="仿宋" w:eastAsia="仿宋"/>
          <w:color w:val="auto"/>
          <w:sz w:val="24"/>
          <w:highlight w:val="none"/>
        </w:rPr>
      </w:pPr>
      <w:r>
        <w:rPr>
          <w:rFonts w:ascii="仿宋" w:hAnsi="仿宋" w:eastAsia="仿宋" w:cs="宋体"/>
          <w:color w:val="auto"/>
          <w:sz w:val="24"/>
          <w:highlight w:val="none"/>
        </w:rPr>
        <w:t>2、如采购人在项目实施过程中因政策调整或上级部门管理需要而新制定的</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考核补充细则，中标人须无条件服从。</w:t>
      </w:r>
    </w:p>
    <w:p>
      <w:pPr>
        <w:numPr>
          <w:ilvl w:val="0"/>
          <w:numId w:val="17"/>
        </w:numPr>
        <w:adjustRightInd/>
        <w:spacing w:before="216" w:line="360" w:lineRule="auto"/>
        <w:ind w:firstLine="488" w:firstLineChars="200"/>
        <w:jc w:val="left"/>
        <w:rPr>
          <w:rFonts w:ascii="仿宋" w:hAnsi="仿宋" w:eastAsia="仿宋" w:cs="宋体"/>
          <w:color w:val="auto"/>
          <w:spacing w:val="1"/>
          <w:sz w:val="24"/>
          <w:highlight w:val="none"/>
        </w:rPr>
      </w:pPr>
      <w:r>
        <w:rPr>
          <w:rFonts w:ascii="仿宋" w:hAnsi="仿宋" w:eastAsia="仿宋" w:cs="宋体"/>
          <w:color w:val="auto"/>
          <w:spacing w:val="2"/>
          <w:sz w:val="24"/>
          <w:highlight w:val="none"/>
        </w:rPr>
        <w:t>采购人认定项目负责人、技术负责人无履职能力需要更换项目负责人、</w:t>
      </w:r>
      <w:r>
        <w:rPr>
          <w:rFonts w:ascii="仿宋" w:hAnsi="仿宋" w:eastAsia="仿宋" w:cs="宋体"/>
          <w:color w:val="auto"/>
          <w:spacing w:val="5"/>
          <w:sz w:val="24"/>
          <w:highlight w:val="none"/>
        </w:rPr>
        <w:t>技术负责人的，中标人承担违约责任：支付违约金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5</w:t>
      </w:r>
      <w:r>
        <w:rPr>
          <w:rFonts w:ascii="仿宋" w:hAnsi="仿宋" w:eastAsia="仿宋"/>
          <w:color w:val="auto"/>
          <w:spacing w:val="5"/>
          <w:sz w:val="24"/>
          <w:highlight w:val="none"/>
        </w:rPr>
        <w:t xml:space="preserve"> </w:t>
      </w:r>
      <w:r>
        <w:rPr>
          <w:rFonts w:ascii="仿宋" w:hAnsi="仿宋" w:eastAsia="仿宋" w:cs="宋体"/>
          <w:color w:val="auto"/>
          <w:spacing w:val="5"/>
          <w:sz w:val="24"/>
          <w:highlight w:val="none"/>
        </w:rPr>
        <w:t>万元，项目负责人、技术负责人更换须征得发包人及相关职能部门书面同意意见。如中标人不在限期内</w:t>
      </w:r>
      <w:r>
        <w:rPr>
          <w:rFonts w:ascii="仿宋" w:hAnsi="仿宋" w:eastAsia="仿宋" w:cs="宋体"/>
          <w:color w:val="auto"/>
          <w:spacing w:val="1"/>
          <w:sz w:val="24"/>
          <w:highlight w:val="none"/>
        </w:rPr>
        <w:t>更换的处以违约金</w:t>
      </w:r>
      <w:r>
        <w:rPr>
          <w:rFonts w:ascii="仿宋" w:hAnsi="仿宋" w:eastAsia="仿宋"/>
          <w:color w:val="auto"/>
          <w:spacing w:val="-1"/>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6" w:line="360" w:lineRule="auto"/>
        <w:ind w:firstLine="500" w:firstLineChars="200"/>
        <w:jc w:val="left"/>
        <w:rPr>
          <w:rFonts w:ascii="仿宋" w:hAnsi="仿宋" w:eastAsia="仿宋" w:cs="宋体"/>
          <w:color w:val="auto"/>
          <w:spacing w:val="5"/>
          <w:sz w:val="24"/>
          <w:highlight w:val="none"/>
        </w:rPr>
      </w:pPr>
      <w:r>
        <w:rPr>
          <w:rFonts w:ascii="仿宋" w:hAnsi="仿宋" w:eastAsia="仿宋" w:cs="宋体"/>
          <w:color w:val="auto"/>
          <w:spacing w:val="5"/>
          <w:sz w:val="24"/>
          <w:highlight w:val="none"/>
        </w:rPr>
        <w:t>4、因中标人主动更换项目负责人、技术负责人的违约约定：支付违约金5万元，项目负责人、技术负责人更换须征得发包人及相关职能部门书面同意意见，擅自更换或不满足条件更换的处以违约金 10 万元。</w:t>
      </w:r>
    </w:p>
    <w:p>
      <w:pPr>
        <w:spacing w:before="218" w:line="360" w:lineRule="auto"/>
        <w:ind w:firstLine="500" w:firstLineChars="200"/>
        <w:jc w:val="left"/>
        <w:rPr>
          <w:rFonts w:ascii="仿宋" w:hAnsi="仿宋" w:eastAsia="仿宋" w:cs="宋体"/>
          <w:color w:val="auto"/>
          <w:spacing w:val="1"/>
          <w:sz w:val="24"/>
          <w:highlight w:val="none"/>
        </w:rPr>
      </w:pPr>
      <w:r>
        <w:rPr>
          <w:rFonts w:ascii="仿宋" w:hAnsi="仿宋" w:eastAsia="仿宋" w:cs="宋体"/>
          <w:color w:val="auto"/>
          <w:spacing w:val="5"/>
          <w:sz w:val="24"/>
          <w:highlight w:val="none"/>
        </w:rPr>
        <w:t>5、项目负责人、技术负责人每月在现场时间未达到约定天数</w:t>
      </w:r>
      <w:r>
        <w:rPr>
          <w:rFonts w:ascii="仿宋" w:hAnsi="仿宋" w:eastAsia="仿宋" w:cs="宋体"/>
          <w:color w:val="auto"/>
          <w:spacing w:val="1"/>
          <w:sz w:val="24"/>
          <w:highlight w:val="none"/>
        </w:rPr>
        <w:t>的，每</w:t>
      </w:r>
      <w:r>
        <w:rPr>
          <w:rFonts w:hint="eastAsia" w:ascii="仿宋" w:hAnsi="仿宋" w:eastAsia="仿宋" w:cs="宋体"/>
          <w:color w:val="auto"/>
          <w:spacing w:val="1"/>
          <w:sz w:val="24"/>
          <w:highlight w:val="none"/>
        </w:rPr>
        <w:t>人每</w:t>
      </w:r>
      <w:r>
        <w:rPr>
          <w:rFonts w:ascii="仿宋" w:hAnsi="仿宋" w:eastAsia="仿宋" w:cs="宋体"/>
          <w:color w:val="auto"/>
          <w:spacing w:val="1"/>
          <w:sz w:val="24"/>
          <w:highlight w:val="none"/>
        </w:rPr>
        <w:t>少一天</w:t>
      </w:r>
      <w:r>
        <w:rPr>
          <w:rFonts w:ascii="仿宋" w:hAnsi="仿宋" w:eastAsia="仿宋" w:cs="宋体"/>
          <w:color w:val="auto"/>
          <w:spacing w:val="5"/>
          <w:sz w:val="24"/>
          <w:highlight w:val="none"/>
        </w:rPr>
        <w:t>应向采购人支付违约金</w:t>
      </w:r>
      <w:r>
        <w:rPr>
          <w:rFonts w:ascii="仿宋" w:hAnsi="仿宋" w:eastAsia="仿宋"/>
          <w:color w:val="auto"/>
          <w:sz w:val="24"/>
          <w:highlight w:val="none"/>
        </w:rPr>
        <w:t xml:space="preserve"> 1</w:t>
      </w:r>
      <w:r>
        <w:rPr>
          <w:rFonts w:ascii="仿宋" w:hAnsi="仿宋" w:eastAsia="仿宋"/>
          <w:color w:val="auto"/>
          <w:spacing w:val="2"/>
          <w:sz w:val="24"/>
          <w:highlight w:val="none"/>
        </w:rPr>
        <w:t xml:space="preserve"> </w:t>
      </w:r>
      <w:r>
        <w:rPr>
          <w:rFonts w:ascii="仿宋" w:hAnsi="仿宋" w:eastAsia="仿宋" w:cs="宋体"/>
          <w:color w:val="auto"/>
          <w:spacing w:val="5"/>
          <w:sz w:val="24"/>
          <w:highlight w:val="none"/>
        </w:rPr>
        <w:t>千元，当项目负责人、技术负责人在养护总工期中累</w:t>
      </w:r>
      <w:r>
        <w:rPr>
          <w:rFonts w:ascii="仿宋" w:hAnsi="仿宋" w:eastAsia="仿宋" w:cs="宋体"/>
          <w:color w:val="auto"/>
          <w:spacing w:val="2"/>
          <w:sz w:val="24"/>
          <w:highlight w:val="none"/>
        </w:rPr>
        <w:t>计出勤率低于</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50%的，扣除</w:t>
      </w:r>
      <w:r>
        <w:rPr>
          <w:rFonts w:hint="eastAsia" w:ascii="仿宋" w:hAnsi="仿宋" w:eastAsia="仿宋" w:cs="宋体"/>
          <w:color w:val="auto"/>
          <w:spacing w:val="1"/>
          <w:sz w:val="24"/>
          <w:highlight w:val="none"/>
        </w:rPr>
        <w:t>季度计量款</w:t>
      </w:r>
      <w:r>
        <w:rPr>
          <w:rFonts w:ascii="仿宋" w:hAnsi="仿宋" w:eastAsia="仿宋" w:cs="宋体"/>
          <w:color w:val="auto"/>
          <w:spacing w:val="1"/>
          <w:sz w:val="24"/>
          <w:highlight w:val="none"/>
        </w:rPr>
        <w:t>的</w:t>
      </w:r>
      <w:r>
        <w:rPr>
          <w:rFonts w:hint="eastAsia" w:ascii="仿宋" w:hAnsi="仿宋" w:eastAsia="仿宋"/>
          <w:color w:val="auto"/>
          <w:spacing w:val="2"/>
          <w:sz w:val="24"/>
          <w:highlight w:val="none"/>
        </w:rPr>
        <w:t>5</w:t>
      </w:r>
      <w:r>
        <w:rPr>
          <w:rFonts w:ascii="仿宋" w:hAnsi="仿宋" w:eastAsia="仿宋" w:cs="宋体"/>
          <w:color w:val="auto"/>
          <w:spacing w:val="1"/>
          <w:sz w:val="24"/>
          <w:highlight w:val="none"/>
        </w:rPr>
        <w:t>%；上述扣款将在当季养护费用支付时予以扣除；</w:t>
      </w:r>
    </w:p>
    <w:p>
      <w:pPr>
        <w:snapToGrid w:val="0"/>
        <w:spacing w:line="360" w:lineRule="auto"/>
        <w:jc w:val="left"/>
        <w:rPr>
          <w:rFonts w:ascii="仿宋" w:hAnsi="仿宋" w:eastAsia="仿宋" w:cs="宋体"/>
          <w:b/>
          <w:bCs/>
          <w:color w:val="auto"/>
          <w:sz w:val="24"/>
          <w:highlight w:val="none"/>
        </w:rPr>
      </w:pPr>
      <w:r>
        <w:rPr>
          <w:rFonts w:hint="eastAsia" w:ascii="仿宋" w:hAnsi="仿宋" w:eastAsia="仿宋" w:cs="宋体"/>
          <w:b/>
          <w:bCs/>
          <w:color w:val="auto"/>
          <w:sz w:val="24"/>
          <w:highlight w:val="none"/>
        </w:rPr>
        <w:t>五、授予合同</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5.1中标人应在接到中标通知书</w:t>
      </w:r>
      <w:r>
        <w:rPr>
          <w:rFonts w:ascii="仿宋" w:hAnsi="仿宋" w:eastAsia="仿宋" w:cs="宋体"/>
          <w:color w:val="auto"/>
          <w:sz w:val="24"/>
          <w:highlight w:val="none"/>
        </w:rPr>
        <w:t>10</w:t>
      </w:r>
      <w:r>
        <w:rPr>
          <w:rFonts w:hint="eastAsia" w:ascii="仿宋" w:hAnsi="仿宋" w:eastAsia="仿宋" w:cs="宋体"/>
          <w:color w:val="auto"/>
          <w:sz w:val="24"/>
          <w:highlight w:val="none"/>
        </w:rPr>
        <w:t>个工作日内按照采购文件和中标人的投标文件签订服务承包合同（进场作业时间由采购人确定后通知中标人），若中标人借故拖延或拒签合同或对标函方案和标价计算作出随意更改的，即取消中标资格，并按标价的10%补偿招标单位的经济损失。</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w:t>
      </w:r>
      <w:r>
        <w:rPr>
          <w:rFonts w:ascii="仿宋" w:hAnsi="仿宋" w:eastAsia="仿宋" w:cs="宋体"/>
          <w:color w:val="auto"/>
          <w:sz w:val="24"/>
          <w:highlight w:val="none"/>
        </w:rPr>
        <w:t>2</w:t>
      </w:r>
      <w:r>
        <w:rPr>
          <w:rFonts w:hint="eastAsia" w:ascii="仿宋" w:hAnsi="仿宋" w:eastAsia="仿宋" w:cs="宋体"/>
          <w:color w:val="auto"/>
          <w:sz w:val="24"/>
          <w:highlight w:val="none"/>
        </w:rPr>
        <w:t>中标人须按采购人的采购文件、规定、综合养护标准认真履行合同，甲方根据采购文件、《公路养护技术规范》（JTG H10-2009）、《公路桥涵养护规范》（JTG H11-2004）、《浙江省公路养护工程施工采购文件范本》、《余杭区城市管理范围内市政、绿化、保洁、保序分级分类及考核办法》（余城组〔2018〕1号）、《余杭区公路日常养护市场化考核办法》及其它有关规定、技术标准执行，核定是否拨付经费。</w:t>
      </w:r>
    </w:p>
    <w:p>
      <w:pPr>
        <w:spacing w:before="218" w:line="360" w:lineRule="auto"/>
        <w:ind w:right="-197" w:rightChars="-94"/>
        <w:jc w:val="left"/>
        <w:outlineLvl w:val="1"/>
        <w:rPr>
          <w:rFonts w:ascii="仿宋" w:hAnsi="仿宋" w:eastAsia="仿宋" w:cs="宋体"/>
          <w:b/>
          <w:bCs/>
          <w:color w:val="auto"/>
          <w:spacing w:val="1"/>
          <w:sz w:val="24"/>
          <w:highlight w:val="none"/>
        </w:rPr>
      </w:pPr>
      <w:r>
        <w:rPr>
          <w:rFonts w:hint="eastAsia" w:ascii="仿宋" w:hAnsi="仿宋" w:eastAsia="仿宋" w:cs="宋体"/>
          <w:b/>
          <w:bCs/>
          <w:color w:val="auto"/>
          <w:spacing w:val="1"/>
          <w:sz w:val="24"/>
          <w:highlight w:val="none"/>
        </w:rPr>
        <w:t>六、人员要求</w:t>
      </w:r>
    </w:p>
    <w:p>
      <w:pPr>
        <w:pStyle w:val="81"/>
        <w:spacing w:before="0" w:beforeAutospacing="0" w:after="0" w:afterAutospacing="0" w:line="360" w:lineRule="auto"/>
        <w:ind w:firstLine="480" w:firstLineChars="200"/>
        <w:rPr>
          <w:rFonts w:ascii="仿宋" w:hAnsi="仿宋" w:eastAsia="仿宋" w:cs="仿宋"/>
          <w:bCs/>
          <w:color w:val="auto"/>
          <w:kern w:val="2"/>
          <w:highlight w:val="none"/>
        </w:rPr>
      </w:pPr>
      <w:r>
        <w:rPr>
          <w:rFonts w:hint="eastAsia" w:ascii="仿宋" w:hAnsi="仿宋" w:eastAsia="仿宋" w:cs="仿宋"/>
          <w:bCs/>
          <w:color w:val="auto"/>
          <w:kern w:val="2"/>
          <w:highlight w:val="none"/>
        </w:rPr>
        <w:t>1、拟投入本项目的项目负责人不少于4人：具有公路工程二级建造师和工程师及以上技术职称，具有有效期内的交通行业主管部门核发的项目负责人安全生产考核合格证书（B类）。</w:t>
      </w:r>
    </w:p>
    <w:p>
      <w:pPr>
        <w:pStyle w:val="81"/>
        <w:spacing w:before="0" w:beforeAutospacing="0" w:after="0" w:afterAutospacing="0" w:line="360" w:lineRule="auto"/>
        <w:ind w:firstLine="480" w:firstLineChars="200"/>
        <w:rPr>
          <w:rFonts w:ascii="仿宋" w:hAnsi="仿宋" w:eastAsia="仿宋" w:cs="仿宋"/>
          <w:bCs/>
          <w:color w:val="auto"/>
          <w:kern w:val="2"/>
          <w:highlight w:val="none"/>
        </w:rPr>
      </w:pPr>
      <w:r>
        <w:rPr>
          <w:rFonts w:hint="eastAsia" w:ascii="仿宋" w:hAnsi="仿宋" w:eastAsia="仿宋" w:cs="仿宋"/>
          <w:bCs/>
          <w:color w:val="auto"/>
          <w:kern w:val="2"/>
          <w:highlight w:val="none"/>
        </w:rPr>
        <w:t>2、拟投入本项目的项目路面负责人不少于4人：具有工程师及以上技术职称，具有有效期内的交通行业主管部门核发的项目负责人安全生产考核合格证书（B类）。</w:t>
      </w:r>
    </w:p>
    <w:p>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3、拟投入本项目的绿化负责人不少于2人，具有绿化工程师及以上技术职称。</w:t>
      </w:r>
    </w:p>
    <w:p>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4、拟投入本项目的小修负责人不少于4人，具有工程师及以上技术职称。</w:t>
      </w:r>
    </w:p>
    <w:p>
      <w:pPr>
        <w:snapToGrid w:val="0"/>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5、拟投入本项目的安全负责人不少于4人，具有工程师及以上技术职称,具有有效期内的交通行业主管部门核发的项目负责人安全生产考核合格证书（c类）。</w:t>
      </w:r>
    </w:p>
    <w:p>
      <w:pPr>
        <w:pStyle w:val="2"/>
        <w:spacing w:line="360" w:lineRule="auto"/>
        <w:ind w:firstLine="482"/>
        <w:rPr>
          <w:rFonts w:ascii="仿宋" w:hAnsi="仿宋" w:eastAsia="仿宋"/>
          <w:b/>
          <w:bCs/>
          <w:color w:val="auto"/>
          <w:highlight w:val="none"/>
        </w:rPr>
      </w:pPr>
      <w:r>
        <w:rPr>
          <w:rFonts w:hint="eastAsia" w:ascii="仿宋" w:hAnsi="仿宋" w:eastAsia="仿宋"/>
          <w:b/>
          <w:bCs/>
          <w:color w:val="auto"/>
          <w:highlight w:val="none"/>
        </w:rPr>
        <w:t>七、场地要求</w:t>
      </w:r>
    </w:p>
    <w:p>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投标人</w:t>
      </w:r>
      <w:r>
        <w:rPr>
          <w:rFonts w:ascii="仿宋" w:hAnsi="仿宋" w:eastAsia="仿宋" w:cs="宋体"/>
          <w:color w:val="auto"/>
          <w:sz w:val="24"/>
          <w:highlight w:val="none"/>
        </w:rPr>
        <w:t>须在</w:t>
      </w:r>
      <w:r>
        <w:rPr>
          <w:rFonts w:hint="eastAsia" w:ascii="仿宋" w:hAnsi="仿宋" w:eastAsia="仿宋" w:cs="宋体"/>
          <w:color w:val="auto"/>
          <w:sz w:val="24"/>
          <w:highlight w:val="none"/>
        </w:rPr>
        <w:t>余杭区</w:t>
      </w:r>
      <w:r>
        <w:rPr>
          <w:rFonts w:ascii="仿宋" w:hAnsi="仿宋" w:eastAsia="仿宋" w:cs="宋体"/>
          <w:color w:val="auto"/>
          <w:sz w:val="24"/>
          <w:highlight w:val="none"/>
        </w:rPr>
        <w:t>范围内设置不少于5处固定养护基地</w:t>
      </w:r>
      <w:r>
        <w:rPr>
          <w:rFonts w:hint="eastAsia" w:ascii="仿宋" w:hAnsi="仿宋" w:eastAsia="仿宋" w:cs="宋体"/>
          <w:color w:val="auto"/>
          <w:sz w:val="24"/>
          <w:highlight w:val="none"/>
        </w:rPr>
        <w:t>（以</w:t>
      </w:r>
      <w:r>
        <w:rPr>
          <w:rFonts w:ascii="仿宋" w:hAnsi="仿宋" w:eastAsia="仿宋" w:cs="宋体"/>
          <w:color w:val="auto"/>
          <w:sz w:val="24"/>
          <w:highlight w:val="none"/>
        </w:rPr>
        <w:t>5处固定养护基地</w:t>
      </w:r>
      <w:r>
        <w:rPr>
          <w:rFonts w:hint="eastAsia" w:ascii="仿宋" w:hAnsi="仿宋" w:eastAsia="仿宋" w:cs="宋体"/>
          <w:color w:val="auto"/>
          <w:sz w:val="24"/>
          <w:highlight w:val="none"/>
        </w:rPr>
        <w:t>为中心，半径1</w:t>
      </w:r>
      <w:r>
        <w:rPr>
          <w:rFonts w:ascii="仿宋" w:hAnsi="仿宋" w:eastAsia="仿宋" w:cs="宋体"/>
          <w:color w:val="auto"/>
          <w:sz w:val="24"/>
          <w:highlight w:val="none"/>
        </w:rPr>
        <w:t>5</w:t>
      </w:r>
      <w:r>
        <w:rPr>
          <w:rFonts w:hint="eastAsia" w:ascii="仿宋" w:hAnsi="仿宋" w:eastAsia="仿宋" w:cs="宋体"/>
          <w:color w:val="auto"/>
          <w:sz w:val="24"/>
          <w:highlight w:val="none"/>
        </w:rPr>
        <w:t>公里内，要求覆盖整个余杭区养护范围）</w:t>
      </w:r>
      <w:r>
        <w:rPr>
          <w:rFonts w:ascii="仿宋" w:hAnsi="仿宋" w:eastAsia="仿宋" w:cs="宋体"/>
          <w:color w:val="auto"/>
          <w:sz w:val="24"/>
          <w:highlight w:val="none"/>
        </w:rPr>
        <w:t>，每处</w:t>
      </w:r>
      <w:r>
        <w:rPr>
          <w:rFonts w:ascii="仿宋" w:hAnsi="仿宋" w:eastAsia="仿宋" w:cs="宋体"/>
          <w:color w:val="auto"/>
          <w:spacing w:val="4"/>
          <w:sz w:val="24"/>
          <w:highlight w:val="none"/>
        </w:rPr>
        <w:t>固定基地应包括办公区</w:t>
      </w:r>
      <w:r>
        <w:rPr>
          <w:rFonts w:hint="eastAsia" w:ascii="仿宋" w:hAnsi="仿宋" w:eastAsia="仿宋" w:cs="宋体"/>
          <w:color w:val="auto"/>
          <w:spacing w:val="4"/>
          <w:sz w:val="24"/>
          <w:highlight w:val="none"/>
        </w:rPr>
        <w:t>使用面积</w:t>
      </w:r>
      <w:r>
        <w:rPr>
          <w:rFonts w:ascii="仿宋" w:hAnsi="仿宋" w:eastAsia="仿宋" w:cs="宋体"/>
          <w:color w:val="auto"/>
          <w:spacing w:val="4"/>
          <w:sz w:val="24"/>
          <w:highlight w:val="none"/>
        </w:rPr>
        <w:t>（≥</w:t>
      </w:r>
      <w:r>
        <w:rPr>
          <w:rFonts w:hint="eastAsia" w:ascii="仿宋" w:hAnsi="仿宋" w:eastAsia="仿宋" w:cs="宋体"/>
          <w:color w:val="auto"/>
          <w:spacing w:val="4"/>
          <w:sz w:val="24"/>
          <w:highlight w:val="none"/>
        </w:rPr>
        <w:t>5</w:t>
      </w:r>
      <w:r>
        <w:rPr>
          <w:rFonts w:ascii="仿宋" w:hAnsi="仿宋" w:eastAsia="仿宋" w:cs="宋体"/>
          <w:color w:val="auto"/>
          <w:spacing w:val="4"/>
          <w:sz w:val="24"/>
          <w:highlight w:val="none"/>
        </w:rPr>
        <w:t>00平方米）、车辆停放场地（≥500平方米）、仓</w:t>
      </w:r>
      <w:r>
        <w:rPr>
          <w:rFonts w:ascii="仿宋" w:hAnsi="仿宋" w:eastAsia="仿宋" w:cs="宋体"/>
          <w:color w:val="auto"/>
          <w:spacing w:val="1"/>
          <w:sz w:val="24"/>
          <w:highlight w:val="none"/>
        </w:rPr>
        <w:t>库区（≥200平方米）</w:t>
      </w:r>
      <w:r>
        <w:rPr>
          <w:rFonts w:hint="eastAsia" w:ascii="仿宋" w:hAnsi="仿宋" w:eastAsia="仿宋" w:cs="宋体"/>
          <w:color w:val="auto"/>
          <w:spacing w:val="1"/>
          <w:sz w:val="24"/>
          <w:highlight w:val="none"/>
        </w:rPr>
        <w:t>，其中</w:t>
      </w:r>
      <w:r>
        <w:rPr>
          <w:rFonts w:ascii="仿宋" w:hAnsi="仿宋" w:eastAsia="仿宋" w:cs="宋体"/>
          <w:color w:val="auto"/>
          <w:sz w:val="24"/>
          <w:highlight w:val="none"/>
        </w:rPr>
        <w:t>固定养护基地</w:t>
      </w:r>
      <w:r>
        <w:rPr>
          <w:rFonts w:hint="eastAsia" w:ascii="仿宋" w:hAnsi="仿宋" w:eastAsia="仿宋" w:cs="宋体"/>
          <w:color w:val="auto"/>
          <w:sz w:val="24"/>
          <w:highlight w:val="none"/>
        </w:rPr>
        <w:t>总仓库区面积</w:t>
      </w:r>
      <w:r>
        <w:rPr>
          <w:rFonts w:ascii="仿宋" w:hAnsi="仿宋" w:eastAsia="仿宋" w:cs="宋体"/>
          <w:color w:val="auto"/>
          <w:spacing w:val="4"/>
          <w:sz w:val="24"/>
          <w:highlight w:val="none"/>
        </w:rPr>
        <w:t>≥</w:t>
      </w:r>
      <w:r>
        <w:rPr>
          <w:rFonts w:hint="eastAsia" w:ascii="仿宋" w:hAnsi="仿宋" w:eastAsia="仿宋" w:cs="宋体"/>
          <w:color w:val="auto"/>
          <w:spacing w:val="4"/>
          <w:sz w:val="24"/>
          <w:highlight w:val="none"/>
        </w:rPr>
        <w:t>25</w:t>
      </w:r>
      <w:r>
        <w:rPr>
          <w:rFonts w:ascii="仿宋" w:hAnsi="仿宋" w:eastAsia="仿宋" w:cs="宋体"/>
          <w:color w:val="auto"/>
          <w:spacing w:val="4"/>
          <w:sz w:val="24"/>
          <w:highlight w:val="none"/>
        </w:rPr>
        <w:t>00平方米</w:t>
      </w:r>
      <w:r>
        <w:rPr>
          <w:rFonts w:hint="eastAsia" w:ascii="仿宋" w:hAnsi="仿宋" w:eastAsia="仿宋" w:cs="仿宋"/>
          <w:color w:val="auto"/>
          <w:sz w:val="24"/>
          <w:highlight w:val="none"/>
        </w:rPr>
        <w:t>。</w:t>
      </w:r>
      <w:r>
        <w:rPr>
          <w:rFonts w:ascii="仿宋" w:hAnsi="仿宋" w:eastAsia="仿宋"/>
          <w:b/>
          <w:bCs/>
          <w:color w:val="auto"/>
          <w:sz w:val="24"/>
          <w:highlight w:val="none"/>
        </w:rPr>
        <w:t>（</w:t>
      </w:r>
      <w:r>
        <w:rPr>
          <w:rFonts w:hint="eastAsia" w:ascii="仿宋" w:hAnsi="仿宋" w:eastAsia="仿宋"/>
          <w:b/>
          <w:bCs/>
          <w:color w:val="auto"/>
          <w:sz w:val="24"/>
          <w:highlight w:val="none"/>
        </w:rPr>
        <w:t>提供场地分布及覆盖半径图；在提供场地分布及覆盖半径图基础上，</w:t>
      </w:r>
      <w:r>
        <w:rPr>
          <w:rFonts w:ascii="仿宋" w:hAnsi="仿宋" w:eastAsia="仿宋"/>
          <w:b/>
          <w:bCs/>
          <w:color w:val="auto"/>
          <w:sz w:val="24"/>
          <w:highlight w:val="none"/>
        </w:rPr>
        <w:t>自有</w:t>
      </w:r>
      <w:r>
        <w:rPr>
          <w:rFonts w:hint="eastAsia" w:ascii="仿宋" w:hAnsi="仿宋" w:eastAsia="仿宋"/>
          <w:b/>
          <w:bCs/>
          <w:color w:val="auto"/>
          <w:sz w:val="24"/>
          <w:highlight w:val="none"/>
        </w:rPr>
        <w:t>场地</w:t>
      </w:r>
      <w:r>
        <w:rPr>
          <w:rFonts w:ascii="仿宋" w:hAnsi="仿宋" w:eastAsia="仿宋"/>
          <w:b/>
          <w:bCs/>
          <w:color w:val="auto"/>
          <w:sz w:val="24"/>
          <w:highlight w:val="none"/>
        </w:rPr>
        <w:t>的提供不动产权证明</w:t>
      </w:r>
      <w:r>
        <w:rPr>
          <w:rFonts w:hint="eastAsia" w:ascii="仿宋" w:hAnsi="仿宋" w:eastAsia="仿宋"/>
          <w:b/>
          <w:bCs/>
          <w:color w:val="auto"/>
          <w:sz w:val="24"/>
          <w:highlight w:val="none"/>
        </w:rPr>
        <w:t>，该场地的平面图、现场照片</w:t>
      </w:r>
      <w:r>
        <w:rPr>
          <w:rFonts w:ascii="仿宋" w:hAnsi="仿宋" w:eastAsia="仿宋"/>
          <w:b/>
          <w:bCs/>
          <w:color w:val="auto"/>
          <w:sz w:val="24"/>
          <w:highlight w:val="none"/>
        </w:rPr>
        <w:t>；</w:t>
      </w:r>
      <w:r>
        <w:rPr>
          <w:rFonts w:hint="eastAsia" w:ascii="仿宋" w:hAnsi="仿宋" w:eastAsia="仿宋"/>
          <w:b/>
          <w:bCs/>
          <w:color w:val="auto"/>
          <w:sz w:val="24"/>
          <w:highlight w:val="none"/>
        </w:rPr>
        <w:t>如目前还没有的，在提供场地分布及覆盖半径图基础上，提供相关的场地租赁意向协议及该场地的平面图，现场照片，租赁期≥本项目服务期，并承诺收到中标通知书之日起5个日历天内具备投入使用的条件（如中标后未能按时投入使用或场地面积不符合要求，采购人有终止合同）。</w:t>
      </w:r>
    </w:p>
    <w:p>
      <w:pPr>
        <w:spacing w:line="360" w:lineRule="auto"/>
        <w:ind w:firstLine="484" w:firstLineChars="200"/>
        <w:jc w:val="left"/>
        <w:rPr>
          <w:rFonts w:ascii="仿宋" w:hAnsi="仿宋" w:eastAsia="仿宋" w:cs="宋体"/>
          <w:color w:val="auto"/>
          <w:spacing w:val="4"/>
          <w:sz w:val="24"/>
          <w:highlight w:val="none"/>
        </w:rPr>
      </w:pPr>
      <w:r>
        <w:rPr>
          <w:rFonts w:hint="eastAsia" w:ascii="仿宋" w:hAnsi="仿宋" w:eastAsia="仿宋" w:cs="宋体"/>
          <w:b/>
          <w:bCs/>
          <w:color w:val="auto"/>
          <w:spacing w:val="1"/>
          <w:sz w:val="24"/>
          <w:highlight w:val="none"/>
        </w:rPr>
        <w:t>八、验收</w:t>
      </w:r>
      <w:bookmarkEnd w:id="173"/>
    </w:p>
    <w:p>
      <w:pPr>
        <w:pStyle w:val="645"/>
        <w:ind w:firstLine="480"/>
        <w:rPr>
          <w:rFonts w:ascii="仿宋" w:hAnsi="仿宋" w:eastAsia="仿宋" w:cs="仿宋"/>
          <w:color w:val="auto"/>
          <w:highlight w:val="none"/>
        </w:rPr>
      </w:pPr>
      <w:bookmarkStart w:id="175" w:name="_Toc9028"/>
      <w:bookmarkStart w:id="176" w:name="_Hlk102914293"/>
      <w:r>
        <w:rPr>
          <w:rFonts w:ascii="仿宋" w:hAnsi="仿宋" w:eastAsia="仿宋" w:cs="仿宋"/>
          <w:color w:val="auto"/>
          <w:highlight w:val="none"/>
        </w:rPr>
        <w:t>1</w:t>
      </w:r>
      <w:r>
        <w:rPr>
          <w:rFonts w:hint="eastAsia" w:ascii="仿宋" w:hAnsi="仿宋" w:eastAsia="仿宋" w:cs="仿宋"/>
          <w:color w:val="auto"/>
          <w:highlight w:val="none"/>
        </w:rPr>
        <w:t>、验收组织和程序</w:t>
      </w:r>
      <w:bookmarkEnd w:id="175"/>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组成。验收小组负责实施具体的验收活动。采购人可以邀请其他单位的相关专业人员参加验收小组。验收小组推选一名组长，主持验收小组的工作。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根据验收方案组织验收小组现场验收，并准备验收材料并通知各验收参与方在指定时间指定地点联合验收，包括采购人、供应商、验收小组、其他验收参与方等。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作出实质性修改的，应当报经采购人同意。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供应商配合验收工作，并就验收实施过程中的疑问进行解答和澄清。项目验收过程中，供应商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4）出具验收报告。验收结束后，验收小组应当出具验收报告，报告采购人。验收报告应当根据验收方案制作，以书面形式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5）验收不合格的，采购人应责令供应商采取补救措施，向供应商发出整改通知书，并依法及时处理。整改结束后，由供应商通知采购人或其委托的验收组织机构重新验收。</w:t>
      </w:r>
    </w:p>
    <w:p>
      <w:pPr>
        <w:pStyle w:val="2"/>
        <w:spacing w:line="360" w:lineRule="auto"/>
        <w:rPr>
          <w:rFonts w:ascii="仿宋" w:hAnsi="仿宋" w:eastAsia="仿宋" w:cs="宋体"/>
          <w:color w:val="auto"/>
          <w:highlight w:val="none"/>
        </w:rPr>
      </w:pPr>
      <w:bookmarkStart w:id="177" w:name="_Toc8526"/>
      <w:r>
        <w:rPr>
          <w:rFonts w:hint="eastAsia" w:ascii="仿宋" w:hAnsi="仿宋" w:eastAsia="仿宋" w:cs="宋体"/>
          <w:color w:val="auto"/>
          <w:highlight w:val="none"/>
        </w:rPr>
        <w:t>2、履约验收内容</w:t>
      </w:r>
      <w:bookmarkEnd w:id="177"/>
    </w:p>
    <w:p>
      <w:pPr>
        <w:pStyle w:val="645"/>
        <w:ind w:firstLine="480"/>
        <w:rPr>
          <w:rFonts w:ascii="仿宋" w:hAnsi="仿宋" w:eastAsia="仿宋" w:cs="仿宋"/>
          <w:color w:val="auto"/>
          <w:highlight w:val="none"/>
        </w:rPr>
      </w:pPr>
      <w:bookmarkStart w:id="178" w:name="_Toc354"/>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宋体"/>
          <w:color w:val="auto"/>
          <w:highlight w:val="none"/>
        </w:rPr>
      </w:pPr>
      <w:r>
        <w:rPr>
          <w:rFonts w:hint="eastAsia" w:ascii="仿宋" w:hAnsi="仿宋" w:eastAsia="仿宋" w:cs="仿宋"/>
          <w:color w:val="auto"/>
          <w:highlight w:val="none"/>
        </w:rPr>
        <w:t>2</w:t>
      </w:r>
      <w:r>
        <w:rPr>
          <w:rFonts w:hint="eastAsia" w:ascii="仿宋" w:hAnsi="仿宋" w:eastAsia="仿宋" w:cs="宋体"/>
          <w:color w:val="auto"/>
          <w:highlight w:val="none"/>
        </w:rPr>
        <w:t>）</w:t>
      </w:r>
      <w:r>
        <w:rPr>
          <w:rFonts w:ascii="仿宋" w:hAnsi="仿宋" w:eastAsia="仿宋" w:cs="宋体"/>
          <w:color w:val="auto"/>
          <w:highlight w:val="none"/>
        </w:rPr>
        <w:t>拟投服务团队</w:t>
      </w:r>
      <w:r>
        <w:rPr>
          <w:rFonts w:hint="eastAsia" w:ascii="仿宋" w:hAnsi="仿宋" w:eastAsia="仿宋" w:cs="宋体"/>
          <w:color w:val="auto"/>
          <w:highlight w:val="none"/>
        </w:rPr>
        <w:t>管理</w:t>
      </w:r>
      <w:r>
        <w:rPr>
          <w:rFonts w:ascii="仿宋" w:hAnsi="仿宋" w:eastAsia="仿宋" w:cs="宋体"/>
          <w:color w:val="auto"/>
          <w:highlight w:val="none"/>
        </w:rPr>
        <w:t>人员全部到位，与</w:t>
      </w:r>
      <w:r>
        <w:rPr>
          <w:rFonts w:hint="eastAsia" w:ascii="仿宋" w:hAnsi="仿宋" w:eastAsia="仿宋" w:cs="宋体"/>
          <w:color w:val="auto"/>
          <w:highlight w:val="none"/>
        </w:rPr>
        <w:t>响应</w:t>
      </w:r>
      <w:r>
        <w:rPr>
          <w:rFonts w:ascii="仿宋" w:hAnsi="仿宋" w:eastAsia="仿宋" w:cs="宋体"/>
          <w:color w:val="auto"/>
          <w:highlight w:val="none"/>
        </w:rPr>
        <w:t>文件</w:t>
      </w:r>
      <w:r>
        <w:rPr>
          <w:rFonts w:hint="eastAsia" w:ascii="仿宋" w:hAnsi="仿宋" w:eastAsia="仿宋" w:cs="宋体"/>
          <w:color w:val="auto"/>
          <w:highlight w:val="none"/>
        </w:rPr>
        <w:t>管理</w:t>
      </w:r>
      <w:r>
        <w:rPr>
          <w:rFonts w:ascii="仿宋" w:hAnsi="仿宋" w:eastAsia="仿宋" w:cs="宋体"/>
          <w:color w:val="auto"/>
          <w:highlight w:val="none"/>
        </w:rPr>
        <w:t>人员信息清单一致</w:t>
      </w:r>
      <w:r>
        <w:rPr>
          <w:rFonts w:hint="eastAsia" w:ascii="仿宋" w:hAnsi="仿宋" w:eastAsia="仿宋" w:cs="宋体"/>
          <w:color w:val="auto"/>
          <w:highlight w:val="none"/>
        </w:rPr>
        <w:t>。</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39" w:firstLineChars="183"/>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61"/>
        <w:spacing w:after="120" w:line="360" w:lineRule="auto"/>
        <w:ind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bookmarkEnd w:id="178"/>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w:t>
      </w:r>
      <w:r>
        <w:rPr>
          <w:rFonts w:hint="eastAsia" w:ascii="仿宋" w:hAnsi="仿宋" w:eastAsia="仿宋" w:cs="仿宋"/>
          <w:color w:val="auto"/>
          <w:highlight w:val="none"/>
        </w:rPr>
        <w:t>管理</w:t>
      </w:r>
      <w:r>
        <w:rPr>
          <w:rFonts w:ascii="仿宋" w:hAnsi="仿宋" w:eastAsia="仿宋" w:cs="仿宋"/>
          <w:color w:val="auto"/>
          <w:highlight w:val="none"/>
        </w:rPr>
        <w:t>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w:t>
      </w:r>
      <w:r>
        <w:rPr>
          <w:rFonts w:hint="eastAsia" w:ascii="仿宋" w:hAnsi="仿宋" w:eastAsia="仿宋" w:cs="仿宋"/>
          <w:color w:val="auto"/>
          <w:highlight w:val="none"/>
        </w:rPr>
        <w:t>管理</w:t>
      </w:r>
      <w:r>
        <w:rPr>
          <w:rFonts w:ascii="仿宋" w:hAnsi="仿宋" w:eastAsia="仿宋" w:cs="仿宋"/>
          <w:color w:val="auto"/>
          <w:highlight w:val="none"/>
        </w:rPr>
        <w:t>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bookmarkStart w:id="179" w:name="_Toc24191"/>
      <w:bookmarkStart w:id="180" w:name="_Toc100838239"/>
      <w:r>
        <w:rPr>
          <w:rFonts w:hint="eastAsia" w:ascii="仿宋" w:hAnsi="仿宋" w:eastAsia="仿宋" w:cs="仿宋"/>
          <w:color w:val="auto"/>
          <w:sz w:val="24"/>
          <w:highlight w:val="none"/>
        </w:rPr>
        <w:t>4、履约验收其他事项</w:t>
      </w:r>
      <w:bookmarkEnd w:id="179"/>
      <w:bookmarkEnd w:id="180"/>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（1）采购人在供应商提供相关服务的过程中，有权不定期对服务内容和质量进行考核。供应商提供相关服务过程中有违反合同约定、不达约定标准情况的，采购人有权要求供应商限期整改，供应商未按采购人</w:t>
      </w:r>
      <w:r>
        <w:rPr>
          <w:rFonts w:ascii="仿宋" w:hAnsi="仿宋" w:eastAsia="仿宋" w:cs="仿宋"/>
          <w:color w:val="auto"/>
          <w:sz w:val="24"/>
          <w:szCs w:val="24"/>
          <w:highlight w:val="none"/>
        </w:rPr>
        <w:t>要求整改的，采购人有权拒绝验收，供应商应承担相应的违约责任。</w:t>
      </w:r>
    </w:p>
    <w:p>
      <w:pPr>
        <w:pStyle w:val="661"/>
        <w:spacing w:after="120" w:line="360" w:lineRule="auto"/>
        <w:ind w:firstLine="468" w:firstLineChars="19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服务成果未通过采购人验收，采购人有权要求供应商进行整改，相关费用（包括但不限于重新组织验收等费用）由供应商承担；如供应商未在采购人要求期限内整改或整改后仍不合格或已经无法整改的，采购人有权要求供应商承担相应的违约责任。</w:t>
      </w:r>
    </w:p>
    <w:bookmarkEnd w:id="176"/>
    <w:p>
      <w:pPr>
        <w:spacing w:before="156" w:beforeLines="50" w:after="156" w:afterLines="50" w:line="360" w:lineRule="auto"/>
        <w:outlineLvl w:val="1"/>
        <w:rPr>
          <w:rFonts w:ascii="仿宋" w:hAnsi="仿宋" w:eastAsia="仿宋" w:cs="宋体"/>
          <w:b/>
          <w:color w:val="auto"/>
          <w:sz w:val="24"/>
          <w:highlight w:val="none"/>
        </w:rPr>
      </w:pPr>
      <w:bookmarkStart w:id="181" w:name="_Toc30867"/>
      <w:r>
        <w:rPr>
          <w:rFonts w:hint="eastAsia" w:ascii="仿宋" w:hAnsi="仿宋" w:eastAsia="仿宋" w:cs="宋体"/>
          <w:b/>
          <w:color w:val="auto"/>
          <w:sz w:val="24"/>
          <w:highlight w:val="none"/>
        </w:rPr>
        <w:t>九、投标文件中还需提供以下资料：</w:t>
      </w:r>
      <w:bookmarkEnd w:id="181"/>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olor w:val="auto"/>
          <w:highlight w:val="none"/>
        </w:rPr>
        <w:t>组织实施方案</w:t>
      </w:r>
      <w:r>
        <w:rPr>
          <w:rFonts w:hint="eastAsia" w:ascii="仿宋" w:hAnsi="仿宋" w:eastAsia="仿宋" w:cs="仿宋"/>
          <w:color w:val="auto"/>
          <w:highlight w:val="none"/>
        </w:rPr>
        <w:t>。</w:t>
      </w:r>
    </w:p>
    <w:bookmarkEnd w:id="174"/>
    <w:p>
      <w:pPr>
        <w:spacing w:line="360" w:lineRule="auto"/>
        <w:rPr>
          <w:rFonts w:ascii="仿宋" w:hAnsi="仿宋" w:eastAsia="仿宋"/>
          <w:color w:val="auto"/>
          <w:sz w:val="24"/>
          <w:highlight w:val="none"/>
        </w:rPr>
        <w:sectPr>
          <w:footerReference r:id="rId5" w:type="default"/>
          <w:pgSz w:w="11906" w:h="16838"/>
          <w:pgMar w:top="1440" w:right="1701" w:bottom="1440" w:left="1797" w:header="851" w:footer="992" w:gutter="0"/>
          <w:pgNumType w:start="1"/>
          <w:cols w:space="720" w:num="1"/>
          <w:docGrid w:type="linesAndChars" w:linePitch="312" w:charSpace="0"/>
        </w:sectPr>
      </w:pPr>
    </w:p>
    <w:p>
      <w:pPr>
        <w:spacing w:line="360" w:lineRule="auto"/>
        <w:outlineLvl w:val="1"/>
        <w:rPr>
          <w:rFonts w:ascii="仿宋" w:hAnsi="仿宋" w:eastAsia="仿宋"/>
          <w:b/>
          <w:bCs/>
          <w:color w:val="auto"/>
          <w:sz w:val="24"/>
          <w:highlight w:val="none"/>
        </w:rPr>
      </w:pPr>
      <w:bookmarkStart w:id="182" w:name="_Toc4544"/>
      <w:r>
        <w:rPr>
          <w:rFonts w:hint="eastAsia" w:ascii="仿宋" w:hAnsi="仿宋" w:eastAsia="仿宋"/>
          <w:b/>
          <w:bCs/>
          <w:color w:val="auto"/>
          <w:sz w:val="24"/>
          <w:highlight w:val="none"/>
        </w:rPr>
        <w:t>九、清单</w:t>
      </w:r>
      <w:bookmarkEnd w:id="182"/>
    </w:p>
    <w:tbl>
      <w:tblPr>
        <w:tblStyle w:val="88"/>
        <w:tblW w:w="11745" w:type="dxa"/>
        <w:tblInd w:w="0" w:type="dxa"/>
        <w:tblLayout w:type="fixed"/>
        <w:tblCellMar>
          <w:top w:w="0" w:type="dxa"/>
          <w:left w:w="108" w:type="dxa"/>
          <w:bottom w:w="0" w:type="dxa"/>
          <w:right w:w="108" w:type="dxa"/>
        </w:tblCellMar>
      </w:tblPr>
      <w:tblGrid>
        <w:gridCol w:w="540"/>
        <w:gridCol w:w="2220"/>
        <w:gridCol w:w="1040"/>
        <w:gridCol w:w="1157"/>
        <w:gridCol w:w="1275"/>
        <w:gridCol w:w="2213"/>
        <w:gridCol w:w="1120"/>
        <w:gridCol w:w="2180"/>
      </w:tblGrid>
      <w:tr>
        <w:tblPrEx>
          <w:tblCellMar>
            <w:top w:w="0" w:type="dxa"/>
            <w:left w:w="108" w:type="dxa"/>
            <w:bottom w:w="0" w:type="dxa"/>
            <w:right w:w="108" w:type="dxa"/>
          </w:tblCellMar>
        </w:tblPrEx>
        <w:trPr>
          <w:trHeight w:val="501"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2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线路名称</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里程</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（Km)</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养护等级</w:t>
            </w:r>
          </w:p>
        </w:tc>
        <w:tc>
          <w:tcPr>
            <w:tcW w:w="127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养护面积</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最高限价（单价）</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合计（万元）</w:t>
            </w:r>
          </w:p>
        </w:tc>
        <w:tc>
          <w:tcPr>
            <w:tcW w:w="218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tblPrEx>
          <w:tblCellMar>
            <w:top w:w="0" w:type="dxa"/>
            <w:left w:w="108" w:type="dxa"/>
            <w:bottom w:w="0" w:type="dxa"/>
            <w:right w:w="108" w:type="dxa"/>
          </w:tblCellMar>
        </w:tblPrEx>
        <w:trPr>
          <w:trHeight w:val="72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1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长乐-径山</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18.00 </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漕桥-雅城</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19.13 </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双溪-后畈</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19.15 </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石竹园-关口场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2.71 </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"file:///C:\\Users\\Lujia\\Desktop\\19.县道公路病历\\4.黄湖公路养护站\\7.百丈-甘岭.doc"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百丈-甘岭</w:t>
            </w:r>
            <w:r>
              <w:rPr>
                <w:rFonts w:hint="eastAsia" w:ascii="宋体" w:hAnsi="宋体" w:cs="宋体"/>
                <w:color w:val="auto"/>
                <w:kern w:val="0"/>
                <w:sz w:val="20"/>
                <w:szCs w:val="20"/>
                <w:highlight w:val="none"/>
              </w:rPr>
              <w:fldChar w:fldCharType="end"/>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5.485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"file:///C:\\Users\\Lujia\\Desktop\\19.县道公路病历\\4.黄湖公路养护站\\8.小弄里-交界村.doc"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小弄里-交界村</w:t>
            </w:r>
            <w:r>
              <w:rPr>
                <w:rFonts w:hint="eastAsia" w:ascii="宋体" w:hAnsi="宋体" w:cs="宋体"/>
                <w:color w:val="auto"/>
                <w:kern w:val="0"/>
                <w:sz w:val="20"/>
                <w:szCs w:val="20"/>
                <w:highlight w:val="none"/>
              </w:rPr>
              <w:fldChar w:fldCharType="end"/>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9.368</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"file:///C:\\Users\\Lujia\\Desktop\\19.县道公路病历\\4.黄湖公路养护站\\9.双溪-洞桥.doc"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双溪-洞桥</w:t>
            </w:r>
            <w:r>
              <w:rPr>
                <w:rFonts w:hint="eastAsia" w:ascii="宋体" w:hAnsi="宋体" w:cs="宋体"/>
                <w:color w:val="auto"/>
                <w:kern w:val="0"/>
                <w:sz w:val="20"/>
                <w:szCs w:val="20"/>
                <w:highlight w:val="none"/>
              </w:rPr>
              <w:fldChar w:fldCharType="end"/>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6.293</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彭公-余杭（凤凰岭）</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21.939</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"file:///C:\\Users\\Lujia\\Desktop\\19.县道公路病历\\4.黄湖公路养护站\\12.201省道-鸬鸟连接线.doc"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201省道-鸬鸟连接线</w:t>
            </w:r>
            <w:r>
              <w:rPr>
                <w:rFonts w:hint="eastAsia" w:ascii="宋体" w:hAnsi="宋体" w:cs="宋体"/>
                <w:color w:val="auto"/>
                <w:kern w:val="0"/>
                <w:sz w:val="20"/>
                <w:szCs w:val="20"/>
                <w:highlight w:val="none"/>
              </w:rPr>
              <w:fldChar w:fldCharType="end"/>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1.634</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祥符桥-余杭</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11.237</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良化-上坟山</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15.438</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石岩山-茶场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6.102</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安溪-上纤埠</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5.967</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石鸽-横溪桥</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10.156</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荆山岭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余杭叉口</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4.81</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凤凰岭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中桥</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长命</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下溪湾</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5.838</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良渚</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塘栖</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19.121</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毛园岭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潘板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15.458</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舟枕</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青山</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7.964</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荆山岭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大陆</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2.867</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长命</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连琪塘</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1.425</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老15省道</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1.339</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勾庄</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陈家角</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2.496</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东塘</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姚斗</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1.823</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高桥</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泰山</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3.856</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高桥-桦树村</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3.663</w:t>
            </w:r>
          </w:p>
        </w:tc>
        <w:tc>
          <w:tcPr>
            <w:tcW w:w="115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2万元/KM·年</w:t>
            </w:r>
          </w:p>
        </w:tc>
        <w:tc>
          <w:tcPr>
            <w:tcW w:w="1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bookmarkStart w:id="183" w:name="_Hlk119358021"/>
            <w:r>
              <w:rPr>
                <w:rFonts w:hint="eastAsia" w:ascii="宋体" w:hAnsi="宋体" w:cs="宋体"/>
                <w:color w:val="auto"/>
                <w:kern w:val="0"/>
                <w:sz w:val="20"/>
                <w:szCs w:val="20"/>
                <w:highlight w:val="none"/>
              </w:rPr>
              <w:t>28</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老04省道</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1.441</w:t>
            </w:r>
          </w:p>
        </w:tc>
        <w:tc>
          <w:tcPr>
            <w:tcW w:w="115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普通县道</w:t>
            </w: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p>
        </w:tc>
        <w:tc>
          <w:tcPr>
            <w:tcW w:w="221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2万元/KM·年</w:t>
            </w:r>
          </w:p>
        </w:tc>
        <w:tc>
          <w:tcPr>
            <w:tcW w:w="1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29</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老104国道</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1.771</w:t>
            </w:r>
          </w:p>
        </w:tc>
        <w:tc>
          <w:tcPr>
            <w:tcW w:w="115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xml:space="preserve">74065 </w:t>
            </w:r>
          </w:p>
        </w:tc>
        <w:tc>
          <w:tcPr>
            <w:tcW w:w="221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保洁、小修综合单价：13.92元/平方·年</w:t>
            </w:r>
          </w:p>
        </w:tc>
        <w:tc>
          <w:tcPr>
            <w:tcW w:w="1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30</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祥彭线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12.408</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186120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31</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临余线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8.509</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208471 </w:t>
            </w:r>
          </w:p>
        </w:tc>
        <w:tc>
          <w:tcPr>
            <w:tcW w:w="2213"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瓶仓线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167170 </w:t>
            </w:r>
          </w:p>
        </w:tc>
        <w:tc>
          <w:tcPr>
            <w:tcW w:w="2213"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3</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余百线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1.776</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30192 </w:t>
            </w:r>
          </w:p>
        </w:tc>
        <w:tc>
          <w:tcPr>
            <w:tcW w:w="2213"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4</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新长西线</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5.713</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139969 </w:t>
            </w:r>
          </w:p>
        </w:tc>
        <w:tc>
          <w:tcPr>
            <w:tcW w:w="2213"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5</w:t>
            </w:r>
          </w:p>
        </w:tc>
        <w:tc>
          <w:tcPr>
            <w:tcW w:w="222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大型桥梁（3座）</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1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1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0</w:t>
            </w:r>
            <w:r>
              <w:rPr>
                <w:rFonts w:hint="eastAsia" w:ascii="宋体" w:hAnsi="宋体" w:cs="宋体"/>
                <w:color w:val="auto"/>
                <w:kern w:val="0"/>
                <w:sz w:val="20"/>
                <w:szCs w:val="20"/>
                <w:highlight w:val="none"/>
              </w:rPr>
              <w:t>万</w:t>
            </w:r>
            <w:r>
              <w:rPr>
                <w:rFonts w:hint="eastAsia" w:ascii="宋体" w:hAnsi="宋体" w:eastAsia="宋体" w:cs="宋体"/>
                <w:color w:val="auto"/>
                <w:kern w:val="0"/>
                <w:sz w:val="20"/>
                <w:szCs w:val="20"/>
                <w:highlight w:val="none"/>
              </w:rPr>
              <w:t>元/座·年</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218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bl>
    <w:p>
      <w:pPr>
        <w:pStyle w:val="2"/>
        <w:spacing w:line="360" w:lineRule="auto"/>
        <w:ind w:firstLine="0" w:firstLineChars="0"/>
        <w:rPr>
          <w:rFonts w:ascii="仿宋" w:hAnsi="仿宋" w:eastAsia="仿宋"/>
          <w:color w:val="auto"/>
          <w:highlight w:val="none"/>
        </w:rPr>
      </w:pPr>
    </w:p>
    <w:bookmarkEnd w:id="183"/>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pStyle w:val="2"/>
        <w:spacing w:after="120" w:line="360" w:lineRule="auto"/>
        <w:ind w:firstLine="880"/>
        <w:jc w:val="center"/>
        <w:rPr>
          <w:rFonts w:ascii="仿宋" w:hAnsi="仿宋" w:eastAsia="仿宋" w:cs="宋体"/>
          <w:color w:val="auto"/>
          <w:sz w:val="44"/>
          <w:highlight w:val="none"/>
        </w:rPr>
      </w:pPr>
      <w:bookmarkStart w:id="184" w:name="_Toc15073"/>
      <w:bookmarkStart w:id="185" w:name="_Toc20840"/>
      <w:bookmarkStart w:id="186" w:name="_Toc13818"/>
      <w:bookmarkStart w:id="187" w:name="_Toc670907605"/>
      <w:bookmarkStart w:id="188" w:name="_Toc95312971"/>
    </w:p>
    <w:p>
      <w:pPr>
        <w:pStyle w:val="2"/>
        <w:spacing w:after="120" w:line="360" w:lineRule="auto"/>
        <w:ind w:firstLine="880"/>
        <w:jc w:val="center"/>
        <w:rPr>
          <w:rFonts w:ascii="仿宋" w:hAnsi="仿宋" w:eastAsia="仿宋" w:cs="宋体"/>
          <w:color w:val="auto"/>
          <w:sz w:val="44"/>
          <w:highlight w:val="none"/>
        </w:rPr>
        <w:sectPr>
          <w:footerReference r:id="rId6" w:type="default"/>
          <w:pgSz w:w="16838" w:h="11906" w:orient="landscape"/>
          <w:pgMar w:top="1797" w:right="1440" w:bottom="1797" w:left="1440" w:header="851" w:footer="992" w:gutter="0"/>
          <w:cols w:space="720" w:num="1"/>
          <w:docGrid w:linePitch="312" w:charSpace="0"/>
        </w:sectPr>
      </w:pPr>
    </w:p>
    <w:p>
      <w:pPr>
        <w:pStyle w:val="2"/>
        <w:spacing w:after="120" w:line="360" w:lineRule="auto"/>
        <w:ind w:firstLine="880"/>
        <w:jc w:val="center"/>
        <w:outlineLvl w:val="0"/>
        <w:rPr>
          <w:rFonts w:ascii="仿宋" w:hAnsi="仿宋" w:eastAsia="仿宋" w:cs="仿宋_GB2312"/>
          <w:color w:val="auto"/>
          <w:szCs w:val="36"/>
          <w:highlight w:val="none"/>
        </w:rPr>
      </w:pPr>
      <w:bookmarkStart w:id="189" w:name="_Toc24273"/>
      <w:r>
        <w:rPr>
          <w:rFonts w:hint="eastAsia" w:ascii="仿宋" w:hAnsi="仿宋" w:eastAsia="仿宋" w:cs="宋体"/>
          <w:color w:val="auto"/>
          <w:sz w:val="44"/>
          <w:highlight w:val="none"/>
        </w:rPr>
        <w:t xml:space="preserve">第四部分 </w:t>
      </w:r>
      <w:bookmarkStart w:id="190" w:name="_Toc184312117"/>
      <w:bookmarkEnd w:id="190"/>
      <w:bookmarkStart w:id="191" w:name="_Toc184313239"/>
      <w:bookmarkEnd w:id="191"/>
      <w:bookmarkStart w:id="192" w:name="_Toc184310328"/>
      <w:bookmarkEnd w:id="192"/>
      <w:bookmarkStart w:id="193" w:name="_Toc184308083"/>
      <w:bookmarkEnd w:id="193"/>
      <w:bookmarkStart w:id="194" w:name="_Toc184314455"/>
      <w:bookmarkEnd w:id="194"/>
      <w:bookmarkStart w:id="195" w:name="_Toc184313246"/>
      <w:bookmarkEnd w:id="195"/>
      <w:bookmarkStart w:id="196" w:name="_Toc184310281"/>
      <w:bookmarkEnd w:id="196"/>
      <w:bookmarkStart w:id="197" w:name="_Toc184312075"/>
      <w:bookmarkEnd w:id="197"/>
      <w:bookmarkStart w:id="198" w:name="_Toc184312133"/>
      <w:bookmarkEnd w:id="198"/>
      <w:bookmarkStart w:id="199" w:name="_Toc184308095"/>
      <w:bookmarkEnd w:id="199"/>
      <w:bookmarkStart w:id="200" w:name="_Toc184312097"/>
      <w:bookmarkEnd w:id="200"/>
      <w:bookmarkStart w:id="201" w:name="_Toc184314472"/>
      <w:bookmarkEnd w:id="201"/>
      <w:bookmarkStart w:id="202" w:name="_Toc184310327"/>
      <w:bookmarkEnd w:id="202"/>
      <w:bookmarkStart w:id="203" w:name="_Toc184312073"/>
      <w:bookmarkEnd w:id="203"/>
      <w:bookmarkStart w:id="204" w:name="_Toc184310294"/>
      <w:bookmarkEnd w:id="204"/>
      <w:bookmarkStart w:id="205" w:name="_Toc184312072"/>
      <w:bookmarkEnd w:id="205"/>
      <w:bookmarkStart w:id="206" w:name="_Toc184313245"/>
      <w:bookmarkEnd w:id="206"/>
      <w:bookmarkStart w:id="207" w:name="_Toc184313276"/>
      <w:bookmarkEnd w:id="207"/>
      <w:bookmarkStart w:id="208" w:name="_Toc184310285"/>
      <w:bookmarkEnd w:id="208"/>
      <w:bookmarkStart w:id="209" w:name="_Toc184312070"/>
      <w:bookmarkEnd w:id="209"/>
      <w:bookmarkStart w:id="210" w:name="_Toc184312093"/>
      <w:bookmarkEnd w:id="210"/>
      <w:bookmarkStart w:id="211" w:name="_Toc184313268"/>
      <w:bookmarkEnd w:id="211"/>
      <w:bookmarkStart w:id="212" w:name="_Toc184310293"/>
      <w:bookmarkEnd w:id="212"/>
      <w:bookmarkStart w:id="213" w:name="_Toc184312096"/>
      <w:bookmarkEnd w:id="213"/>
      <w:bookmarkStart w:id="214" w:name="_Toc184312100"/>
      <w:bookmarkEnd w:id="214"/>
      <w:bookmarkStart w:id="215" w:name="_Toc184312102"/>
      <w:bookmarkEnd w:id="215"/>
      <w:bookmarkStart w:id="216" w:name="_Toc184310310"/>
      <w:bookmarkEnd w:id="216"/>
      <w:bookmarkStart w:id="217" w:name="_Toc184310277"/>
      <w:bookmarkEnd w:id="217"/>
      <w:bookmarkStart w:id="218" w:name="_Toc184314415"/>
      <w:bookmarkEnd w:id="218"/>
      <w:bookmarkStart w:id="219" w:name="_Toc184308108"/>
      <w:bookmarkEnd w:id="219"/>
      <w:bookmarkStart w:id="220" w:name="_Toc184310332"/>
      <w:bookmarkEnd w:id="220"/>
      <w:bookmarkStart w:id="221" w:name="_Toc184308062"/>
      <w:bookmarkEnd w:id="221"/>
      <w:bookmarkStart w:id="222" w:name="_Toc184310324"/>
      <w:bookmarkEnd w:id="222"/>
      <w:bookmarkStart w:id="223" w:name="_Toc184314474"/>
      <w:bookmarkEnd w:id="223"/>
      <w:bookmarkStart w:id="224" w:name="_Toc184308049"/>
      <w:bookmarkEnd w:id="224"/>
      <w:bookmarkStart w:id="225" w:name="_Toc184313241"/>
      <w:bookmarkEnd w:id="225"/>
      <w:bookmarkStart w:id="226" w:name="_Toc184308060"/>
      <w:bookmarkEnd w:id="226"/>
      <w:bookmarkStart w:id="227" w:name="_Toc184314428"/>
      <w:bookmarkEnd w:id="227"/>
      <w:bookmarkStart w:id="228" w:name="_Toc184314433"/>
      <w:bookmarkEnd w:id="228"/>
      <w:bookmarkStart w:id="229" w:name="_Toc184314470"/>
      <w:bookmarkEnd w:id="229"/>
      <w:bookmarkStart w:id="230" w:name="_Toc184308053"/>
      <w:bookmarkEnd w:id="230"/>
      <w:bookmarkStart w:id="231" w:name="_Toc184314454"/>
      <w:bookmarkEnd w:id="231"/>
      <w:bookmarkStart w:id="232" w:name="_Toc184313270"/>
      <w:bookmarkEnd w:id="232"/>
      <w:bookmarkStart w:id="233" w:name="_Toc184308057"/>
      <w:bookmarkEnd w:id="233"/>
      <w:bookmarkStart w:id="234" w:name="_Toc184313258"/>
      <w:bookmarkEnd w:id="234"/>
      <w:bookmarkStart w:id="235" w:name="_Toc184313308"/>
      <w:bookmarkEnd w:id="235"/>
      <w:bookmarkStart w:id="236" w:name="_Toc184312112"/>
      <w:bookmarkEnd w:id="236"/>
      <w:bookmarkStart w:id="237" w:name="_Toc184312106"/>
      <w:bookmarkEnd w:id="237"/>
      <w:bookmarkStart w:id="238" w:name="_Toc184310284"/>
      <w:bookmarkEnd w:id="238"/>
      <w:bookmarkStart w:id="239" w:name="_Toc184314422"/>
      <w:bookmarkEnd w:id="239"/>
      <w:bookmarkStart w:id="240" w:name="_Toc184314461"/>
      <w:bookmarkEnd w:id="240"/>
      <w:bookmarkStart w:id="241" w:name="_Toc184310304"/>
      <w:bookmarkEnd w:id="241"/>
      <w:bookmarkStart w:id="242" w:name="_Toc184313280"/>
      <w:bookmarkEnd w:id="242"/>
      <w:bookmarkStart w:id="243" w:name="_Toc184313267"/>
      <w:bookmarkEnd w:id="243"/>
      <w:bookmarkStart w:id="244" w:name="_Toc184310311"/>
      <w:bookmarkEnd w:id="244"/>
      <w:bookmarkStart w:id="245" w:name="_Toc184314427"/>
      <w:bookmarkEnd w:id="245"/>
      <w:bookmarkStart w:id="246" w:name="_Toc184308077"/>
      <w:bookmarkEnd w:id="246"/>
      <w:bookmarkStart w:id="247" w:name="_Toc184310333"/>
      <w:bookmarkEnd w:id="247"/>
      <w:bookmarkStart w:id="248" w:name="_Toc184313240"/>
      <w:bookmarkEnd w:id="248"/>
      <w:bookmarkStart w:id="249" w:name="_Toc184310307"/>
      <w:bookmarkEnd w:id="249"/>
      <w:bookmarkStart w:id="250" w:name="_Toc184310343"/>
      <w:bookmarkEnd w:id="250"/>
      <w:bookmarkStart w:id="251" w:name="_Toc184314414"/>
      <w:bookmarkEnd w:id="251"/>
      <w:bookmarkStart w:id="252" w:name="_Toc184312074"/>
      <w:bookmarkEnd w:id="252"/>
      <w:bookmarkStart w:id="253" w:name="_Toc184313279"/>
      <w:bookmarkEnd w:id="253"/>
      <w:bookmarkStart w:id="254" w:name="_Toc184310298"/>
      <w:bookmarkEnd w:id="254"/>
      <w:bookmarkStart w:id="255" w:name="_Toc184313295"/>
      <w:bookmarkEnd w:id="255"/>
      <w:bookmarkStart w:id="256" w:name="_Toc184308039"/>
      <w:bookmarkEnd w:id="256"/>
      <w:bookmarkStart w:id="257" w:name="_Toc184312081"/>
      <w:bookmarkEnd w:id="257"/>
      <w:bookmarkStart w:id="258" w:name="_Toc184310308"/>
      <w:bookmarkEnd w:id="258"/>
      <w:bookmarkStart w:id="259" w:name="_Toc184310290"/>
      <w:bookmarkEnd w:id="259"/>
      <w:bookmarkStart w:id="260" w:name="_Toc184314410"/>
      <w:bookmarkEnd w:id="260"/>
      <w:bookmarkStart w:id="261" w:name="_Toc184308063"/>
      <w:bookmarkEnd w:id="261"/>
      <w:bookmarkStart w:id="262" w:name="_Toc184313259"/>
      <w:bookmarkEnd w:id="262"/>
      <w:bookmarkStart w:id="263" w:name="_Toc184312108"/>
      <w:bookmarkEnd w:id="263"/>
      <w:bookmarkStart w:id="264" w:name="_Toc184310305"/>
      <w:bookmarkEnd w:id="264"/>
      <w:bookmarkStart w:id="265" w:name="_Toc184308045"/>
      <w:bookmarkEnd w:id="265"/>
      <w:bookmarkStart w:id="266" w:name="_Toc184308071"/>
      <w:bookmarkEnd w:id="266"/>
      <w:bookmarkStart w:id="267" w:name="_Toc184314416"/>
      <w:bookmarkEnd w:id="267"/>
      <w:bookmarkStart w:id="268" w:name="_Toc184313257"/>
      <w:bookmarkEnd w:id="268"/>
      <w:bookmarkStart w:id="269" w:name="_Toc184314457"/>
      <w:bookmarkEnd w:id="269"/>
      <w:bookmarkStart w:id="270" w:name="_Toc184308073"/>
      <w:bookmarkEnd w:id="270"/>
      <w:bookmarkStart w:id="271" w:name="_Toc184314473"/>
      <w:bookmarkEnd w:id="271"/>
      <w:bookmarkStart w:id="272" w:name="_Toc184310283"/>
      <w:bookmarkEnd w:id="272"/>
      <w:bookmarkStart w:id="273" w:name="_Toc184312099"/>
      <w:bookmarkEnd w:id="273"/>
      <w:bookmarkStart w:id="274" w:name="_Toc184308080"/>
      <w:bookmarkEnd w:id="274"/>
      <w:bookmarkStart w:id="275" w:name="_Toc184312080"/>
      <w:bookmarkEnd w:id="275"/>
      <w:bookmarkStart w:id="276" w:name="_Toc184314447"/>
      <w:bookmarkEnd w:id="276"/>
      <w:bookmarkStart w:id="277" w:name="_Toc184308041"/>
      <w:bookmarkEnd w:id="277"/>
      <w:bookmarkStart w:id="278" w:name="_Toc184314456"/>
      <w:bookmarkEnd w:id="278"/>
      <w:bookmarkStart w:id="279" w:name="_Toc184310286"/>
      <w:bookmarkEnd w:id="279"/>
      <w:bookmarkStart w:id="280" w:name="_Toc184308097"/>
      <w:bookmarkEnd w:id="280"/>
      <w:bookmarkStart w:id="281" w:name="_Toc184314464"/>
      <w:bookmarkEnd w:id="281"/>
      <w:bookmarkStart w:id="282" w:name="_Toc184312068"/>
      <w:bookmarkEnd w:id="282"/>
      <w:bookmarkStart w:id="283" w:name="_Toc184314465"/>
      <w:bookmarkEnd w:id="283"/>
      <w:bookmarkStart w:id="284" w:name="_Toc184314417"/>
      <w:bookmarkEnd w:id="284"/>
      <w:bookmarkStart w:id="285" w:name="_Toc184314432"/>
      <w:bookmarkEnd w:id="285"/>
      <w:bookmarkStart w:id="286" w:name="_Toc184312121"/>
      <w:bookmarkEnd w:id="286"/>
      <w:bookmarkStart w:id="287" w:name="_Toc184308076"/>
      <w:bookmarkEnd w:id="287"/>
      <w:bookmarkStart w:id="288" w:name="_Toc184312086"/>
      <w:bookmarkEnd w:id="288"/>
      <w:bookmarkStart w:id="289" w:name="_Toc184313277"/>
      <w:bookmarkEnd w:id="289"/>
      <w:bookmarkStart w:id="290" w:name="_Toc184310336"/>
      <w:bookmarkEnd w:id="290"/>
      <w:bookmarkStart w:id="291" w:name="_Toc184308037"/>
      <w:bookmarkEnd w:id="291"/>
      <w:bookmarkStart w:id="292" w:name="_Toc184312071"/>
      <w:bookmarkEnd w:id="292"/>
      <w:bookmarkStart w:id="293" w:name="_Toc184314425"/>
      <w:bookmarkEnd w:id="293"/>
      <w:bookmarkStart w:id="294" w:name="_Toc184308042"/>
      <w:bookmarkEnd w:id="294"/>
      <w:bookmarkStart w:id="295" w:name="_Toc184314478"/>
      <w:bookmarkEnd w:id="295"/>
      <w:bookmarkStart w:id="296" w:name="_Toc184310312"/>
      <w:bookmarkEnd w:id="296"/>
      <w:bookmarkStart w:id="297" w:name="_Toc184313289"/>
      <w:bookmarkEnd w:id="297"/>
      <w:bookmarkStart w:id="298" w:name="_Toc184312067"/>
      <w:bookmarkEnd w:id="298"/>
      <w:bookmarkStart w:id="299" w:name="_Toc184308089"/>
      <w:bookmarkEnd w:id="299"/>
      <w:bookmarkStart w:id="300" w:name="_Toc184314482"/>
      <w:bookmarkEnd w:id="300"/>
      <w:bookmarkStart w:id="301" w:name="_Toc184312129"/>
      <w:bookmarkEnd w:id="301"/>
      <w:bookmarkStart w:id="302" w:name="_Toc184313254"/>
      <w:bookmarkEnd w:id="302"/>
      <w:bookmarkStart w:id="303" w:name="_Toc184313265"/>
      <w:bookmarkEnd w:id="303"/>
      <w:bookmarkStart w:id="304" w:name="_Toc184313297"/>
      <w:bookmarkEnd w:id="304"/>
      <w:bookmarkStart w:id="305" w:name="_Toc184313309"/>
      <w:bookmarkEnd w:id="305"/>
      <w:bookmarkStart w:id="306" w:name="_Toc184312069"/>
      <w:bookmarkEnd w:id="306"/>
      <w:bookmarkStart w:id="307" w:name="_Toc184313264"/>
      <w:bookmarkEnd w:id="307"/>
      <w:bookmarkStart w:id="308" w:name="_Toc184313271"/>
      <w:bookmarkEnd w:id="308"/>
      <w:bookmarkStart w:id="309" w:name="_Toc184310303"/>
      <w:bookmarkEnd w:id="309"/>
      <w:bookmarkStart w:id="310" w:name="_Toc184313252"/>
      <w:bookmarkEnd w:id="310"/>
      <w:bookmarkStart w:id="311" w:name="_Toc184308051"/>
      <w:bookmarkEnd w:id="311"/>
      <w:bookmarkStart w:id="312" w:name="_Toc184313243"/>
      <w:bookmarkEnd w:id="312"/>
      <w:bookmarkStart w:id="313" w:name="_Toc184312109"/>
      <w:bookmarkEnd w:id="313"/>
      <w:bookmarkStart w:id="314" w:name="_Toc184312101"/>
      <w:bookmarkEnd w:id="314"/>
      <w:bookmarkStart w:id="315" w:name="_Toc184313288"/>
      <w:bookmarkEnd w:id="315"/>
      <w:bookmarkStart w:id="316" w:name="_Toc184312116"/>
      <w:bookmarkEnd w:id="316"/>
      <w:bookmarkStart w:id="317" w:name="_Toc184308088"/>
      <w:bookmarkEnd w:id="317"/>
      <w:bookmarkStart w:id="318" w:name="_Toc184312114"/>
      <w:bookmarkEnd w:id="318"/>
      <w:bookmarkStart w:id="319" w:name="_Toc184312076"/>
      <w:bookmarkEnd w:id="319"/>
      <w:bookmarkStart w:id="320" w:name="_Toc184310315"/>
      <w:bookmarkEnd w:id="320"/>
      <w:bookmarkStart w:id="321" w:name="_Toc184313301"/>
      <w:bookmarkEnd w:id="321"/>
      <w:bookmarkStart w:id="322" w:name="_Toc184314413"/>
      <w:bookmarkEnd w:id="322"/>
      <w:bookmarkStart w:id="323" w:name="_Toc184308054"/>
      <w:bookmarkEnd w:id="323"/>
      <w:bookmarkStart w:id="324" w:name="_Toc184313305"/>
      <w:bookmarkEnd w:id="324"/>
      <w:bookmarkStart w:id="325" w:name="_Toc184308084"/>
      <w:bookmarkEnd w:id="325"/>
      <w:bookmarkStart w:id="326" w:name="_Toc184314431"/>
      <w:bookmarkEnd w:id="326"/>
      <w:bookmarkStart w:id="327" w:name="_Toc184314469"/>
      <w:bookmarkEnd w:id="327"/>
      <w:bookmarkStart w:id="328" w:name="_Toc184313299"/>
      <w:bookmarkEnd w:id="328"/>
      <w:bookmarkStart w:id="329" w:name="_Toc184308055"/>
      <w:bookmarkEnd w:id="329"/>
      <w:bookmarkStart w:id="330" w:name="_Toc184310274"/>
      <w:bookmarkEnd w:id="330"/>
      <w:bookmarkStart w:id="331" w:name="_Toc184314434"/>
      <w:bookmarkEnd w:id="331"/>
      <w:bookmarkStart w:id="332" w:name="_Toc184308105"/>
      <w:bookmarkEnd w:id="332"/>
      <w:bookmarkStart w:id="333" w:name="_Toc184310323"/>
      <w:bookmarkEnd w:id="333"/>
      <w:bookmarkStart w:id="334" w:name="_Toc184310302"/>
      <w:bookmarkEnd w:id="334"/>
      <w:bookmarkStart w:id="335" w:name="_Toc184314418"/>
      <w:bookmarkEnd w:id="335"/>
      <w:bookmarkStart w:id="336" w:name="_Toc184312094"/>
      <w:bookmarkEnd w:id="336"/>
      <w:bookmarkStart w:id="337" w:name="_Toc184312118"/>
      <w:bookmarkEnd w:id="337"/>
      <w:bookmarkStart w:id="338" w:name="_Toc184314430"/>
      <w:bookmarkEnd w:id="338"/>
      <w:bookmarkStart w:id="339" w:name="_Toc184314446"/>
      <w:bookmarkEnd w:id="339"/>
      <w:bookmarkStart w:id="340" w:name="_Toc184312125"/>
      <w:bookmarkEnd w:id="340"/>
      <w:bookmarkStart w:id="341" w:name="_Toc184308067"/>
      <w:bookmarkEnd w:id="341"/>
      <w:bookmarkStart w:id="342" w:name="_Toc184314420"/>
      <w:bookmarkEnd w:id="342"/>
      <w:bookmarkStart w:id="343" w:name="_Toc184308040"/>
      <w:bookmarkEnd w:id="343"/>
      <w:bookmarkStart w:id="344" w:name="_Toc184312111"/>
      <w:bookmarkEnd w:id="344"/>
      <w:bookmarkStart w:id="345" w:name="_Toc184308090"/>
      <w:bookmarkEnd w:id="345"/>
      <w:bookmarkStart w:id="346" w:name="_Toc184308107"/>
      <w:bookmarkEnd w:id="346"/>
      <w:bookmarkStart w:id="347" w:name="_Toc184308068"/>
      <w:bookmarkEnd w:id="347"/>
      <w:bookmarkStart w:id="348" w:name="_Toc184310340"/>
      <w:bookmarkEnd w:id="348"/>
      <w:bookmarkStart w:id="349" w:name="_Toc184308069"/>
      <w:bookmarkEnd w:id="349"/>
      <w:bookmarkStart w:id="350" w:name="_Toc184314441"/>
      <w:bookmarkEnd w:id="350"/>
      <w:bookmarkStart w:id="351" w:name="_Toc184308103"/>
      <w:bookmarkEnd w:id="351"/>
      <w:bookmarkStart w:id="352" w:name="_Toc184314476"/>
      <w:bookmarkEnd w:id="352"/>
      <w:bookmarkStart w:id="353" w:name="_Toc184313300"/>
      <w:bookmarkEnd w:id="353"/>
      <w:bookmarkStart w:id="354" w:name="_Toc184313286"/>
      <w:bookmarkEnd w:id="354"/>
      <w:bookmarkStart w:id="355" w:name="_Toc184314448"/>
      <w:bookmarkEnd w:id="355"/>
      <w:bookmarkStart w:id="356" w:name="_Toc184314479"/>
      <w:bookmarkEnd w:id="356"/>
      <w:bookmarkStart w:id="357" w:name="_Toc184314468"/>
      <w:bookmarkEnd w:id="357"/>
      <w:bookmarkStart w:id="358" w:name="_Toc184314443"/>
      <w:bookmarkEnd w:id="358"/>
      <w:bookmarkStart w:id="359" w:name="_Toc184313304"/>
      <w:bookmarkEnd w:id="359"/>
      <w:bookmarkStart w:id="360" w:name="_Toc184313249"/>
      <w:bookmarkEnd w:id="360"/>
      <w:bookmarkStart w:id="361" w:name="_Toc184310321"/>
      <w:bookmarkEnd w:id="361"/>
      <w:bookmarkStart w:id="362" w:name="_Toc184313285"/>
      <w:bookmarkEnd w:id="362"/>
      <w:bookmarkStart w:id="363" w:name="_Toc184310282"/>
      <w:bookmarkEnd w:id="363"/>
      <w:bookmarkStart w:id="364" w:name="_Toc184312092"/>
      <w:bookmarkEnd w:id="364"/>
      <w:bookmarkStart w:id="365" w:name="_Toc184310326"/>
      <w:bookmarkEnd w:id="365"/>
      <w:bookmarkStart w:id="366" w:name="_Toc184314481"/>
      <w:bookmarkEnd w:id="366"/>
      <w:bookmarkStart w:id="367" w:name="_Toc184308106"/>
      <w:bookmarkEnd w:id="367"/>
      <w:bookmarkStart w:id="368" w:name="_Toc184314480"/>
      <w:bookmarkEnd w:id="368"/>
      <w:bookmarkStart w:id="369" w:name="_Toc184308091"/>
      <w:bookmarkEnd w:id="369"/>
      <w:bookmarkStart w:id="370" w:name="_Toc184313275"/>
      <w:bookmarkEnd w:id="370"/>
      <w:bookmarkStart w:id="371" w:name="_Toc184310275"/>
      <w:bookmarkEnd w:id="371"/>
      <w:bookmarkStart w:id="372" w:name="_Toc184310278"/>
      <w:bookmarkEnd w:id="372"/>
      <w:bookmarkStart w:id="373" w:name="_Toc184313250"/>
      <w:bookmarkEnd w:id="373"/>
      <w:bookmarkStart w:id="374" w:name="_Toc184313273"/>
      <w:bookmarkEnd w:id="374"/>
      <w:bookmarkStart w:id="375" w:name="_Toc184313306"/>
      <w:bookmarkEnd w:id="375"/>
      <w:bookmarkStart w:id="376" w:name="_Toc184313283"/>
      <w:bookmarkEnd w:id="376"/>
      <w:bookmarkStart w:id="377" w:name="_Toc184310318"/>
      <w:bookmarkEnd w:id="377"/>
      <w:bookmarkStart w:id="378" w:name="_Toc184308086"/>
      <w:bookmarkEnd w:id="378"/>
      <w:bookmarkStart w:id="379" w:name="_Toc184312103"/>
      <w:bookmarkEnd w:id="379"/>
      <w:bookmarkStart w:id="380" w:name="_Toc184308044"/>
      <w:bookmarkEnd w:id="380"/>
      <w:bookmarkStart w:id="381" w:name="_Toc184314438"/>
      <w:bookmarkEnd w:id="381"/>
      <w:bookmarkStart w:id="382" w:name="_Toc184310306"/>
      <w:bookmarkEnd w:id="382"/>
      <w:bookmarkStart w:id="383" w:name="_Toc184313247"/>
      <w:bookmarkEnd w:id="383"/>
      <w:bookmarkStart w:id="384" w:name="_Toc184310300"/>
      <w:bookmarkEnd w:id="384"/>
      <w:bookmarkStart w:id="385" w:name="_Toc184310317"/>
      <w:bookmarkEnd w:id="385"/>
      <w:bookmarkStart w:id="386" w:name="_Toc184313269"/>
      <w:bookmarkEnd w:id="386"/>
      <w:bookmarkStart w:id="387" w:name="_Toc184313278"/>
      <w:bookmarkEnd w:id="387"/>
      <w:bookmarkStart w:id="388" w:name="_Toc184314451"/>
      <w:bookmarkEnd w:id="388"/>
      <w:bookmarkStart w:id="389" w:name="_Toc184314412"/>
      <w:bookmarkEnd w:id="389"/>
      <w:bookmarkStart w:id="390" w:name="_Toc184310329"/>
      <w:bookmarkEnd w:id="390"/>
      <w:bookmarkStart w:id="391" w:name="_Toc184312104"/>
      <w:bookmarkEnd w:id="391"/>
      <w:bookmarkStart w:id="392" w:name="_Toc184314466"/>
      <w:bookmarkEnd w:id="392"/>
      <w:bookmarkStart w:id="393" w:name="_Toc184312132"/>
      <w:bookmarkEnd w:id="393"/>
      <w:bookmarkStart w:id="394" w:name="_Toc184312139"/>
      <w:bookmarkEnd w:id="394"/>
      <w:bookmarkStart w:id="395" w:name="_Toc184308094"/>
      <w:bookmarkEnd w:id="395"/>
      <w:bookmarkStart w:id="396" w:name="_Toc184314445"/>
      <w:bookmarkEnd w:id="396"/>
      <w:bookmarkStart w:id="397" w:name="_Toc184312123"/>
      <w:bookmarkEnd w:id="397"/>
      <w:bookmarkStart w:id="398" w:name="_Toc184314444"/>
      <w:bookmarkEnd w:id="398"/>
      <w:bookmarkStart w:id="399" w:name="_Toc184310288"/>
      <w:bookmarkEnd w:id="399"/>
      <w:bookmarkStart w:id="400" w:name="_Toc184310289"/>
      <w:bookmarkEnd w:id="400"/>
      <w:bookmarkStart w:id="401" w:name="_Toc184312091"/>
      <w:bookmarkEnd w:id="401"/>
      <w:bookmarkStart w:id="402" w:name="_Toc184308070"/>
      <w:bookmarkEnd w:id="402"/>
      <w:bookmarkStart w:id="403" w:name="_Toc184313242"/>
      <w:bookmarkEnd w:id="403"/>
      <w:bookmarkStart w:id="404" w:name="_Toc184310339"/>
      <w:bookmarkEnd w:id="404"/>
      <w:bookmarkStart w:id="405" w:name="_Toc184312079"/>
      <w:bookmarkEnd w:id="405"/>
      <w:bookmarkStart w:id="406" w:name="_Toc184314435"/>
      <w:bookmarkEnd w:id="406"/>
      <w:bookmarkStart w:id="407" w:name="_Toc184312082"/>
      <w:bookmarkEnd w:id="407"/>
      <w:bookmarkStart w:id="408" w:name="_Toc184308102"/>
      <w:bookmarkEnd w:id="408"/>
      <w:bookmarkStart w:id="409" w:name="_Toc184312110"/>
      <w:bookmarkEnd w:id="409"/>
      <w:bookmarkStart w:id="410" w:name="_Toc184308047"/>
      <w:bookmarkEnd w:id="410"/>
      <w:bookmarkStart w:id="411" w:name="_Toc184308059"/>
      <w:bookmarkEnd w:id="411"/>
      <w:bookmarkStart w:id="412" w:name="_Toc184308093"/>
      <w:bookmarkEnd w:id="412"/>
      <w:bookmarkStart w:id="413" w:name="_Toc184312115"/>
      <w:bookmarkEnd w:id="413"/>
      <w:bookmarkStart w:id="414" w:name="_Toc184308072"/>
      <w:bookmarkEnd w:id="414"/>
      <w:bookmarkStart w:id="415" w:name="_Toc184312107"/>
      <w:bookmarkEnd w:id="415"/>
      <w:bookmarkStart w:id="416" w:name="_Toc184308085"/>
      <w:bookmarkEnd w:id="416"/>
      <w:bookmarkStart w:id="417" w:name="_Toc184312095"/>
      <w:bookmarkEnd w:id="417"/>
      <w:bookmarkStart w:id="418" w:name="_Toc184310273"/>
      <w:bookmarkEnd w:id="418"/>
      <w:bookmarkStart w:id="419" w:name="_Toc184314471"/>
      <w:bookmarkEnd w:id="419"/>
      <w:bookmarkStart w:id="420" w:name="_Toc184310301"/>
      <w:bookmarkEnd w:id="420"/>
      <w:bookmarkStart w:id="421" w:name="_Toc184313256"/>
      <w:bookmarkEnd w:id="421"/>
      <w:bookmarkStart w:id="422" w:name="_Toc184308061"/>
      <w:bookmarkEnd w:id="422"/>
      <w:bookmarkStart w:id="423" w:name="_Toc184310330"/>
      <w:bookmarkEnd w:id="423"/>
      <w:bookmarkStart w:id="424" w:name="_Toc184313294"/>
      <w:bookmarkEnd w:id="424"/>
      <w:bookmarkStart w:id="425" w:name="_Toc184310338"/>
      <w:bookmarkEnd w:id="425"/>
      <w:bookmarkStart w:id="426" w:name="_Toc184312085"/>
      <w:bookmarkEnd w:id="426"/>
      <w:bookmarkStart w:id="427" w:name="_Toc184314421"/>
      <w:bookmarkEnd w:id="427"/>
      <w:bookmarkStart w:id="428" w:name="_Toc184314477"/>
      <w:bookmarkEnd w:id="428"/>
      <w:bookmarkStart w:id="429" w:name="_Toc184312137"/>
      <w:bookmarkEnd w:id="429"/>
      <w:bookmarkStart w:id="430" w:name="_Toc184310295"/>
      <w:bookmarkEnd w:id="430"/>
      <w:bookmarkStart w:id="431" w:name="_Toc184313244"/>
      <w:bookmarkEnd w:id="431"/>
      <w:bookmarkStart w:id="432" w:name="_Toc184314442"/>
      <w:bookmarkEnd w:id="432"/>
      <w:bookmarkStart w:id="433" w:name="_Toc184314459"/>
      <w:bookmarkEnd w:id="433"/>
      <w:bookmarkStart w:id="434" w:name="_Toc184308056"/>
      <w:bookmarkEnd w:id="434"/>
      <w:bookmarkStart w:id="435" w:name="_Toc184313281"/>
      <w:bookmarkEnd w:id="435"/>
      <w:bookmarkStart w:id="436" w:name="_Toc184314411"/>
      <w:bookmarkEnd w:id="436"/>
      <w:bookmarkStart w:id="437" w:name="_Toc184312113"/>
      <w:bookmarkEnd w:id="437"/>
      <w:bookmarkStart w:id="438" w:name="_Toc184308038"/>
      <w:bookmarkEnd w:id="438"/>
      <w:bookmarkStart w:id="439" w:name="_Toc184313253"/>
      <w:bookmarkEnd w:id="439"/>
      <w:bookmarkStart w:id="440" w:name="_Toc184313290"/>
      <w:bookmarkEnd w:id="440"/>
      <w:bookmarkStart w:id="441" w:name="_Toc184312088"/>
      <w:bookmarkEnd w:id="441"/>
      <w:bookmarkStart w:id="442" w:name="_Toc184314453"/>
      <w:bookmarkEnd w:id="442"/>
      <w:bookmarkStart w:id="443" w:name="_Toc184314467"/>
      <w:bookmarkEnd w:id="443"/>
      <w:bookmarkStart w:id="444" w:name="_Toc184312084"/>
      <w:bookmarkEnd w:id="444"/>
      <w:bookmarkStart w:id="445" w:name="_Toc184312087"/>
      <w:bookmarkEnd w:id="445"/>
      <w:bookmarkStart w:id="446" w:name="_Toc184308064"/>
      <w:bookmarkEnd w:id="446"/>
      <w:bookmarkStart w:id="447" w:name="_Toc184312136"/>
      <w:bookmarkEnd w:id="447"/>
      <w:bookmarkStart w:id="448" w:name="_Toc184314449"/>
      <w:bookmarkEnd w:id="448"/>
      <w:bookmarkStart w:id="449" w:name="_Toc184313248"/>
      <w:bookmarkEnd w:id="449"/>
      <w:bookmarkStart w:id="450" w:name="_Toc184313282"/>
      <w:bookmarkEnd w:id="450"/>
      <w:bookmarkStart w:id="451" w:name="_Toc184314419"/>
      <w:bookmarkEnd w:id="451"/>
      <w:bookmarkStart w:id="452" w:name="_Toc184308100"/>
      <w:bookmarkEnd w:id="452"/>
      <w:bookmarkStart w:id="453" w:name="_Toc184310319"/>
      <w:bookmarkEnd w:id="453"/>
      <w:bookmarkStart w:id="454" w:name="_Toc184314437"/>
      <w:bookmarkEnd w:id="454"/>
      <w:bookmarkStart w:id="455" w:name="_Toc184314463"/>
      <w:bookmarkEnd w:id="455"/>
      <w:bookmarkStart w:id="456" w:name="_Toc184313291"/>
      <w:bookmarkEnd w:id="456"/>
      <w:bookmarkStart w:id="457" w:name="_Toc184314452"/>
      <w:bookmarkEnd w:id="457"/>
      <w:bookmarkStart w:id="458" w:name="_Toc184310296"/>
      <w:bookmarkEnd w:id="458"/>
      <w:bookmarkStart w:id="459" w:name="_Toc184313255"/>
      <w:bookmarkEnd w:id="459"/>
      <w:bookmarkStart w:id="460" w:name="_Toc184310342"/>
      <w:bookmarkEnd w:id="460"/>
      <w:bookmarkStart w:id="461" w:name="_Toc184310276"/>
      <w:bookmarkEnd w:id="461"/>
      <w:bookmarkStart w:id="462" w:name="_Toc184308050"/>
      <w:bookmarkEnd w:id="462"/>
      <w:bookmarkStart w:id="463" w:name="_Toc184313307"/>
      <w:bookmarkEnd w:id="463"/>
      <w:bookmarkStart w:id="464" w:name="_Toc184314462"/>
      <w:bookmarkEnd w:id="464"/>
      <w:bookmarkStart w:id="465" w:name="_Toc184308099"/>
      <w:bookmarkEnd w:id="465"/>
      <w:bookmarkStart w:id="466" w:name="_Toc184310287"/>
      <w:bookmarkEnd w:id="466"/>
      <w:bookmarkStart w:id="467" w:name="_Toc184308058"/>
      <w:bookmarkEnd w:id="467"/>
      <w:bookmarkStart w:id="468" w:name="_Toc184313266"/>
      <w:bookmarkEnd w:id="468"/>
      <w:bookmarkStart w:id="469" w:name="_Toc184310331"/>
      <w:bookmarkEnd w:id="469"/>
      <w:bookmarkStart w:id="470" w:name="_Toc184312138"/>
      <w:bookmarkEnd w:id="470"/>
      <w:bookmarkStart w:id="471" w:name="_Toc184312126"/>
      <w:bookmarkEnd w:id="471"/>
      <w:bookmarkStart w:id="472" w:name="_Toc184308052"/>
      <w:bookmarkEnd w:id="472"/>
      <w:bookmarkStart w:id="473" w:name="_Toc184313287"/>
      <w:bookmarkEnd w:id="473"/>
      <w:bookmarkStart w:id="474" w:name="_Toc184313303"/>
      <w:bookmarkEnd w:id="474"/>
      <w:bookmarkStart w:id="475" w:name="_Toc184313293"/>
      <w:bookmarkEnd w:id="475"/>
      <w:bookmarkStart w:id="476" w:name="_Toc184313310"/>
      <w:bookmarkEnd w:id="476"/>
      <w:bookmarkStart w:id="477" w:name="_Toc184308066"/>
      <w:bookmarkEnd w:id="477"/>
      <w:bookmarkStart w:id="478" w:name="_Toc184310314"/>
      <w:bookmarkEnd w:id="478"/>
      <w:bookmarkStart w:id="479" w:name="_Toc184312131"/>
      <w:bookmarkEnd w:id="479"/>
      <w:bookmarkStart w:id="480" w:name="_Toc184314424"/>
      <w:bookmarkEnd w:id="480"/>
      <w:bookmarkStart w:id="481" w:name="_Toc184310309"/>
      <w:bookmarkEnd w:id="481"/>
      <w:bookmarkStart w:id="482" w:name="_Toc184312124"/>
      <w:bookmarkEnd w:id="482"/>
      <w:bookmarkStart w:id="483" w:name="_Toc184312078"/>
      <w:bookmarkEnd w:id="483"/>
      <w:bookmarkStart w:id="484" w:name="_Toc184312128"/>
      <w:bookmarkEnd w:id="484"/>
      <w:bookmarkStart w:id="485" w:name="_Toc184308096"/>
      <w:bookmarkEnd w:id="485"/>
      <w:bookmarkStart w:id="486" w:name="_Toc184308092"/>
      <w:bookmarkEnd w:id="486"/>
      <w:bookmarkStart w:id="487" w:name="_Toc184313262"/>
      <w:bookmarkEnd w:id="487"/>
      <w:bookmarkStart w:id="488" w:name="_Toc184310344"/>
      <w:bookmarkEnd w:id="488"/>
      <w:bookmarkStart w:id="489" w:name="_Toc184312105"/>
      <w:bookmarkEnd w:id="489"/>
      <w:bookmarkStart w:id="490" w:name="_Toc184310299"/>
      <w:bookmarkEnd w:id="490"/>
      <w:bookmarkStart w:id="491" w:name="_Toc184312098"/>
      <w:bookmarkEnd w:id="491"/>
      <w:bookmarkStart w:id="492" w:name="_Toc184313261"/>
      <w:bookmarkEnd w:id="492"/>
      <w:bookmarkStart w:id="493" w:name="_Toc184312134"/>
      <w:bookmarkEnd w:id="493"/>
      <w:bookmarkStart w:id="494" w:name="_Toc184313292"/>
      <w:bookmarkEnd w:id="494"/>
      <w:bookmarkStart w:id="495" w:name="_Toc184310322"/>
      <w:bookmarkEnd w:id="495"/>
      <w:bookmarkStart w:id="496" w:name="_Toc184313274"/>
      <w:bookmarkEnd w:id="496"/>
      <w:bookmarkStart w:id="497" w:name="_Toc184310320"/>
      <w:bookmarkEnd w:id="497"/>
      <w:bookmarkStart w:id="498" w:name="_Toc184312130"/>
      <w:bookmarkEnd w:id="498"/>
      <w:bookmarkStart w:id="499" w:name="_Toc184308043"/>
      <w:bookmarkEnd w:id="499"/>
      <w:bookmarkStart w:id="500" w:name="_Toc184308101"/>
      <w:bookmarkEnd w:id="500"/>
      <w:bookmarkStart w:id="501" w:name="_Toc184308065"/>
      <w:bookmarkEnd w:id="501"/>
      <w:bookmarkStart w:id="502" w:name="_Toc184308078"/>
      <w:bookmarkEnd w:id="502"/>
      <w:bookmarkStart w:id="503" w:name="_Toc184312090"/>
      <w:bookmarkEnd w:id="503"/>
      <w:bookmarkStart w:id="504" w:name="_Toc184312089"/>
      <w:bookmarkEnd w:id="504"/>
      <w:bookmarkStart w:id="505" w:name="_Toc184314460"/>
      <w:bookmarkEnd w:id="505"/>
      <w:bookmarkStart w:id="506" w:name="_Toc184308036"/>
      <w:bookmarkEnd w:id="506"/>
      <w:bookmarkStart w:id="507" w:name="_Toc184313296"/>
      <w:bookmarkEnd w:id="507"/>
      <w:bookmarkStart w:id="508" w:name="_Toc184313284"/>
      <w:bookmarkEnd w:id="508"/>
      <w:bookmarkStart w:id="509" w:name="_Toc184313302"/>
      <w:bookmarkEnd w:id="509"/>
      <w:bookmarkStart w:id="510" w:name="_Toc184314440"/>
      <w:bookmarkEnd w:id="510"/>
      <w:bookmarkStart w:id="511" w:name="_Toc184310337"/>
      <w:bookmarkEnd w:id="511"/>
      <w:bookmarkStart w:id="512" w:name="_Toc184310313"/>
      <w:bookmarkEnd w:id="512"/>
      <w:bookmarkStart w:id="513" w:name="_Toc184312135"/>
      <w:bookmarkEnd w:id="513"/>
      <w:bookmarkStart w:id="514" w:name="_Toc184308075"/>
      <w:bookmarkEnd w:id="514"/>
      <w:bookmarkStart w:id="515" w:name="_Toc184312122"/>
      <w:bookmarkEnd w:id="515"/>
      <w:bookmarkStart w:id="516" w:name="_Toc184310272"/>
      <w:bookmarkEnd w:id="516"/>
      <w:bookmarkStart w:id="517" w:name="_Toc184313251"/>
      <w:bookmarkEnd w:id="517"/>
      <w:bookmarkStart w:id="518" w:name="_Toc184310316"/>
      <w:bookmarkEnd w:id="518"/>
      <w:bookmarkStart w:id="519" w:name="_Toc184314450"/>
      <w:bookmarkEnd w:id="519"/>
      <w:bookmarkStart w:id="520" w:name="_Toc184312083"/>
      <w:bookmarkEnd w:id="520"/>
      <w:bookmarkStart w:id="521" w:name="_Toc184314429"/>
      <w:bookmarkEnd w:id="521"/>
      <w:bookmarkStart w:id="522" w:name="_Toc184313272"/>
      <w:bookmarkEnd w:id="522"/>
      <w:bookmarkStart w:id="523" w:name="_Toc184310325"/>
      <w:bookmarkEnd w:id="523"/>
      <w:bookmarkStart w:id="524" w:name="_Toc184314458"/>
      <w:bookmarkEnd w:id="524"/>
      <w:bookmarkStart w:id="525" w:name="_Toc184308081"/>
      <w:bookmarkEnd w:id="525"/>
      <w:bookmarkStart w:id="526" w:name="_Toc184314436"/>
      <w:bookmarkEnd w:id="526"/>
      <w:bookmarkStart w:id="527" w:name="_Toc184310279"/>
      <w:bookmarkEnd w:id="527"/>
      <w:bookmarkStart w:id="528" w:name="_Toc184308079"/>
      <w:bookmarkEnd w:id="528"/>
      <w:bookmarkStart w:id="529" w:name="_Toc184310291"/>
      <w:bookmarkEnd w:id="529"/>
      <w:bookmarkStart w:id="530" w:name="_Toc184314423"/>
      <w:bookmarkEnd w:id="530"/>
      <w:bookmarkStart w:id="531" w:name="_Toc184308074"/>
      <w:bookmarkEnd w:id="531"/>
      <w:bookmarkStart w:id="532" w:name="_Toc184312127"/>
      <w:bookmarkEnd w:id="532"/>
      <w:bookmarkStart w:id="533" w:name="_Toc184308048"/>
      <w:bookmarkEnd w:id="533"/>
      <w:bookmarkStart w:id="534" w:name="_Toc184313263"/>
      <w:bookmarkEnd w:id="534"/>
      <w:bookmarkStart w:id="535" w:name="_Toc184310334"/>
      <w:bookmarkEnd w:id="535"/>
      <w:bookmarkStart w:id="536" w:name="_Toc184310297"/>
      <w:bookmarkEnd w:id="536"/>
      <w:bookmarkStart w:id="537" w:name="_Toc184310292"/>
      <w:bookmarkEnd w:id="537"/>
      <w:bookmarkStart w:id="538" w:name="_Toc184313260"/>
      <w:bookmarkEnd w:id="538"/>
      <w:bookmarkStart w:id="539" w:name="_Toc184312120"/>
      <w:bookmarkEnd w:id="539"/>
      <w:bookmarkStart w:id="540" w:name="_Toc184308087"/>
      <w:bookmarkEnd w:id="540"/>
      <w:bookmarkStart w:id="541" w:name="_Toc184310341"/>
      <w:bookmarkEnd w:id="541"/>
      <w:bookmarkStart w:id="542" w:name="_Toc184314475"/>
      <w:bookmarkEnd w:id="542"/>
      <w:bookmarkStart w:id="543" w:name="_Toc184308098"/>
      <w:bookmarkEnd w:id="543"/>
      <w:bookmarkStart w:id="544" w:name="_Toc184308104"/>
      <w:bookmarkEnd w:id="544"/>
      <w:bookmarkStart w:id="545" w:name="_Toc184308046"/>
      <w:bookmarkEnd w:id="545"/>
      <w:bookmarkStart w:id="546" w:name="_Toc184310280"/>
      <w:bookmarkEnd w:id="546"/>
      <w:bookmarkStart w:id="547" w:name="_Toc184313238"/>
      <w:bookmarkEnd w:id="547"/>
      <w:bookmarkStart w:id="548" w:name="_Toc184312077"/>
      <w:bookmarkEnd w:id="548"/>
      <w:bookmarkStart w:id="549" w:name="_Toc184308082"/>
      <w:bookmarkEnd w:id="549"/>
      <w:bookmarkStart w:id="550" w:name="_Toc184314426"/>
      <w:bookmarkEnd w:id="550"/>
      <w:bookmarkStart w:id="551" w:name="_Toc184312119"/>
      <w:bookmarkEnd w:id="551"/>
      <w:bookmarkStart w:id="552" w:name="_Toc184314439"/>
      <w:bookmarkEnd w:id="552"/>
      <w:bookmarkStart w:id="553" w:name="_Toc184313298"/>
      <w:bookmarkEnd w:id="553"/>
      <w:bookmarkStart w:id="554" w:name="_Toc184310335"/>
      <w:bookmarkEnd w:id="554"/>
      <w:r>
        <w:rPr>
          <w:rFonts w:hint="eastAsia" w:ascii="仿宋" w:hAnsi="仿宋" w:eastAsia="仿宋" w:cs="宋体"/>
          <w:color w:val="auto"/>
          <w:sz w:val="44"/>
          <w:highlight w:val="none"/>
        </w:rPr>
        <w:t>评标办法</w:t>
      </w:r>
      <w:bookmarkEnd w:id="184"/>
      <w:bookmarkEnd w:id="185"/>
      <w:bookmarkEnd w:id="186"/>
      <w:bookmarkEnd w:id="187"/>
      <w:bookmarkEnd w:id="188"/>
      <w:bookmarkEnd w:id="189"/>
    </w:p>
    <w:p>
      <w:pPr>
        <w:pStyle w:val="5"/>
        <w:jc w:val="center"/>
        <w:rPr>
          <w:rFonts w:ascii="仿宋" w:hAnsi="仿宋" w:eastAsia="仿宋"/>
          <w:color w:val="auto"/>
          <w:highlight w:val="none"/>
        </w:rPr>
      </w:pPr>
      <w:bookmarkStart w:id="555" w:name="_Toc10534"/>
      <w:bookmarkStart w:id="556" w:name="_Toc1779877393"/>
      <w:bookmarkStart w:id="557" w:name="_Toc14917"/>
      <w:bookmarkStart w:id="558" w:name="_Hlk95733559"/>
      <w:bookmarkStart w:id="559" w:name="_Toc2378"/>
      <w:bookmarkStart w:id="560" w:name="_Toc95312984"/>
      <w:bookmarkStart w:id="561" w:name="_Toc880745451"/>
      <w:bookmarkStart w:id="562" w:name="_Toc30992"/>
      <w:r>
        <w:rPr>
          <w:rFonts w:hint="eastAsia" w:ascii="仿宋" w:hAnsi="仿宋" w:eastAsia="仿宋"/>
          <w:color w:val="auto"/>
          <w:highlight w:val="none"/>
        </w:rPr>
        <w:t>评标办法前附表</w:t>
      </w:r>
      <w:bookmarkEnd w:id="555"/>
      <w:bookmarkEnd w:id="556"/>
      <w:bookmarkEnd w:id="557"/>
    </w:p>
    <w:tbl>
      <w:tblPr>
        <w:tblStyle w:val="8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5"/>
        <w:gridCol w:w="1104"/>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Align w:val="center"/>
          </w:tcPr>
          <w:p>
            <w:pPr>
              <w:spacing w:line="360" w:lineRule="auto"/>
              <w:jc w:val="center"/>
              <w:rPr>
                <w:rFonts w:ascii="仿宋" w:hAnsi="仿宋" w:eastAsia="仿宋" w:cs="仿宋"/>
                <w:b/>
                <w:color w:val="auto"/>
                <w:kern w:val="0"/>
                <w:sz w:val="24"/>
                <w:highlight w:val="none"/>
              </w:rPr>
            </w:pPr>
            <w:bookmarkStart w:id="563" w:name="_Hlk117004787"/>
            <w:bookmarkStart w:id="564" w:name="_Toc1093136946"/>
            <w:bookmarkStart w:id="565" w:name="_Toc14521"/>
            <w:r>
              <w:rPr>
                <w:rFonts w:hint="eastAsia" w:ascii="仿宋" w:hAnsi="仿宋" w:eastAsia="仿宋" w:cs="仿宋"/>
                <w:b/>
                <w:color w:val="auto"/>
                <w:sz w:val="24"/>
                <w:highlight w:val="none"/>
              </w:rPr>
              <w:t>序</w:t>
            </w:r>
            <w:bookmarkEnd w:id="558"/>
            <w:r>
              <w:rPr>
                <w:rFonts w:hint="eastAsia" w:ascii="仿宋" w:hAnsi="仿宋" w:eastAsia="仿宋" w:cs="仿宋"/>
                <w:b/>
                <w:color w:val="auto"/>
                <w:sz w:val="24"/>
                <w:highlight w:val="none"/>
              </w:rPr>
              <w:t>号</w:t>
            </w:r>
          </w:p>
        </w:tc>
        <w:tc>
          <w:tcPr>
            <w:tcW w:w="1505"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评分因素</w:t>
            </w:r>
          </w:p>
        </w:tc>
        <w:tc>
          <w:tcPr>
            <w:tcW w:w="1104"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分值</w:t>
            </w:r>
          </w:p>
        </w:tc>
        <w:tc>
          <w:tcPr>
            <w:tcW w:w="6057" w:type="dxa"/>
            <w:vAlign w:val="center"/>
          </w:tcPr>
          <w:p>
            <w:pPr>
              <w:spacing w:line="360" w:lineRule="auto"/>
              <w:jc w:val="center"/>
              <w:rPr>
                <w:rFonts w:ascii="仿宋" w:hAnsi="仿宋" w:eastAsia="仿宋" w:cs="仿宋"/>
                <w:b/>
                <w:color w:val="auto"/>
                <w:kern w:val="0"/>
                <w:sz w:val="24"/>
                <w:highlight w:val="none"/>
              </w:rPr>
            </w:pPr>
            <w:r>
              <w:rPr>
                <w:rFonts w:hint="eastAsia" w:ascii="仿宋" w:hAnsi="仿宋" w:eastAsia="仿宋" w:cs="仿宋"/>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5"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505" w:type="dxa"/>
            <w:vAlign w:val="center"/>
          </w:tcPr>
          <w:p>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投标报价</w:t>
            </w:r>
          </w:p>
          <w:p>
            <w:pPr>
              <w:spacing w:line="360" w:lineRule="auto"/>
              <w:jc w:val="center"/>
              <w:rPr>
                <w:rFonts w:ascii="仿宋" w:hAnsi="仿宋" w:eastAsia="仿宋" w:cs="仿宋"/>
                <w:b/>
                <w:color w:val="auto"/>
                <w:sz w:val="24"/>
                <w:highlight w:val="none"/>
              </w:rPr>
            </w:pPr>
            <w:r>
              <w:rPr>
                <w:rFonts w:hint="eastAsia" w:ascii="仿宋" w:hAnsi="仿宋" w:eastAsia="仿宋"/>
                <w:color w:val="auto"/>
                <w:sz w:val="24"/>
                <w:highlight w:val="none"/>
              </w:rPr>
              <w:t>（10分）</w:t>
            </w:r>
          </w:p>
        </w:tc>
        <w:tc>
          <w:tcPr>
            <w:tcW w:w="110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ascii="仿宋" w:hAnsi="仿宋" w:eastAsia="仿宋" w:cs="仿宋"/>
                <w:b/>
                <w:color w:val="auto"/>
                <w:sz w:val="24"/>
                <w:highlight w:val="none"/>
              </w:rPr>
              <w:t>0</w:t>
            </w:r>
          </w:p>
        </w:tc>
        <w:tc>
          <w:tcPr>
            <w:tcW w:w="6057" w:type="dxa"/>
            <w:vAlign w:val="center"/>
          </w:tcPr>
          <w:p>
            <w:pPr>
              <w:widowControl/>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有效投标报价的最低价作为评标基准价，其最低报价为满分；按［投标报价得分=（评标基准价/投标报价）*10］的计算公式计算。</w:t>
            </w:r>
          </w:p>
          <w:p>
            <w:pPr>
              <w:widowControl/>
              <w:snapToGrid w:val="0"/>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2</w:t>
            </w:r>
          </w:p>
        </w:tc>
        <w:tc>
          <w:tcPr>
            <w:tcW w:w="1505" w:type="dxa"/>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投标人</w:t>
            </w:r>
            <w:r>
              <w:rPr>
                <w:rFonts w:hint="eastAsia" w:ascii="仿宋" w:hAnsi="仿宋" w:eastAsia="仿宋" w:cs="仿宋"/>
                <w:color w:val="auto"/>
                <w:sz w:val="24"/>
                <w:highlight w:val="none"/>
              </w:rPr>
              <w:t>业绩</w:t>
            </w: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1分</w:t>
            </w:r>
          </w:p>
        </w:tc>
        <w:tc>
          <w:tcPr>
            <w:tcW w:w="6057" w:type="dxa"/>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bCs/>
                <w:color w:val="auto"/>
                <w:sz w:val="24"/>
                <w:highlight w:val="none"/>
              </w:rPr>
              <w:t>投标人</w:t>
            </w:r>
            <w:r>
              <w:rPr>
                <w:rFonts w:hint="eastAsia" w:ascii="仿宋" w:hAnsi="仿宋" w:eastAsia="仿宋" w:cs="仿宋"/>
                <w:color w:val="auto"/>
                <w:kern w:val="0"/>
                <w:sz w:val="24"/>
                <w:highlight w:val="none"/>
              </w:rPr>
              <w:t>自2019年1月1日（以合同协议书签订时间为准）以来，承担过1个公路养护业绩的得0.5分，每增加1个加0.5分，本项最多得1分。</w:t>
            </w:r>
          </w:p>
          <w:p>
            <w:pPr>
              <w:autoSpaceDE w:val="0"/>
              <w:autoSpaceDN w:val="0"/>
              <w:spacing w:line="360" w:lineRule="auto"/>
              <w:jc w:val="left"/>
              <w:rPr>
                <w:rFonts w:ascii="仿宋" w:hAnsi="仿宋" w:eastAsia="仿宋" w:cs="仿宋"/>
                <w:b/>
                <w:color w:val="auto"/>
                <w:sz w:val="24"/>
                <w:highlight w:val="none"/>
              </w:rPr>
            </w:pPr>
            <w:r>
              <w:rPr>
                <w:rFonts w:hint="eastAsia" w:ascii="仿宋" w:hAnsi="仿宋" w:eastAsia="仿宋" w:cs="仿宋"/>
                <w:b/>
                <w:bCs/>
                <w:color w:val="auto"/>
                <w:kern w:val="0"/>
                <w:sz w:val="24"/>
                <w:highlight w:val="none"/>
              </w:rPr>
              <w:t>注：投标人须在投标文件中提供类似项目业绩的合同协议书扫描件，否则不得分，</w:t>
            </w:r>
            <w:r>
              <w:rPr>
                <w:rFonts w:hint="eastAsia" w:ascii="仿宋" w:hAnsi="仿宋" w:eastAsia="仿宋" w:cs="仿宋"/>
                <w:b/>
                <w:color w:val="auto"/>
                <w:kern w:val="0"/>
                <w:sz w:val="24"/>
                <w:highlight w:val="none"/>
              </w:rPr>
              <w:t>分包业绩不予认可。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75" w:type="dxa"/>
            <w:vMerge w:val="restart"/>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3</w:t>
            </w:r>
          </w:p>
        </w:tc>
        <w:tc>
          <w:tcPr>
            <w:tcW w:w="1505" w:type="dxa"/>
            <w:vMerge w:val="restart"/>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拟投入本项目的项目组人员</w:t>
            </w: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4分</w:t>
            </w:r>
          </w:p>
        </w:tc>
        <w:tc>
          <w:tcPr>
            <w:tcW w:w="6057" w:type="dxa"/>
            <w:vAlign w:val="center"/>
          </w:tcPr>
          <w:p>
            <w:pPr>
              <w:pStyle w:val="81"/>
              <w:spacing w:before="0" w:beforeAutospacing="0" w:after="0" w:afterAutospacing="0" w:line="360" w:lineRule="auto"/>
              <w:rPr>
                <w:rFonts w:ascii="仿宋" w:hAnsi="仿宋" w:eastAsia="仿宋" w:cs="仿宋"/>
                <w:b/>
                <w:color w:val="auto"/>
                <w:kern w:val="2"/>
                <w:highlight w:val="none"/>
              </w:rPr>
            </w:pPr>
            <w:r>
              <w:rPr>
                <w:rFonts w:hint="eastAsia" w:ascii="仿宋" w:hAnsi="仿宋" w:eastAsia="仿宋" w:cs="仿宋"/>
                <w:bCs/>
                <w:color w:val="auto"/>
                <w:kern w:val="2"/>
                <w:highlight w:val="none"/>
              </w:rPr>
              <w:t>拟投入本项目的项目负责人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4人，且每人均同时具备以下证书（4人均须具备）得4分</w:t>
            </w:r>
            <w:r>
              <w:rPr>
                <w:rFonts w:hint="eastAsia" w:ascii="仿宋" w:hAnsi="仿宋" w:eastAsia="仿宋" w:cs="仿宋"/>
                <w:b/>
                <w:color w:val="auto"/>
                <w:kern w:val="2"/>
                <w:highlight w:val="none"/>
              </w:rPr>
              <w:t>：</w:t>
            </w:r>
          </w:p>
          <w:p>
            <w:pPr>
              <w:pStyle w:val="81"/>
              <w:numPr>
                <w:ilvl w:val="0"/>
                <w:numId w:val="18"/>
              </w:numPr>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具有公路工程二级建造师和工程师及以上技术职称。</w:t>
            </w:r>
          </w:p>
          <w:p>
            <w:pPr>
              <w:pStyle w:val="81"/>
              <w:numPr>
                <w:ilvl w:val="0"/>
                <w:numId w:val="18"/>
              </w:numPr>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具有有效期内的交通行业主管部门核发的项目负责人安全生产考核合格证书（B类）。</w:t>
            </w:r>
          </w:p>
          <w:p>
            <w:pPr>
              <w:spacing w:line="360" w:lineRule="auto"/>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项目负责人须提供身份证（正反面扫描）、技术职称证书、交通行业主管部门核发的项目负责人安全生产考核合格证书（B类）、近三个月内任意一个月的社保缴纳证明，近一个月新成立的单位提供说明，缺项不得分，项目负责人每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4分</w:t>
            </w:r>
          </w:p>
        </w:tc>
        <w:tc>
          <w:tcPr>
            <w:tcW w:w="6057" w:type="dxa"/>
            <w:vAlign w:val="center"/>
          </w:tcPr>
          <w:p>
            <w:pPr>
              <w:pStyle w:val="81"/>
              <w:spacing w:before="0" w:beforeAutospacing="0" w:after="0" w:afterAutospacing="0" w:line="360" w:lineRule="auto"/>
              <w:rPr>
                <w:rFonts w:ascii="仿宋" w:hAnsi="仿宋" w:eastAsia="仿宋" w:cs="仿宋"/>
                <w:b/>
                <w:color w:val="auto"/>
                <w:kern w:val="2"/>
                <w:highlight w:val="none"/>
              </w:rPr>
            </w:pPr>
            <w:r>
              <w:rPr>
                <w:rFonts w:hint="eastAsia" w:ascii="仿宋" w:hAnsi="仿宋" w:eastAsia="仿宋" w:cs="仿宋"/>
                <w:bCs/>
                <w:color w:val="auto"/>
                <w:kern w:val="2"/>
                <w:highlight w:val="none"/>
              </w:rPr>
              <w:t>拟投入本项目的项目路面负责人</w:t>
            </w:r>
            <w:r>
              <w:rPr>
                <w:rFonts w:hint="eastAsia" w:ascii="仿宋" w:hAnsi="仿宋" w:eastAsia="仿宋" w:cs="仿宋"/>
                <w:bCs/>
                <w:color w:val="auto"/>
                <w:highlight w:val="none"/>
                <w:lang w:val="zh-CN"/>
              </w:rPr>
              <w:t>不少于</w:t>
            </w:r>
            <w:r>
              <w:rPr>
                <w:rFonts w:hint="eastAsia" w:ascii="仿宋" w:hAnsi="仿宋" w:eastAsia="仿宋" w:cs="仿宋"/>
                <w:bCs/>
                <w:color w:val="auto"/>
                <w:highlight w:val="none"/>
              </w:rPr>
              <w:t>4人，且每人均同时具备以下证书（4人均须具备）得4分</w:t>
            </w:r>
            <w:r>
              <w:rPr>
                <w:rFonts w:hint="eastAsia" w:ascii="仿宋" w:hAnsi="仿宋" w:eastAsia="仿宋" w:cs="仿宋"/>
                <w:b/>
                <w:color w:val="auto"/>
                <w:kern w:val="2"/>
                <w:highlight w:val="none"/>
              </w:rPr>
              <w:t>：</w:t>
            </w:r>
          </w:p>
          <w:p>
            <w:pPr>
              <w:pStyle w:val="81"/>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1、具有工程师及以上技术职称。</w:t>
            </w:r>
          </w:p>
          <w:p>
            <w:pPr>
              <w:pStyle w:val="81"/>
              <w:spacing w:before="0" w:beforeAutospacing="0" w:after="0" w:afterAutospacing="0" w:line="360" w:lineRule="auto"/>
              <w:rPr>
                <w:rFonts w:ascii="仿宋" w:hAnsi="仿宋" w:eastAsia="仿宋" w:cs="仿宋"/>
                <w:bCs/>
                <w:color w:val="auto"/>
                <w:kern w:val="2"/>
                <w:highlight w:val="none"/>
              </w:rPr>
            </w:pPr>
            <w:r>
              <w:rPr>
                <w:rFonts w:hint="eastAsia" w:ascii="仿宋" w:hAnsi="仿宋" w:eastAsia="仿宋" w:cs="仿宋"/>
                <w:bCs/>
                <w:color w:val="auto"/>
                <w:kern w:val="2"/>
                <w:highlight w:val="none"/>
              </w:rPr>
              <w:t>2、具有有效期内的交通行业主管部门核发的项目负责人安全生产考核合格证书（B类）。</w:t>
            </w:r>
          </w:p>
          <w:p>
            <w:pPr>
              <w:spacing w:line="360" w:lineRule="auto"/>
              <w:jc w:val="left"/>
              <w:rPr>
                <w:rFonts w:ascii="仿宋" w:hAnsi="仿宋" w:eastAsia="仿宋" w:cs="仿宋"/>
                <w:color w:val="auto"/>
                <w:sz w:val="24"/>
                <w:highlight w:val="none"/>
              </w:rPr>
            </w:pPr>
            <w:r>
              <w:rPr>
                <w:rFonts w:hint="eastAsia" w:ascii="仿宋" w:hAnsi="仿宋" w:eastAsia="仿宋" w:cs="仿宋"/>
                <w:b/>
                <w:bCs/>
                <w:color w:val="auto"/>
                <w:kern w:val="0"/>
                <w:sz w:val="24"/>
                <w:highlight w:val="none"/>
              </w:rPr>
              <w:t>注：路面负责人须提供身份证（正反面扫描）、技术职称证书、近三个月内任意一个月的社保缴纳证明，近一个月新成立的单位提供说明，缺项不得分，技术负责人每少1人扣1分，扣完为止。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2分</w:t>
            </w:r>
          </w:p>
        </w:tc>
        <w:tc>
          <w:tcPr>
            <w:tcW w:w="6057" w:type="dxa"/>
            <w:vAlign w:val="center"/>
          </w:tcPr>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拟投入本项目的绿化负责人不少于2人，具备以下证书得2分：</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1、具有绿化工程师及以上技术职称。</w:t>
            </w:r>
          </w:p>
          <w:p>
            <w:pPr>
              <w:spacing w:line="360" w:lineRule="auto"/>
              <w:jc w:val="left"/>
              <w:rPr>
                <w:rFonts w:ascii="仿宋" w:hAnsi="仿宋" w:eastAsia="仿宋" w:cs="仿宋"/>
                <w:b/>
                <w:bCs/>
                <w:color w:val="auto"/>
                <w:kern w:val="0"/>
                <w:sz w:val="24"/>
                <w:highlight w:val="none"/>
              </w:rPr>
            </w:pPr>
            <w:r>
              <w:rPr>
                <w:rFonts w:hint="eastAsia" w:ascii="仿宋" w:hAnsi="仿宋" w:eastAsia="仿宋"/>
                <w:b/>
                <w:bCs/>
                <w:color w:val="auto"/>
                <w:sz w:val="24"/>
                <w:highlight w:val="none"/>
              </w:rPr>
              <w:t>注：绿化负责人须提供身份证（正反面扫描）、技术职称证书、近三个月内任意一个月的社保缴纳证明，近一个月新成立的单位提供说明，缺项不得分，绿化负责人</w:t>
            </w:r>
            <w:r>
              <w:rPr>
                <w:rFonts w:hint="eastAsia" w:ascii="仿宋" w:hAnsi="仿宋" w:eastAsia="仿宋" w:cs="仿宋"/>
                <w:b/>
                <w:bCs/>
                <w:color w:val="auto"/>
                <w:kern w:val="0"/>
                <w:sz w:val="24"/>
                <w:highlight w:val="none"/>
              </w:rPr>
              <w:t>每少1人扣1分，扣完为止</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分</w:t>
            </w:r>
          </w:p>
        </w:tc>
        <w:tc>
          <w:tcPr>
            <w:tcW w:w="6057" w:type="dxa"/>
            <w:vAlign w:val="center"/>
          </w:tcPr>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拟投入本项目的小修负责人不少于4人，且每人均同时具备以下证书（4人均须具备）得4分：</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1、具有工程师及以上技术职称。</w:t>
            </w:r>
          </w:p>
          <w:p>
            <w:pPr>
              <w:spacing w:line="360" w:lineRule="auto"/>
              <w:jc w:val="left"/>
              <w:rPr>
                <w:rFonts w:ascii="仿宋" w:hAnsi="仿宋" w:eastAsia="仿宋" w:cs="仿宋"/>
                <w:b/>
                <w:bCs/>
                <w:color w:val="auto"/>
                <w:kern w:val="0"/>
                <w:sz w:val="24"/>
                <w:highlight w:val="none"/>
              </w:rPr>
            </w:pPr>
            <w:r>
              <w:rPr>
                <w:rFonts w:hint="eastAsia" w:ascii="仿宋" w:hAnsi="仿宋" w:eastAsia="仿宋"/>
                <w:b/>
                <w:bCs/>
                <w:color w:val="auto"/>
                <w:sz w:val="24"/>
                <w:highlight w:val="none"/>
              </w:rPr>
              <w:t>注：小修负责人须提供身份证（正反面扫描）、技术职称证书、近三个月内任意一个月的社保缴纳证明，近一个月新成立的单位提供说明，缺项不得分，小修负责人</w:t>
            </w:r>
            <w:r>
              <w:rPr>
                <w:rFonts w:hint="eastAsia" w:ascii="仿宋" w:hAnsi="仿宋" w:eastAsia="仿宋" w:cs="仿宋"/>
                <w:b/>
                <w:bCs/>
                <w:color w:val="auto"/>
                <w:kern w:val="0"/>
                <w:sz w:val="24"/>
                <w:highlight w:val="none"/>
              </w:rPr>
              <w:t>每少1人扣1分，扣完为止</w:t>
            </w:r>
            <w:r>
              <w:rPr>
                <w:rFonts w:hint="eastAsia" w:ascii="仿宋" w:hAnsi="仿宋" w:eastAsia="仿宋"/>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分</w:t>
            </w:r>
          </w:p>
        </w:tc>
        <w:tc>
          <w:tcPr>
            <w:tcW w:w="6057" w:type="dxa"/>
            <w:vAlign w:val="center"/>
          </w:tcPr>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拟投入本项目的安全负责人不少于4人，且每人均同时具备以下证书（4人均须具备）得4分：</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1、具有工程师及以上技术职称。</w:t>
            </w:r>
          </w:p>
          <w:p>
            <w:pPr>
              <w:pStyle w:val="86"/>
              <w:ind w:firstLine="0"/>
              <w:rPr>
                <w:rFonts w:ascii="仿宋" w:hAnsi="仿宋" w:eastAsia="仿宋" w:cs="仿宋"/>
                <w:bCs/>
                <w:color w:val="auto"/>
                <w:highlight w:val="none"/>
              </w:rPr>
            </w:pPr>
            <w:r>
              <w:rPr>
                <w:rFonts w:hint="eastAsia" w:ascii="仿宋" w:hAnsi="仿宋" w:eastAsia="仿宋" w:cs="仿宋"/>
                <w:bCs/>
                <w:color w:val="auto"/>
                <w:highlight w:val="none"/>
              </w:rPr>
              <w:t>2、具有有效期内的交通行业主管部门核发的项目负责人安全生产考核合格证书（</w:t>
            </w:r>
            <w:r>
              <w:rPr>
                <w:rFonts w:hint="eastAsia" w:ascii="仿宋" w:hAnsi="仿宋" w:eastAsia="仿宋" w:cs="仿宋"/>
                <w:bCs/>
                <w:color w:val="auto"/>
                <w:highlight w:val="none"/>
                <w:lang w:val="en-US"/>
              </w:rPr>
              <w:t>C</w:t>
            </w:r>
            <w:r>
              <w:rPr>
                <w:rFonts w:hint="eastAsia" w:ascii="仿宋" w:hAnsi="仿宋" w:eastAsia="仿宋" w:cs="仿宋"/>
                <w:bCs/>
                <w:color w:val="auto"/>
                <w:highlight w:val="none"/>
              </w:rPr>
              <w:t>类）。</w:t>
            </w:r>
          </w:p>
          <w:p>
            <w:pPr>
              <w:pStyle w:val="86"/>
              <w:ind w:firstLine="0"/>
              <w:rPr>
                <w:rFonts w:ascii="仿宋" w:hAnsi="仿宋" w:eastAsia="仿宋"/>
                <w:b/>
                <w:bCs/>
                <w:color w:val="auto"/>
                <w:szCs w:val="24"/>
                <w:highlight w:val="none"/>
              </w:rPr>
            </w:pPr>
            <w:r>
              <w:rPr>
                <w:rFonts w:hint="eastAsia" w:ascii="仿宋" w:hAnsi="仿宋" w:eastAsia="仿宋"/>
                <w:b/>
                <w:bCs/>
                <w:color w:val="auto"/>
                <w:szCs w:val="24"/>
                <w:highlight w:val="none"/>
                <w:lang w:val="en-US"/>
              </w:rPr>
              <w:t>注：</w:t>
            </w:r>
            <w:r>
              <w:rPr>
                <w:rFonts w:hint="eastAsia" w:ascii="仿宋" w:hAnsi="仿宋" w:eastAsia="仿宋"/>
                <w:b/>
                <w:bCs/>
                <w:color w:val="auto"/>
                <w:szCs w:val="24"/>
                <w:highlight w:val="none"/>
              </w:rPr>
              <w:t>安全负责人</w:t>
            </w:r>
            <w:r>
              <w:rPr>
                <w:rFonts w:hint="eastAsia" w:ascii="仿宋" w:hAnsi="仿宋" w:eastAsia="仿宋"/>
                <w:b/>
                <w:bCs/>
                <w:color w:val="auto"/>
                <w:szCs w:val="24"/>
                <w:highlight w:val="none"/>
                <w:lang w:val="en-US"/>
              </w:rPr>
              <w:t>须提供身份证（正反面扫描）、技术职称证书、近三个月内任意一个月的社保缴纳证明，近一个月新成立的单位提供说明，缺项不得分，</w:t>
            </w:r>
            <w:r>
              <w:rPr>
                <w:rFonts w:hint="eastAsia" w:ascii="仿宋" w:hAnsi="仿宋" w:eastAsia="仿宋"/>
                <w:b/>
                <w:bCs/>
                <w:color w:val="auto"/>
                <w:szCs w:val="24"/>
                <w:highlight w:val="none"/>
              </w:rPr>
              <w:t>安全负责人</w:t>
            </w:r>
            <w:r>
              <w:rPr>
                <w:rFonts w:hint="eastAsia" w:ascii="仿宋" w:hAnsi="仿宋" w:eastAsia="仿宋" w:cs="仿宋"/>
                <w:b/>
                <w:bCs/>
                <w:color w:val="auto"/>
                <w:kern w:val="0"/>
                <w:highlight w:val="none"/>
              </w:rPr>
              <w:t>每少</w:t>
            </w:r>
            <w:r>
              <w:rPr>
                <w:rFonts w:hint="eastAsia" w:ascii="仿宋" w:hAnsi="仿宋" w:eastAsia="仿宋" w:cs="仿宋"/>
                <w:b/>
                <w:bCs/>
                <w:color w:val="auto"/>
                <w:kern w:val="0"/>
                <w:highlight w:val="none"/>
                <w:lang w:val="en-US"/>
              </w:rPr>
              <w:t>1</w:t>
            </w:r>
            <w:r>
              <w:rPr>
                <w:rFonts w:hint="eastAsia" w:ascii="仿宋" w:hAnsi="仿宋" w:eastAsia="仿宋" w:cs="仿宋"/>
                <w:b/>
                <w:bCs/>
                <w:color w:val="auto"/>
                <w:kern w:val="0"/>
                <w:highlight w:val="none"/>
              </w:rPr>
              <w:t>人扣</w:t>
            </w:r>
            <w:r>
              <w:rPr>
                <w:rFonts w:hint="eastAsia" w:ascii="仿宋" w:hAnsi="仿宋" w:eastAsia="仿宋" w:cs="仿宋"/>
                <w:b/>
                <w:bCs/>
                <w:color w:val="auto"/>
                <w:kern w:val="0"/>
                <w:highlight w:val="none"/>
                <w:lang w:val="en-US"/>
              </w:rPr>
              <w:t>1分，扣完为止</w:t>
            </w:r>
            <w:r>
              <w:rPr>
                <w:rFonts w:hint="eastAsia" w:ascii="仿宋" w:hAnsi="仿宋" w:eastAsia="仿宋"/>
                <w:b/>
                <w:bCs/>
                <w:color w:val="auto"/>
                <w:szCs w:val="24"/>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tc>
        <w:tc>
          <w:tcPr>
            <w:tcW w:w="6057" w:type="dxa"/>
            <w:vAlign w:val="center"/>
          </w:tcPr>
          <w:p>
            <w:pPr>
              <w:pStyle w:val="86"/>
              <w:ind w:firstLine="0"/>
              <w:rPr>
                <w:rFonts w:ascii="仿宋" w:hAnsi="仿宋" w:eastAsia="仿宋" w:cs="仿宋"/>
                <w:bCs/>
                <w:color w:val="auto"/>
                <w:szCs w:val="24"/>
                <w:highlight w:val="none"/>
              </w:rPr>
            </w:pPr>
            <w:r>
              <w:rPr>
                <w:rFonts w:hint="eastAsia" w:ascii="仿宋" w:hAnsi="仿宋" w:eastAsia="仿宋" w:cs="仿宋"/>
                <w:color w:val="auto"/>
                <w:kern w:val="0"/>
                <w:szCs w:val="24"/>
                <w:highlight w:val="none"/>
              </w:rPr>
              <w:t>投标人拟投入本项目投入的养护管理及作业人员人数</w:t>
            </w:r>
            <w:r>
              <w:rPr>
                <w:rFonts w:hint="eastAsia" w:ascii="仿宋" w:hAnsi="仿宋" w:eastAsia="仿宋" w:cs="仿宋"/>
                <w:color w:val="auto"/>
                <w:kern w:val="0"/>
                <w:szCs w:val="24"/>
                <w:highlight w:val="none"/>
                <w:lang w:val="en-US"/>
              </w:rPr>
              <w:t>30</w:t>
            </w:r>
            <w:r>
              <w:rPr>
                <w:rFonts w:hint="eastAsia" w:ascii="仿宋" w:hAnsi="仿宋" w:eastAsia="仿宋" w:cs="仿宋"/>
                <w:color w:val="auto"/>
                <w:kern w:val="0"/>
                <w:szCs w:val="24"/>
                <w:highlight w:val="none"/>
              </w:rPr>
              <w:t>人以上的，得</w:t>
            </w:r>
            <w:r>
              <w:rPr>
                <w:rFonts w:hint="eastAsia" w:ascii="仿宋" w:hAnsi="仿宋" w:eastAsia="仿宋" w:cs="仿宋"/>
                <w:color w:val="auto"/>
                <w:kern w:val="0"/>
                <w:szCs w:val="24"/>
                <w:highlight w:val="none"/>
                <w:lang w:val="en-US"/>
              </w:rPr>
              <w:t>5</w:t>
            </w:r>
            <w:r>
              <w:rPr>
                <w:rFonts w:hint="eastAsia" w:ascii="仿宋" w:hAnsi="仿宋" w:eastAsia="仿宋" w:cs="仿宋"/>
                <w:color w:val="auto"/>
                <w:kern w:val="0"/>
                <w:szCs w:val="24"/>
                <w:highlight w:val="none"/>
              </w:rPr>
              <w:t>分，每缺少1人扣1分，扣完为止。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675" w:type="dxa"/>
            <w:vMerge w:val="restart"/>
            <w:vAlign w:val="center"/>
          </w:tcPr>
          <w:p>
            <w:pPr>
              <w:spacing w:line="360" w:lineRule="auto"/>
              <w:ind w:left="-50"/>
              <w:jc w:val="center"/>
              <w:rPr>
                <w:rFonts w:ascii="仿宋" w:hAnsi="仿宋" w:eastAsia="仿宋" w:cs="仿宋"/>
                <w:bCs/>
                <w:color w:val="auto"/>
                <w:sz w:val="24"/>
                <w:highlight w:val="none"/>
              </w:rPr>
            </w:pPr>
            <w:r>
              <w:rPr>
                <w:rFonts w:ascii="仿宋" w:hAnsi="仿宋" w:eastAsia="仿宋" w:cs="仿宋"/>
                <w:bCs/>
                <w:color w:val="auto"/>
                <w:sz w:val="24"/>
                <w:highlight w:val="none"/>
              </w:rPr>
              <w:t>4</w:t>
            </w:r>
          </w:p>
        </w:tc>
        <w:tc>
          <w:tcPr>
            <w:tcW w:w="1505" w:type="dxa"/>
            <w:vMerge w:val="restart"/>
            <w:vAlign w:val="center"/>
          </w:tcPr>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Cs/>
                <w:color w:val="auto"/>
                <w:sz w:val="24"/>
                <w:highlight w:val="none"/>
              </w:rPr>
              <w:t>投标人配备车辆、设备</w:t>
            </w:r>
          </w:p>
          <w:p>
            <w:pPr>
              <w:widowControl/>
              <w:spacing w:line="360" w:lineRule="auto"/>
              <w:jc w:val="center"/>
              <w:rPr>
                <w:rFonts w:ascii="仿宋" w:hAnsi="仿宋" w:eastAsia="仿宋" w:cs="仿宋"/>
                <w:bCs/>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0</w:t>
            </w:r>
            <w:r>
              <w:rPr>
                <w:rFonts w:hint="eastAsia" w:ascii="仿宋" w:hAnsi="仿宋" w:eastAsia="仿宋" w:cs="宋体"/>
                <w:color w:val="auto"/>
                <w:sz w:val="24"/>
                <w:highlight w:val="none"/>
              </w:rPr>
              <w:t>分</w:t>
            </w:r>
          </w:p>
        </w:tc>
        <w:tc>
          <w:tcPr>
            <w:tcW w:w="6057" w:type="dxa"/>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投标人为本项目配备的各种类养护车辆，种类及数量符合采购文件第三部分《采购需求》中要求的得10分，每缺少一辆车辆或每有一种车辆不符合要求扣1分，扣完为止。</w:t>
            </w:r>
          </w:p>
          <w:p>
            <w:pPr>
              <w:spacing w:line="360" w:lineRule="auto"/>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注：投标人须在投标文件中提供车辆登记证，如为租赁车辆或设备还须另外提供租赁合同，租赁期须</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本项目服务期，扫描件证明，不符合要求不得分。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bCs/>
                <w:color w:val="auto"/>
                <w:sz w:val="24"/>
                <w:highlight w:val="none"/>
              </w:rPr>
            </w:pPr>
          </w:p>
        </w:tc>
        <w:tc>
          <w:tcPr>
            <w:tcW w:w="110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0</w:t>
            </w:r>
            <w:r>
              <w:rPr>
                <w:rFonts w:hint="eastAsia" w:ascii="仿宋" w:hAnsi="仿宋" w:eastAsia="仿宋" w:cs="宋体"/>
                <w:color w:val="auto"/>
                <w:sz w:val="24"/>
                <w:highlight w:val="none"/>
              </w:rPr>
              <w:t>分</w:t>
            </w:r>
          </w:p>
        </w:tc>
        <w:tc>
          <w:tcPr>
            <w:tcW w:w="6057" w:type="dxa"/>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投标人为本项目配备的各种设备，种类及数量符合采购文件第三部分《采购需求》中要求的得10分，每缺少一台设备或每有一台设备不符合要求扣1分，扣完为止。</w:t>
            </w:r>
          </w:p>
          <w:p>
            <w:pPr>
              <w:spacing w:line="360" w:lineRule="auto"/>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注：投标人须在投标文件中提供设备购置发票，如为租赁设备还须另外提供租赁合同，租赁期须</w:t>
            </w:r>
            <w:r>
              <w:rPr>
                <w:rFonts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rPr>
              <w:t>本项目服务期，扫描件证明，不符合要求不得分。</w:t>
            </w:r>
          </w:p>
          <w:p>
            <w:pPr>
              <w:snapToGrid w:val="0"/>
              <w:spacing w:line="360" w:lineRule="auto"/>
              <w:jc w:val="left"/>
              <w:rPr>
                <w:rFonts w:ascii="仿宋" w:hAnsi="仿宋" w:eastAsia="仿宋" w:cs="仿宋"/>
                <w:color w:val="auto"/>
                <w:kern w:val="0"/>
                <w:sz w:val="24"/>
                <w:highlight w:val="none"/>
              </w:rPr>
            </w:pPr>
            <w:r>
              <w:rPr>
                <w:rFonts w:hint="eastAsia" w:ascii="仿宋" w:hAnsi="仿宋" w:eastAsia="仿宋"/>
                <w:b/>
                <w:bCs/>
                <w:color w:val="auto"/>
                <w:sz w:val="24"/>
                <w:highlight w:val="none"/>
              </w:rPr>
              <w:t>注：沥青混凝土拌和装置需在余杭或周边县、市（县级市）、区范围内。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vMerge w:val="restart"/>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505" w:type="dxa"/>
            <w:vMerge w:val="restart"/>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组织实施方案</w:t>
            </w:r>
          </w:p>
        </w:tc>
        <w:tc>
          <w:tcPr>
            <w:tcW w:w="1104" w:type="dxa"/>
            <w:vAlign w:val="center"/>
          </w:tcPr>
          <w:p>
            <w:pPr>
              <w:pStyle w:val="643"/>
              <w:spacing w:line="360" w:lineRule="auto"/>
              <w:jc w:val="center"/>
              <w:rPr>
                <w:rFonts w:ascii="仿宋" w:hAnsi="仿宋" w:eastAsia="仿宋" w:cs="仿宋"/>
                <w:color w:val="auto"/>
                <w:szCs w:val="24"/>
                <w:highlight w:val="none"/>
                <w:lang w:val="en-US"/>
              </w:rPr>
            </w:pPr>
            <w:bookmarkStart w:id="730" w:name="_GoBack"/>
            <w:bookmarkEnd w:id="730"/>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cs="仿宋"/>
                <w:b/>
                <w:bCs/>
                <w:color w:val="auto"/>
                <w:szCs w:val="24"/>
                <w:highlight w:val="none"/>
                <w:lang w:val="en-US"/>
              </w:rPr>
            </w:pPr>
            <w:r>
              <w:rPr>
                <w:rFonts w:hint="eastAsia" w:ascii="仿宋" w:hAnsi="仿宋" w:eastAsia="仿宋"/>
                <w:snapToGrid w:val="0"/>
                <w:color w:val="auto"/>
                <w:szCs w:val="24"/>
                <w:highlight w:val="none"/>
              </w:rPr>
              <w:t>投标人对现有养护现状了解全面、存在问题的分析到位，符合实际，对本项目养护难点、要点等问题进行调查剖析，调查剖析到位、科学得</w:t>
            </w:r>
            <w:r>
              <w:rPr>
                <w:rFonts w:ascii="仿宋" w:hAnsi="仿宋" w:eastAsia="仿宋"/>
                <w:snapToGrid w:val="0"/>
                <w:color w:val="auto"/>
                <w:szCs w:val="24"/>
                <w:highlight w:val="none"/>
              </w:rPr>
              <w:t>5</w:t>
            </w:r>
            <w:r>
              <w:rPr>
                <w:rFonts w:hint="eastAsia" w:ascii="仿宋" w:hAnsi="仿宋" w:eastAsia="仿宋"/>
                <w:snapToGrid w:val="0"/>
                <w:color w:val="auto"/>
                <w:szCs w:val="24"/>
                <w:highlight w:val="none"/>
              </w:rPr>
              <w:t>分，投标人对现有养护现状了解较为全面、存在问题的分析较为到位，对本项目养护难点、要点等问题进行调查剖析，调查剖析较为到位、科学得</w:t>
            </w:r>
            <w:r>
              <w:rPr>
                <w:rFonts w:ascii="仿宋" w:hAnsi="仿宋" w:eastAsia="仿宋"/>
                <w:snapToGrid w:val="0"/>
                <w:color w:val="auto"/>
                <w:szCs w:val="24"/>
                <w:highlight w:val="none"/>
              </w:rPr>
              <w:t>3</w:t>
            </w:r>
            <w:r>
              <w:rPr>
                <w:rFonts w:hint="eastAsia" w:ascii="仿宋" w:hAnsi="仿宋" w:eastAsia="仿宋"/>
                <w:snapToGrid w:val="0"/>
                <w:color w:val="auto"/>
                <w:szCs w:val="24"/>
                <w:highlight w:val="none"/>
              </w:rPr>
              <w:t>分，投标人对现有养护现状了解一般、存在问题的分析一般，对本项目养护难点、要点等问题进行调查剖析，调查剖析一般得</w:t>
            </w:r>
            <w:r>
              <w:rPr>
                <w:rFonts w:ascii="仿宋" w:hAnsi="仿宋" w:eastAsia="仿宋"/>
                <w:snapToGrid w:val="0"/>
                <w:color w:val="auto"/>
                <w:szCs w:val="24"/>
                <w:highlight w:val="none"/>
              </w:rPr>
              <w:t>1</w:t>
            </w:r>
            <w:r>
              <w:rPr>
                <w:rFonts w:hint="eastAsia" w:ascii="仿宋" w:hAnsi="仿宋" w:eastAsia="仿宋"/>
                <w:snapToGrid w:val="0"/>
                <w:color w:val="auto"/>
                <w:szCs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snapToGrid w:val="0"/>
                <w:color w:val="auto"/>
                <w:szCs w:val="24"/>
                <w:highlight w:val="none"/>
              </w:rPr>
            </w:pP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针对重点、难点提供了相对应的解决方案，方案合理可行得</w:t>
            </w:r>
            <w:r>
              <w:rPr>
                <w:rFonts w:ascii="仿宋" w:hAnsi="仿宋" w:eastAsia="仿宋"/>
                <w:snapToGrid w:val="0"/>
                <w:color w:val="auto"/>
                <w:szCs w:val="24"/>
                <w:highlight w:val="none"/>
                <w:lang w:val="en-US"/>
              </w:rPr>
              <w:t>5</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针对重点、难点提供了相对应的解决方案，方案较为合理可行得</w:t>
            </w:r>
            <w:r>
              <w:rPr>
                <w:rFonts w:ascii="仿宋" w:hAnsi="仿宋" w:eastAsia="仿宋"/>
                <w:snapToGrid w:val="0"/>
                <w:color w:val="auto"/>
                <w:szCs w:val="24"/>
                <w:highlight w:val="none"/>
              </w:rPr>
              <w:t>3</w:t>
            </w:r>
            <w:r>
              <w:rPr>
                <w:rFonts w:hint="eastAsia" w:ascii="仿宋" w:hAnsi="仿宋" w:eastAsia="仿宋"/>
                <w:snapToGrid w:val="0"/>
                <w:color w:val="auto"/>
                <w:szCs w:val="24"/>
                <w:highlight w:val="none"/>
              </w:rPr>
              <w:t>分；</w:t>
            </w:r>
            <w:r>
              <w:rPr>
                <w:rFonts w:ascii="仿宋" w:hAnsi="仿宋" w:eastAsia="仿宋"/>
                <w:snapToGrid w:val="0"/>
                <w:color w:val="auto"/>
                <w:szCs w:val="24"/>
                <w:highlight w:val="none"/>
              </w:rPr>
              <w:t>投标人</w:t>
            </w:r>
            <w:r>
              <w:rPr>
                <w:rFonts w:hint="eastAsia" w:ascii="仿宋" w:hAnsi="仿宋" w:eastAsia="仿宋"/>
                <w:snapToGrid w:val="0"/>
                <w:color w:val="auto"/>
                <w:szCs w:val="24"/>
                <w:highlight w:val="none"/>
              </w:rPr>
              <w:t>针对重点、难点提供了相对应的解决方案，但方案有有一定不足，需进一步完善得</w:t>
            </w:r>
            <w:r>
              <w:rPr>
                <w:rFonts w:ascii="仿宋" w:hAnsi="仿宋" w:eastAsia="仿宋"/>
                <w:snapToGrid w:val="0"/>
                <w:color w:val="auto"/>
                <w:szCs w:val="24"/>
                <w:highlight w:val="none"/>
              </w:rPr>
              <w:t>1</w:t>
            </w:r>
            <w:r>
              <w:rPr>
                <w:rFonts w:hint="eastAsia" w:ascii="仿宋" w:hAnsi="仿宋" w:eastAsia="仿宋"/>
                <w:snapToGrid w:val="0"/>
                <w:color w:val="auto"/>
                <w:szCs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snapToGrid w:val="0"/>
                <w:color w:val="auto"/>
                <w:szCs w:val="24"/>
                <w:highlight w:val="none"/>
              </w:rPr>
            </w:pPr>
            <w:r>
              <w:rPr>
                <w:rFonts w:hint="eastAsia" w:ascii="仿宋" w:hAnsi="仿宋" w:eastAsia="仿宋" w:cs="仿宋"/>
                <w:color w:val="auto"/>
                <w:szCs w:val="24"/>
                <w:highlight w:val="none"/>
                <w:lang w:val="en-US"/>
              </w:rPr>
              <w:t>（1）养护技术措施</w:t>
            </w:r>
            <w:r>
              <w:rPr>
                <w:rFonts w:hint="eastAsia" w:ascii="仿宋" w:hAnsi="仿宋" w:eastAsia="仿宋" w:cs="仿宋"/>
                <w:color w:val="auto"/>
                <w:szCs w:val="24"/>
                <w:highlight w:val="none"/>
              </w:rPr>
              <w:t>具有针对性、操作性强，</w:t>
            </w:r>
            <w:r>
              <w:rPr>
                <w:rFonts w:hint="eastAsia" w:ascii="仿宋" w:hAnsi="仿宋" w:eastAsia="仿宋" w:cs="宋体"/>
                <w:color w:val="auto"/>
                <w:szCs w:val="24"/>
                <w:highlight w:val="none"/>
              </w:rPr>
              <w:t>重点阐述</w:t>
            </w:r>
            <w:r>
              <w:rPr>
                <w:rFonts w:hint="eastAsia" w:ascii="仿宋" w:hAnsi="仿宋" w:eastAsia="仿宋" w:cs="宋体"/>
                <w:color w:val="auto"/>
                <w:szCs w:val="24"/>
                <w:highlight w:val="none"/>
                <w:lang w:val="en-US"/>
              </w:rPr>
              <w:t>路面刨除、修补</w:t>
            </w:r>
            <w:r>
              <w:rPr>
                <w:rFonts w:hint="eastAsia" w:ascii="仿宋" w:hAnsi="仿宋" w:eastAsia="仿宋" w:cs="宋体"/>
                <w:color w:val="auto"/>
                <w:szCs w:val="24"/>
                <w:highlight w:val="none"/>
              </w:rPr>
              <w:t>等关键养护技术措施</w:t>
            </w:r>
            <w:r>
              <w:rPr>
                <w:rFonts w:ascii="仿宋" w:hAnsi="仿宋" w:eastAsia="仿宋"/>
                <w:color w:val="auto"/>
                <w:szCs w:val="24"/>
                <w:highlight w:val="none"/>
              </w:rPr>
              <w:t>方案</w:t>
            </w:r>
            <w:r>
              <w:rPr>
                <w:rFonts w:hint="eastAsia" w:ascii="仿宋" w:hAnsi="仿宋" w:eastAsia="仿宋"/>
                <w:color w:val="auto"/>
                <w:szCs w:val="24"/>
                <w:highlight w:val="none"/>
                <w:lang w:val="en-US"/>
              </w:rPr>
              <w:t>，方案合理可行，符合实际</w:t>
            </w:r>
            <w:r>
              <w:rPr>
                <w:rFonts w:hint="eastAsia" w:ascii="仿宋" w:hAnsi="仿宋" w:eastAsia="仿宋" w:cs="仿宋"/>
                <w:color w:val="auto"/>
                <w:szCs w:val="24"/>
                <w:highlight w:val="none"/>
              </w:rPr>
              <w:t>得</w:t>
            </w:r>
            <w:r>
              <w:rPr>
                <w:rStyle w:val="104"/>
                <w:rFonts w:ascii="仿宋" w:hAnsi="仿宋" w:eastAsia="仿宋"/>
                <w:color w:val="auto"/>
                <w:kern w:val="2"/>
                <w:sz w:val="24"/>
                <w:szCs w:val="24"/>
                <w:highlight w:val="none"/>
                <w:lang w:val="en-US"/>
              </w:rPr>
              <w:t>5</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rPr>
              <w:t>养护技术措施较</w:t>
            </w:r>
            <w:r>
              <w:rPr>
                <w:rFonts w:hint="eastAsia" w:ascii="仿宋" w:hAnsi="仿宋" w:eastAsia="仿宋" w:cs="仿宋"/>
                <w:color w:val="auto"/>
                <w:szCs w:val="24"/>
                <w:highlight w:val="none"/>
              </w:rPr>
              <w:t>具有针对性、操作性强，</w:t>
            </w:r>
            <w:r>
              <w:rPr>
                <w:rFonts w:hint="eastAsia" w:ascii="仿宋" w:hAnsi="仿宋" w:eastAsia="仿宋" w:cs="宋体"/>
                <w:color w:val="auto"/>
                <w:szCs w:val="24"/>
                <w:highlight w:val="none"/>
              </w:rPr>
              <w:t>重点阐述</w:t>
            </w:r>
            <w:r>
              <w:rPr>
                <w:rFonts w:hint="eastAsia" w:ascii="仿宋" w:hAnsi="仿宋" w:eastAsia="仿宋" w:cs="宋体"/>
                <w:color w:val="auto"/>
                <w:szCs w:val="24"/>
                <w:highlight w:val="none"/>
                <w:lang w:val="en-US"/>
              </w:rPr>
              <w:t>路面刨除、修补</w:t>
            </w:r>
            <w:r>
              <w:rPr>
                <w:rFonts w:hint="eastAsia" w:ascii="仿宋" w:hAnsi="仿宋" w:eastAsia="仿宋" w:cs="宋体"/>
                <w:color w:val="auto"/>
                <w:szCs w:val="24"/>
                <w:highlight w:val="none"/>
              </w:rPr>
              <w:t>等关键养护技术措施</w:t>
            </w:r>
            <w:r>
              <w:rPr>
                <w:rFonts w:ascii="仿宋" w:hAnsi="仿宋" w:eastAsia="仿宋"/>
                <w:color w:val="auto"/>
                <w:szCs w:val="24"/>
                <w:highlight w:val="none"/>
              </w:rPr>
              <w:t>方案</w:t>
            </w:r>
            <w:r>
              <w:rPr>
                <w:rFonts w:hint="eastAsia" w:ascii="仿宋" w:hAnsi="仿宋" w:eastAsia="仿宋"/>
                <w:color w:val="auto"/>
                <w:szCs w:val="24"/>
                <w:highlight w:val="none"/>
                <w:lang w:val="en-US"/>
              </w:rPr>
              <w:t>，方案较为合理可行，符合实际</w:t>
            </w:r>
            <w:r>
              <w:rPr>
                <w:rFonts w:hint="eastAsia" w:ascii="仿宋" w:hAnsi="仿宋" w:eastAsia="仿宋" w:cs="仿宋"/>
                <w:color w:val="auto"/>
                <w:szCs w:val="24"/>
                <w:highlight w:val="none"/>
              </w:rPr>
              <w:t>得</w:t>
            </w:r>
            <w:r>
              <w:rPr>
                <w:rStyle w:val="104"/>
                <w:rFonts w:hint="eastAsia" w:ascii="仿宋" w:hAnsi="仿宋" w:eastAsia="仿宋"/>
                <w:color w:val="auto"/>
                <w:kern w:val="2"/>
                <w:sz w:val="24"/>
                <w:szCs w:val="24"/>
                <w:highlight w:val="none"/>
                <w:lang w:val="en-US"/>
              </w:rPr>
              <w:t>3</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val="en-US"/>
              </w:rPr>
              <w:t>养护技术措施</w:t>
            </w:r>
            <w:r>
              <w:rPr>
                <w:rFonts w:hint="eastAsia" w:ascii="仿宋" w:hAnsi="仿宋" w:eastAsia="仿宋" w:cs="仿宋"/>
                <w:color w:val="auto"/>
                <w:szCs w:val="24"/>
                <w:highlight w:val="none"/>
              </w:rPr>
              <w:t>针对性、操作性有一定不足，</w:t>
            </w:r>
            <w:r>
              <w:rPr>
                <w:rFonts w:hint="eastAsia" w:ascii="仿宋" w:hAnsi="仿宋" w:eastAsia="仿宋" w:cs="宋体"/>
                <w:color w:val="auto"/>
                <w:szCs w:val="24"/>
                <w:highlight w:val="none"/>
              </w:rPr>
              <w:t>有一定阐述</w:t>
            </w:r>
            <w:r>
              <w:rPr>
                <w:rFonts w:hint="eastAsia" w:ascii="仿宋" w:hAnsi="仿宋" w:eastAsia="仿宋" w:cs="宋体"/>
                <w:color w:val="auto"/>
                <w:szCs w:val="24"/>
                <w:highlight w:val="none"/>
                <w:lang w:val="en-US"/>
              </w:rPr>
              <w:t>路面刨除、修补</w:t>
            </w:r>
            <w:r>
              <w:rPr>
                <w:rFonts w:hint="eastAsia" w:ascii="仿宋" w:hAnsi="仿宋" w:eastAsia="仿宋" w:cs="宋体"/>
                <w:color w:val="auto"/>
                <w:szCs w:val="24"/>
                <w:highlight w:val="none"/>
              </w:rPr>
              <w:t>等关键养护技术措施</w:t>
            </w:r>
            <w:r>
              <w:rPr>
                <w:rFonts w:ascii="仿宋" w:hAnsi="仿宋" w:eastAsia="仿宋"/>
                <w:color w:val="auto"/>
                <w:szCs w:val="24"/>
                <w:highlight w:val="none"/>
              </w:rPr>
              <w:t>方案</w:t>
            </w:r>
            <w:r>
              <w:rPr>
                <w:rFonts w:hint="eastAsia" w:ascii="仿宋" w:hAnsi="仿宋" w:eastAsia="仿宋"/>
                <w:color w:val="auto"/>
                <w:szCs w:val="24"/>
                <w:highlight w:val="none"/>
                <w:lang w:val="en-US"/>
              </w:rPr>
              <w:t>，但方案有一定不足，需进一步完善</w:t>
            </w:r>
            <w:r>
              <w:rPr>
                <w:rFonts w:hint="eastAsia" w:ascii="仿宋" w:hAnsi="仿宋" w:eastAsia="仿宋" w:cs="仿宋"/>
                <w:color w:val="auto"/>
                <w:szCs w:val="24"/>
                <w:highlight w:val="none"/>
              </w:rPr>
              <w:t>得</w:t>
            </w:r>
            <w:r>
              <w:rPr>
                <w:rStyle w:val="104"/>
                <w:rFonts w:ascii="仿宋" w:hAnsi="仿宋" w:eastAsia="仿宋"/>
                <w:color w:val="auto"/>
                <w:kern w:val="2"/>
                <w:sz w:val="24"/>
                <w:szCs w:val="24"/>
                <w:highlight w:val="none"/>
                <w:lang w:val="en-US"/>
              </w:rPr>
              <w:t>1</w:t>
            </w:r>
            <w:r>
              <w:rPr>
                <w:rFonts w:hint="eastAsia" w:ascii="仿宋" w:hAnsi="仿宋" w:eastAsia="仿宋" w:cs="仿宋"/>
                <w:color w:val="auto"/>
                <w:szCs w:val="24"/>
                <w:highlight w:val="none"/>
              </w:rPr>
              <w:t>分</w:t>
            </w:r>
            <w:r>
              <w:rPr>
                <w:rFonts w:hint="eastAsia" w:ascii="仿宋" w:hAnsi="仿宋" w:eastAsia="仿宋"/>
                <w:snapToGrid w:val="0"/>
                <w:color w:val="auto"/>
                <w:szCs w:val="24"/>
                <w:highlight w:val="none"/>
              </w:rPr>
              <w:t>；方案不合理或未提供方案不得分。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5分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宋体"/>
                <w:color w:val="auto"/>
                <w:highlight w:val="none"/>
              </w:rPr>
              <w:t>投标人</w:t>
            </w:r>
            <w:r>
              <w:rPr>
                <w:rFonts w:ascii="仿宋" w:hAnsi="仿宋" w:eastAsia="仿宋" w:cs="宋体"/>
                <w:color w:val="auto"/>
                <w:highlight w:val="none"/>
              </w:rPr>
              <w:t>须在</w:t>
            </w:r>
            <w:r>
              <w:rPr>
                <w:rFonts w:hint="eastAsia" w:ascii="仿宋" w:hAnsi="仿宋" w:eastAsia="仿宋" w:cs="宋体"/>
                <w:color w:val="auto"/>
                <w:highlight w:val="none"/>
              </w:rPr>
              <w:t>余杭区</w:t>
            </w:r>
            <w:r>
              <w:rPr>
                <w:rFonts w:ascii="仿宋" w:hAnsi="仿宋" w:eastAsia="仿宋" w:cs="宋体"/>
                <w:color w:val="auto"/>
                <w:highlight w:val="none"/>
              </w:rPr>
              <w:t>范围内设置不少于5处固定养护基地</w:t>
            </w:r>
            <w:r>
              <w:rPr>
                <w:rFonts w:hint="eastAsia" w:ascii="仿宋" w:hAnsi="仿宋" w:eastAsia="仿宋" w:cs="宋体"/>
                <w:color w:val="auto"/>
                <w:highlight w:val="none"/>
              </w:rPr>
              <w:t>（以</w:t>
            </w:r>
            <w:r>
              <w:rPr>
                <w:rFonts w:ascii="仿宋" w:hAnsi="仿宋" w:eastAsia="仿宋" w:cs="宋体"/>
                <w:color w:val="auto"/>
                <w:highlight w:val="none"/>
              </w:rPr>
              <w:t>5处固定养护基地</w:t>
            </w:r>
            <w:r>
              <w:rPr>
                <w:rFonts w:hint="eastAsia" w:ascii="仿宋" w:hAnsi="仿宋" w:eastAsia="仿宋" w:cs="宋体"/>
                <w:color w:val="auto"/>
                <w:highlight w:val="none"/>
              </w:rPr>
              <w:t>为中心，半径1</w:t>
            </w:r>
            <w:r>
              <w:rPr>
                <w:rFonts w:ascii="仿宋" w:hAnsi="仿宋" w:eastAsia="仿宋" w:cs="宋体"/>
                <w:color w:val="auto"/>
                <w:highlight w:val="none"/>
              </w:rPr>
              <w:t>5</w:t>
            </w:r>
            <w:r>
              <w:rPr>
                <w:rFonts w:hint="eastAsia" w:ascii="仿宋" w:hAnsi="仿宋" w:eastAsia="仿宋" w:cs="宋体"/>
                <w:color w:val="auto"/>
                <w:highlight w:val="none"/>
              </w:rPr>
              <w:t>公里</w:t>
            </w:r>
            <w:r>
              <w:rPr>
                <w:rFonts w:hint="eastAsia" w:ascii="仿宋" w:hAnsi="仿宋" w:eastAsia="仿宋" w:cs="宋体"/>
                <w:color w:val="auto"/>
                <w:highlight w:val="none"/>
                <w:lang w:val="en-US"/>
              </w:rPr>
              <w:t>内</w:t>
            </w:r>
            <w:r>
              <w:rPr>
                <w:rFonts w:hint="eastAsia" w:ascii="仿宋" w:hAnsi="仿宋" w:eastAsia="仿宋" w:cs="宋体"/>
                <w:color w:val="auto"/>
                <w:highlight w:val="none"/>
              </w:rPr>
              <w:t>，要求覆盖整个余杭区养护范围）</w:t>
            </w:r>
            <w:r>
              <w:rPr>
                <w:rFonts w:ascii="仿宋" w:hAnsi="仿宋" w:eastAsia="仿宋" w:cs="宋体"/>
                <w:color w:val="auto"/>
                <w:highlight w:val="none"/>
              </w:rPr>
              <w:t>，每处</w:t>
            </w:r>
            <w:r>
              <w:rPr>
                <w:rFonts w:ascii="仿宋" w:hAnsi="仿宋" w:eastAsia="仿宋" w:cs="宋体"/>
                <w:color w:val="auto"/>
                <w:spacing w:val="4"/>
                <w:highlight w:val="none"/>
              </w:rPr>
              <w:t>固定基地应包括办公区</w:t>
            </w:r>
            <w:r>
              <w:rPr>
                <w:rFonts w:hint="eastAsia" w:ascii="仿宋" w:hAnsi="仿宋" w:eastAsia="仿宋" w:cs="宋体"/>
                <w:color w:val="auto"/>
                <w:spacing w:val="4"/>
                <w:highlight w:val="none"/>
                <w:lang w:val="en-US"/>
              </w:rPr>
              <w:t>使用面积</w:t>
            </w:r>
            <w:r>
              <w:rPr>
                <w:rFonts w:ascii="仿宋" w:hAnsi="仿宋" w:eastAsia="仿宋" w:cs="宋体"/>
                <w:color w:val="auto"/>
                <w:spacing w:val="4"/>
                <w:highlight w:val="none"/>
              </w:rPr>
              <w:t>（≥</w:t>
            </w:r>
            <w:r>
              <w:rPr>
                <w:rFonts w:hint="eastAsia" w:ascii="仿宋" w:hAnsi="仿宋" w:eastAsia="仿宋" w:cs="宋体"/>
                <w:color w:val="auto"/>
                <w:spacing w:val="4"/>
                <w:highlight w:val="none"/>
                <w:lang w:val="en-US"/>
              </w:rPr>
              <w:t>5</w:t>
            </w:r>
            <w:r>
              <w:rPr>
                <w:rFonts w:ascii="仿宋" w:hAnsi="仿宋" w:eastAsia="仿宋" w:cs="宋体"/>
                <w:color w:val="auto"/>
                <w:spacing w:val="4"/>
                <w:highlight w:val="none"/>
              </w:rPr>
              <w:t>00平方米）、车辆停放场地（≥500平方米）、仓</w:t>
            </w:r>
            <w:r>
              <w:rPr>
                <w:rFonts w:ascii="仿宋" w:hAnsi="仿宋" w:eastAsia="仿宋" w:cs="宋体"/>
                <w:color w:val="auto"/>
                <w:spacing w:val="1"/>
                <w:highlight w:val="none"/>
              </w:rPr>
              <w:t>库区（≥200平方米）</w:t>
            </w:r>
            <w:r>
              <w:rPr>
                <w:rFonts w:hint="eastAsia" w:ascii="仿宋" w:hAnsi="仿宋" w:eastAsia="仿宋" w:cs="宋体"/>
                <w:color w:val="auto"/>
                <w:spacing w:val="1"/>
                <w:highlight w:val="none"/>
              </w:rPr>
              <w:t>，其中</w:t>
            </w:r>
            <w:r>
              <w:rPr>
                <w:rFonts w:ascii="仿宋" w:hAnsi="仿宋" w:eastAsia="仿宋" w:cs="宋体"/>
                <w:color w:val="auto"/>
                <w:highlight w:val="none"/>
              </w:rPr>
              <w:t>固定养护基地</w:t>
            </w:r>
            <w:r>
              <w:rPr>
                <w:rFonts w:hint="eastAsia" w:ascii="仿宋" w:hAnsi="仿宋" w:eastAsia="仿宋" w:cs="宋体"/>
                <w:color w:val="auto"/>
                <w:highlight w:val="none"/>
              </w:rPr>
              <w:t>总仓库区面积</w:t>
            </w:r>
            <w:r>
              <w:rPr>
                <w:rFonts w:ascii="仿宋" w:hAnsi="仿宋" w:eastAsia="仿宋" w:cs="宋体"/>
                <w:color w:val="auto"/>
                <w:spacing w:val="4"/>
                <w:highlight w:val="none"/>
              </w:rPr>
              <w:t>≥</w:t>
            </w:r>
            <w:r>
              <w:rPr>
                <w:rFonts w:hint="eastAsia" w:ascii="仿宋" w:hAnsi="仿宋" w:eastAsia="仿宋" w:cs="宋体"/>
                <w:color w:val="auto"/>
                <w:spacing w:val="4"/>
                <w:highlight w:val="none"/>
                <w:lang w:val="en-US"/>
              </w:rPr>
              <w:t>25</w:t>
            </w:r>
            <w:r>
              <w:rPr>
                <w:rFonts w:ascii="仿宋" w:hAnsi="仿宋" w:eastAsia="仿宋" w:cs="宋体"/>
                <w:color w:val="auto"/>
                <w:spacing w:val="4"/>
                <w:highlight w:val="none"/>
              </w:rPr>
              <w:t>00平方米</w:t>
            </w:r>
            <w:r>
              <w:rPr>
                <w:rFonts w:hint="eastAsia" w:ascii="仿宋" w:hAnsi="仿宋" w:eastAsia="仿宋" w:cs="仿宋"/>
                <w:color w:val="auto"/>
                <w:szCs w:val="24"/>
                <w:highlight w:val="none"/>
                <w:lang w:val="en-US"/>
              </w:rPr>
              <w:t>，全部符合要求得5分，每缺少一个养护基地或每有一项不符合要求扣2分，扣完为止。</w:t>
            </w:r>
            <w:r>
              <w:rPr>
                <w:rFonts w:ascii="仿宋" w:hAnsi="仿宋" w:eastAsia="仿宋"/>
                <w:b/>
                <w:bCs/>
                <w:color w:val="auto"/>
                <w:szCs w:val="24"/>
                <w:highlight w:val="none"/>
              </w:rPr>
              <w:t>（</w:t>
            </w:r>
            <w:r>
              <w:rPr>
                <w:rFonts w:hint="eastAsia" w:ascii="仿宋" w:hAnsi="仿宋" w:eastAsia="仿宋"/>
                <w:b/>
                <w:bCs/>
                <w:color w:val="auto"/>
                <w:szCs w:val="24"/>
                <w:highlight w:val="none"/>
              </w:rPr>
              <w:t>提供场地分布及覆盖半径图；在提供场地分布及覆盖半径图基础上，</w:t>
            </w:r>
            <w:r>
              <w:rPr>
                <w:rFonts w:ascii="仿宋" w:hAnsi="仿宋" w:eastAsia="仿宋"/>
                <w:b/>
                <w:bCs/>
                <w:color w:val="auto"/>
                <w:szCs w:val="24"/>
                <w:highlight w:val="none"/>
              </w:rPr>
              <w:t>自有</w:t>
            </w:r>
            <w:r>
              <w:rPr>
                <w:rFonts w:hint="eastAsia" w:ascii="仿宋" w:hAnsi="仿宋" w:eastAsia="仿宋"/>
                <w:b/>
                <w:bCs/>
                <w:color w:val="auto"/>
                <w:szCs w:val="24"/>
                <w:highlight w:val="none"/>
              </w:rPr>
              <w:t>场地</w:t>
            </w:r>
            <w:r>
              <w:rPr>
                <w:rFonts w:ascii="仿宋" w:hAnsi="仿宋" w:eastAsia="仿宋"/>
                <w:b/>
                <w:bCs/>
                <w:color w:val="auto"/>
                <w:szCs w:val="24"/>
                <w:highlight w:val="none"/>
              </w:rPr>
              <w:t>的提供不动产权证明</w:t>
            </w:r>
            <w:r>
              <w:rPr>
                <w:rFonts w:hint="eastAsia" w:ascii="仿宋" w:hAnsi="仿宋" w:eastAsia="仿宋"/>
                <w:b/>
                <w:bCs/>
                <w:color w:val="auto"/>
                <w:szCs w:val="24"/>
                <w:highlight w:val="none"/>
              </w:rPr>
              <w:t>，该场地的平面图、现场照片</w:t>
            </w:r>
            <w:r>
              <w:rPr>
                <w:rFonts w:ascii="仿宋" w:hAnsi="仿宋" w:eastAsia="仿宋"/>
                <w:b/>
                <w:bCs/>
                <w:color w:val="auto"/>
                <w:szCs w:val="24"/>
                <w:highlight w:val="none"/>
              </w:rPr>
              <w:t>；</w:t>
            </w:r>
            <w:r>
              <w:rPr>
                <w:rFonts w:hint="eastAsia" w:ascii="仿宋" w:hAnsi="仿宋" w:eastAsia="仿宋"/>
                <w:b/>
                <w:bCs/>
                <w:color w:val="auto"/>
                <w:szCs w:val="24"/>
                <w:highlight w:val="none"/>
              </w:rPr>
              <w:t>如目前还没有的，在提供场地分布及覆盖半径图基础上，提供相关的场地租赁意向协议及该场地的平面图，现场照片，租赁期≥本项目服务期，并承诺收到中标通知书之日起5个日历</w:t>
            </w:r>
            <w:r>
              <w:rPr>
                <w:rFonts w:hint="eastAsia" w:ascii="仿宋" w:hAnsi="仿宋" w:eastAsia="仿宋"/>
                <w:b/>
                <w:bCs/>
                <w:color w:val="auto"/>
                <w:szCs w:val="24"/>
                <w:highlight w:val="none"/>
                <w:lang w:val="en-US"/>
              </w:rPr>
              <w:t>天</w:t>
            </w:r>
            <w:r>
              <w:rPr>
                <w:rFonts w:hint="eastAsia" w:ascii="仿宋" w:hAnsi="仿宋" w:eastAsia="仿宋"/>
                <w:b/>
                <w:bCs/>
                <w:color w:val="auto"/>
                <w:szCs w:val="24"/>
                <w:highlight w:val="none"/>
              </w:rPr>
              <w:t>内具备投入使用的条件，否者不得分。（如中标后未能按时投入使用或场地面积不符合要求，采购人有权取消合同）</w:t>
            </w:r>
            <w:r>
              <w:rPr>
                <w:rFonts w:ascii="仿宋" w:hAnsi="仿宋" w:eastAsia="仿宋"/>
                <w:b/>
                <w:bCs/>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pStyle w:val="643"/>
              <w:spacing w:line="360" w:lineRule="auto"/>
              <w:jc w:val="center"/>
              <w:rPr>
                <w:rFonts w:ascii="仿宋" w:hAnsi="仿宋" w:eastAsia="仿宋" w:cs="仿宋"/>
                <w:color w:val="auto"/>
                <w:szCs w:val="24"/>
                <w:highlight w:val="none"/>
                <w:lang w:val="en-US"/>
              </w:rPr>
            </w:pP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w:t>
            </w:r>
          </w:p>
        </w:tc>
        <w:tc>
          <w:tcPr>
            <w:tcW w:w="6057" w:type="dxa"/>
            <w:vAlign w:val="center"/>
          </w:tcPr>
          <w:p>
            <w:pPr>
              <w:pStyle w:val="643"/>
              <w:spacing w:line="360" w:lineRule="auto"/>
              <w:jc w:val="both"/>
              <w:rPr>
                <w:rFonts w:ascii="仿宋" w:hAnsi="仿宋" w:eastAsia="仿宋" w:cs="仿宋"/>
                <w:b/>
                <w:bCs/>
                <w:color w:val="auto"/>
                <w:szCs w:val="24"/>
                <w:highlight w:val="none"/>
                <w:lang w:val="en-US"/>
              </w:rPr>
            </w:pPr>
            <w:r>
              <w:rPr>
                <w:rFonts w:hint="eastAsia" w:ascii="仿宋" w:hAnsi="仿宋" w:eastAsia="仿宋" w:cs="宋体"/>
                <w:color w:val="auto"/>
                <w:szCs w:val="24"/>
                <w:highlight w:val="none"/>
                <w:lang w:val="en-US"/>
              </w:rPr>
              <w:t>道路</w:t>
            </w:r>
            <w:r>
              <w:rPr>
                <w:rFonts w:hint="eastAsia" w:ascii="仿宋" w:hAnsi="仿宋" w:eastAsia="仿宋" w:cs="宋体"/>
                <w:color w:val="auto"/>
                <w:szCs w:val="24"/>
                <w:highlight w:val="none"/>
              </w:rPr>
              <w:t>养护安全文明作业和环境保护管理措施到位，合理、可行得</w:t>
            </w:r>
            <w:r>
              <w:rPr>
                <w:rFonts w:ascii="仿宋" w:hAnsi="仿宋" w:eastAsia="仿宋" w:cs="宋体"/>
                <w:color w:val="auto"/>
                <w:szCs w:val="24"/>
                <w:highlight w:val="none"/>
                <w:lang w:val="en-US"/>
              </w:rPr>
              <w:t>5</w:t>
            </w:r>
            <w:r>
              <w:rPr>
                <w:rFonts w:hint="eastAsia" w:ascii="仿宋" w:hAnsi="仿宋" w:eastAsia="仿宋" w:cs="宋体"/>
                <w:color w:val="auto"/>
                <w:szCs w:val="24"/>
                <w:highlight w:val="none"/>
              </w:rPr>
              <w:t>分；</w:t>
            </w:r>
            <w:r>
              <w:rPr>
                <w:rFonts w:hint="eastAsia" w:ascii="仿宋" w:hAnsi="仿宋" w:eastAsia="仿宋" w:cs="宋体"/>
                <w:color w:val="auto"/>
                <w:szCs w:val="24"/>
                <w:highlight w:val="none"/>
                <w:lang w:val="en-US"/>
              </w:rPr>
              <w:t>道路</w:t>
            </w:r>
            <w:r>
              <w:rPr>
                <w:rFonts w:hint="eastAsia" w:ascii="仿宋" w:hAnsi="仿宋" w:eastAsia="仿宋" w:cs="宋体"/>
                <w:color w:val="auto"/>
                <w:szCs w:val="24"/>
                <w:highlight w:val="none"/>
              </w:rPr>
              <w:t>养护安全文明作业和环境保护管理措施较为到位，合理、可行得</w:t>
            </w:r>
            <w:r>
              <w:rPr>
                <w:rFonts w:ascii="仿宋" w:hAnsi="仿宋" w:eastAsia="仿宋" w:cs="宋体"/>
                <w:color w:val="auto"/>
                <w:szCs w:val="24"/>
                <w:highlight w:val="none"/>
                <w:lang w:val="en-US"/>
              </w:rPr>
              <w:t>3</w:t>
            </w:r>
            <w:r>
              <w:rPr>
                <w:rFonts w:hint="eastAsia" w:ascii="仿宋" w:hAnsi="仿宋" w:eastAsia="仿宋" w:cs="宋体"/>
                <w:color w:val="auto"/>
                <w:szCs w:val="24"/>
                <w:highlight w:val="none"/>
              </w:rPr>
              <w:t>分；</w:t>
            </w:r>
            <w:r>
              <w:rPr>
                <w:rFonts w:hint="eastAsia" w:ascii="仿宋" w:hAnsi="仿宋" w:eastAsia="仿宋" w:cs="宋体"/>
                <w:color w:val="auto"/>
                <w:szCs w:val="24"/>
                <w:highlight w:val="none"/>
                <w:lang w:val="en-US"/>
              </w:rPr>
              <w:t>道路</w:t>
            </w:r>
            <w:r>
              <w:rPr>
                <w:rFonts w:hint="eastAsia" w:ascii="仿宋" w:hAnsi="仿宋" w:eastAsia="仿宋" w:cs="宋体"/>
                <w:color w:val="auto"/>
                <w:szCs w:val="24"/>
                <w:highlight w:val="none"/>
              </w:rPr>
              <w:t>养护安全文明作业和环境保护管理措施不够到位，有一定不足，需进一步完善得</w:t>
            </w:r>
            <w:r>
              <w:rPr>
                <w:rFonts w:ascii="仿宋" w:hAnsi="仿宋" w:eastAsia="仿宋" w:cs="宋体"/>
                <w:color w:val="auto"/>
                <w:szCs w:val="24"/>
                <w:highlight w:val="none"/>
              </w:rPr>
              <w:t>1</w:t>
            </w:r>
            <w:r>
              <w:rPr>
                <w:rFonts w:hint="eastAsia" w:ascii="仿宋" w:hAnsi="仿宋" w:eastAsia="仿宋" w:cs="宋体"/>
                <w:color w:val="auto"/>
                <w:szCs w:val="24"/>
                <w:highlight w:val="none"/>
              </w:rPr>
              <w:t>分</w:t>
            </w:r>
            <w:r>
              <w:rPr>
                <w:rFonts w:hint="eastAsia" w:ascii="仿宋" w:hAnsi="仿宋" w:eastAsia="仿宋"/>
                <w:snapToGrid w:val="0"/>
                <w:color w:val="auto"/>
                <w:szCs w:val="24"/>
                <w:highlight w:val="none"/>
              </w:rPr>
              <w:t>；方案不合理或未提供方案不得分。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tc>
        <w:tc>
          <w:tcPr>
            <w:tcW w:w="6057" w:type="dxa"/>
            <w:vAlign w:val="center"/>
          </w:tcPr>
          <w:p>
            <w:pPr>
              <w:pStyle w:val="643"/>
              <w:spacing w:line="360" w:lineRule="auto"/>
              <w:jc w:val="both"/>
              <w:rPr>
                <w:rFonts w:ascii="仿宋" w:hAnsi="仿宋" w:eastAsia="仿宋"/>
                <w:snapToGrid w:val="0"/>
                <w:color w:val="auto"/>
                <w:szCs w:val="24"/>
                <w:highlight w:val="none"/>
              </w:rPr>
            </w:pPr>
            <w:r>
              <w:rPr>
                <w:rFonts w:hint="eastAsia" w:ascii="仿宋" w:hAnsi="仿宋" w:eastAsia="仿宋" w:cs="仿宋"/>
                <w:color w:val="auto"/>
                <w:szCs w:val="24"/>
                <w:highlight w:val="none"/>
                <w:lang w:val="en-US"/>
              </w:rPr>
              <w:t>有完善的的重大活动保障方案，方案科学合理，具有针对性及可操作性，能圆满完成大型活动、节庆假日、创优评优等重大活动保障任务情况的得</w:t>
            </w: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分；有较为完善的重大活动保障方案，方案较为科学合理，较具有针对性及可操作性，能较圆满完成大型活动、节庆假日、创优评优等重大活动保障任务情况的得</w:t>
            </w:r>
            <w:r>
              <w:rPr>
                <w:rFonts w:ascii="仿宋" w:hAnsi="仿宋" w:eastAsia="仿宋" w:cs="仿宋"/>
                <w:color w:val="auto"/>
                <w:szCs w:val="24"/>
                <w:highlight w:val="none"/>
                <w:lang w:val="en-US"/>
              </w:rPr>
              <w:t>3</w:t>
            </w:r>
            <w:r>
              <w:rPr>
                <w:rFonts w:hint="eastAsia" w:ascii="仿宋" w:hAnsi="仿宋" w:eastAsia="仿宋" w:cs="仿宋"/>
                <w:color w:val="auto"/>
                <w:szCs w:val="24"/>
                <w:highlight w:val="none"/>
                <w:lang w:val="en-US"/>
              </w:rPr>
              <w:t>分；重大活动保障方案，方案不够科学合理，针对性及可操作性有一定不足，对完成大型活动、节庆假日、创优评优等重大活动保障任务有一定不足，需进一步完善的得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w:t>
            </w:r>
            <w:r>
              <w:rPr>
                <w:rFonts w:hint="eastAsia" w:ascii="仿宋" w:hAnsi="仿宋" w:eastAsia="仿宋"/>
                <w:snapToGrid w:val="0"/>
                <w:color w:val="auto"/>
                <w:szCs w:val="24"/>
                <w:highlight w:val="none"/>
              </w:rPr>
              <w:t>；方案不合理或未提供方案不得分。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投标人对养护作业中产生的垃圾制定专项处理方案，垃圾处理方案具有针对性，配备专职巡查人员，建立完善的考核机制得</w:t>
            </w:r>
            <w:r>
              <w:rPr>
                <w:rFonts w:ascii="仿宋" w:hAnsi="仿宋" w:eastAsia="仿宋" w:cs="仿宋"/>
                <w:color w:val="auto"/>
                <w:szCs w:val="24"/>
                <w:highlight w:val="none"/>
                <w:lang w:val="en-US"/>
              </w:rPr>
              <w:t>5</w:t>
            </w:r>
            <w:r>
              <w:rPr>
                <w:rFonts w:hint="eastAsia" w:ascii="仿宋" w:hAnsi="仿宋" w:eastAsia="仿宋" w:cs="仿宋"/>
                <w:color w:val="auto"/>
                <w:szCs w:val="24"/>
                <w:highlight w:val="none"/>
                <w:lang w:val="en-US"/>
              </w:rPr>
              <w:t>分；投标人对养护作业中产生的垃圾制定专项处理方案，垃圾处理方案较具有针对性，配备专职巡查人员，建立较为完善的考核机制得</w:t>
            </w:r>
            <w:r>
              <w:rPr>
                <w:rFonts w:ascii="仿宋" w:hAnsi="仿宋" w:eastAsia="仿宋" w:cs="仿宋"/>
                <w:color w:val="auto"/>
                <w:szCs w:val="24"/>
                <w:highlight w:val="none"/>
                <w:lang w:val="en-US"/>
              </w:rPr>
              <w:t>3</w:t>
            </w:r>
            <w:r>
              <w:rPr>
                <w:rFonts w:hint="eastAsia" w:ascii="仿宋" w:hAnsi="仿宋" w:eastAsia="仿宋" w:cs="仿宋"/>
                <w:color w:val="auto"/>
                <w:szCs w:val="24"/>
                <w:highlight w:val="none"/>
                <w:lang w:val="en-US"/>
              </w:rPr>
              <w:t>分；投标人对养护保洁作业中产生的垃圾制定专项处理方案，垃圾处理方案针对性不够，未配备专职巡查人员，考核机制不够完善得1分</w:t>
            </w:r>
            <w:r>
              <w:rPr>
                <w:rFonts w:hint="eastAsia" w:ascii="仿宋" w:hAnsi="仿宋" w:eastAsia="仿宋"/>
                <w:snapToGrid w:val="0"/>
                <w:color w:val="auto"/>
                <w:szCs w:val="24"/>
                <w:highlight w:val="none"/>
              </w:rPr>
              <w:t>；方案不合理或未提供方案不得分。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jc w:val="center"/>
        </w:trPr>
        <w:tc>
          <w:tcPr>
            <w:tcW w:w="675" w:type="dxa"/>
            <w:vMerge w:val="continue"/>
            <w:vAlign w:val="center"/>
          </w:tcPr>
          <w:p>
            <w:pPr>
              <w:spacing w:line="360" w:lineRule="auto"/>
              <w:ind w:left="-50"/>
              <w:jc w:val="center"/>
              <w:rPr>
                <w:rFonts w:ascii="仿宋" w:hAnsi="仿宋" w:eastAsia="仿宋" w:cs="仿宋"/>
                <w:bCs/>
                <w:color w:val="auto"/>
                <w:sz w:val="24"/>
                <w:highlight w:val="none"/>
              </w:rPr>
            </w:pPr>
          </w:p>
        </w:tc>
        <w:tc>
          <w:tcPr>
            <w:tcW w:w="1505" w:type="dxa"/>
            <w:vMerge w:val="continue"/>
            <w:vAlign w:val="center"/>
          </w:tcPr>
          <w:p>
            <w:pPr>
              <w:widowControl/>
              <w:spacing w:line="360" w:lineRule="auto"/>
              <w:jc w:val="center"/>
              <w:rPr>
                <w:rFonts w:ascii="仿宋" w:hAnsi="仿宋" w:eastAsia="仿宋" w:cs="仿宋"/>
                <w:color w:val="auto"/>
                <w:sz w:val="24"/>
                <w:highlight w:val="none"/>
              </w:rPr>
            </w:pPr>
          </w:p>
        </w:tc>
        <w:tc>
          <w:tcPr>
            <w:tcW w:w="1104" w:type="dxa"/>
            <w:vAlign w:val="center"/>
          </w:tcPr>
          <w:p>
            <w:pPr>
              <w:tabs>
                <w:tab w:val="left" w:pos="780"/>
              </w:tabs>
              <w:autoSpaceDE w:val="0"/>
              <w:autoSpaceDN w:val="0"/>
              <w:spacing w:line="360" w:lineRule="auto"/>
              <w:jc w:val="center"/>
              <w:rPr>
                <w:rFonts w:ascii="仿宋" w:hAnsi="仿宋" w:eastAsia="仿宋" w:cs="仿宋"/>
                <w:color w:val="auto"/>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分</w:t>
            </w:r>
          </w:p>
        </w:tc>
        <w:tc>
          <w:tcPr>
            <w:tcW w:w="6057" w:type="dxa"/>
            <w:vAlign w:val="center"/>
          </w:tcPr>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1、具备完善的</w:t>
            </w:r>
            <w:r>
              <w:rPr>
                <w:rFonts w:hint="eastAsia" w:ascii="仿宋" w:hAnsi="仿宋" w:eastAsia="仿宋" w:cs="仿宋"/>
                <w:color w:val="auto"/>
                <w:szCs w:val="24"/>
                <w:highlight w:val="none"/>
              </w:rPr>
              <w:t>组织管理体系，制订内部考核管理制度，有专门的队伍对本项目的人员和质量进行监督，并提供针对本项目制订具体质量管理考核细则情况</w:t>
            </w:r>
            <w:r>
              <w:rPr>
                <w:rFonts w:hint="eastAsia" w:ascii="仿宋" w:hAnsi="仿宋" w:eastAsia="仿宋" w:cs="仿宋"/>
                <w:color w:val="auto"/>
                <w:szCs w:val="24"/>
                <w:highlight w:val="none"/>
                <w:lang w:val="en-US"/>
              </w:rPr>
              <w:t>得</w:t>
            </w:r>
            <w:r>
              <w:rPr>
                <w:rFonts w:ascii="仿宋" w:hAnsi="仿宋" w:eastAsia="仿宋" w:cs="仿宋"/>
                <w:color w:val="auto"/>
                <w:szCs w:val="24"/>
                <w:highlight w:val="none"/>
                <w:lang w:val="en-US"/>
              </w:rPr>
              <w:t>3</w:t>
            </w:r>
            <w:r>
              <w:rPr>
                <w:rFonts w:hint="eastAsia" w:ascii="仿宋" w:hAnsi="仿宋" w:eastAsia="仿宋" w:cs="仿宋"/>
                <w:color w:val="auto"/>
                <w:szCs w:val="24"/>
                <w:highlight w:val="none"/>
                <w:lang w:val="en-US"/>
              </w:rPr>
              <w:t>分，</w:t>
            </w:r>
            <w:r>
              <w:rPr>
                <w:rFonts w:hint="eastAsia" w:ascii="仿宋" w:hAnsi="仿宋" w:eastAsia="仿宋" w:cs="仿宋"/>
                <w:color w:val="auto"/>
                <w:szCs w:val="24"/>
                <w:highlight w:val="none"/>
              </w:rPr>
              <w:t>组织管理体系、内部考核管理制度不够完善，针对本项目制订的具体质量管理考核细则有一定不足</w:t>
            </w:r>
            <w:r>
              <w:rPr>
                <w:rFonts w:hint="eastAsia" w:ascii="仿宋" w:hAnsi="仿宋" w:eastAsia="仿宋" w:cs="仿宋"/>
                <w:color w:val="auto"/>
                <w:szCs w:val="24"/>
                <w:highlight w:val="none"/>
                <w:lang w:val="en-US"/>
              </w:rPr>
              <w:t>得</w:t>
            </w:r>
            <w:r>
              <w:rPr>
                <w:rFonts w:ascii="仿宋" w:hAnsi="仿宋" w:eastAsia="仿宋" w:cs="仿宋"/>
                <w:color w:val="auto"/>
                <w:szCs w:val="24"/>
                <w:highlight w:val="none"/>
                <w:lang w:val="en-US"/>
              </w:rPr>
              <w:t>1</w:t>
            </w:r>
            <w:r>
              <w:rPr>
                <w:rFonts w:hint="eastAsia" w:ascii="仿宋" w:hAnsi="仿宋" w:eastAsia="仿宋" w:cs="仿宋"/>
                <w:color w:val="auto"/>
                <w:szCs w:val="24"/>
                <w:highlight w:val="none"/>
                <w:lang w:val="en-US"/>
              </w:rPr>
              <w:t>分，未提供不得分。</w:t>
            </w:r>
          </w:p>
          <w:p>
            <w:pPr>
              <w:pStyle w:val="643"/>
              <w:spacing w:line="360" w:lineRule="auto"/>
              <w:jc w:val="both"/>
              <w:rPr>
                <w:rFonts w:ascii="仿宋" w:hAnsi="仿宋" w:eastAsia="仿宋"/>
                <w:color w:val="auto"/>
                <w:szCs w:val="24"/>
                <w:highlight w:val="none"/>
              </w:rPr>
            </w:pPr>
            <w:r>
              <w:rPr>
                <w:rFonts w:hint="eastAsia" w:ascii="仿宋" w:hAnsi="仿宋" w:eastAsia="仿宋" w:cs="宋体"/>
                <w:color w:val="auto"/>
                <w:szCs w:val="24"/>
                <w:highlight w:val="none"/>
              </w:rPr>
              <w:t>2、合理化建议：提出的服务建议符合实际情况，对本项目有较大的帮助，能切实保证项目顺利实施的得</w:t>
            </w:r>
            <w:r>
              <w:rPr>
                <w:rFonts w:ascii="仿宋" w:hAnsi="仿宋" w:eastAsia="仿宋" w:cs="宋体"/>
                <w:color w:val="auto"/>
                <w:szCs w:val="24"/>
                <w:highlight w:val="none"/>
              </w:rPr>
              <w:t>3</w:t>
            </w:r>
            <w:r>
              <w:rPr>
                <w:rFonts w:hint="eastAsia" w:ascii="仿宋" w:hAnsi="仿宋" w:eastAsia="仿宋" w:cs="宋体"/>
                <w:color w:val="auto"/>
                <w:szCs w:val="24"/>
                <w:highlight w:val="none"/>
              </w:rPr>
              <w:t>分，提出的服务建议与实际情况有一定不符，对保障本项目的顺利实施有一定不足，需进一步完善得</w:t>
            </w:r>
            <w:r>
              <w:rPr>
                <w:rFonts w:ascii="仿宋" w:hAnsi="仿宋" w:eastAsia="仿宋" w:cs="宋体"/>
                <w:color w:val="auto"/>
                <w:szCs w:val="24"/>
                <w:highlight w:val="none"/>
              </w:rPr>
              <w:t>1</w:t>
            </w:r>
            <w:r>
              <w:rPr>
                <w:rFonts w:hint="eastAsia" w:ascii="仿宋" w:hAnsi="仿宋" w:eastAsia="仿宋" w:cs="宋体"/>
                <w:color w:val="auto"/>
                <w:szCs w:val="24"/>
                <w:highlight w:val="none"/>
              </w:rPr>
              <w:t>分，未提供建议不得分。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2" w:hRule="atLeast"/>
          <w:jc w:val="center"/>
        </w:trPr>
        <w:tc>
          <w:tcPr>
            <w:tcW w:w="675" w:type="dxa"/>
            <w:vAlign w:val="center"/>
          </w:tcPr>
          <w:p>
            <w:pPr>
              <w:spacing w:line="360" w:lineRule="auto"/>
              <w:ind w:left="-5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505" w:type="dxa"/>
            <w:vAlign w:val="center"/>
          </w:tcPr>
          <w:p>
            <w:pPr>
              <w:widowControl/>
              <w:spacing w:line="360" w:lineRule="auto"/>
              <w:jc w:val="center"/>
              <w:rPr>
                <w:rFonts w:ascii="仿宋" w:hAnsi="仿宋" w:eastAsia="仿宋" w:cs="仿宋"/>
                <w:color w:val="auto"/>
                <w:sz w:val="24"/>
                <w:highlight w:val="none"/>
              </w:rPr>
            </w:pPr>
            <w:r>
              <w:rPr>
                <w:rFonts w:hint="eastAsia" w:ascii="仿宋" w:hAnsi="仿宋" w:eastAsia="仿宋"/>
                <w:color w:val="auto"/>
                <w:kern w:val="0"/>
                <w:sz w:val="24"/>
                <w:highlight w:val="none"/>
                <w:lang w:val="zh-CN"/>
              </w:rPr>
              <w:t>应急</w:t>
            </w:r>
            <w:r>
              <w:rPr>
                <w:rFonts w:hint="eastAsia" w:ascii="仿宋" w:hAnsi="仿宋" w:eastAsia="仿宋"/>
                <w:color w:val="auto"/>
                <w:kern w:val="0"/>
                <w:sz w:val="24"/>
                <w:highlight w:val="none"/>
              </w:rPr>
              <w:t>保障</w:t>
            </w:r>
            <w:r>
              <w:rPr>
                <w:rFonts w:hint="eastAsia" w:ascii="仿宋" w:hAnsi="仿宋" w:eastAsia="仿宋"/>
                <w:color w:val="auto"/>
                <w:kern w:val="0"/>
                <w:sz w:val="24"/>
                <w:highlight w:val="none"/>
                <w:lang w:val="zh-CN"/>
              </w:rPr>
              <w:t>方案</w:t>
            </w:r>
          </w:p>
        </w:tc>
        <w:tc>
          <w:tcPr>
            <w:tcW w:w="1104" w:type="dxa"/>
            <w:vAlign w:val="center"/>
          </w:tcPr>
          <w:p>
            <w:pPr>
              <w:tabs>
                <w:tab w:val="left" w:pos="780"/>
              </w:tabs>
              <w:autoSpaceDE w:val="0"/>
              <w:autoSpaceDN w:val="0"/>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分</w:t>
            </w:r>
          </w:p>
        </w:tc>
        <w:tc>
          <w:tcPr>
            <w:tcW w:w="6057" w:type="dxa"/>
            <w:vAlign w:val="center"/>
          </w:tcPr>
          <w:p>
            <w:pPr>
              <w:pStyle w:val="643"/>
              <w:spacing w:line="360" w:lineRule="auto"/>
              <w:rPr>
                <w:rFonts w:ascii="仿宋" w:hAnsi="仿宋" w:eastAsia="仿宋"/>
                <w:color w:val="auto"/>
                <w:szCs w:val="24"/>
                <w:highlight w:val="none"/>
              </w:rPr>
            </w:pPr>
            <w:r>
              <w:rPr>
                <w:rFonts w:ascii="仿宋" w:hAnsi="仿宋" w:eastAsia="仿宋"/>
                <w:color w:val="auto"/>
                <w:szCs w:val="24"/>
                <w:highlight w:val="none"/>
              </w:rPr>
              <w:t>应急保障措施</w:t>
            </w:r>
            <w:r>
              <w:rPr>
                <w:rFonts w:hint="eastAsia" w:ascii="仿宋" w:hAnsi="仿宋" w:eastAsia="仿宋"/>
                <w:color w:val="auto"/>
                <w:szCs w:val="24"/>
                <w:highlight w:val="none"/>
              </w:rPr>
              <w:t>：</w:t>
            </w:r>
            <w:r>
              <w:rPr>
                <w:rFonts w:ascii="仿宋" w:hAnsi="仿宋" w:eastAsia="仿宋"/>
                <w:color w:val="auto"/>
                <w:szCs w:val="24"/>
                <w:highlight w:val="none"/>
              </w:rPr>
              <w:t>防汛防台、突发事件应急处理保障的人员配备、应急处置方案，落实专职人员等方案全面、科学合理、具有针对性和可操作性</w:t>
            </w:r>
            <w:r>
              <w:rPr>
                <w:rFonts w:hint="eastAsia" w:ascii="仿宋" w:hAnsi="仿宋" w:eastAsia="仿宋"/>
                <w:color w:val="auto"/>
                <w:szCs w:val="24"/>
                <w:highlight w:val="none"/>
              </w:rPr>
              <w:t>，</w:t>
            </w:r>
            <w:r>
              <w:rPr>
                <w:rFonts w:hint="eastAsia" w:ascii="仿宋" w:hAnsi="仿宋" w:eastAsia="仿宋" w:cs="仿宋"/>
                <w:color w:val="auto"/>
                <w:szCs w:val="24"/>
                <w:highlight w:val="none"/>
                <w:lang w:val="en-US"/>
              </w:rPr>
              <w:t>对突发事故、自然灾害的处理应急预案得</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lang w:val="en-US"/>
              </w:rPr>
              <w:t>分，</w:t>
            </w:r>
            <w:r>
              <w:rPr>
                <w:rFonts w:ascii="仿宋" w:hAnsi="仿宋" w:eastAsia="仿宋"/>
                <w:color w:val="auto"/>
                <w:szCs w:val="24"/>
                <w:highlight w:val="none"/>
              </w:rPr>
              <w:t>防汛防台、突发事件应急处理保障的人员配备、应急处置方案，落实专职人员等方案</w:t>
            </w:r>
            <w:r>
              <w:rPr>
                <w:rFonts w:hint="eastAsia" w:ascii="仿宋" w:hAnsi="仿宋" w:eastAsia="仿宋"/>
                <w:color w:val="auto"/>
                <w:szCs w:val="24"/>
                <w:highlight w:val="none"/>
              </w:rPr>
              <w:t>较为</w:t>
            </w:r>
            <w:r>
              <w:rPr>
                <w:rFonts w:ascii="仿宋" w:hAnsi="仿宋" w:eastAsia="仿宋"/>
                <w:color w:val="auto"/>
                <w:szCs w:val="24"/>
                <w:highlight w:val="none"/>
              </w:rPr>
              <w:t>全面、科学合理、具有针对性和可操作性</w:t>
            </w:r>
            <w:r>
              <w:rPr>
                <w:rFonts w:hint="eastAsia" w:ascii="仿宋" w:hAnsi="仿宋" w:eastAsia="仿宋"/>
                <w:color w:val="auto"/>
                <w:szCs w:val="24"/>
                <w:highlight w:val="none"/>
              </w:rPr>
              <w:t>得</w:t>
            </w:r>
            <w:r>
              <w:rPr>
                <w:rFonts w:hint="eastAsia" w:ascii="仿宋" w:hAnsi="仿宋" w:eastAsia="仿宋"/>
                <w:color w:val="auto"/>
                <w:szCs w:val="24"/>
                <w:highlight w:val="none"/>
                <w:lang w:val="en-US" w:eastAsia="zh-CN"/>
              </w:rPr>
              <w:t>2</w:t>
            </w:r>
            <w:r>
              <w:rPr>
                <w:rFonts w:hint="eastAsia" w:ascii="仿宋" w:hAnsi="仿宋" w:eastAsia="仿宋"/>
                <w:color w:val="auto"/>
                <w:szCs w:val="24"/>
                <w:highlight w:val="none"/>
              </w:rPr>
              <w:t>分，</w:t>
            </w:r>
            <w:r>
              <w:rPr>
                <w:rFonts w:ascii="仿宋" w:hAnsi="仿宋" w:eastAsia="仿宋"/>
                <w:color w:val="auto"/>
                <w:szCs w:val="24"/>
                <w:highlight w:val="none"/>
              </w:rPr>
              <w:t>防汛防台、突发事件应急处理保障的人员配备、应急处置方案，落实专职人员等方案</w:t>
            </w:r>
            <w:r>
              <w:rPr>
                <w:rFonts w:hint="eastAsia" w:ascii="仿宋" w:hAnsi="仿宋" w:eastAsia="仿宋"/>
                <w:color w:val="auto"/>
                <w:szCs w:val="24"/>
                <w:highlight w:val="none"/>
              </w:rPr>
              <w:t>不够</w:t>
            </w:r>
            <w:r>
              <w:rPr>
                <w:rFonts w:ascii="仿宋" w:hAnsi="仿宋" w:eastAsia="仿宋"/>
                <w:color w:val="auto"/>
                <w:szCs w:val="24"/>
                <w:highlight w:val="none"/>
              </w:rPr>
              <w:t>全面、科学合理、针对性和可操作性</w:t>
            </w:r>
            <w:r>
              <w:rPr>
                <w:rFonts w:hint="eastAsia" w:ascii="仿宋" w:hAnsi="仿宋" w:eastAsia="仿宋"/>
                <w:color w:val="auto"/>
                <w:szCs w:val="24"/>
                <w:highlight w:val="none"/>
              </w:rPr>
              <w:t>有一定不足得</w:t>
            </w:r>
            <w:r>
              <w:rPr>
                <w:rFonts w:ascii="仿宋" w:hAnsi="仿宋" w:eastAsia="仿宋"/>
                <w:color w:val="auto"/>
                <w:szCs w:val="24"/>
                <w:highlight w:val="none"/>
              </w:rPr>
              <w:t>1</w:t>
            </w:r>
            <w:r>
              <w:rPr>
                <w:rFonts w:hint="eastAsia" w:ascii="仿宋" w:hAnsi="仿宋" w:eastAsia="仿宋"/>
                <w:color w:val="auto"/>
                <w:szCs w:val="24"/>
                <w:highlight w:val="none"/>
              </w:rPr>
              <w:t>分，未提供方案不得分。</w:t>
            </w:r>
          </w:p>
          <w:p>
            <w:pPr>
              <w:pStyle w:val="643"/>
              <w:spacing w:line="360" w:lineRule="auto"/>
              <w:jc w:val="both"/>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能无条件完成各项文明创建活动中的突发性工作任务要求，承诺确保不失分</w:t>
            </w:r>
            <w:r>
              <w:rPr>
                <w:rFonts w:hint="eastAsia" w:ascii="仿宋" w:hAnsi="仿宋" w:eastAsia="仿宋"/>
                <w:color w:val="auto"/>
                <w:szCs w:val="24"/>
                <w:highlight w:val="none"/>
              </w:rPr>
              <w:t>得</w:t>
            </w:r>
            <w:r>
              <w:rPr>
                <w:rFonts w:ascii="仿宋" w:hAnsi="仿宋" w:eastAsia="仿宋"/>
                <w:color w:val="auto"/>
                <w:szCs w:val="24"/>
                <w:highlight w:val="none"/>
                <w:lang w:val="en-US"/>
              </w:rPr>
              <w:t>1</w:t>
            </w:r>
            <w:r>
              <w:rPr>
                <w:rFonts w:hint="eastAsia" w:ascii="仿宋" w:hAnsi="仿宋" w:eastAsia="仿宋"/>
                <w:color w:val="auto"/>
                <w:szCs w:val="24"/>
                <w:highlight w:val="none"/>
              </w:rPr>
              <w:t>分，未承诺不得分。</w:t>
            </w:r>
          </w:p>
        </w:tc>
      </w:tr>
      <w:bookmarkEnd w:id="563"/>
    </w:tbl>
    <w:p>
      <w:pPr>
        <w:tabs>
          <w:tab w:val="left" w:pos="432"/>
        </w:tabs>
        <w:spacing w:line="360" w:lineRule="auto"/>
        <w:rPr>
          <w:rFonts w:ascii="仿宋" w:hAnsi="仿宋" w:eastAsia="仿宋"/>
          <w:color w:val="auto"/>
          <w:sz w:val="24"/>
          <w:highlight w:val="none"/>
        </w:rPr>
      </w:pPr>
    </w:p>
    <w:p>
      <w:pPr>
        <w:pStyle w:val="5"/>
        <w:rPr>
          <w:rFonts w:ascii="仿宋" w:hAnsi="仿宋" w:eastAsia="仿宋"/>
          <w:color w:val="auto"/>
          <w:sz w:val="24"/>
          <w:szCs w:val="24"/>
          <w:highlight w:val="none"/>
        </w:rPr>
      </w:pPr>
      <w:bookmarkStart w:id="566" w:name="_Toc31395"/>
      <w:r>
        <w:rPr>
          <w:rFonts w:hint="eastAsia" w:ascii="仿宋" w:hAnsi="仿宋" w:eastAsia="仿宋"/>
          <w:color w:val="auto"/>
          <w:sz w:val="24"/>
          <w:szCs w:val="24"/>
          <w:highlight w:val="none"/>
        </w:rPr>
        <w:t>一、评标方法</w:t>
      </w:r>
      <w:bookmarkEnd w:id="559"/>
      <w:bookmarkEnd w:id="560"/>
      <w:bookmarkEnd w:id="561"/>
      <w:bookmarkEnd w:id="562"/>
      <w:bookmarkEnd w:id="564"/>
      <w:bookmarkEnd w:id="565"/>
      <w:bookmarkEnd w:id="566"/>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综合评分法，是指投标文件满足采购文件全部实质性要求，且按照评审因素的量化指标评审得分最高的供应商为中标候选人的评标方法。</w:t>
      </w:r>
    </w:p>
    <w:p>
      <w:pPr>
        <w:pStyle w:val="5"/>
        <w:rPr>
          <w:rFonts w:ascii="仿宋" w:hAnsi="仿宋" w:eastAsia="仿宋"/>
          <w:color w:val="auto"/>
          <w:highlight w:val="none"/>
        </w:rPr>
      </w:pPr>
      <w:bookmarkStart w:id="567" w:name="_Toc31436"/>
      <w:bookmarkStart w:id="568" w:name="_Toc1143"/>
      <w:bookmarkStart w:id="569" w:name="_Toc4348"/>
      <w:bookmarkStart w:id="570" w:name="_Toc12617"/>
      <w:bookmarkStart w:id="571" w:name="_Toc95312985"/>
      <w:bookmarkStart w:id="572" w:name="_Toc832442476"/>
      <w:bookmarkStart w:id="573" w:name="_Toc84016186"/>
      <w:r>
        <w:rPr>
          <w:rFonts w:hint="eastAsia" w:ascii="仿宋" w:hAnsi="仿宋" w:eastAsia="仿宋"/>
          <w:color w:val="auto"/>
          <w:highlight w:val="none"/>
        </w:rPr>
        <w:t>二、评标标准</w:t>
      </w:r>
      <w:bookmarkEnd w:id="567"/>
      <w:bookmarkEnd w:id="568"/>
      <w:bookmarkEnd w:id="569"/>
      <w:bookmarkEnd w:id="570"/>
      <w:bookmarkEnd w:id="571"/>
      <w:bookmarkEnd w:id="572"/>
      <w:bookmarkEnd w:id="573"/>
    </w:p>
    <w:p>
      <w:pPr>
        <w:snapToGrid w:val="0"/>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pStyle w:val="5"/>
        <w:rPr>
          <w:rFonts w:ascii="仿宋" w:hAnsi="仿宋" w:eastAsia="仿宋"/>
          <w:color w:val="auto"/>
          <w:highlight w:val="none"/>
        </w:rPr>
      </w:pPr>
      <w:bookmarkStart w:id="574" w:name="_Toc95312986"/>
      <w:bookmarkStart w:id="575" w:name="_Toc9072"/>
      <w:bookmarkStart w:id="576" w:name="_Toc5707"/>
      <w:bookmarkStart w:id="577" w:name="_Toc669"/>
      <w:bookmarkStart w:id="578" w:name="_Toc1163282023"/>
      <w:bookmarkStart w:id="579" w:name="_Toc19750"/>
      <w:bookmarkStart w:id="580" w:name="_Toc2047553522"/>
      <w:r>
        <w:rPr>
          <w:rFonts w:hint="eastAsia" w:ascii="仿宋" w:hAnsi="仿宋" w:eastAsia="仿宋"/>
          <w:color w:val="auto"/>
          <w:highlight w:val="none"/>
        </w:rPr>
        <w:t>三、评标程序</w:t>
      </w:r>
      <w:bookmarkEnd w:id="574"/>
      <w:bookmarkEnd w:id="575"/>
      <w:bookmarkEnd w:id="576"/>
      <w:bookmarkEnd w:id="577"/>
      <w:bookmarkEnd w:id="578"/>
      <w:bookmarkEnd w:id="579"/>
      <w:bookmarkEnd w:id="580"/>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w:t>
      </w:r>
      <w:r>
        <w:rPr>
          <w:rFonts w:hint="eastAsia" w:ascii="仿宋" w:hAnsi="仿宋" w:eastAsia="仿宋" w:cs="Arial"/>
          <w:color w:val="auto"/>
          <w:kern w:val="0"/>
          <w:sz w:val="24"/>
          <w:highlight w:val="none"/>
        </w:rPr>
        <w:t>投标人</w:t>
      </w:r>
      <w:r>
        <w:rPr>
          <w:rFonts w:ascii="仿宋" w:hAnsi="仿宋" w:eastAsia="仿宋" w:cs="Arial"/>
          <w:color w:val="auto"/>
          <w:kern w:val="0"/>
          <w:sz w:val="24"/>
          <w:highlight w:val="none"/>
        </w:rPr>
        <w:t>的投标文件进行符合性审查，以确定其是否满足采购文件的实质性要求。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满足采购文件的实质性要求</w:t>
      </w:r>
      <w:r>
        <w:rPr>
          <w:rFonts w:hint="eastAsia" w:ascii="仿宋" w:hAnsi="仿宋" w:eastAsia="仿宋" w:cs="Arial"/>
          <w:color w:val="auto"/>
          <w:kern w:val="0"/>
          <w:sz w:val="24"/>
          <w:highlight w:val="none"/>
        </w:rPr>
        <w:t>的，投标无效。</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评标委员会应当按照采购文件中规定的评标方法和标准，对符合性审查合格的投标文件进行商务和技术评估，综合比较与评价。</w:t>
      </w:r>
    </w:p>
    <w:p>
      <w:pPr>
        <w:snapToGrid w:val="0"/>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11"/>
        <w:snapToGrid w:val="0"/>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w:t>
      </w:r>
      <w:r>
        <w:rPr>
          <w:rFonts w:hint="eastAsia" w:ascii="仿宋" w:hAnsi="仿宋" w:eastAsia="仿宋" w:cs="仿宋"/>
          <w:color w:val="auto"/>
          <w:kern w:val="0"/>
          <w:szCs w:val="24"/>
          <w:highlight w:val="none"/>
        </w:rPr>
        <w:t>投标文件中开标一览表（报价表）内容与投标文件中相应内容不一致的，以开标一览表（报价表）为准；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r>
        <w:rPr>
          <w:rFonts w:hint="eastAsia" w:ascii="仿宋" w:hAnsi="仿宋" w:eastAsia="仿宋" w:cs="仿宋"/>
          <w:color w:val="auto"/>
          <w:kern w:val="0"/>
          <w:szCs w:val="24"/>
          <w:highlight w:val="none"/>
        </w:rPr>
        <w:t>：</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投标报价超过采购文件中规定的预算金额或者最高限价的，投标无效。</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w:t>
      </w:r>
      <w:r>
        <w:rPr>
          <w:rFonts w:hint="eastAsia" w:ascii="仿宋" w:hAnsi="仿宋" w:eastAsia="仿宋" w:cs="仿宋"/>
          <w:color w:val="auto"/>
          <w:kern w:val="0"/>
          <w:szCs w:val="24"/>
          <w:highlight w:val="none"/>
        </w:rPr>
        <w:t xml:space="preserve"> 投标人</w:t>
      </w:r>
      <w:r>
        <w:rPr>
          <w:rFonts w:ascii="仿宋" w:hAnsi="仿宋" w:eastAsia="仿宋" w:cs="仿宋"/>
          <w:color w:val="auto"/>
          <w:kern w:val="0"/>
          <w:szCs w:val="24"/>
          <w:highlight w:val="none"/>
        </w:rPr>
        <w:t>不能证明其报价合理性的，评标委员会应当将其作为无效投标处理。</w:t>
      </w:r>
    </w:p>
    <w:p>
      <w:pPr>
        <w:pStyle w:val="111"/>
        <w:snapToGrid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20%的扣除，用扣除后的价格参与评审。接受大中型企业与小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30%以上的，对联合体或者大中型企业的报价给予6%的扣除，用扣除后的价格参加评审。组成联合体或者接受分包的小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napToGrid w:val="0"/>
        <w:spacing w:line="360" w:lineRule="auto"/>
        <w:ind w:firstLine="482" w:firstLineChars="200"/>
        <w:rPr>
          <w:rFonts w:ascii="仿宋" w:hAnsi="仿宋" w:eastAsia="仿宋" w:cs="Arial"/>
          <w:b/>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p>
    <w:p>
      <w:pPr>
        <w:snapToGrid w:val="0"/>
        <w:spacing w:line="360" w:lineRule="auto"/>
        <w:ind w:firstLine="480" w:firstLineChars="200"/>
        <w:rPr>
          <w:rFonts w:ascii="仿宋" w:hAnsi="仿宋" w:eastAsia="仿宋" w:cs="Arial"/>
          <w:color w:val="auto"/>
          <w:kern w:val="0"/>
          <w:sz w:val="24"/>
          <w:highlight w:val="none"/>
        </w:rPr>
      </w:pP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w:t>
      </w:r>
      <w:r>
        <w:rPr>
          <w:rFonts w:hint="eastAsia" w:ascii="仿宋" w:hAnsi="仿宋" w:eastAsia="仿宋" w:cs="仿宋"/>
          <w:color w:val="auto"/>
          <w:kern w:val="0"/>
          <w:highlight w:val="none"/>
        </w:rPr>
        <w:t>投标人</w:t>
      </w:r>
      <w:r>
        <w:rPr>
          <w:rFonts w:ascii="仿宋" w:hAnsi="仿宋" w:eastAsia="仿宋" w:cs="Arial"/>
          <w:color w:val="auto"/>
          <w:kern w:val="0"/>
          <w:sz w:val="24"/>
          <w:highlight w:val="none"/>
        </w:rPr>
        <w:t>为排名第一的中标候选人</w:t>
      </w:r>
      <w:r>
        <w:rPr>
          <w:rFonts w:hint="eastAsia" w:ascii="仿宋" w:hAnsi="仿宋" w:eastAsia="仿宋" w:cs="Arial"/>
          <w:color w:val="auto"/>
          <w:kern w:val="0"/>
          <w:sz w:val="24"/>
          <w:highlight w:val="none"/>
        </w:rPr>
        <w:t>。</w:t>
      </w:r>
    </w:p>
    <w:p>
      <w:pPr>
        <w:snapToGrid w:val="0"/>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3.6编写评标报告。</w:t>
      </w:r>
    </w:p>
    <w:p>
      <w:pPr>
        <w:snapToGrid w:val="0"/>
        <w:spacing w:line="360" w:lineRule="auto"/>
        <w:ind w:firstLine="470" w:firstLineChars="196"/>
        <w:rPr>
          <w:rFonts w:ascii="仿宋" w:hAnsi="仿宋" w:eastAsia="仿宋" w:cs="Arial"/>
          <w:color w:val="auto"/>
          <w:kern w:val="0"/>
          <w:sz w:val="24"/>
          <w:highlight w:val="none"/>
        </w:rPr>
      </w:pP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ascii="仿宋" w:hAnsi="仿宋" w:eastAsia="仿宋"/>
          <w:color w:val="auto"/>
          <w:highlight w:val="none"/>
        </w:rPr>
      </w:pPr>
      <w:bookmarkStart w:id="581" w:name="_Toc95312987"/>
      <w:bookmarkStart w:id="582" w:name="_Toc3708"/>
      <w:bookmarkStart w:id="583" w:name="_Toc1208988281"/>
      <w:bookmarkStart w:id="584" w:name="_Toc589838273"/>
      <w:bookmarkStart w:id="585" w:name="_Toc27289"/>
      <w:bookmarkStart w:id="586" w:name="_Toc27172"/>
      <w:bookmarkStart w:id="587" w:name="_Toc15316"/>
      <w:r>
        <w:rPr>
          <w:rFonts w:hint="eastAsia" w:ascii="仿宋" w:hAnsi="仿宋" w:eastAsia="仿宋"/>
          <w:color w:val="auto"/>
          <w:highlight w:val="none"/>
        </w:rPr>
        <w:t>四、评标中的其他事项</w:t>
      </w:r>
      <w:bookmarkEnd w:id="581"/>
      <w:bookmarkEnd w:id="582"/>
      <w:bookmarkEnd w:id="583"/>
      <w:bookmarkEnd w:id="584"/>
      <w:bookmarkEnd w:id="585"/>
      <w:bookmarkEnd w:id="586"/>
      <w:bookmarkEnd w:id="587"/>
    </w:p>
    <w:p>
      <w:pPr>
        <w:pStyle w:val="111"/>
        <w:snapToGrid w:val="0"/>
        <w:spacing w:before="0"/>
        <w:ind w:firstLine="472" w:firstLineChars="196"/>
        <w:rPr>
          <w:rFonts w:ascii="仿宋" w:hAnsi="仿宋" w:eastAsia="仿宋" w:cs="Arial"/>
          <w:b/>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p>
    <w:p>
      <w:pPr>
        <w:pStyle w:val="111"/>
        <w:snapToGrid w:val="0"/>
        <w:spacing w:before="0"/>
        <w:ind w:firstLine="470" w:firstLineChars="196"/>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11"/>
        <w:snapToGrid w:val="0"/>
        <w:spacing w:before="0"/>
        <w:ind w:firstLine="472" w:firstLineChars="196"/>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未提供有效的资格文件的，视为</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不具备采购文件中规定的资格要求）；</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4.2.2投标文件未按照采购文件要求签署、盖章的；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4.2.3采购人拟采购的产品属于政府强制采购的节能产品品目清单范围的，</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未按采购文件要求提供国家确定的认证机构出具的、处于有效期之内的节能产品认证证书</w:t>
      </w:r>
      <w:r>
        <w:rPr>
          <w:rFonts w:hint="eastAsia" w:ascii="仿宋" w:hAnsi="仿宋" w:eastAsia="仿宋" w:cs="Arial"/>
          <w:b/>
          <w:bCs/>
          <w:color w:val="auto"/>
          <w:kern w:val="0"/>
          <w:sz w:val="24"/>
          <w:highlight w:val="none"/>
        </w:rPr>
        <w:t>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4.2.4投标文件含有采购人不能接受的附加条件的；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4.2.6投标报价超过采购文件中规定的预算金额或者最高限价的;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的报价，有可能影响产品质量或者不能诚信履约的，未能按要求提供书面说明或者提交相关证明材料，不能证明其报价合理性的;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对根据修正原则修正后的报价不确认的；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提供虚假材料投标的；</w:t>
      </w:r>
    </w:p>
    <w:p>
      <w:pPr>
        <w:snapToGrid w:val="0"/>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有恶意串通、妨碍其他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的竞争行为、损害采购人或者其他</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的合法权益情形的；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w:t>
      </w:r>
      <w:r>
        <w:rPr>
          <w:rFonts w:hint="eastAsia" w:ascii="仿宋" w:hAnsi="仿宋" w:eastAsia="仿宋" w:cs="Arial"/>
          <w:b/>
          <w:bCs/>
          <w:color w:val="auto"/>
          <w:kern w:val="0"/>
          <w:sz w:val="24"/>
          <w:highlight w:val="none"/>
        </w:rPr>
        <w:t>投标人</w:t>
      </w:r>
      <w:r>
        <w:rPr>
          <w:rFonts w:ascii="仿宋" w:hAnsi="仿宋" w:eastAsia="仿宋" w:cs="Arial"/>
          <w:b/>
          <w:bCs/>
          <w:color w:val="auto"/>
          <w:kern w:val="0"/>
          <w:sz w:val="24"/>
          <w:highlight w:val="none"/>
        </w:rPr>
        <w:t>仅提交备份投标文件，没有在电子交易平台传输递交投标文件的，投标无效；</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4.2.12 </w:t>
      </w:r>
      <w:r>
        <w:rPr>
          <w:rFonts w:hint="eastAsia" w:ascii="仿宋" w:hAnsi="仿宋" w:eastAsia="仿宋" w:cs="Arial"/>
          <w:b/>
          <w:bCs/>
          <w:color w:val="auto"/>
          <w:kern w:val="0"/>
          <w:sz w:val="24"/>
          <w:highlight w:val="none"/>
        </w:rPr>
        <w:t>投标文件不满足采购文件的其它实质性要求的；</w:t>
      </w:r>
    </w:p>
    <w:p>
      <w:pPr>
        <w:snapToGrid w:val="0"/>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2"/>
        <w:numPr>
          <w:ilvl w:val="0"/>
          <w:numId w:val="19"/>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废标。</w:t>
      </w:r>
    </w:p>
    <w:p>
      <w:pPr>
        <w:pStyle w:val="2"/>
        <w:snapToGrid w:val="0"/>
        <w:spacing w:line="360" w:lineRule="auto"/>
        <w:rPr>
          <w:rFonts w:ascii="仿宋" w:hAnsi="仿宋" w:eastAsia="仿宋" w:cs="仿宋_GB2312"/>
          <w:color w:val="auto"/>
          <w:highlight w:val="none"/>
        </w:rPr>
      </w:pPr>
      <w:r>
        <w:rPr>
          <w:rFonts w:hint="eastAsia" w:ascii="仿宋" w:hAnsi="仿宋" w:eastAsia="仿宋" w:cs="Arial"/>
          <w:color w:val="auto"/>
          <w:kern w:val="0"/>
          <w:highlight w:val="none"/>
        </w:rPr>
        <w:t>根据《中华人民共和国政府采购法》第三十六条之规定，在采购中，出现下列</w:t>
      </w:r>
      <w:r>
        <w:rPr>
          <w:rFonts w:hint="eastAsia" w:ascii="仿宋" w:hAnsi="仿宋" w:eastAsia="仿宋" w:cs="仿宋_GB2312"/>
          <w:color w:val="auto"/>
          <w:highlight w:val="none"/>
        </w:rPr>
        <w:t>情形之一的，应予废标：</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5.1符合专业条件的供应商或者对采购文件作实质响应的供应商不足3家的；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5.3供应商的报价均超过了采购预算，采购人不能支付的；</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2"/>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pPr>
        <w:pStyle w:val="2"/>
        <w:numPr>
          <w:ilvl w:val="0"/>
          <w:numId w:val="19"/>
        </w:numPr>
        <w:snapToGrid w:val="0"/>
        <w:spacing w:line="360" w:lineRule="auto"/>
        <w:ind w:firstLine="472" w:firstLineChars="196"/>
        <w:rPr>
          <w:rFonts w:ascii="仿宋" w:hAnsi="仿宋" w:eastAsia="仿宋" w:cs="仿宋_GB2312"/>
          <w:b/>
          <w:color w:val="auto"/>
          <w:highlight w:val="none"/>
        </w:rPr>
      </w:pPr>
      <w:r>
        <w:rPr>
          <w:rFonts w:ascii="仿宋" w:hAnsi="仿宋" w:eastAsia="仿宋" w:cs="仿宋_GB2312"/>
          <w:b/>
          <w:color w:val="auto"/>
          <w:highlight w:val="none"/>
        </w:rPr>
        <w:t>修改采购文件，重新组织采购活动。</w:t>
      </w:r>
    </w:p>
    <w:p>
      <w:pPr>
        <w:pStyle w:val="2"/>
        <w:snapToGrid w:val="0"/>
        <w:spacing w:line="360" w:lineRule="auto"/>
        <w:ind w:left="652" w:leftChars="196" w:hanging="240" w:hangingChars="100"/>
        <w:rPr>
          <w:rFonts w:ascii="仿宋" w:hAnsi="仿宋" w:eastAsia="仿宋" w:cs="Arial"/>
          <w:color w:val="auto"/>
          <w:kern w:val="0"/>
          <w:highlight w:val="none"/>
        </w:rPr>
      </w:pPr>
      <w:r>
        <w:rPr>
          <w:rFonts w:hint="eastAsia" w:ascii="仿宋" w:hAnsi="仿宋" w:eastAsia="仿宋" w:cs="Arial"/>
          <w:color w:val="auto"/>
          <w:kern w:val="0"/>
          <w:highlight w:val="none"/>
        </w:rPr>
        <w:t>评标委员会发现采购文件存在歧义、重大缺陷导致评标工作无法进行，或</w:t>
      </w:r>
    </w:p>
    <w:p>
      <w:pPr>
        <w:pStyle w:val="2"/>
        <w:snapToGrid w:val="0"/>
        <w:spacing w:line="360" w:lineRule="auto"/>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者采购文件内容违反国家有关强制性规定的，将停止评标工作，并与采购人、采购代理机构沟通并作书面记录。采购人、采购代理机构确认后，将修改采购文件，重新组织采购活动。</w:t>
      </w:r>
    </w:p>
    <w:p>
      <w:pPr>
        <w:pStyle w:val="2"/>
        <w:numPr>
          <w:ilvl w:val="0"/>
          <w:numId w:val="19"/>
        </w:numPr>
        <w:snapToGrid w:val="0"/>
        <w:spacing w:line="360" w:lineRule="auto"/>
        <w:ind w:firstLine="472" w:firstLineChars="196"/>
        <w:rPr>
          <w:rFonts w:ascii="仿宋" w:hAnsi="仿宋" w:eastAsia="仿宋" w:cs="仿宋_GB2312"/>
          <w:b/>
          <w:color w:val="auto"/>
          <w:highlight w:val="none"/>
        </w:rPr>
      </w:pPr>
      <w:r>
        <w:rPr>
          <w:rFonts w:hint="eastAsia" w:ascii="仿宋" w:hAnsi="仿宋" w:eastAsia="仿宋" w:cs="仿宋_GB2312"/>
          <w:b/>
          <w:color w:val="auto"/>
          <w:highlight w:val="none"/>
        </w:rPr>
        <w:t>重新开展采购。</w:t>
      </w:r>
    </w:p>
    <w:p>
      <w:pPr>
        <w:pStyle w:val="2"/>
        <w:snapToGrid w:val="0"/>
        <w:spacing w:line="360" w:lineRule="auto"/>
        <w:ind w:left="412" w:leftChars="196"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有政府采购法第七十一条、第七十二条规定的违法行为之一，影响或者可</w:t>
      </w:r>
    </w:p>
    <w:p>
      <w:pPr>
        <w:pStyle w:val="2"/>
        <w:snapToGrid w:val="0"/>
        <w:spacing w:line="360" w:lineRule="auto"/>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能影响中标、成交结果的，依照下列规定处理：</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2"/>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bookmarkEnd w:id="169"/>
    <w:p>
      <w:pPr>
        <w:spacing w:line="360" w:lineRule="auto"/>
        <w:rPr>
          <w:rFonts w:ascii="仿宋" w:hAnsi="仿宋" w:eastAsia="仿宋"/>
          <w:color w:val="auto"/>
          <w:highlight w:val="none"/>
        </w:rPr>
      </w:pPr>
    </w:p>
    <w:p>
      <w:pPr>
        <w:spacing w:line="360" w:lineRule="auto"/>
        <w:rPr>
          <w:rFonts w:ascii="仿宋" w:hAnsi="仿宋" w:eastAsia="仿宋"/>
          <w:color w:val="auto"/>
          <w:highlight w:val="none"/>
        </w:rPr>
      </w:pPr>
      <w:bookmarkStart w:id="588" w:name="_Toc1028"/>
      <w:bookmarkStart w:id="589" w:name="_Toc95312988"/>
      <w:bookmarkStart w:id="590" w:name="_Toc31065"/>
      <w:bookmarkStart w:id="591" w:name="_Toc13721"/>
      <w:bookmarkStart w:id="592" w:name="_Toc627339759"/>
      <w:bookmarkStart w:id="593" w:name="第五部分"/>
      <w:bookmarkStart w:id="594" w:name="_Toc86217003"/>
    </w:p>
    <w:p>
      <w:pPr>
        <w:pStyle w:val="2"/>
        <w:spacing w:line="360" w:lineRule="auto"/>
        <w:ind w:firstLine="0" w:firstLineChars="0"/>
        <w:rPr>
          <w:rFonts w:ascii="仿宋" w:hAnsi="仿宋" w:eastAsia="仿宋"/>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360" w:lineRule="auto"/>
        <w:rPr>
          <w:rFonts w:ascii="仿宋" w:hAnsi="仿宋" w:eastAsia="仿宋"/>
          <w:color w:val="auto"/>
          <w:highlight w:val="none"/>
        </w:rPr>
      </w:pPr>
    </w:p>
    <w:p>
      <w:pPr>
        <w:pStyle w:val="4"/>
        <w:jc w:val="center"/>
        <w:rPr>
          <w:rFonts w:ascii="仿宋" w:hAnsi="仿宋" w:eastAsia="仿宋"/>
          <w:color w:val="auto"/>
          <w:highlight w:val="none"/>
        </w:rPr>
      </w:pPr>
      <w:bookmarkStart w:id="595" w:name="_Toc16184"/>
      <w:r>
        <w:rPr>
          <w:rFonts w:hint="eastAsia" w:ascii="仿宋" w:hAnsi="仿宋" w:eastAsia="仿宋"/>
          <w:color w:val="auto"/>
          <w:highlight w:val="none"/>
        </w:rPr>
        <w:t>第五部分</w:t>
      </w:r>
      <w:r>
        <w:rPr>
          <w:rFonts w:ascii="仿宋" w:hAnsi="仿宋" w:eastAsia="仿宋"/>
          <w:color w:val="auto"/>
          <w:highlight w:val="none"/>
        </w:rPr>
        <w:t xml:space="preserve"> </w:t>
      </w:r>
      <w:r>
        <w:rPr>
          <w:rFonts w:hint="eastAsia" w:ascii="仿宋" w:hAnsi="仿宋" w:eastAsia="仿宋"/>
          <w:color w:val="auto"/>
          <w:highlight w:val="none"/>
        </w:rPr>
        <w:t>拟签订的合同文本</w:t>
      </w:r>
      <w:bookmarkEnd w:id="588"/>
      <w:bookmarkEnd w:id="589"/>
      <w:bookmarkEnd w:id="590"/>
      <w:bookmarkEnd w:id="591"/>
      <w:bookmarkEnd w:id="592"/>
      <w:bookmarkEnd w:id="595"/>
    </w:p>
    <w:p>
      <w:pPr>
        <w:spacing w:line="360" w:lineRule="auto"/>
        <w:rPr>
          <w:rFonts w:ascii="仿宋" w:hAnsi="仿宋" w:eastAsia="仿宋"/>
          <w:b/>
          <w:color w:val="auto"/>
          <w:sz w:val="24"/>
          <w:highlight w:val="none"/>
        </w:rPr>
      </w:pPr>
      <w:bookmarkStart w:id="596" w:name="_Toc377774437"/>
      <w:bookmarkStart w:id="597" w:name="_Toc95313008"/>
      <w:bookmarkStart w:id="598" w:name="_Toc27118"/>
      <w:bookmarkStart w:id="599" w:name="_Toc25786"/>
      <w:bookmarkStart w:id="600" w:name="_Toc1750"/>
      <w:r>
        <w:rPr>
          <w:rFonts w:hint="eastAsia" w:ascii="仿宋" w:hAnsi="仿宋" w:eastAsia="仿宋"/>
          <w:b/>
          <w:color w:val="auto"/>
          <w:sz w:val="24"/>
          <w:highlight w:val="none"/>
        </w:rPr>
        <w:t>甲方：杭州市余杭区交通运输局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地址：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授权代表：</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tabs>
          <w:tab w:val="left" w:pos="6237"/>
          <w:tab w:val="left" w:pos="6521"/>
        </w:tabs>
        <w:spacing w:line="360" w:lineRule="auto"/>
        <w:rPr>
          <w:rFonts w:ascii="仿宋" w:hAnsi="仿宋" w:eastAsia="仿宋"/>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乙方：</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地址：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法定代表人：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统一社会信用代码：</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授权代表：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spacing w:line="360" w:lineRule="auto"/>
        <w:textAlignment w:val="bottom"/>
        <w:rPr>
          <w:rFonts w:ascii="仿宋" w:hAnsi="仿宋" w:eastAsia="仿宋"/>
          <w:color w:val="auto"/>
          <w:sz w:val="24"/>
          <w:highlight w:val="none"/>
        </w:rPr>
      </w:pPr>
    </w:p>
    <w:p>
      <w:pPr>
        <w:spacing w:line="360" w:lineRule="auto"/>
        <w:ind w:firstLine="480" w:firstLineChars="200"/>
        <w:rPr>
          <w:rFonts w:ascii="仿宋" w:hAnsi="仿宋" w:eastAsia="仿宋" w:cs="仿宋"/>
          <w:color w:val="auto"/>
          <w:sz w:val="24"/>
          <w:highlight w:val="none"/>
        </w:rPr>
      </w:pPr>
      <w:bookmarkStart w:id="601" w:name="_Hlk111388359"/>
      <w:r>
        <w:rPr>
          <w:rFonts w:hint="eastAsia" w:ascii="仿宋" w:hAnsi="仿宋" w:eastAsia="仿宋" w:cs="仿宋"/>
          <w:color w:val="auto"/>
          <w:sz w:val="24"/>
          <w:highlight w:val="none"/>
        </w:rPr>
        <w:t>甲方</w:t>
      </w:r>
      <w:r>
        <w:rPr>
          <w:rFonts w:hint="eastAsia" w:ascii="仿宋" w:hAnsi="仿宋" w:eastAsia="仿宋" w:cs="仿宋"/>
          <w:b/>
          <w:color w:val="auto"/>
          <w:sz w:val="24"/>
          <w:highlight w:val="none"/>
        </w:rPr>
        <w:t>通过公开招标方式，</w:t>
      </w:r>
      <w:r>
        <w:rPr>
          <w:rFonts w:hint="eastAsia" w:ascii="仿宋" w:hAnsi="仿宋" w:eastAsia="仿宋" w:cs="仿宋"/>
          <w:color w:val="auto"/>
          <w:sz w:val="24"/>
          <w:highlight w:val="none"/>
        </w:rPr>
        <w:t>向乙方采购</w:t>
      </w:r>
      <w:r>
        <w:rPr>
          <w:rFonts w:hint="eastAsia" w:ascii="仿宋" w:hAnsi="仿宋" w:eastAsia="仿宋" w:cs="仿宋"/>
          <w:bCs/>
          <w:color w:val="auto"/>
          <w:sz w:val="24"/>
          <w:highlight w:val="none"/>
        </w:rPr>
        <w:t>【</w:t>
      </w:r>
      <w:r>
        <w:rPr>
          <w:rFonts w:hint="eastAsia" w:ascii="仿宋" w:hAnsi="仿宋" w:eastAsia="仿宋" w:cs="宋体"/>
          <w:color w:val="auto"/>
          <w:sz w:val="24"/>
          <w:highlight w:val="none"/>
          <w:u w:val="single"/>
        </w:rPr>
        <w:t>2023年余杭区县道小修总包项目</w:t>
      </w:r>
      <w:r>
        <w:rPr>
          <w:rFonts w:hint="eastAsia" w:ascii="仿宋" w:hAnsi="仿宋" w:eastAsia="仿宋" w:cs="仿宋"/>
          <w:bCs/>
          <w:color w:val="auto"/>
          <w:sz w:val="24"/>
          <w:highlight w:val="none"/>
        </w:rPr>
        <w:t>】，统称</w:t>
      </w:r>
      <w:r>
        <w:rPr>
          <w:rFonts w:hint="eastAsia" w:ascii="仿宋" w:hAnsi="仿宋" w:eastAsia="仿宋" w:cs="宋体"/>
          <w:color w:val="auto"/>
          <w:sz w:val="24"/>
          <w:highlight w:val="none"/>
          <w:u w:val="single"/>
        </w:rPr>
        <w:t>2023年余杭区县道小修总包，下同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，为明确双方权利义务，依据《中华人民共和国民法典》等有关法律规定，经甲、乙双方友好协商，签订本合同</w:t>
      </w:r>
      <w:r>
        <w:rPr>
          <w:rFonts w:ascii="仿宋" w:hAnsi="仿宋" w:eastAsia="仿宋" w:cs="仿宋"/>
          <w:color w:val="auto"/>
          <w:sz w:val="24"/>
          <w:highlight w:val="none"/>
        </w:rPr>
        <w:t>，</w:t>
      </w:r>
      <w:r>
        <w:rPr>
          <w:rFonts w:hint="eastAsia" w:ascii="仿宋" w:hAnsi="仿宋" w:eastAsia="仿宋" w:cs="仿宋"/>
          <w:color w:val="auto"/>
          <w:sz w:val="24"/>
          <w:highlight w:val="none"/>
        </w:rPr>
        <w:t>并遵照执行。</w:t>
      </w:r>
    </w:p>
    <w:p>
      <w:pPr>
        <w:spacing w:line="360" w:lineRule="auto"/>
        <w:ind w:firstLine="482" w:firstLineChars="200"/>
        <w:rPr>
          <w:rFonts w:ascii="仿宋" w:hAnsi="仿宋" w:eastAsia="仿宋" w:cs="仿宋"/>
          <w:b/>
          <w:color w:val="auto"/>
          <w:sz w:val="24"/>
          <w:highlight w:val="none"/>
        </w:rPr>
      </w:pPr>
      <w:bookmarkStart w:id="602" w:name="_Toc2232"/>
      <w:bookmarkStart w:id="603" w:name="_Toc24059"/>
      <w:bookmarkStart w:id="604" w:name="_Toc3029"/>
      <w:r>
        <w:rPr>
          <w:rFonts w:hint="eastAsia" w:ascii="仿宋" w:hAnsi="仿宋" w:eastAsia="仿宋" w:cs="仿宋"/>
          <w:b/>
          <w:color w:val="auto"/>
          <w:sz w:val="24"/>
          <w:highlight w:val="none"/>
        </w:rPr>
        <w:t>一、合同组成部分</w:t>
      </w:r>
      <w:bookmarkEnd w:id="602"/>
      <w:bookmarkEnd w:id="603"/>
      <w:bookmarkEnd w:id="604"/>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pStyle w:val="2"/>
        <w:spacing w:line="360" w:lineRule="auto"/>
        <w:ind w:left="420"/>
        <w:rPr>
          <w:rFonts w:ascii="仿宋" w:hAnsi="仿宋" w:eastAsia="仿宋"/>
          <w:color w:val="auto"/>
          <w:highlight w:val="none"/>
        </w:rPr>
      </w:pPr>
    </w:p>
    <w:bookmarkEnd w:id="601"/>
    <w:p>
      <w:pPr>
        <w:pStyle w:val="656"/>
        <w:numPr>
          <w:ilvl w:val="0"/>
          <w:numId w:val="20"/>
        </w:numPr>
        <w:snapToGrid w:val="0"/>
        <w:spacing w:line="360" w:lineRule="auto"/>
        <w:ind w:left="902" w:hanging="482" w:firstLineChars="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服务内容</w:t>
      </w:r>
    </w:p>
    <w:p>
      <w:pPr>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1.1养护范围</w:t>
      </w:r>
    </w:p>
    <w:p>
      <w:pPr>
        <w:snapToGrid w:val="0"/>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包含长径线、漕雅线、双后线、石关线、百甘线、小交线、双洞线、长西线、彭余线、鸬鸟大道、祥余线、良上线、汽北线、石茶线、安上线、石横线、荆余线、凤中线、长下线、良塘线、毛潘线、舟青线、荆大线、长连线、勾陈线、东姚线、高泰线、高桦线、余百线、瓶仓线、祥彭线、临余线、新长西线、老104国道、老04省道、老15省道等公路共计263.73公里，区内大型桥梁养护，陡岭隧道增加视频监控设备（具体数量以甲方要求为主）。</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1.2工作内容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养护范围内的所有公路（含桥梁）的小修工作，包括路基、路面、桥涵、公路设施维修维护等（按公路养护技术规范和余政办[2010]250号文件中明确的小修内容执行）。</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1.路基</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（1）小段开挖边沟、截水沟或分期铺砌边沟；</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（2）清除零星塌方，填补路基缺口，轻微沉陷 翻浆的处理；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（3）桥头接线或桥头、涵顶跳车的处理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（4）修理挡土墙、护坡、护坡道、泄水槽、护栏和防冰雪设施等局部损坏；</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（5）局部加固路肩</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2.路面</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（1）桥头、涵顶跳车的处理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（2）沥青路面修补坑槽、沉陷，处理波浪、局 部龟裂、啃边等病害；</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 桥梁、 涵洞</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（1）局部修理、更换桥栏杆和修理泄水孔、伸缩缝、支座和桥面的局部轻微损坏；</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（2）修补墩、台及河床铺底和防护圬工的微小损坏；</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（3）涵洞进出口铺砌的加固理；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4.交通工程及沿线设施</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（1）护栏、隔离栅、轮廓标、标志牌、里程牌、百米桩、防雪栏栅等修理、或部分添置更换；</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（2）路面标线的局部补画</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5.做好必要的三防及节庆和重大活动等应急任务。</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6.按要求完成涉及以上工作内容的12345、12328、110联动等投诉件或反映件。</w:t>
      </w:r>
    </w:p>
    <w:p>
      <w:pPr>
        <w:snapToGrid w:val="0"/>
        <w:spacing w:line="360" w:lineRule="auto"/>
        <w:ind w:firstLine="482" w:firstLineChars="200"/>
        <w:rPr>
          <w:rFonts w:ascii="仿宋" w:hAnsi="仿宋" w:eastAsia="仿宋" w:cs="宋体"/>
          <w:b/>
          <w:bCs/>
          <w:color w:val="auto"/>
          <w:sz w:val="24"/>
          <w:highlight w:val="none"/>
        </w:rPr>
      </w:pPr>
      <w:r>
        <w:rPr>
          <w:rFonts w:ascii="仿宋" w:hAnsi="仿宋" w:eastAsia="仿宋" w:cs="宋体"/>
          <w:b/>
          <w:bCs/>
          <w:color w:val="auto"/>
          <w:sz w:val="24"/>
          <w:highlight w:val="none"/>
        </w:rPr>
        <w:t>1</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w:t>
      </w:r>
      <w:r>
        <w:rPr>
          <w:rFonts w:hint="eastAsia" w:ascii="仿宋" w:hAnsi="仿宋" w:eastAsia="仿宋" w:cs="宋体"/>
          <w:b/>
          <w:bCs/>
          <w:color w:val="auto"/>
          <w:sz w:val="24"/>
          <w:highlight w:val="none"/>
        </w:rPr>
        <w:t>道路养护基本要求</w:t>
      </w:r>
    </w:p>
    <w:p>
      <w:pPr>
        <w:snapToGrid w:val="0"/>
        <w:spacing w:line="360" w:lineRule="auto"/>
        <w:ind w:left="480"/>
        <w:rPr>
          <w:rFonts w:ascii="仿宋" w:hAnsi="仿宋" w:eastAsia="仿宋" w:cs="宋体"/>
          <w:color w:val="auto"/>
          <w:sz w:val="24"/>
          <w:highlight w:val="none"/>
        </w:rPr>
      </w:pPr>
      <w:r>
        <w:rPr>
          <w:rFonts w:hint="eastAsia" w:ascii="仿宋" w:hAnsi="仿宋" w:eastAsia="仿宋" w:cs="宋体"/>
          <w:color w:val="auto"/>
          <w:sz w:val="24"/>
          <w:highlight w:val="none"/>
        </w:rPr>
        <w:t>1、人行道板铺砌平整，牢固稳定，裂缝长度小于1m或宽度小于5mm，下</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沉或拱起变形小于20mm或面积小于1㎡；无堆积物、障碍物，平侧石整齐稳固，线型顺直；道板铺装材料统一，砌块及平侧石松动破碎面积小于0.1㎡。</w:t>
      </w:r>
    </w:p>
    <w:p>
      <w:pPr>
        <w:ind w:left="48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沥青及混凝土路面线裂缝宽度小于5mm；网裂、碎裂面积小于0.1㎡；</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泛油、车辙、沉陷、坑槽、搓板、拥包、剥落、脱皮、烂边、啃边面积小于0.1㎡；雨水检查井、雨水篦子以及其他井盖与道路标高保持一致，误差不大于15mm；窨井盖无缺失、破损、断裂、反盖、错盖等现象；雨天路面临时积水面积每处不超过2㎡（积水深度3cm以上）。</w:t>
      </w:r>
    </w:p>
    <w:p>
      <w:pPr>
        <w:pStyle w:val="750"/>
        <w:numPr>
          <w:ilvl w:val="0"/>
          <w:numId w:val="18"/>
        </w:numPr>
        <w:snapToGrid w:val="0"/>
        <w:spacing w:line="360" w:lineRule="auto"/>
        <w:ind w:firstLineChars="0"/>
        <w:rPr>
          <w:rFonts w:ascii="仿宋" w:hAnsi="仿宋" w:eastAsia="仿宋" w:cs="宋体"/>
          <w:color w:val="auto"/>
          <w:sz w:val="24"/>
          <w:highlight w:val="none"/>
        </w:rPr>
      </w:pPr>
      <w:r>
        <w:rPr>
          <w:rFonts w:hint="eastAsia" w:ascii="仿宋" w:hAnsi="仿宋" w:eastAsia="仿宋" w:cs="宋体"/>
          <w:color w:val="auto"/>
          <w:sz w:val="24"/>
          <w:highlight w:val="none"/>
        </w:rPr>
        <w:t>路基：路肩无车辙、坑洼、隆起、沉陷、缺口，横坡适度，边缘顺直；</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边坡稳定、平顺，无冲沟，坡度达到规定要求；挡土墙、护坡等设施完整无损，砌体伸缩缝填料完好；对易翻浆路段做好防治工作，塌方、滑坡、泥石流等病害及时防护和抢修。</w:t>
      </w:r>
    </w:p>
    <w:p>
      <w:pPr>
        <w:pStyle w:val="750"/>
        <w:numPr>
          <w:ilvl w:val="0"/>
          <w:numId w:val="18"/>
        </w:numPr>
        <w:snapToGrid w:val="0"/>
        <w:spacing w:line="360" w:lineRule="auto"/>
        <w:ind w:firstLineChars="0"/>
        <w:rPr>
          <w:rFonts w:ascii="仿宋" w:hAnsi="仿宋" w:eastAsia="仿宋" w:cs="宋体"/>
          <w:color w:val="auto"/>
          <w:sz w:val="24"/>
          <w:highlight w:val="none"/>
        </w:rPr>
      </w:pPr>
      <w:r>
        <w:rPr>
          <w:rFonts w:hint="eastAsia" w:ascii="仿宋" w:hAnsi="仿宋" w:eastAsia="仿宋" w:cs="宋体"/>
          <w:color w:val="auto"/>
          <w:sz w:val="24"/>
          <w:highlight w:val="none"/>
        </w:rPr>
        <w:t>排水设施完好，无阻水物，泄水孔、排水管道通畅，积泥深度不超过</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1/5管径；检查井安全防护网设置到位。</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w:t>
      </w:r>
      <w:r>
        <w:rPr>
          <w:rFonts w:hint="eastAsia" w:ascii="仿宋" w:hAnsi="仿宋" w:eastAsia="仿宋" w:cs="宋体"/>
          <w:color w:val="auto"/>
          <w:sz w:val="24"/>
          <w:highlight w:val="none"/>
        </w:rPr>
        <w:t>、桥面平整完好，无裂缝、坑槽、破损；梁板无麻面、变形、开裂、锈蚀、通缝；伸缩缝外形整齐平整牢固无破损；支座安全有效，无破损、锈蚀；墩台墙柱外形齐整，无破损、开裂变形，设置墩台沉降观测点；基础牢固完整，无冲毁冻胀、下沉、位移开裂；栏杆结构牢固无破损；泄水孔、排水管道、落水管无损坏、残缺脱落；挡墙等基础牢固，无破损、开裂变形；桥名、限重等标志齐全清晰，无缺少、破损。</w:t>
      </w:r>
    </w:p>
    <w:p>
      <w:pPr>
        <w:snapToGrid w:val="0"/>
        <w:spacing w:line="360" w:lineRule="auto"/>
        <w:ind w:firstLine="472" w:firstLineChars="196"/>
        <w:rPr>
          <w:rFonts w:ascii="仿宋" w:hAnsi="仿宋" w:eastAsia="仿宋" w:cs="宋体"/>
          <w:b/>
          <w:color w:val="auto"/>
          <w:sz w:val="24"/>
          <w:highlight w:val="none"/>
        </w:rPr>
      </w:pPr>
      <w:r>
        <w:rPr>
          <w:rFonts w:ascii="仿宋" w:hAnsi="仿宋" w:eastAsia="仿宋" w:cs="宋体"/>
          <w:b/>
          <w:color w:val="auto"/>
          <w:sz w:val="24"/>
          <w:highlight w:val="none"/>
        </w:rPr>
        <w:t>1</w:t>
      </w:r>
      <w:r>
        <w:rPr>
          <w:rFonts w:hint="eastAsia" w:ascii="仿宋" w:hAnsi="仿宋" w:eastAsia="仿宋" w:cs="宋体"/>
          <w:b/>
          <w:color w:val="auto"/>
          <w:sz w:val="24"/>
          <w:highlight w:val="none"/>
        </w:rPr>
        <w:t>.</w:t>
      </w:r>
      <w:r>
        <w:rPr>
          <w:rFonts w:ascii="仿宋" w:hAnsi="仿宋" w:eastAsia="仿宋" w:cs="宋体"/>
          <w:b/>
          <w:color w:val="auto"/>
          <w:sz w:val="24"/>
          <w:highlight w:val="none"/>
        </w:rPr>
        <w:t>4</w:t>
      </w:r>
      <w:r>
        <w:rPr>
          <w:rFonts w:hint="eastAsia" w:ascii="仿宋" w:hAnsi="仿宋" w:eastAsia="仿宋" w:cs="宋体"/>
          <w:b/>
          <w:color w:val="auto"/>
          <w:sz w:val="24"/>
          <w:highlight w:val="none"/>
        </w:rPr>
        <w:t>养护管理其他要求：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乙方在养护作业中投入的机械设备、人员配置等必须与投标文件中所承诺的数量规格相符合。加强日常作业质量管理，做好作业质量自查日记，建立养护管理工作台帐，做好养护工作日报、月报、年报，健全养护档案制度。对日常养护管理形成日志，并由专人记录。合同结束后最近一期资金支付前养护日志移交甲方。</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规范管理、文明作业、自觉接受甲方及其上级各部门领导的检查和社会监督，对出现的问题要及时整改。及时处理市长热线、舆情信息、12328等热线的反映的问题。接到作业地块投诉电话和新闻舆论批评，应在24小时内处理完毕和信息反馈。</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作业时应严格遵守交通规则、遵守安全操作规程，作业人员上路作业时须统一穿戴安全反光背心。加强日常安全生产管理，确保职工人身安全。如遇各种意外事故发生由乙方自行负责，并依照法律法规妥善处理（事故情况应及时书面告知甲方）。</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4、建立日常巡查制度，巡查人员对所管辖的道路每天巡查一次，填写巡查记录，发现问题及时整改。对非法破坏道路及设施行为及时予以制止，并上报甲方及执法部门。</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制定全年及每月养护工作计划、养护质量及安全保证、养护应急管理预案、重点技术措施等，并于中标后及时上报甲方。安排养护管理力量，制定劳动力计划表，做好突击性工作的应急安排等，落实专职养护人员名单，养护管理责任人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6、做好交通量观测、整理汇总数据，以及观测设备维修保养和流量卡充值等工作，确保观测设备正常运行。</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7、做好养护生产台帐资料，主要包括：公路养护、桥隧养护、绿化养护、整改案卷、养护设备、应急管理、巡查记录等。</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8、乙方根据甲方通知要求，做好各类“迎检”和“创建”准备工作。</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9、做好公路桥梁环保工程有关设施的养护维修工作。</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10、乙方在养护管理期间，由于养管不力，甲方有权终止合同，并由乙方承担一切责任。</w:t>
      </w:r>
    </w:p>
    <w:p>
      <w:pPr>
        <w:spacing w:before="218"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二</w:t>
      </w:r>
      <w:r>
        <w:rPr>
          <w:rFonts w:ascii="仿宋" w:hAnsi="仿宋" w:eastAsia="仿宋" w:cs="宋体"/>
          <w:b/>
          <w:bCs/>
          <w:color w:val="auto"/>
          <w:sz w:val="24"/>
          <w:highlight w:val="none"/>
        </w:rPr>
        <w:t>、养护承包方式</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1.乙方在确定的范围内以包工包料的方式实施养护。</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2.乙方应当按照本合同约定完成养护任务，不得向他人转包或分包</w:t>
      </w:r>
      <w:r>
        <w:rPr>
          <w:rFonts w:hint="eastAsia" w:ascii="仿宋" w:hAnsi="仿宋" w:eastAsia="仿宋" w:cs="宋体"/>
          <w:color w:val="auto"/>
          <w:spacing w:val="2"/>
          <w:sz w:val="24"/>
          <w:highlight w:val="none"/>
        </w:rPr>
        <w:t>（采购文件允许的除外）</w:t>
      </w:r>
      <w:r>
        <w:rPr>
          <w:rFonts w:ascii="仿宋" w:hAnsi="仿宋" w:eastAsia="仿宋" w:cs="宋体"/>
          <w:color w:val="auto"/>
          <w:spacing w:val="2"/>
          <w:sz w:val="24"/>
          <w:highlight w:val="none"/>
        </w:rPr>
        <w:t>，一经发现，甲方有权立即终止本合同。乙方因设备或技术等原因无法实施的部分工作，在报请甲方同意后，委托他人实施的，乙方对分包人的所有行为负全责。</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由上述原因终止合同而产生的法律责任和经济损失由乙方承担。</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3.养护所需一般材料、成品、设备等，均由乙方自行解决，必须符合有关</w:t>
      </w:r>
    </w:p>
    <w:p>
      <w:pPr>
        <w:widowControl/>
        <w:spacing w:before="216" w:line="360" w:lineRule="auto"/>
        <w:jc w:val="left"/>
        <w:rPr>
          <w:rFonts w:ascii="仿宋" w:hAnsi="仿宋" w:eastAsia="仿宋"/>
          <w:color w:val="auto"/>
          <w:sz w:val="24"/>
          <w:highlight w:val="none"/>
        </w:rPr>
      </w:pPr>
      <w:r>
        <w:rPr>
          <w:rFonts w:ascii="仿宋" w:hAnsi="仿宋" w:eastAsia="仿宋" w:cs="宋体"/>
          <w:color w:val="auto"/>
          <w:spacing w:val="2"/>
          <w:sz w:val="24"/>
          <w:highlight w:val="none"/>
        </w:rPr>
        <w:t>养护及施工技术规程、规范要求。但特殊材料及新工艺、新材料需报甲方认可。</w:t>
      </w:r>
    </w:p>
    <w:p>
      <w:pPr>
        <w:autoSpaceDE w:val="0"/>
        <w:autoSpaceDN w:val="0"/>
        <w:snapToGrid w:val="0"/>
        <w:spacing w:line="360" w:lineRule="auto"/>
        <w:ind w:left="239" w:leftChars="114" w:firstLine="240" w:firstLineChars="100"/>
        <w:jc w:val="left"/>
        <w:rPr>
          <w:rFonts w:ascii="仿宋" w:hAnsi="仿宋" w:eastAsia="仿宋" w:cs="宋体"/>
          <w:b/>
          <w:color w:val="auto"/>
          <w:kern w:val="0"/>
          <w:sz w:val="24"/>
          <w:highlight w:val="none"/>
        </w:rPr>
      </w:pPr>
      <w:r>
        <w:rPr>
          <w:rFonts w:ascii="仿宋" w:hAnsi="仿宋" w:eastAsia="仿宋"/>
          <w:color w:val="auto"/>
          <w:sz w:val="24"/>
          <w:highlight w:val="none"/>
        </w:rPr>
        <w:cr/>
      </w:r>
      <w:bookmarkStart w:id="605" w:name="br53"/>
      <w:bookmarkEnd w:id="605"/>
      <w:r>
        <w:rPr>
          <w:rFonts w:hint="eastAsia" w:ascii="仿宋" w:hAnsi="仿宋" w:eastAsia="仿宋" w:cs="宋体"/>
          <w:b/>
          <w:color w:val="auto"/>
          <w:kern w:val="0"/>
          <w:sz w:val="24"/>
          <w:highlight w:val="none"/>
        </w:rPr>
        <w:t>三、</w:t>
      </w:r>
      <w:r>
        <w:rPr>
          <w:rFonts w:hint="eastAsia" w:ascii="仿宋" w:hAnsi="仿宋" w:eastAsia="仿宋" w:cs="宋体"/>
          <w:b/>
          <w:color w:val="auto"/>
          <w:spacing w:val="4"/>
          <w:kern w:val="0"/>
          <w:sz w:val="24"/>
          <w:highlight w:val="none"/>
        </w:rPr>
        <w:t>养护管理费用：</w:t>
      </w:r>
    </w:p>
    <w:p>
      <w:pPr>
        <w:widowControl/>
        <w:spacing w:before="216" w:line="360" w:lineRule="auto"/>
        <w:ind w:firstLine="424" w:firstLineChars="174"/>
        <w:jc w:val="left"/>
        <w:rPr>
          <w:rFonts w:ascii="仿宋" w:hAnsi="仿宋" w:eastAsia="仿宋" w:cs="宋体"/>
          <w:color w:val="auto"/>
          <w:spacing w:val="2"/>
          <w:sz w:val="24"/>
          <w:highlight w:val="none"/>
        </w:rPr>
      </w:pPr>
      <w:r>
        <w:rPr>
          <w:rFonts w:hint="eastAsia" w:ascii="仿宋" w:hAnsi="仿宋" w:eastAsia="仿宋" w:cs="宋体"/>
          <w:color w:val="auto"/>
          <w:spacing w:val="2"/>
          <w:sz w:val="24"/>
          <w:highlight w:val="none"/>
        </w:rPr>
        <w:t>1、养护费大写</w:t>
      </w:r>
      <w:r>
        <w:rPr>
          <w:rFonts w:hint="eastAsia" w:ascii="仿宋" w:hAnsi="仿宋" w:eastAsia="仿宋" w:cs="宋体"/>
          <w:color w:val="auto"/>
          <w:spacing w:val="2"/>
          <w:sz w:val="24"/>
          <w:highlight w:val="none"/>
          <w:u w:val="single"/>
        </w:rPr>
        <w:t xml:space="preserve">      （</w:t>
      </w:r>
      <w:r>
        <w:rPr>
          <w:rFonts w:ascii="仿宋" w:hAnsi="仿宋" w:eastAsia="仿宋" w:cs="宋体"/>
          <w:color w:val="auto"/>
          <w:spacing w:val="2"/>
          <w:sz w:val="24"/>
          <w:highlight w:val="none"/>
          <w:u w:val="single"/>
        </w:rPr>
        <w:t xml:space="preserve">    </w:t>
      </w:r>
      <w:r>
        <w:rPr>
          <w:rFonts w:hint="eastAsia" w:ascii="仿宋" w:hAnsi="仿宋" w:eastAsia="仿宋" w:cs="宋体"/>
          <w:color w:val="auto"/>
          <w:spacing w:val="2"/>
          <w:sz w:val="24"/>
          <w:highlight w:val="none"/>
          <w:u w:val="single"/>
        </w:rPr>
        <w:t>元）</w:t>
      </w:r>
      <w:r>
        <w:rPr>
          <w:rFonts w:hint="eastAsia" w:ascii="仿宋" w:hAnsi="仿宋" w:eastAsia="仿宋" w:cs="宋体"/>
          <w:color w:val="auto"/>
          <w:spacing w:val="2"/>
          <w:sz w:val="24"/>
          <w:highlight w:val="none"/>
        </w:rPr>
        <w:t>。</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2</w:t>
      </w:r>
      <w:r>
        <w:rPr>
          <w:rFonts w:hint="eastAsia" w:ascii="仿宋" w:hAnsi="仿宋" w:eastAsia="仿宋" w:cs="宋体"/>
          <w:color w:val="auto"/>
          <w:spacing w:val="2"/>
          <w:sz w:val="24"/>
          <w:highlight w:val="none"/>
        </w:rPr>
        <w:t>、</w:t>
      </w:r>
      <w:r>
        <w:rPr>
          <w:rFonts w:ascii="仿宋" w:hAnsi="仿宋" w:eastAsia="仿宋" w:cs="宋体"/>
          <w:color w:val="auto"/>
          <w:spacing w:val="2"/>
          <w:sz w:val="24"/>
          <w:highlight w:val="none"/>
        </w:rPr>
        <w:t>日常养护费除考核扣款和违约处罚外包干使用。日常养护费包括但不</w:t>
      </w:r>
    </w:p>
    <w:p>
      <w:pPr>
        <w:pStyle w:val="2"/>
        <w:spacing w:line="360" w:lineRule="auto"/>
        <w:ind w:firstLine="472"/>
        <w:rPr>
          <w:rFonts w:ascii="仿宋" w:hAnsi="仿宋" w:eastAsia="仿宋"/>
          <w:color w:val="auto"/>
          <w:highlight w:val="none"/>
        </w:rPr>
      </w:pPr>
      <w:r>
        <w:rPr>
          <w:rFonts w:hint="eastAsia" w:ascii="仿宋" w:hAnsi="仿宋" w:eastAsia="仿宋" w:cs="宋体"/>
          <w:color w:val="auto"/>
          <w:spacing w:val="-4"/>
          <w:highlight w:val="none"/>
        </w:rPr>
        <w:t>路面养护（小修）费主要是用于</w:t>
      </w:r>
      <w:r>
        <w:rPr>
          <w:rFonts w:ascii="仿宋" w:hAnsi="仿宋" w:eastAsia="仿宋" w:cs="宋体"/>
          <w:color w:val="auto"/>
          <w:spacing w:val="-2"/>
          <w:highlight w:val="none"/>
        </w:rPr>
        <w:t>路基路面养护（如沥青路面灌缝、坑洞修补，边沟清理养护，</w:t>
      </w:r>
      <w:r>
        <w:rPr>
          <w:rFonts w:ascii="仿宋" w:hAnsi="仿宋" w:eastAsia="仿宋" w:cs="宋体"/>
          <w:color w:val="auto"/>
          <w:spacing w:val="-3"/>
          <w:highlight w:val="none"/>
        </w:rPr>
        <w:t>公路挡墙、护栏、人行道板、里程碑、百米桩</w:t>
      </w:r>
      <w:r>
        <w:rPr>
          <w:rFonts w:hint="eastAsia" w:ascii="仿宋" w:hAnsi="仿宋" w:eastAsia="仿宋" w:cs="宋体"/>
          <w:color w:val="auto"/>
          <w:spacing w:val="-3"/>
          <w:highlight w:val="none"/>
        </w:rPr>
        <w:t>、侧石</w:t>
      </w:r>
      <w:r>
        <w:rPr>
          <w:rFonts w:ascii="仿宋" w:hAnsi="仿宋" w:eastAsia="仿宋" w:cs="宋体"/>
          <w:color w:val="auto"/>
          <w:spacing w:val="-3"/>
          <w:highlight w:val="none"/>
        </w:rPr>
        <w:t>等</w:t>
      </w:r>
      <w:r>
        <w:rPr>
          <w:rFonts w:hint="eastAsia" w:ascii="仿宋" w:hAnsi="仿宋" w:eastAsia="仿宋" w:cs="宋体"/>
          <w:color w:val="auto"/>
          <w:spacing w:val="-3"/>
          <w:highlight w:val="none"/>
        </w:rPr>
        <w:t>公路红线内一切</w:t>
      </w:r>
      <w:r>
        <w:rPr>
          <w:rFonts w:ascii="仿宋" w:hAnsi="仿宋" w:eastAsia="仿宋" w:cs="宋体"/>
          <w:color w:val="auto"/>
          <w:spacing w:val="-3"/>
          <w:highlight w:val="none"/>
        </w:rPr>
        <w:t>设施养护）</w:t>
      </w:r>
      <w:r>
        <w:rPr>
          <w:rFonts w:hint="eastAsia" w:ascii="仿宋" w:hAnsi="仿宋" w:eastAsia="仿宋" w:cs="宋体"/>
          <w:color w:val="auto"/>
          <w:spacing w:val="-3"/>
          <w:highlight w:val="none"/>
        </w:rPr>
        <w:t>，主要以投标人申报和甲方指令单的形式实施。</w:t>
      </w:r>
    </w:p>
    <w:p>
      <w:pPr>
        <w:widowControl/>
        <w:spacing w:before="216" w:line="360" w:lineRule="auto"/>
        <w:ind w:firstLine="424" w:firstLineChars="174"/>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3.合同履行期间，如遇恶劣天气等应急响应，因此而增加的费用由乙方</w:t>
      </w:r>
    </w:p>
    <w:p>
      <w:pPr>
        <w:widowControl/>
        <w:spacing w:before="216" w:line="360" w:lineRule="auto"/>
        <w:jc w:val="left"/>
        <w:rPr>
          <w:rFonts w:ascii="仿宋" w:hAnsi="仿宋" w:eastAsia="仿宋" w:cs="宋体"/>
          <w:color w:val="auto"/>
          <w:spacing w:val="2"/>
          <w:sz w:val="24"/>
          <w:highlight w:val="none"/>
        </w:rPr>
      </w:pPr>
      <w:r>
        <w:rPr>
          <w:rFonts w:ascii="仿宋" w:hAnsi="仿宋" w:eastAsia="仿宋" w:cs="宋体"/>
          <w:color w:val="auto"/>
          <w:spacing w:val="2"/>
          <w:sz w:val="24"/>
          <w:highlight w:val="none"/>
        </w:rPr>
        <w:t>自行承担，合同价格不做调整。</w:t>
      </w:r>
    </w:p>
    <w:p>
      <w:pPr>
        <w:autoSpaceDE w:val="0"/>
        <w:autoSpaceDN w:val="0"/>
        <w:snapToGrid w:val="0"/>
        <w:spacing w:line="360" w:lineRule="auto"/>
        <w:ind w:firstLine="498" w:firstLineChars="200"/>
        <w:rPr>
          <w:rFonts w:ascii="仿宋" w:hAnsi="仿宋" w:eastAsia="仿宋" w:cs="宋体"/>
          <w:b/>
          <w:color w:val="auto"/>
          <w:spacing w:val="4"/>
          <w:kern w:val="0"/>
          <w:sz w:val="24"/>
          <w:highlight w:val="none"/>
        </w:rPr>
      </w:pPr>
      <w:r>
        <w:rPr>
          <w:rFonts w:hint="eastAsia" w:ascii="仿宋" w:hAnsi="仿宋" w:eastAsia="仿宋" w:cs="宋体"/>
          <w:b/>
          <w:color w:val="auto"/>
          <w:spacing w:val="4"/>
          <w:kern w:val="0"/>
          <w:sz w:val="24"/>
          <w:highlight w:val="none"/>
        </w:rPr>
        <w:t>四、养护期限：</w:t>
      </w:r>
    </w:p>
    <w:p>
      <w:pPr>
        <w:autoSpaceDE w:val="0"/>
        <w:autoSpaceDN w:val="0"/>
        <w:snapToGrid w:val="0"/>
        <w:spacing w:line="360" w:lineRule="auto"/>
        <w:rPr>
          <w:rFonts w:ascii="仿宋" w:hAnsi="仿宋" w:eastAsia="仿宋" w:cs="宋体"/>
          <w:color w:val="auto"/>
          <w:spacing w:val="4"/>
          <w:kern w:val="0"/>
          <w:sz w:val="24"/>
          <w:highlight w:val="none"/>
        </w:rPr>
      </w:pPr>
      <w:r>
        <w:rPr>
          <w:rFonts w:ascii="仿宋" w:hAnsi="仿宋" w:eastAsia="仿宋" w:cs="宋体"/>
          <w:color w:val="auto"/>
          <w:spacing w:val="4"/>
          <w:kern w:val="0"/>
          <w:sz w:val="24"/>
          <w:highlight w:val="none"/>
        </w:rPr>
        <w:t xml:space="preserve">    </w:t>
      </w:r>
      <w:r>
        <w:rPr>
          <w:rFonts w:hint="eastAsia" w:ascii="仿宋" w:hAnsi="仿宋" w:eastAsia="仿宋" w:cs="宋体"/>
          <w:color w:val="auto"/>
          <w:spacing w:val="4"/>
          <w:kern w:val="0"/>
          <w:sz w:val="24"/>
          <w:highlight w:val="none"/>
        </w:rPr>
        <w:t>合同期为</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年，自</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年</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月</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日至</w:t>
      </w:r>
      <w:r>
        <w:rPr>
          <w:rFonts w:hint="eastAsia" w:ascii="仿宋" w:hAnsi="仿宋" w:eastAsia="仿宋" w:cs="宋体"/>
          <w:color w:val="auto"/>
          <w:spacing w:val="4"/>
          <w:kern w:val="0"/>
          <w:sz w:val="24"/>
          <w:highlight w:val="none"/>
          <w:u w:val="single"/>
        </w:rPr>
        <w:t xml:space="preserve">   </w:t>
      </w:r>
      <w:r>
        <w:rPr>
          <w:rFonts w:ascii="仿宋" w:hAnsi="仿宋" w:eastAsia="仿宋" w:cs="宋体"/>
          <w:color w:val="auto"/>
          <w:spacing w:val="4"/>
          <w:kern w:val="0"/>
          <w:sz w:val="24"/>
          <w:highlight w:val="none"/>
        </w:rPr>
        <w:t xml:space="preserve"> </w:t>
      </w:r>
      <w:r>
        <w:rPr>
          <w:rFonts w:hint="eastAsia" w:ascii="仿宋" w:hAnsi="仿宋" w:eastAsia="仿宋" w:cs="宋体"/>
          <w:color w:val="auto"/>
          <w:spacing w:val="4"/>
          <w:kern w:val="0"/>
          <w:sz w:val="24"/>
          <w:highlight w:val="none"/>
        </w:rPr>
        <w:t>年</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月</w:t>
      </w:r>
      <w:r>
        <w:rPr>
          <w:rFonts w:hint="eastAsia" w:ascii="仿宋" w:hAnsi="仿宋" w:eastAsia="仿宋" w:cs="宋体"/>
          <w:color w:val="auto"/>
          <w:spacing w:val="4"/>
          <w:kern w:val="0"/>
          <w:sz w:val="24"/>
          <w:highlight w:val="none"/>
          <w:u w:val="single"/>
        </w:rPr>
        <w:t xml:space="preserve">    </w:t>
      </w:r>
      <w:r>
        <w:rPr>
          <w:rFonts w:hint="eastAsia" w:ascii="仿宋" w:hAnsi="仿宋" w:eastAsia="仿宋" w:cs="宋体"/>
          <w:color w:val="auto"/>
          <w:spacing w:val="4"/>
          <w:kern w:val="0"/>
          <w:sz w:val="24"/>
          <w:highlight w:val="none"/>
        </w:rPr>
        <w:t>日止。</w:t>
      </w:r>
    </w:p>
    <w:p>
      <w:pPr>
        <w:pStyle w:val="45"/>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五、技术资料</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1、乙方应按采购文件规定的时间向甲方提供有关技术资料。</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82" w:firstLineChars="200"/>
        <w:rPr>
          <w:rFonts w:ascii="仿宋" w:hAnsi="仿宋" w:eastAsia="仿宋"/>
          <w:b/>
          <w:bCs/>
          <w:snapToGrid w:val="0"/>
          <w:color w:val="auto"/>
          <w:kern w:val="0"/>
          <w:sz w:val="24"/>
          <w:highlight w:val="none"/>
        </w:rPr>
      </w:pPr>
      <w:bookmarkStart w:id="606" w:name="_Hlk111388550"/>
      <w:r>
        <w:rPr>
          <w:rFonts w:hint="eastAsia" w:ascii="仿宋" w:hAnsi="仿宋" w:eastAsia="仿宋"/>
          <w:b/>
          <w:bCs/>
          <w:snapToGrid w:val="0"/>
          <w:color w:val="auto"/>
          <w:kern w:val="0"/>
          <w:sz w:val="24"/>
          <w:highlight w:val="none"/>
        </w:rPr>
        <w:t>六、履约保证金</w:t>
      </w:r>
    </w:p>
    <w:p>
      <w:pPr>
        <w:pStyle w:val="2"/>
        <w:spacing w:line="360" w:lineRule="auto"/>
        <w:rPr>
          <w:rFonts w:ascii="仿宋" w:hAnsi="仿宋" w:eastAsia="仿宋"/>
          <w:color w:val="auto"/>
          <w:highlight w:val="none"/>
        </w:rPr>
      </w:pPr>
      <w:r>
        <w:rPr>
          <w:rFonts w:hint="eastAsia" w:ascii="仿宋" w:hAnsi="仿宋" w:eastAsia="仿宋"/>
          <w:snapToGrid w:val="0"/>
          <w:color w:val="auto"/>
          <w:kern w:val="0"/>
          <w:highlight w:val="none"/>
        </w:rPr>
        <w:t>无</w:t>
      </w:r>
    </w:p>
    <w:bookmarkEnd w:id="606"/>
    <w:p>
      <w:pPr>
        <w:spacing w:before="336"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七</w:t>
      </w:r>
      <w:r>
        <w:rPr>
          <w:rFonts w:ascii="仿宋" w:hAnsi="仿宋" w:eastAsia="仿宋" w:cs="宋体"/>
          <w:b/>
          <w:bCs/>
          <w:color w:val="auto"/>
          <w:sz w:val="24"/>
          <w:highlight w:val="none"/>
        </w:rPr>
        <w:t>、甲方的权利、职责与义务</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1.对乙方日常养护的质量、安全工作及资料台帐进行定期或不定期的检</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查，</w:t>
      </w:r>
      <w:r>
        <w:rPr>
          <w:rFonts w:ascii="仿宋" w:hAnsi="仿宋" w:eastAsia="仿宋" w:cs="宋体"/>
          <w:color w:val="auto"/>
          <w:spacing w:val="4"/>
          <w:sz w:val="24"/>
          <w:highlight w:val="none"/>
        </w:rPr>
        <w:t>并对设施完好和运行安全情况进行月度、年度考核；发现乙方未按规范要求进</w:t>
      </w:r>
      <w:r>
        <w:rPr>
          <w:rFonts w:ascii="仿宋" w:hAnsi="仿宋" w:eastAsia="仿宋" w:cs="宋体"/>
          <w:color w:val="auto"/>
          <w:sz w:val="24"/>
          <w:highlight w:val="none"/>
        </w:rPr>
        <w:t>行养护或设施处于不良状况时，应立即要求乙方限期采取措施整改。</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2.审阅乙方的年度和月度养护计划，检查养护计划执行情况；审核和下</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达</w:t>
      </w:r>
      <w:r>
        <w:rPr>
          <w:rFonts w:ascii="仿宋" w:hAnsi="仿宋" w:eastAsia="仿宋" w:cs="宋体"/>
          <w:color w:val="auto"/>
          <w:sz w:val="24"/>
          <w:highlight w:val="none"/>
        </w:rPr>
        <w:t>计划，对工程质量安全情况进行监督管理，并组织验收。</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3.在有必要的情况下，可要求乙方对设施进行特殊养护。</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4.向乙方提供有关设施养护所需的竣工资料和规范性文件，及考核办</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法，</w:t>
      </w:r>
      <w:r>
        <w:rPr>
          <w:rFonts w:ascii="仿宋" w:hAnsi="仿宋" w:eastAsia="仿宋" w:cs="宋体"/>
          <w:color w:val="auto"/>
          <w:sz w:val="24"/>
          <w:highlight w:val="none"/>
        </w:rPr>
        <w:t>下发各类报表样式，指导乙方健全内业资料。</w:t>
      </w:r>
    </w:p>
    <w:p>
      <w:pPr>
        <w:spacing w:before="216" w:line="360" w:lineRule="auto"/>
        <w:ind w:left="480"/>
        <w:jc w:val="left"/>
        <w:rPr>
          <w:rFonts w:ascii="仿宋" w:hAnsi="仿宋" w:eastAsia="仿宋" w:cs="宋体"/>
          <w:color w:val="auto"/>
          <w:spacing w:val="4"/>
          <w:sz w:val="24"/>
          <w:highlight w:val="none"/>
        </w:rPr>
      </w:pPr>
      <w:r>
        <w:rPr>
          <w:rFonts w:ascii="仿宋" w:hAnsi="仿宋" w:eastAsia="仿宋" w:cs="宋体"/>
          <w:color w:val="auto"/>
          <w:spacing w:val="4"/>
          <w:sz w:val="24"/>
          <w:highlight w:val="none"/>
        </w:rPr>
        <w:t>5.帮助协调处理养护工作中与相关单位的协调配合，以及人为因素、自</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然</w:t>
      </w:r>
      <w:r>
        <w:rPr>
          <w:rFonts w:ascii="仿宋" w:hAnsi="仿宋" w:eastAsia="仿宋" w:cs="宋体"/>
          <w:color w:val="auto"/>
          <w:sz w:val="24"/>
          <w:highlight w:val="none"/>
        </w:rPr>
        <w:t>因素造成的设施损坏和侵害事件。</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6.对养护工作中采用新工艺、新材料、新方法的适用性、安全性进行审</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查。</w:t>
      </w:r>
    </w:p>
    <w:p>
      <w:pPr>
        <w:spacing w:before="338"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八</w:t>
      </w:r>
      <w:r>
        <w:rPr>
          <w:rFonts w:ascii="仿宋" w:hAnsi="仿宋" w:eastAsia="仿宋" w:cs="宋体"/>
          <w:b/>
          <w:bCs/>
          <w:color w:val="auto"/>
          <w:sz w:val="24"/>
          <w:highlight w:val="none"/>
        </w:rPr>
        <w:t>、乙方的权利、职责与义务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乙方在养护作业中投入的机械设备、人员配置等必须与投标文件中所承诺的数量规格相符合。加强日常作业质量管理，做好作业质量自查日记，建立养护管理工作台帐，做好养护工作日报、月报、年报，健全养护档案制度。对日常养护管理形成日志，并由专人记录。合同结束后最近一期资金支付前养护日志移交甲方。</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2、规范管理、文明作业、自觉接受甲方及其上级各部门领导 的检查和社会监督，对出现的问题要及时整改。及时处理市长热线、舆情信息、12328等热线的反映的问题。接到作业地块投诉电话和新闻舆论批评，应在24小时内处理完毕和信息反馈。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 作业时应严格遵守交通规则、遵守安全操作规程，作业人员上路作业时须统一穿戴安全反光背心。加强日常安全生产管理，确保职工人身安全。如遇各种意外事故发生由乙方自行负责，并依照法律法规妥善处理(事故情况应及时书面告知甲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、建立日常巡查制度，巡查人员对所管辖的道路、桥隧每天巡查一次，填写巡查记录，发现问题及时整改。对非法破坏道路及设施行为及时予以制止，并上报甲方及执法部门。</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5、制定全年及每月养护工作计划、养护质量及安全保证、养护 应急管理预案、重点技术措施等，并及时上报甲方。安排养护管理力量，制定劳动力计划表，做好突击性工作的应急安排等，落实专职养护人员名单，养护管理责任人名单。</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6、做好交通量观测、整理汇总数据等。并负责交调观测设备维修保养和流量卡充值等工作，确保观测设备正常运行。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7、做好养护生产台帐资料，主要包括：公路养护、桥隧养护、绿化养护、整改案卷、养护设备、应急管理、巡查记录等。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8、乙方根据甲方通知要求，做好各类“迎检”和“创建”准备工作。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9、配备专职的桥梁养护工程师，加强对公路桥梁等结构物的监测与检查，做好桥隧及桥隧环保工程等辅助设施的养护维修工作。</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10、乙方在养护管理期间，由于养管不力，甲方有权终止合同，并由乙方承担一切责任。</w:t>
      </w:r>
    </w:p>
    <w:p>
      <w:pPr>
        <w:spacing w:before="218"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九</w:t>
      </w:r>
      <w:r>
        <w:rPr>
          <w:rFonts w:ascii="仿宋" w:hAnsi="仿宋" w:eastAsia="仿宋" w:cs="宋体"/>
          <w:b/>
          <w:bCs/>
          <w:color w:val="auto"/>
          <w:sz w:val="24"/>
          <w:highlight w:val="none"/>
        </w:rPr>
        <w:t>、考核</w:t>
      </w:r>
    </w:p>
    <w:p>
      <w:pPr>
        <w:spacing w:before="130" w:line="360" w:lineRule="auto"/>
        <w:ind w:left="47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s="宋体"/>
          <w:color w:val="auto"/>
          <w:spacing w:val="1"/>
          <w:sz w:val="24"/>
          <w:highlight w:val="none"/>
        </w:rPr>
        <w:t>、甲方管理考核采取日常巡查和不定期考核和年度考核相结合形式进行，</w:t>
      </w:r>
    </w:p>
    <w:p>
      <w:pPr>
        <w:spacing w:before="200"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考核依据《</w:t>
      </w:r>
      <w:r>
        <w:rPr>
          <w:rFonts w:hint="eastAsia" w:ascii="仿宋" w:hAnsi="仿宋" w:eastAsia="仿宋" w:cs="宋体"/>
          <w:color w:val="auto"/>
          <w:spacing w:val="1"/>
          <w:sz w:val="24"/>
          <w:highlight w:val="none"/>
        </w:rPr>
        <w:t>余杭区公路日常养护考核办法</w:t>
      </w:r>
      <w:r>
        <w:rPr>
          <w:rFonts w:ascii="仿宋" w:hAnsi="仿宋" w:eastAsia="仿宋" w:cs="宋体"/>
          <w:color w:val="auto"/>
          <w:spacing w:val="1"/>
          <w:sz w:val="24"/>
          <w:highlight w:val="none"/>
        </w:rPr>
        <w:t>》（</w:t>
      </w:r>
      <w:r>
        <w:rPr>
          <w:rFonts w:hint="eastAsia" w:ascii="仿宋" w:hAnsi="仿宋" w:eastAsia="仿宋" w:cs="宋体"/>
          <w:color w:val="auto"/>
          <w:spacing w:val="1"/>
          <w:sz w:val="24"/>
          <w:highlight w:val="none"/>
        </w:rPr>
        <w:t>余公运[2021]12号</w:t>
      </w:r>
      <w:r>
        <w:rPr>
          <w:rFonts w:ascii="仿宋" w:hAnsi="仿宋" w:eastAsia="仿宋" w:cs="宋体"/>
          <w:color w:val="auto"/>
          <w:spacing w:val="1"/>
          <w:sz w:val="24"/>
          <w:highlight w:val="none"/>
        </w:rPr>
        <w:t>）。</w:t>
      </w:r>
    </w:p>
    <w:p>
      <w:pPr>
        <w:spacing w:before="216" w:line="360" w:lineRule="auto"/>
        <w:ind w:left="470"/>
        <w:jc w:val="left"/>
        <w:rPr>
          <w:rFonts w:ascii="仿宋" w:hAnsi="仿宋" w:eastAsia="仿宋"/>
          <w:color w:val="auto"/>
          <w:sz w:val="24"/>
          <w:highlight w:val="none"/>
        </w:rPr>
      </w:pPr>
      <w:r>
        <w:rPr>
          <w:rFonts w:ascii="仿宋" w:hAnsi="仿宋" w:eastAsia="仿宋" w:cs="宋体"/>
          <w:color w:val="auto"/>
          <w:sz w:val="24"/>
          <w:highlight w:val="none"/>
        </w:rPr>
        <w:t>2、如甲方在项目实施过程中因政策调整或上级部门管理需要而新制定的考</w:t>
      </w:r>
    </w:p>
    <w:p>
      <w:pPr>
        <w:spacing w:before="218"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核补充细则，乙方须无条件服从。</w:t>
      </w:r>
    </w:p>
    <w:p>
      <w:pPr>
        <w:spacing w:before="216" w:line="360" w:lineRule="auto"/>
        <w:ind w:left="470"/>
        <w:jc w:val="left"/>
        <w:rPr>
          <w:rFonts w:ascii="仿宋" w:hAnsi="仿宋" w:eastAsia="仿宋" w:cs="宋体"/>
          <w:color w:val="auto"/>
          <w:spacing w:val="1"/>
          <w:sz w:val="24"/>
          <w:highlight w:val="none"/>
        </w:rPr>
      </w:pPr>
      <w:r>
        <w:rPr>
          <w:rFonts w:ascii="仿宋" w:hAnsi="仿宋" w:eastAsia="仿宋" w:cs="宋体"/>
          <w:color w:val="auto"/>
          <w:spacing w:val="1"/>
          <w:sz w:val="24"/>
          <w:highlight w:val="none"/>
        </w:rPr>
        <w:t>3、甲方认定项目负责人、技术负责人无履职能力需要更换项目负责人、</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技</w:t>
      </w:r>
      <w:r>
        <w:rPr>
          <w:rFonts w:ascii="仿宋" w:hAnsi="仿宋" w:eastAsia="仿宋" w:cs="宋体"/>
          <w:color w:val="auto"/>
          <w:spacing w:val="5"/>
          <w:sz w:val="24"/>
          <w:highlight w:val="none"/>
        </w:rPr>
        <w:t>术负责人的，乙方承担违约责任：支付违约金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5</w:t>
      </w:r>
      <w:r>
        <w:rPr>
          <w:rFonts w:ascii="仿宋" w:hAnsi="仿宋" w:eastAsia="仿宋"/>
          <w:color w:val="auto"/>
          <w:spacing w:val="5"/>
          <w:sz w:val="24"/>
          <w:highlight w:val="none"/>
        </w:rPr>
        <w:t xml:space="preserve"> </w:t>
      </w:r>
      <w:r>
        <w:rPr>
          <w:rFonts w:ascii="仿宋" w:hAnsi="仿宋" w:eastAsia="仿宋" w:cs="宋体"/>
          <w:color w:val="auto"/>
          <w:spacing w:val="5"/>
          <w:sz w:val="24"/>
          <w:highlight w:val="none"/>
        </w:rPr>
        <w:t>万元，项目负责人、技术负责人更换须征得甲方及相关职能部门书面同意意见。如乙方不在限期内更换的处</w:t>
      </w:r>
      <w:r>
        <w:rPr>
          <w:rFonts w:ascii="仿宋" w:hAnsi="仿宋" w:eastAsia="仿宋" w:cs="宋体"/>
          <w:color w:val="auto"/>
          <w:spacing w:val="1"/>
          <w:sz w:val="24"/>
          <w:highlight w:val="none"/>
        </w:rPr>
        <w:t>以违约金</w:t>
      </w:r>
      <w:r>
        <w:rPr>
          <w:rFonts w:ascii="仿宋" w:hAnsi="仿宋" w:eastAsia="仿宋"/>
          <w:color w:val="auto"/>
          <w:spacing w:val="-1"/>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8" w:line="360" w:lineRule="auto"/>
        <w:ind w:left="470"/>
        <w:jc w:val="left"/>
        <w:rPr>
          <w:rFonts w:ascii="仿宋" w:hAnsi="仿宋" w:eastAsia="仿宋"/>
          <w:color w:val="auto"/>
          <w:sz w:val="24"/>
          <w:highlight w:val="none"/>
        </w:rPr>
      </w:pPr>
      <w:r>
        <w:rPr>
          <w:rFonts w:ascii="仿宋" w:hAnsi="仿宋" w:eastAsia="仿宋" w:cs="宋体"/>
          <w:color w:val="auto"/>
          <w:spacing w:val="1"/>
          <w:sz w:val="24"/>
          <w:highlight w:val="none"/>
        </w:rPr>
        <w:t>4、因乙方主动更换项目负责人、技术负责人的违约约定：支付违约金</w:t>
      </w:r>
      <w:r>
        <w:rPr>
          <w:rFonts w:ascii="仿宋" w:hAnsi="仿宋" w:eastAsia="仿宋"/>
          <w:color w:val="auto"/>
          <w:spacing w:val="4"/>
          <w:sz w:val="24"/>
          <w:highlight w:val="none"/>
        </w:rPr>
        <w:t xml:space="preserve"> </w:t>
      </w:r>
      <w:r>
        <w:rPr>
          <w:rFonts w:ascii="仿宋" w:hAnsi="仿宋" w:eastAsia="仿宋"/>
          <w:color w:val="auto"/>
          <w:sz w:val="24"/>
          <w:highlight w:val="none"/>
        </w:rPr>
        <w:t xml:space="preserve">5 </w:t>
      </w:r>
    </w:p>
    <w:p>
      <w:pPr>
        <w:spacing w:before="218" w:line="360" w:lineRule="auto"/>
        <w:jc w:val="left"/>
        <w:rPr>
          <w:rFonts w:ascii="仿宋" w:hAnsi="仿宋" w:eastAsia="仿宋"/>
          <w:color w:val="auto"/>
          <w:sz w:val="24"/>
          <w:highlight w:val="none"/>
        </w:rPr>
      </w:pPr>
      <w:r>
        <w:rPr>
          <w:rFonts w:ascii="仿宋" w:hAnsi="仿宋" w:eastAsia="仿宋" w:cs="宋体"/>
          <w:color w:val="auto"/>
          <w:sz w:val="24"/>
          <w:highlight w:val="none"/>
        </w:rPr>
        <w:t>万</w:t>
      </w:r>
      <w:r>
        <w:rPr>
          <w:rFonts w:ascii="仿宋" w:hAnsi="仿宋" w:eastAsia="仿宋" w:cs="宋体"/>
          <w:color w:val="auto"/>
          <w:spacing w:val="5"/>
          <w:sz w:val="24"/>
          <w:highlight w:val="none"/>
        </w:rPr>
        <w:t>元，项目负责人、技术负责人更换须征得甲方及相关职能部门书面同意意见，</w:t>
      </w:r>
      <w:r>
        <w:rPr>
          <w:rFonts w:ascii="仿宋" w:hAnsi="仿宋" w:eastAsia="仿宋" w:cs="宋体"/>
          <w:color w:val="auto"/>
          <w:spacing w:val="1"/>
          <w:sz w:val="24"/>
          <w:highlight w:val="none"/>
        </w:rPr>
        <w:t>擅自更换或不满足条件更换的处以违约金</w:t>
      </w:r>
      <w:r>
        <w:rPr>
          <w:rFonts w:ascii="仿宋" w:hAnsi="仿宋" w:eastAsia="仿宋"/>
          <w:color w:val="auto"/>
          <w:spacing w:val="-3"/>
          <w:sz w:val="24"/>
          <w:highlight w:val="none"/>
        </w:rPr>
        <w:t xml:space="preserve"> </w:t>
      </w:r>
      <w:r>
        <w:rPr>
          <w:rFonts w:ascii="仿宋" w:hAnsi="仿宋" w:eastAsia="仿宋"/>
          <w:color w:val="auto"/>
          <w:spacing w:val="2"/>
          <w:sz w:val="24"/>
          <w:highlight w:val="none"/>
        </w:rPr>
        <w:t>10</w:t>
      </w:r>
      <w:r>
        <w:rPr>
          <w:rFonts w:ascii="仿宋" w:hAnsi="仿宋" w:eastAsia="仿宋"/>
          <w:color w:val="auto"/>
          <w:spacing w:val="-2"/>
          <w:sz w:val="24"/>
          <w:highlight w:val="none"/>
        </w:rPr>
        <w:t xml:space="preserve"> </w:t>
      </w:r>
      <w:r>
        <w:rPr>
          <w:rFonts w:ascii="仿宋" w:hAnsi="仿宋" w:eastAsia="仿宋" w:cs="宋体"/>
          <w:color w:val="auto"/>
          <w:spacing w:val="1"/>
          <w:sz w:val="24"/>
          <w:highlight w:val="none"/>
        </w:rPr>
        <w:t>万元。</w:t>
      </w:r>
    </w:p>
    <w:p>
      <w:pPr>
        <w:spacing w:before="216" w:line="360" w:lineRule="auto"/>
        <w:ind w:left="470"/>
        <w:jc w:val="left"/>
        <w:rPr>
          <w:rFonts w:ascii="仿宋" w:hAnsi="仿宋" w:eastAsia="仿宋" w:cs="宋体"/>
          <w:color w:val="auto"/>
          <w:spacing w:val="1"/>
          <w:sz w:val="24"/>
          <w:highlight w:val="none"/>
        </w:rPr>
      </w:pPr>
      <w:r>
        <w:rPr>
          <w:rFonts w:ascii="仿宋" w:hAnsi="仿宋" w:eastAsia="仿宋" w:cs="宋体"/>
          <w:color w:val="auto"/>
          <w:spacing w:val="1"/>
          <w:sz w:val="24"/>
          <w:highlight w:val="none"/>
        </w:rPr>
        <w:t>5、项目负责人、技术负责人每月在现场时间未达到约定天数的，每少一</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1"/>
          <w:sz w:val="24"/>
          <w:highlight w:val="none"/>
        </w:rPr>
        <w:t>天</w:t>
      </w:r>
      <w:r>
        <w:rPr>
          <w:rFonts w:ascii="仿宋" w:hAnsi="仿宋" w:eastAsia="仿宋" w:cs="宋体"/>
          <w:color w:val="auto"/>
          <w:spacing w:val="4"/>
          <w:sz w:val="24"/>
          <w:highlight w:val="none"/>
        </w:rPr>
        <w:t>应向甲方支付违约金</w:t>
      </w:r>
      <w:r>
        <w:rPr>
          <w:rFonts w:ascii="仿宋" w:hAnsi="仿宋" w:eastAsia="仿宋"/>
          <w:color w:val="auto"/>
          <w:spacing w:val="-2"/>
          <w:sz w:val="24"/>
          <w:highlight w:val="none"/>
        </w:rPr>
        <w:t xml:space="preserve"> </w:t>
      </w:r>
      <w:r>
        <w:rPr>
          <w:rFonts w:ascii="仿宋" w:hAnsi="仿宋" w:eastAsia="仿宋"/>
          <w:color w:val="auto"/>
          <w:sz w:val="24"/>
          <w:highlight w:val="none"/>
        </w:rPr>
        <w:t>1</w:t>
      </w:r>
      <w:r>
        <w:rPr>
          <w:rFonts w:ascii="仿宋" w:hAnsi="仿宋" w:eastAsia="仿宋"/>
          <w:color w:val="auto"/>
          <w:spacing w:val="7"/>
          <w:sz w:val="24"/>
          <w:highlight w:val="none"/>
        </w:rPr>
        <w:t xml:space="preserve"> </w:t>
      </w:r>
      <w:r>
        <w:rPr>
          <w:rFonts w:ascii="仿宋" w:hAnsi="仿宋" w:eastAsia="仿宋" w:cs="宋体"/>
          <w:color w:val="auto"/>
          <w:spacing w:val="5"/>
          <w:sz w:val="24"/>
          <w:highlight w:val="none"/>
        </w:rPr>
        <w:t>千元，当项目负责人、技术负责人在养护总工期中累计</w:t>
      </w:r>
      <w:r>
        <w:rPr>
          <w:rFonts w:ascii="仿宋" w:hAnsi="仿宋" w:eastAsia="仿宋" w:cs="宋体"/>
          <w:color w:val="auto"/>
          <w:spacing w:val="2"/>
          <w:sz w:val="24"/>
          <w:highlight w:val="none"/>
        </w:rPr>
        <w:t>出勤率低于</w:t>
      </w:r>
      <w:r>
        <w:rPr>
          <w:rFonts w:ascii="仿宋" w:hAnsi="仿宋" w:eastAsia="仿宋"/>
          <w:color w:val="auto"/>
          <w:spacing w:val="1"/>
          <w:sz w:val="24"/>
          <w:highlight w:val="none"/>
        </w:rPr>
        <w:t xml:space="preserve"> </w:t>
      </w:r>
      <w:r>
        <w:rPr>
          <w:rFonts w:ascii="仿宋" w:hAnsi="仿宋" w:eastAsia="仿宋" w:cs="宋体"/>
          <w:color w:val="auto"/>
          <w:sz w:val="24"/>
          <w:highlight w:val="none"/>
        </w:rPr>
        <w:t>50%的，扣除乙方</w:t>
      </w:r>
      <w:r>
        <w:rPr>
          <w:rFonts w:hint="eastAsia" w:ascii="仿宋" w:hAnsi="仿宋" w:eastAsia="仿宋" w:cs="宋体"/>
          <w:color w:val="auto"/>
          <w:sz w:val="24"/>
          <w:highlight w:val="none"/>
        </w:rPr>
        <w:t>季度计量款的5</w:t>
      </w:r>
      <w:r>
        <w:rPr>
          <w:rFonts w:ascii="仿宋" w:hAnsi="仿宋" w:eastAsia="仿宋" w:cs="宋体"/>
          <w:color w:val="auto"/>
          <w:spacing w:val="1"/>
          <w:sz w:val="24"/>
          <w:highlight w:val="none"/>
        </w:rPr>
        <w:t>%；上述扣款将在当季养护费用支付时予以扣除；</w:t>
      </w:r>
    </w:p>
    <w:p>
      <w:pPr>
        <w:spacing w:before="216"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6、警告。在养护作业合同期间，有下列情景之一的给予</w:t>
      </w:r>
      <w:r>
        <w:rPr>
          <w:rFonts w:ascii="仿宋" w:hAnsi="仿宋" w:eastAsia="仿宋"/>
          <w:color w:val="auto"/>
          <w:spacing w:val="2"/>
          <w:sz w:val="24"/>
          <w:highlight w:val="none"/>
        </w:rPr>
        <w:t xml:space="preserve"> </w:t>
      </w:r>
      <w:r>
        <w:rPr>
          <w:rFonts w:ascii="仿宋" w:hAnsi="仿宋" w:eastAsia="仿宋"/>
          <w:color w:val="auto"/>
          <w:sz w:val="24"/>
          <w:highlight w:val="none"/>
        </w:rPr>
        <w:t xml:space="preserve">1 </w:t>
      </w:r>
      <w:r>
        <w:rPr>
          <w:rFonts w:ascii="仿宋" w:hAnsi="仿宋" w:eastAsia="仿宋" w:cs="宋体"/>
          <w:color w:val="auto"/>
          <w:sz w:val="24"/>
          <w:highlight w:val="none"/>
        </w:rPr>
        <w:t>次书面警告并</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处以</w:t>
      </w:r>
      <w:r>
        <w:rPr>
          <w:rFonts w:ascii="仿宋" w:hAnsi="仿宋" w:eastAsia="仿宋"/>
          <w:color w:val="auto"/>
          <w:sz w:val="24"/>
          <w:highlight w:val="none"/>
        </w:rPr>
        <w:t xml:space="preserve"> 5 </w:t>
      </w:r>
      <w:r>
        <w:rPr>
          <w:rFonts w:ascii="仿宋" w:hAnsi="仿宋" w:eastAsia="仿宋" w:cs="宋体"/>
          <w:color w:val="auto"/>
          <w:sz w:val="24"/>
          <w:highlight w:val="none"/>
        </w:rPr>
        <w:t>万元/次的罚款：</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(1)不遵守相关法规，未按规程操作发生有责事故的。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(2)遇有重大活动或突发事件时，未按要求落实作业机具和人员，保障不力</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而造成不良影响的。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(3)职能部门检查发现抄告问题未限期整改到位的。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(4)管理混乱，发生管养人员集体上访的。</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(5)设施处于不良状况危及安全、养护质量问题危及安全或引起问责的。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(6)累计两次未按要求完成甲方交办任务的（以任务单为准）。</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(7)累计两次媒体负面报道的。</w:t>
      </w:r>
    </w:p>
    <w:p>
      <w:pPr>
        <w:spacing w:before="216" w:line="360" w:lineRule="auto"/>
        <w:ind w:left="480"/>
        <w:jc w:val="left"/>
        <w:rPr>
          <w:rFonts w:ascii="仿宋" w:hAnsi="仿宋" w:eastAsia="仿宋"/>
          <w:color w:val="auto"/>
          <w:sz w:val="24"/>
          <w:highlight w:val="none"/>
        </w:rPr>
      </w:pPr>
      <w:r>
        <w:rPr>
          <w:rFonts w:ascii="仿宋" w:hAnsi="仿宋" w:eastAsia="仿宋"/>
          <w:color w:val="auto"/>
          <w:sz w:val="24"/>
          <w:highlight w:val="none"/>
        </w:rPr>
        <w:t xml:space="preserve">(8)24 </w:t>
      </w:r>
      <w:r>
        <w:rPr>
          <w:rFonts w:ascii="仿宋" w:hAnsi="仿宋" w:eastAsia="仿宋" w:cs="宋体"/>
          <w:color w:val="auto"/>
          <w:sz w:val="24"/>
          <w:highlight w:val="none"/>
        </w:rPr>
        <w:t>小时驻场服务车辆发现一次未到位的。</w:t>
      </w:r>
    </w:p>
    <w:p>
      <w:pPr>
        <w:spacing w:before="218" w:line="360" w:lineRule="auto"/>
        <w:ind w:left="480"/>
        <w:jc w:val="left"/>
        <w:rPr>
          <w:rFonts w:ascii="仿宋" w:hAnsi="仿宋" w:eastAsia="仿宋"/>
          <w:color w:val="auto"/>
          <w:sz w:val="24"/>
          <w:highlight w:val="none"/>
        </w:rPr>
      </w:pPr>
      <w:r>
        <w:rPr>
          <w:rFonts w:ascii="仿宋" w:hAnsi="仿宋" w:eastAsia="仿宋"/>
          <w:color w:val="auto"/>
          <w:sz w:val="24"/>
          <w:highlight w:val="none"/>
        </w:rPr>
        <w:t xml:space="preserve">(9)30 </w:t>
      </w:r>
      <w:r>
        <w:rPr>
          <w:rFonts w:ascii="仿宋" w:hAnsi="仿宋" w:eastAsia="仿宋" w:cs="宋体"/>
          <w:color w:val="auto"/>
          <w:sz w:val="24"/>
          <w:highlight w:val="none"/>
        </w:rPr>
        <w:t>分钟内响应现场服务车辆累计两次未及时到场服务的。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7、退出。在养护合同履行期间，符合以下之一的，甲方可提前终止养护合</w:t>
      </w:r>
    </w:p>
    <w:p>
      <w:pPr>
        <w:spacing w:before="140" w:line="360" w:lineRule="auto"/>
        <w:jc w:val="left"/>
        <w:rPr>
          <w:rFonts w:ascii="仿宋" w:hAnsi="仿宋" w:eastAsia="仿宋"/>
          <w:color w:val="auto"/>
          <w:sz w:val="24"/>
          <w:highlight w:val="none"/>
        </w:rPr>
      </w:pPr>
      <w:r>
        <w:rPr>
          <w:rFonts w:ascii="仿宋" w:hAnsi="仿宋" w:eastAsia="仿宋" w:cs="宋体"/>
          <w:color w:val="auto"/>
          <w:sz w:val="24"/>
          <w:highlight w:val="none"/>
        </w:rPr>
        <w:t>同，同时，乙方还应承担给甲方造成的所有损失：</w:t>
      </w:r>
    </w:p>
    <w:p>
      <w:pPr>
        <w:spacing w:before="216"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(1)组织管理机构、人员素质、养护人数及机具设备等与投标承诺不符，无</w:t>
      </w:r>
    </w:p>
    <w:p>
      <w:pPr>
        <w:spacing w:before="216" w:line="360" w:lineRule="auto"/>
        <w:jc w:val="left"/>
        <w:rPr>
          <w:rFonts w:ascii="仿宋" w:hAnsi="仿宋" w:eastAsia="仿宋"/>
          <w:color w:val="auto"/>
          <w:sz w:val="24"/>
          <w:highlight w:val="none"/>
        </w:rPr>
      </w:pPr>
      <w:r>
        <w:rPr>
          <w:rFonts w:ascii="仿宋" w:hAnsi="仿宋" w:eastAsia="仿宋" w:cs="宋体"/>
          <w:color w:val="auto"/>
          <w:sz w:val="24"/>
          <w:highlight w:val="none"/>
        </w:rPr>
        <w:t>法完成养护任务的。</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z w:val="24"/>
          <w:highlight w:val="none"/>
        </w:rPr>
        <w:t>(2)同一养护项目在合同期内累计被警告</w:t>
      </w:r>
      <w:r>
        <w:rPr>
          <w:rFonts w:ascii="仿宋" w:hAnsi="仿宋" w:eastAsia="仿宋"/>
          <w:color w:val="auto"/>
          <w:sz w:val="24"/>
          <w:highlight w:val="none"/>
        </w:rPr>
        <w:t xml:space="preserve"> 2 </w:t>
      </w:r>
      <w:r>
        <w:rPr>
          <w:rFonts w:ascii="仿宋" w:hAnsi="仿宋" w:eastAsia="仿宋" w:cs="宋体"/>
          <w:color w:val="auto"/>
          <w:sz w:val="24"/>
          <w:highlight w:val="none"/>
        </w:rPr>
        <w:t>次的。</w:t>
      </w:r>
    </w:p>
    <w:p>
      <w:pPr>
        <w:spacing w:before="216"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(3)养护考评得分不满足考核办法要求；</w:t>
      </w:r>
    </w:p>
    <w:p>
      <w:pPr>
        <w:spacing w:before="216" w:line="360" w:lineRule="auto"/>
        <w:ind w:firstLine="283" w:firstLineChars="118"/>
        <w:jc w:val="left"/>
        <w:rPr>
          <w:rFonts w:ascii="仿宋" w:hAnsi="仿宋" w:eastAsia="仿宋"/>
          <w:color w:val="auto"/>
          <w:sz w:val="24"/>
          <w:highlight w:val="none"/>
        </w:rPr>
      </w:pPr>
      <w:r>
        <w:rPr>
          <w:rFonts w:hint="eastAsia" w:ascii="仿宋" w:hAnsi="仿宋" w:eastAsia="仿宋" w:cs="宋体"/>
          <w:color w:val="auto"/>
          <w:sz w:val="24"/>
          <w:highlight w:val="none"/>
        </w:rPr>
        <w:t>（4）</w:t>
      </w:r>
      <w:r>
        <w:rPr>
          <w:rFonts w:ascii="仿宋" w:hAnsi="仿宋" w:eastAsia="仿宋" w:cs="宋体"/>
          <w:color w:val="auto"/>
          <w:sz w:val="24"/>
          <w:highlight w:val="none"/>
        </w:rPr>
        <w:t>发生有责安全事故的。</w:t>
      </w:r>
    </w:p>
    <w:p>
      <w:pPr>
        <w:spacing w:before="336" w:line="360" w:lineRule="auto"/>
        <w:ind w:left="480"/>
        <w:jc w:val="left"/>
        <w:rPr>
          <w:rFonts w:ascii="仿宋" w:hAnsi="仿宋" w:eastAsia="仿宋"/>
          <w:b/>
          <w:bCs/>
          <w:color w:val="auto"/>
          <w:sz w:val="24"/>
          <w:highlight w:val="none"/>
        </w:rPr>
      </w:pPr>
      <w:r>
        <w:rPr>
          <w:rFonts w:hint="eastAsia" w:ascii="仿宋" w:hAnsi="仿宋" w:eastAsia="仿宋" w:cs="宋体"/>
          <w:b/>
          <w:bCs/>
          <w:color w:val="auto"/>
          <w:sz w:val="24"/>
          <w:highlight w:val="none"/>
        </w:rPr>
        <w:t>十</w:t>
      </w:r>
      <w:r>
        <w:rPr>
          <w:rFonts w:ascii="仿宋" w:hAnsi="仿宋" w:eastAsia="仿宋" w:cs="宋体"/>
          <w:b/>
          <w:bCs/>
          <w:color w:val="auto"/>
          <w:sz w:val="24"/>
          <w:highlight w:val="none"/>
        </w:rPr>
        <w:t>、安全、文明施工</w:t>
      </w:r>
    </w:p>
    <w:p>
      <w:pPr>
        <w:spacing w:before="218" w:line="360" w:lineRule="auto"/>
        <w:ind w:left="480"/>
        <w:jc w:val="left"/>
        <w:rPr>
          <w:rFonts w:ascii="仿宋" w:hAnsi="仿宋" w:eastAsia="仿宋" w:cs="宋体"/>
          <w:color w:val="auto"/>
          <w:sz w:val="24"/>
          <w:highlight w:val="none"/>
        </w:rPr>
      </w:pPr>
      <w:r>
        <w:rPr>
          <w:rFonts w:ascii="仿宋" w:hAnsi="仿宋" w:eastAsia="仿宋" w:cs="宋体"/>
          <w:color w:val="auto"/>
          <w:sz w:val="24"/>
          <w:highlight w:val="none"/>
        </w:rPr>
        <w:t>（一）为确保安全、文明施工，应该本着“安全第一，预防为主”的原</w:t>
      </w:r>
    </w:p>
    <w:p>
      <w:pPr>
        <w:spacing w:before="218" w:line="360" w:lineRule="auto"/>
        <w:jc w:val="left"/>
        <w:rPr>
          <w:rFonts w:ascii="仿宋" w:hAnsi="仿宋" w:eastAsia="仿宋" w:cs="宋体"/>
          <w:color w:val="auto"/>
          <w:sz w:val="24"/>
          <w:highlight w:val="none"/>
        </w:rPr>
      </w:pPr>
      <w:r>
        <w:rPr>
          <w:rFonts w:ascii="仿宋" w:hAnsi="仿宋" w:eastAsia="仿宋" w:cs="宋体"/>
          <w:color w:val="auto"/>
          <w:sz w:val="24"/>
          <w:highlight w:val="none"/>
        </w:rPr>
        <w:t>则，</w:t>
      </w:r>
      <w:r>
        <w:rPr>
          <w:rFonts w:ascii="仿宋" w:hAnsi="仿宋" w:eastAsia="仿宋" w:cs="宋体"/>
          <w:color w:val="auto"/>
          <w:spacing w:val="4"/>
          <w:sz w:val="24"/>
          <w:highlight w:val="none"/>
        </w:rPr>
        <w:t>建立安全管理组织体系；严格贯彻国家、省、市和劳动保护、安全生产部门颁</w:t>
      </w:r>
      <w:r>
        <w:rPr>
          <w:rFonts w:ascii="仿宋" w:hAnsi="仿宋" w:eastAsia="仿宋" w:cs="宋体"/>
          <w:color w:val="auto"/>
          <w:sz w:val="24"/>
          <w:highlight w:val="none"/>
        </w:rPr>
        <w:t>发的有关安全生产、消防工作的方针、政策、法规、条例、规定等执行。</w:t>
      </w:r>
    </w:p>
    <w:p>
      <w:pPr>
        <w:spacing w:before="218" w:line="360" w:lineRule="auto"/>
        <w:ind w:left="480"/>
        <w:jc w:val="left"/>
        <w:rPr>
          <w:rFonts w:ascii="仿宋" w:hAnsi="仿宋" w:eastAsia="仿宋"/>
          <w:color w:val="auto"/>
          <w:sz w:val="24"/>
          <w:highlight w:val="none"/>
        </w:rPr>
      </w:pPr>
      <w:r>
        <w:rPr>
          <w:rFonts w:ascii="仿宋" w:hAnsi="仿宋" w:eastAsia="仿宋" w:cs="宋体"/>
          <w:color w:val="auto"/>
          <w:spacing w:val="4"/>
          <w:sz w:val="24"/>
          <w:highlight w:val="none"/>
        </w:rPr>
        <w:t>（二）合同期间，甲乙方应签订《养护项目安全责任书》。由于乙方安全</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4"/>
          <w:sz w:val="24"/>
          <w:highlight w:val="none"/>
        </w:rPr>
        <w:t>措施不力、养护工作不到位、违反安全操作规程而导致责任事故或伤害，所发</w:t>
      </w:r>
      <w:r>
        <w:rPr>
          <w:rFonts w:ascii="仿宋" w:hAnsi="仿宋" w:eastAsia="仿宋" w:cs="宋体"/>
          <w:color w:val="auto"/>
          <w:sz w:val="24"/>
          <w:highlight w:val="none"/>
        </w:rPr>
        <w:t>生的费用均由乙方自负，甲方保留追究责任的权利。</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十一、款项支付</w:t>
      </w:r>
    </w:p>
    <w:p>
      <w:pPr>
        <w:spacing w:before="216" w:line="360" w:lineRule="auto"/>
        <w:ind w:left="480"/>
        <w:jc w:val="left"/>
        <w:rPr>
          <w:rFonts w:ascii="仿宋" w:hAnsi="仿宋" w:eastAsia="仿宋" w:cs="宋体"/>
          <w:color w:val="auto"/>
          <w:spacing w:val="-7"/>
          <w:sz w:val="24"/>
          <w:highlight w:val="none"/>
        </w:rPr>
      </w:pPr>
      <w:bookmarkStart w:id="607" w:name="_Hlk111388569"/>
      <w:r>
        <w:rPr>
          <w:rFonts w:ascii="仿宋" w:hAnsi="仿宋" w:eastAsia="仿宋"/>
          <w:color w:val="auto"/>
          <w:sz w:val="24"/>
          <w:highlight w:val="none"/>
        </w:rPr>
        <w:t>1</w:t>
      </w:r>
      <w:r>
        <w:rPr>
          <w:rFonts w:hint="eastAsia" w:ascii="仿宋" w:hAnsi="仿宋" w:eastAsia="仿宋"/>
          <w:color w:val="auto"/>
          <w:sz w:val="24"/>
          <w:highlight w:val="none"/>
        </w:rPr>
        <w:t>、</w:t>
      </w:r>
      <w:r>
        <w:rPr>
          <w:rFonts w:ascii="仿宋" w:hAnsi="仿宋" w:eastAsia="仿宋"/>
          <w:color w:val="auto"/>
          <w:spacing w:val="60"/>
          <w:sz w:val="24"/>
          <w:highlight w:val="none"/>
        </w:rPr>
        <w:t xml:space="preserve"> </w:t>
      </w:r>
      <w:r>
        <w:rPr>
          <w:rFonts w:ascii="仿宋" w:hAnsi="仿宋" w:eastAsia="仿宋" w:cs="宋体"/>
          <w:color w:val="auto"/>
          <w:spacing w:val="-7"/>
          <w:sz w:val="24"/>
          <w:highlight w:val="none"/>
        </w:rPr>
        <w:t>日常养护费（扣除未接管设施的养护费、违约金等费用）按季度支付</w:t>
      </w:r>
    </w:p>
    <w:p>
      <w:pPr>
        <w:spacing w:before="216" w:line="360" w:lineRule="auto"/>
        <w:jc w:val="left"/>
        <w:rPr>
          <w:rFonts w:ascii="仿宋" w:hAnsi="仿宋" w:eastAsia="仿宋"/>
          <w:color w:val="auto"/>
          <w:sz w:val="24"/>
          <w:highlight w:val="none"/>
        </w:rPr>
      </w:pPr>
      <w:r>
        <w:rPr>
          <w:rFonts w:ascii="仿宋" w:hAnsi="仿宋" w:eastAsia="仿宋" w:cs="宋体"/>
          <w:color w:val="auto"/>
          <w:spacing w:val="-7"/>
          <w:sz w:val="24"/>
          <w:highlight w:val="none"/>
        </w:rPr>
        <w:t>（在</w:t>
      </w:r>
      <w:r>
        <w:rPr>
          <w:rFonts w:ascii="仿宋" w:hAnsi="仿宋" w:eastAsia="仿宋" w:cs="宋体"/>
          <w:color w:val="auto"/>
          <w:sz w:val="24"/>
          <w:highlight w:val="none"/>
        </w:rPr>
        <w:t>季度末进行），甲方接收到乙方申请</w:t>
      </w:r>
      <w:r>
        <w:rPr>
          <w:rFonts w:hint="eastAsia" w:ascii="仿宋" w:hAnsi="仿宋" w:eastAsia="仿宋" w:cs="宋体"/>
          <w:color w:val="auto"/>
          <w:sz w:val="24"/>
          <w:highlight w:val="none"/>
        </w:rPr>
        <w:t>，具备支付条件，乙方提供发票，</w:t>
      </w:r>
      <w:r>
        <w:rPr>
          <w:rFonts w:ascii="仿宋" w:hAnsi="仿宋" w:eastAsia="仿宋"/>
          <w:color w:val="auto"/>
          <w:sz w:val="24"/>
          <w:highlight w:val="none"/>
        </w:rPr>
        <w:t xml:space="preserve">5 </w:t>
      </w:r>
      <w:r>
        <w:rPr>
          <w:rFonts w:ascii="仿宋" w:hAnsi="仿宋" w:eastAsia="仿宋" w:cs="宋体"/>
          <w:color w:val="auto"/>
          <w:sz w:val="24"/>
          <w:highlight w:val="none"/>
        </w:rPr>
        <w:t>个工作日内，</w:t>
      </w:r>
      <w:r>
        <w:rPr>
          <w:rFonts w:hint="eastAsia" w:ascii="仿宋" w:hAnsi="仿宋" w:eastAsia="仿宋" w:cs="宋体"/>
          <w:color w:val="auto"/>
          <w:sz w:val="24"/>
          <w:highlight w:val="none"/>
        </w:rPr>
        <w:t>根据季度考核结果</w:t>
      </w:r>
      <w:r>
        <w:rPr>
          <w:rFonts w:ascii="仿宋" w:hAnsi="仿宋" w:eastAsia="仿宋" w:cs="宋体"/>
          <w:color w:val="auto"/>
          <w:sz w:val="24"/>
          <w:highlight w:val="none"/>
        </w:rPr>
        <w:t>支付当季养护费用。</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2、根据季度最终考核分按以下规定调整季度计量支付款项：</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（1）考核达到92分及以上，支付季度100%承包款。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（2）88-92分（不含92分）的，每下降1分扣除季度1%承包款。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（3）84-88分（不含88分）的，在扣除当月4%月承包款的基础上，再按每下降1分扣除季度3%承包款。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）80-84分（不含84分）的，在扣除当月16%月承包款的基础上，再按每下降1分扣除月度5%承包款。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（5）80分以下的（不含80分），视为考核不合格，不支付季度承包款。</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（6）连续两个月考评得分低于80分的或连续6个月中累计两个月考评得分低于80分的，并终止承包合同且合同清算不作任何支付。</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7）人员及车辆出勤专项考核：各养护市场化项目均使用第三方人员及车辆智能管理系统，作业人员GPS未亮、未请假等情况均视为缺勤，以500元/人·次中心罚；若出现一人带多张GPS定位卡的情况，以3000元/人·次中心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（8）除上述情况外，根据月度考核、其他专项督查情况及上级部门督查通报情况等，视情节轻重，经中心领导讨论后酌情扣除当季计量支付款项。</w:t>
      </w:r>
    </w:p>
    <w:p>
      <w:pPr>
        <w:pStyle w:val="2"/>
        <w:spacing w:line="360" w:lineRule="auto"/>
        <w:ind w:firstLine="472"/>
        <w:rPr>
          <w:rFonts w:ascii="仿宋" w:hAnsi="仿宋" w:eastAsia="仿宋"/>
          <w:color w:val="auto"/>
          <w:highlight w:val="none"/>
        </w:rPr>
      </w:pPr>
      <w:r>
        <w:rPr>
          <w:rFonts w:hint="eastAsia" w:ascii="仿宋" w:hAnsi="仿宋" w:eastAsia="仿宋" w:cs="宋体"/>
          <w:color w:val="auto"/>
          <w:spacing w:val="-4"/>
          <w:highlight w:val="none"/>
        </w:rPr>
        <w:t>3、路面养护（小修）费主要是用于</w:t>
      </w:r>
      <w:r>
        <w:rPr>
          <w:rFonts w:ascii="仿宋" w:hAnsi="仿宋" w:eastAsia="仿宋" w:cs="宋体"/>
          <w:color w:val="auto"/>
          <w:spacing w:val="-2"/>
          <w:highlight w:val="none"/>
        </w:rPr>
        <w:t>路基路面养护（如沥青路面灌缝、坑洞修补，边沟清理养护，</w:t>
      </w:r>
      <w:r>
        <w:rPr>
          <w:rFonts w:ascii="仿宋" w:hAnsi="仿宋" w:eastAsia="仿宋" w:cs="宋体"/>
          <w:color w:val="auto"/>
          <w:spacing w:val="-3"/>
          <w:highlight w:val="none"/>
        </w:rPr>
        <w:t>公路挡墙、护栏、人行道板、里程碑、百米桩</w:t>
      </w:r>
      <w:r>
        <w:rPr>
          <w:rFonts w:hint="eastAsia" w:ascii="仿宋" w:hAnsi="仿宋" w:eastAsia="仿宋" w:cs="宋体"/>
          <w:color w:val="auto"/>
          <w:spacing w:val="-3"/>
          <w:highlight w:val="none"/>
        </w:rPr>
        <w:t>、侧石</w:t>
      </w:r>
      <w:r>
        <w:rPr>
          <w:rFonts w:ascii="仿宋" w:hAnsi="仿宋" w:eastAsia="仿宋" w:cs="宋体"/>
          <w:color w:val="auto"/>
          <w:spacing w:val="-3"/>
          <w:highlight w:val="none"/>
        </w:rPr>
        <w:t>等</w:t>
      </w:r>
      <w:r>
        <w:rPr>
          <w:rFonts w:hint="eastAsia" w:ascii="仿宋" w:hAnsi="仿宋" w:eastAsia="仿宋" w:cs="宋体"/>
          <w:color w:val="auto"/>
          <w:spacing w:val="-3"/>
          <w:highlight w:val="none"/>
        </w:rPr>
        <w:t>公路红线内一切</w:t>
      </w:r>
      <w:r>
        <w:rPr>
          <w:rFonts w:ascii="仿宋" w:hAnsi="仿宋" w:eastAsia="仿宋" w:cs="宋体"/>
          <w:color w:val="auto"/>
          <w:spacing w:val="-3"/>
          <w:highlight w:val="none"/>
        </w:rPr>
        <w:t>设施养护）</w:t>
      </w:r>
      <w:r>
        <w:rPr>
          <w:rFonts w:hint="eastAsia" w:ascii="仿宋" w:hAnsi="仿宋" w:eastAsia="仿宋" w:cs="宋体"/>
          <w:color w:val="auto"/>
          <w:spacing w:val="-3"/>
          <w:highlight w:val="none"/>
        </w:rPr>
        <w:t>，主要以投标人申报和甲方指令单的形式实施，每季度按实上报计量经审计后结算。</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十二、税费</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本合同执行中相关的一切税费均由乙方负担。</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十三、质量保证及后续服务</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1、乙方应按采购文件规定向甲方提供服务。</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2、乙方提供的服务成果在服务质量保证期内发生故障，乙方应负责免费提供后续服务。对达不到要求者，根据实际情况，经双方协商，可按以下办法处理：</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w:t>
      </w:r>
      <w:r>
        <w:rPr>
          <w:rFonts w:ascii="仿宋" w:hAnsi="仿宋" w:eastAsia="仿宋"/>
          <w:snapToGrid w:val="0"/>
          <w:color w:val="auto"/>
          <w:kern w:val="0"/>
          <w:sz w:val="24"/>
          <w:highlight w:val="none"/>
        </w:rPr>
        <w:t>1）重做：由乙方承担所发生的全部费用。</w:t>
      </w:r>
    </w:p>
    <w:p>
      <w:pPr>
        <w:snapToGrid w:val="0"/>
        <w:spacing w:line="360" w:lineRule="auto"/>
        <w:ind w:firstLine="480" w:firstLineChars="200"/>
        <w:rPr>
          <w:rFonts w:ascii="仿宋" w:hAnsi="仿宋" w:eastAsia="仿宋"/>
          <w:snapToGrid w:val="0"/>
          <w:color w:val="auto"/>
          <w:kern w:val="0"/>
          <w:sz w:val="24"/>
          <w:highlight w:val="none"/>
        </w:rPr>
      </w:pPr>
      <w:r>
        <w:rPr>
          <w:rFonts w:hint="eastAsia" w:ascii="仿宋" w:hAnsi="仿宋" w:eastAsia="仿宋"/>
          <w:snapToGrid w:val="0"/>
          <w:color w:val="auto"/>
          <w:kern w:val="0"/>
          <w:sz w:val="24"/>
          <w:highlight w:val="none"/>
        </w:rPr>
        <w:t>（</w:t>
      </w:r>
      <w:r>
        <w:rPr>
          <w:rFonts w:ascii="仿宋" w:hAnsi="仿宋" w:eastAsia="仿宋"/>
          <w:snapToGrid w:val="0"/>
          <w:color w:val="auto"/>
          <w:kern w:val="0"/>
          <w:sz w:val="24"/>
          <w:highlight w:val="none"/>
        </w:rPr>
        <w:t>2）解除合同。</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3、在服务质量保证期内，乙方应对出现的质量及安全问题负责处理解决并承担一切费用。</w:t>
      </w:r>
    </w:p>
    <w:p>
      <w:pPr>
        <w:spacing w:line="360" w:lineRule="auto"/>
        <w:ind w:firstLine="482" w:firstLineChars="200"/>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十四、验收</w:t>
      </w:r>
    </w:p>
    <w:p>
      <w:pPr>
        <w:pStyle w:val="645"/>
        <w:ind w:firstLine="480"/>
        <w:rPr>
          <w:rFonts w:ascii="仿宋" w:hAnsi="仿宋" w:eastAsia="仿宋" w:cs="仿宋"/>
          <w:color w:val="auto"/>
          <w:highlight w:val="none"/>
        </w:rPr>
      </w:pPr>
      <w:bookmarkStart w:id="608" w:name="_Hlk112333994"/>
      <w:r>
        <w:rPr>
          <w:rFonts w:ascii="仿宋" w:hAnsi="仿宋" w:eastAsia="仿宋" w:cs="仿宋"/>
          <w:color w:val="auto"/>
          <w:highlight w:val="none"/>
        </w:rPr>
        <w:t>1</w:t>
      </w:r>
      <w:r>
        <w:rPr>
          <w:rFonts w:hint="eastAsia" w:ascii="仿宋" w:hAnsi="仿宋" w:eastAsia="仿宋" w:cs="仿宋"/>
          <w:color w:val="auto"/>
          <w:highlight w:val="none"/>
        </w:rPr>
        <w:t>、验收组织和程序</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1）根据《中华人民共和国政府采购法》、《中华人民共和国民法典》、《中华</w:t>
      </w:r>
      <w:r>
        <w:rPr>
          <w:rFonts w:hint="eastAsia" w:ascii="仿宋" w:hAnsi="仿宋" w:eastAsia="仿宋" w:cs="仿宋"/>
          <w:color w:val="auto"/>
          <w:highlight w:val="none"/>
        </w:rPr>
        <w:t>人民共和国政府采购法实施条例》、财政部《财政部关于进一步加强政府采购需求和履约验收管理的指导意见》（财库</w:t>
      </w:r>
      <w:r>
        <w:rPr>
          <w:rFonts w:ascii="仿宋" w:hAnsi="仿宋" w:eastAsia="仿宋" w:cs="仿宋"/>
          <w:color w:val="auto"/>
          <w:highlight w:val="none"/>
        </w:rPr>
        <w:t>[2016]205号）、杭州市财政局《杭州市政府采购履约验收暂行办法》（</w:t>
      </w:r>
      <w:r>
        <w:rPr>
          <w:rFonts w:hint="eastAsia" w:ascii="仿宋" w:hAnsi="仿宋" w:eastAsia="仿宋" w:cs="仿宋"/>
          <w:color w:val="auto"/>
          <w:highlight w:val="none"/>
        </w:rPr>
        <w:t>杭财采监</w:t>
      </w:r>
      <w:r>
        <w:rPr>
          <w:rFonts w:ascii="仿宋" w:hAnsi="仿宋" w:eastAsia="仿宋" w:cs="仿宋"/>
          <w:color w:val="auto"/>
          <w:highlight w:val="none"/>
        </w:rPr>
        <w:t>[2019]10号）等相关法律、法规、规范性文件要求组织验收。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2）验收方法：验收小组验收。</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3）验收小组组建方式：</w:t>
      </w:r>
      <w:r>
        <w:rPr>
          <w:rFonts w:hint="eastAsia" w:ascii="仿宋" w:hAnsi="仿宋" w:eastAsia="仿宋" w:cs="仿宋"/>
          <w:color w:val="auto"/>
          <w:highlight w:val="none"/>
        </w:rPr>
        <w:t>项目验收负责人组织</w:t>
      </w:r>
      <w:r>
        <w:rPr>
          <w:rFonts w:ascii="仿宋" w:hAnsi="仿宋" w:eastAsia="仿宋" w:cs="仿宋"/>
          <w:color w:val="auto"/>
          <w:highlight w:val="none"/>
        </w:rPr>
        <w:t>验收小组，验收小组由</w:t>
      </w:r>
      <w:r>
        <w:rPr>
          <w:rFonts w:hint="eastAsia" w:ascii="仿宋" w:hAnsi="仿宋" w:eastAsia="仿宋" w:cs="仿宋"/>
          <w:color w:val="auto"/>
          <w:highlight w:val="none"/>
        </w:rPr>
        <w:t>相关</w:t>
      </w:r>
      <w:r>
        <w:rPr>
          <w:rFonts w:ascii="仿宋" w:hAnsi="仿宋" w:eastAsia="仿宋" w:cs="仿宋"/>
          <w:color w:val="auto"/>
          <w:highlight w:val="none"/>
        </w:rPr>
        <w:t>专家和用户代表</w:t>
      </w:r>
      <w:r>
        <w:rPr>
          <w:rFonts w:hint="eastAsia" w:ascii="仿宋" w:hAnsi="仿宋" w:eastAsia="仿宋" w:cs="仿宋"/>
          <w:color w:val="auto"/>
          <w:highlight w:val="none"/>
        </w:rPr>
        <w:t>按相关规定</w:t>
      </w:r>
      <w:r>
        <w:rPr>
          <w:rFonts w:ascii="仿宋" w:hAnsi="仿宋" w:eastAsia="仿宋" w:cs="仿宋"/>
          <w:color w:val="auto"/>
          <w:highlight w:val="none"/>
        </w:rPr>
        <w:t>组成。验收小组负责实施具体的验收活动。甲方可以邀请其他单位的相关专业人员参加验收小组。验收小组推选一名组长，主持验收小组的工作。</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4）验收流程：</w:t>
      </w:r>
    </w:p>
    <w:p>
      <w:pPr>
        <w:pStyle w:val="645"/>
        <w:ind w:firstLine="480"/>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项目验收负责人</w:t>
      </w:r>
      <w:r>
        <w:rPr>
          <w:rFonts w:ascii="仿宋" w:hAnsi="仿宋" w:eastAsia="仿宋" w:cs="仿宋"/>
          <w:color w:val="auto"/>
          <w:highlight w:val="none"/>
        </w:rPr>
        <w:t>根据验收方案组织验收小组现场验收，并准备验收材料并通知各验收参与方在指定时间指定地点联合验收，包括甲方、供应商、验收小组、其他验收参与方等。</w:t>
      </w:r>
    </w:p>
    <w:p>
      <w:pPr>
        <w:pStyle w:val="645"/>
        <w:ind w:firstLine="480"/>
        <w:rPr>
          <w:rFonts w:ascii="仿宋" w:hAnsi="仿宋" w:eastAsia="仿宋" w:cs="仿宋"/>
          <w:color w:val="auto"/>
          <w:highlight w:val="none"/>
        </w:rPr>
      </w:pPr>
      <w:r>
        <w:rPr>
          <w:rFonts w:ascii="仿宋" w:hAnsi="仿宋" w:eastAsia="仿宋" w:cs="仿宋"/>
          <w:color w:val="auto"/>
          <w:highlight w:val="none"/>
        </w:rPr>
        <w:t>2）验收小组应当按照验收方案独立开展验收，对供应商提供的服务按照采购文件、投标文件、政府采购合同进行核对、验收，并做好验收记录。在验收过程中，验收小组成员不得擅自公开验收信息。验收小组可以对验收方案进行必要的修改。验收小组对验收方案</w:t>
      </w:r>
      <w:r>
        <w:rPr>
          <w:rFonts w:hint="eastAsia" w:ascii="仿宋" w:hAnsi="仿宋" w:eastAsia="仿宋" w:cs="仿宋"/>
          <w:color w:val="auto"/>
          <w:highlight w:val="none"/>
        </w:rPr>
        <w:t>作出实质性修改的，应当报经甲方同意。</w:t>
      </w:r>
    </w:p>
    <w:p>
      <w:pPr>
        <w:pStyle w:val="645"/>
        <w:ind w:firstLine="480"/>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乙方</w:t>
      </w:r>
      <w:r>
        <w:rPr>
          <w:rFonts w:ascii="仿宋" w:hAnsi="仿宋" w:eastAsia="仿宋" w:cs="仿宋"/>
          <w:color w:val="auto"/>
          <w:highlight w:val="none"/>
        </w:rPr>
        <w:t>配合验收工作，并就验收实施过程中的疑问进行解答和澄清。项目验收过程中，</w:t>
      </w:r>
      <w:r>
        <w:rPr>
          <w:rFonts w:hint="eastAsia" w:ascii="仿宋" w:hAnsi="仿宋" w:eastAsia="仿宋" w:cs="仿宋"/>
          <w:color w:val="auto"/>
          <w:highlight w:val="none"/>
        </w:rPr>
        <w:t>乙方</w:t>
      </w:r>
      <w:r>
        <w:rPr>
          <w:rFonts w:ascii="仿宋" w:hAnsi="仿宋" w:eastAsia="仿宋" w:cs="仿宋"/>
          <w:color w:val="auto"/>
          <w:highlight w:val="none"/>
        </w:rPr>
        <w:t>不认可验收意见的，按照合同的约定的方式解决，合同未作约定的，按照《中华人民共和国民法典》等相关规定处理。</w:t>
      </w:r>
    </w:p>
    <w:p>
      <w:pPr>
        <w:pStyle w:val="645"/>
        <w:ind w:firstLine="480"/>
        <w:rPr>
          <w:rFonts w:ascii="仿宋" w:hAnsi="仿宋" w:eastAsia="仿宋" w:cs="仿宋"/>
          <w:color w:val="auto"/>
          <w:highlight w:val="none"/>
        </w:rPr>
      </w:pPr>
      <w:r>
        <w:rPr>
          <w:rFonts w:ascii="仿宋" w:hAnsi="仿宋" w:eastAsia="仿宋" w:cs="仿宋"/>
          <w:color w:val="auto"/>
          <w:highlight w:val="none"/>
        </w:rPr>
        <w:t>4）出具验收报告。验收结束后，验收小组应当出具验收报告，报告</w:t>
      </w:r>
      <w:r>
        <w:rPr>
          <w:rFonts w:hint="eastAsia" w:ascii="仿宋" w:hAnsi="仿宋" w:eastAsia="仿宋" w:cs="仿宋"/>
          <w:color w:val="auto"/>
          <w:highlight w:val="none"/>
        </w:rPr>
        <w:t>甲方</w:t>
      </w:r>
      <w:r>
        <w:rPr>
          <w:rFonts w:ascii="仿宋" w:hAnsi="仿宋" w:eastAsia="仿宋" w:cs="仿宋"/>
          <w:color w:val="auto"/>
          <w:highlight w:val="none"/>
        </w:rPr>
        <w:t>。验收报告应当根据验收方案制作，以书面形式</w:t>
      </w:r>
      <w:r>
        <w:rPr>
          <w:rFonts w:hint="eastAsia" w:ascii="仿宋" w:hAnsi="仿宋" w:eastAsia="仿宋" w:cs="仿宋"/>
          <w:color w:val="auto"/>
          <w:highlight w:val="none"/>
        </w:rPr>
        <w:t>作出结论性意见，并经验收小组全体成员签字。验收小组成员对验收报告载明的结论有异议的，应当在验收报告上签署不同意并说明理由，否则视为同意验收结论。</w:t>
      </w:r>
    </w:p>
    <w:p>
      <w:pPr>
        <w:pStyle w:val="645"/>
        <w:ind w:firstLine="480"/>
        <w:rPr>
          <w:rFonts w:ascii="仿宋" w:hAnsi="仿宋" w:eastAsia="仿宋" w:cs="仿宋"/>
          <w:color w:val="auto"/>
          <w:highlight w:val="none"/>
        </w:rPr>
      </w:pPr>
      <w:r>
        <w:rPr>
          <w:rFonts w:ascii="仿宋" w:hAnsi="仿宋" w:eastAsia="仿宋" w:cs="仿宋"/>
          <w:color w:val="auto"/>
          <w:highlight w:val="none"/>
        </w:rPr>
        <w:t>5）验收不合格的，</w:t>
      </w:r>
      <w:r>
        <w:rPr>
          <w:rFonts w:hint="eastAsia" w:ascii="仿宋" w:hAnsi="仿宋" w:eastAsia="仿宋" w:cs="仿宋"/>
          <w:color w:val="auto"/>
          <w:highlight w:val="none"/>
        </w:rPr>
        <w:t>甲方</w:t>
      </w:r>
      <w:r>
        <w:rPr>
          <w:rFonts w:ascii="仿宋" w:hAnsi="仿宋" w:eastAsia="仿宋" w:cs="仿宋"/>
          <w:color w:val="auto"/>
          <w:highlight w:val="none"/>
        </w:rPr>
        <w:t>应责令供应商采取补救措施，向</w:t>
      </w:r>
      <w:r>
        <w:rPr>
          <w:rFonts w:hint="eastAsia" w:ascii="仿宋" w:hAnsi="仿宋" w:eastAsia="仿宋" w:cs="仿宋"/>
          <w:color w:val="auto"/>
          <w:highlight w:val="none"/>
        </w:rPr>
        <w:t>乙方</w:t>
      </w:r>
      <w:r>
        <w:rPr>
          <w:rFonts w:ascii="仿宋" w:hAnsi="仿宋" w:eastAsia="仿宋" w:cs="仿宋"/>
          <w:color w:val="auto"/>
          <w:highlight w:val="none"/>
        </w:rPr>
        <w:t>发出整改通知书，并依法及时处理。整改结束后，由</w:t>
      </w:r>
      <w:r>
        <w:rPr>
          <w:rFonts w:hint="eastAsia" w:ascii="仿宋" w:hAnsi="仿宋" w:eastAsia="仿宋" w:cs="仿宋"/>
          <w:color w:val="auto"/>
          <w:highlight w:val="none"/>
        </w:rPr>
        <w:t>乙方</w:t>
      </w:r>
      <w:r>
        <w:rPr>
          <w:rFonts w:ascii="仿宋" w:hAnsi="仿宋" w:eastAsia="仿宋" w:cs="仿宋"/>
          <w:color w:val="auto"/>
          <w:highlight w:val="none"/>
        </w:rPr>
        <w:t>通知</w:t>
      </w:r>
      <w:r>
        <w:rPr>
          <w:rFonts w:hint="eastAsia" w:ascii="仿宋" w:hAnsi="仿宋" w:eastAsia="仿宋" w:cs="仿宋"/>
          <w:color w:val="auto"/>
          <w:highlight w:val="none"/>
        </w:rPr>
        <w:t>甲方</w:t>
      </w:r>
      <w:r>
        <w:rPr>
          <w:rFonts w:ascii="仿宋" w:hAnsi="仿宋" w:eastAsia="仿宋" w:cs="仿宋"/>
          <w:color w:val="auto"/>
          <w:highlight w:val="none"/>
        </w:rPr>
        <w:t>或其委托的验收组织机构重新验收。</w:t>
      </w:r>
    </w:p>
    <w:p>
      <w:pPr>
        <w:pStyle w:val="2"/>
        <w:spacing w:line="360" w:lineRule="auto"/>
        <w:rPr>
          <w:rFonts w:ascii="仿宋" w:hAnsi="仿宋" w:eastAsia="仿宋" w:cs="宋体"/>
          <w:color w:val="auto"/>
          <w:highlight w:val="none"/>
        </w:rPr>
      </w:pPr>
      <w:r>
        <w:rPr>
          <w:rFonts w:hint="eastAsia" w:ascii="仿宋" w:hAnsi="仿宋" w:eastAsia="仿宋" w:cs="宋体"/>
          <w:color w:val="auto"/>
          <w:highlight w:val="none"/>
        </w:rPr>
        <w:t>2、履约验收内容</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w:t>
      </w:r>
      <w:r>
        <w:rPr>
          <w:rFonts w:hint="eastAsia" w:ascii="仿宋" w:hAnsi="仿宋" w:eastAsia="仿宋" w:cs="仿宋"/>
          <w:color w:val="auto"/>
          <w:highlight w:val="none"/>
        </w:rPr>
        <w:t>技术履约内容</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line="360" w:lineRule="auto"/>
        <w:rPr>
          <w:rFonts w:ascii="仿宋" w:hAnsi="仿宋" w:eastAsia="仿宋" w:cs="宋体"/>
          <w:color w:val="auto"/>
          <w:highlight w:val="none"/>
        </w:rPr>
      </w:pPr>
      <w:r>
        <w:rPr>
          <w:rFonts w:hint="eastAsia" w:ascii="仿宋" w:hAnsi="仿宋" w:eastAsia="仿宋" w:cs="仿宋"/>
          <w:color w:val="auto"/>
          <w:highlight w:val="none"/>
        </w:rPr>
        <w:t>2</w:t>
      </w:r>
      <w:r>
        <w:rPr>
          <w:rFonts w:hint="eastAsia" w:ascii="仿宋" w:hAnsi="仿宋" w:eastAsia="仿宋" w:cs="宋体"/>
          <w:color w:val="auto"/>
          <w:highlight w:val="none"/>
        </w:rPr>
        <w:t>）</w:t>
      </w:r>
      <w:r>
        <w:rPr>
          <w:rFonts w:ascii="仿宋" w:hAnsi="仿宋" w:eastAsia="仿宋" w:cs="宋体"/>
          <w:color w:val="auto"/>
          <w:highlight w:val="none"/>
        </w:rPr>
        <w:t>拟投服务团队</w:t>
      </w:r>
      <w:r>
        <w:rPr>
          <w:rFonts w:hint="eastAsia" w:ascii="仿宋" w:hAnsi="仿宋" w:eastAsia="仿宋" w:cs="宋体"/>
          <w:color w:val="auto"/>
          <w:highlight w:val="none"/>
        </w:rPr>
        <w:t>管理</w:t>
      </w:r>
      <w:r>
        <w:rPr>
          <w:rFonts w:ascii="仿宋" w:hAnsi="仿宋" w:eastAsia="仿宋" w:cs="宋体"/>
          <w:color w:val="auto"/>
          <w:highlight w:val="none"/>
        </w:rPr>
        <w:t>人员全部到位，与</w:t>
      </w:r>
      <w:r>
        <w:rPr>
          <w:rFonts w:hint="eastAsia" w:ascii="仿宋" w:hAnsi="仿宋" w:eastAsia="仿宋" w:cs="宋体"/>
          <w:color w:val="auto"/>
          <w:highlight w:val="none"/>
        </w:rPr>
        <w:t>响应</w:t>
      </w:r>
      <w:r>
        <w:rPr>
          <w:rFonts w:ascii="仿宋" w:hAnsi="仿宋" w:eastAsia="仿宋" w:cs="宋体"/>
          <w:color w:val="auto"/>
          <w:highlight w:val="none"/>
        </w:rPr>
        <w:t>文件</w:t>
      </w:r>
      <w:r>
        <w:rPr>
          <w:rFonts w:hint="eastAsia" w:ascii="仿宋" w:hAnsi="仿宋" w:eastAsia="仿宋" w:cs="宋体"/>
          <w:color w:val="auto"/>
          <w:highlight w:val="none"/>
        </w:rPr>
        <w:t>管理</w:t>
      </w:r>
      <w:r>
        <w:rPr>
          <w:rFonts w:ascii="仿宋" w:hAnsi="仿宋" w:eastAsia="仿宋" w:cs="宋体"/>
          <w:color w:val="auto"/>
          <w:highlight w:val="none"/>
        </w:rPr>
        <w:t>人员信息清单一致</w:t>
      </w:r>
      <w:r>
        <w:rPr>
          <w:rFonts w:hint="eastAsia" w:ascii="仿宋" w:hAnsi="仿宋" w:eastAsia="仿宋" w:cs="宋体"/>
          <w:color w:val="auto"/>
          <w:highlight w:val="none"/>
        </w:rPr>
        <w:t>。</w:t>
      </w:r>
    </w:p>
    <w:p>
      <w:pPr>
        <w:pStyle w:val="645"/>
        <w:ind w:firstLine="480"/>
        <w:rPr>
          <w:rFonts w:ascii="仿宋" w:hAnsi="仿宋" w:eastAsia="仿宋" w:cs="仿宋"/>
          <w:color w:val="auto"/>
          <w:highlight w:val="none"/>
        </w:rPr>
      </w:pPr>
      <w:r>
        <w:rPr>
          <w:rFonts w:hint="eastAsia" w:ascii="仿宋" w:hAnsi="仿宋" w:eastAsia="仿宋" w:cs="仿宋"/>
          <w:color w:val="auto"/>
          <w:highlight w:val="none"/>
        </w:rPr>
        <w:t>2.商务履约内容</w:t>
      </w:r>
    </w:p>
    <w:p>
      <w:pPr>
        <w:pStyle w:val="661"/>
        <w:spacing w:line="360" w:lineRule="auto"/>
        <w:ind w:firstLine="439" w:firstLineChars="183"/>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）服务周期满足采购要求。</w:t>
      </w:r>
    </w:p>
    <w:p>
      <w:pPr>
        <w:pStyle w:val="661"/>
        <w:spacing w:after="120" w:line="360" w:lineRule="auto"/>
        <w:ind w:firstLine="439" w:firstLineChars="1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3、验收标准</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）满足所有采购需求及响应文件承诺；</w:t>
      </w:r>
    </w:p>
    <w:p>
      <w:pPr>
        <w:pStyle w:val="2"/>
        <w:spacing w:after="120" w:line="360" w:lineRule="auto"/>
        <w:rPr>
          <w:rFonts w:ascii="仿宋" w:hAnsi="仿宋" w:eastAsia="仿宋" w:cs="仿宋"/>
          <w:color w:val="auto"/>
          <w:highlight w:val="none"/>
        </w:rPr>
      </w:pPr>
      <w:r>
        <w:rPr>
          <w:rFonts w:hint="eastAsia" w:ascii="仿宋" w:hAnsi="仿宋" w:eastAsia="仿宋" w:cs="仿宋"/>
          <w:color w:val="auto"/>
          <w:highlight w:val="none"/>
        </w:rPr>
        <w:t>2）</w:t>
      </w:r>
      <w:r>
        <w:rPr>
          <w:rFonts w:ascii="仿宋" w:hAnsi="仿宋" w:eastAsia="仿宋" w:cs="仿宋"/>
          <w:color w:val="auto"/>
          <w:highlight w:val="none"/>
        </w:rPr>
        <w:t>拟投服务团队</w:t>
      </w:r>
      <w:r>
        <w:rPr>
          <w:rFonts w:hint="eastAsia" w:ascii="仿宋" w:hAnsi="仿宋" w:eastAsia="仿宋" w:cs="仿宋"/>
          <w:color w:val="auto"/>
          <w:highlight w:val="none"/>
        </w:rPr>
        <w:t>管理</w:t>
      </w:r>
      <w:r>
        <w:rPr>
          <w:rFonts w:ascii="仿宋" w:hAnsi="仿宋" w:eastAsia="仿宋" w:cs="仿宋"/>
          <w:color w:val="auto"/>
          <w:highlight w:val="none"/>
        </w:rPr>
        <w:t>人员全部到位，与</w:t>
      </w:r>
      <w:r>
        <w:rPr>
          <w:rFonts w:hint="eastAsia" w:ascii="仿宋" w:hAnsi="仿宋" w:eastAsia="仿宋" w:cs="仿宋"/>
          <w:color w:val="auto"/>
          <w:highlight w:val="none"/>
        </w:rPr>
        <w:t>响应</w:t>
      </w:r>
      <w:r>
        <w:rPr>
          <w:rFonts w:ascii="仿宋" w:hAnsi="仿宋" w:eastAsia="仿宋" w:cs="仿宋"/>
          <w:color w:val="auto"/>
          <w:highlight w:val="none"/>
        </w:rPr>
        <w:t>文件</w:t>
      </w:r>
      <w:r>
        <w:rPr>
          <w:rFonts w:hint="eastAsia" w:ascii="仿宋" w:hAnsi="仿宋" w:eastAsia="仿宋" w:cs="仿宋"/>
          <w:color w:val="auto"/>
          <w:highlight w:val="none"/>
        </w:rPr>
        <w:t>管理</w:t>
      </w:r>
      <w:r>
        <w:rPr>
          <w:rFonts w:ascii="仿宋" w:hAnsi="仿宋" w:eastAsia="仿宋" w:cs="仿宋"/>
          <w:color w:val="auto"/>
          <w:highlight w:val="none"/>
        </w:rPr>
        <w:t>人员信息清单一致；</w:t>
      </w:r>
    </w:p>
    <w:p>
      <w:pPr>
        <w:pStyle w:val="2"/>
        <w:spacing w:after="120" w:line="360" w:lineRule="auto"/>
        <w:rPr>
          <w:rFonts w:ascii="仿宋" w:hAnsi="仿宋" w:eastAsia="仿宋" w:cs="仿宋"/>
          <w:color w:val="auto"/>
          <w:highlight w:val="none"/>
        </w:rPr>
      </w:pPr>
      <w:r>
        <w:rPr>
          <w:rFonts w:ascii="仿宋" w:hAnsi="仿宋" w:eastAsia="仿宋" w:cs="仿宋"/>
          <w:color w:val="auto"/>
          <w:highlight w:val="none"/>
        </w:rPr>
        <w:t>3</w:t>
      </w:r>
      <w:r>
        <w:rPr>
          <w:rFonts w:hint="eastAsia" w:ascii="仿宋" w:hAnsi="仿宋" w:eastAsia="仿宋" w:cs="仿宋"/>
          <w:color w:val="auto"/>
          <w:highlight w:val="none"/>
        </w:rPr>
        <w:t>）项目验收资料齐全；</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4、履约验收其他事项</w:t>
      </w:r>
    </w:p>
    <w:p>
      <w:pPr>
        <w:pStyle w:val="661"/>
        <w:spacing w:after="120"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（1）甲方在乙方提供相关服务的过程中，有权不定期对服务内容和质量进行考核。乙方提供相关服务过程中有违反合同约定、不达约定标准情况的，甲方有权要求供应商限期整改，乙方未按甲方</w:t>
      </w:r>
      <w:r>
        <w:rPr>
          <w:rFonts w:ascii="仿宋" w:hAnsi="仿宋" w:eastAsia="仿宋" w:cs="仿宋"/>
          <w:color w:val="auto"/>
          <w:sz w:val="24"/>
          <w:szCs w:val="24"/>
          <w:highlight w:val="none"/>
        </w:rPr>
        <w:t>要求整改的，</w:t>
      </w:r>
      <w:r>
        <w:rPr>
          <w:rFonts w:hint="eastAsia" w:ascii="仿宋" w:hAnsi="仿宋" w:eastAsia="仿宋" w:cs="仿宋"/>
          <w:color w:val="auto"/>
          <w:sz w:val="24"/>
          <w:szCs w:val="24"/>
          <w:highlight w:val="none"/>
        </w:rPr>
        <w:t>甲方</w:t>
      </w:r>
      <w:r>
        <w:rPr>
          <w:rFonts w:ascii="仿宋" w:hAnsi="仿宋" w:eastAsia="仿宋" w:cs="仿宋"/>
          <w:color w:val="auto"/>
          <w:sz w:val="24"/>
          <w:szCs w:val="24"/>
          <w:highlight w:val="none"/>
        </w:rPr>
        <w:t>有权拒绝验收，</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应承担相应的违约责任。</w:t>
      </w:r>
    </w:p>
    <w:p>
      <w:pPr>
        <w:pStyle w:val="661"/>
        <w:spacing w:after="120" w:line="360" w:lineRule="auto"/>
        <w:ind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w:t>
      </w:r>
      <w:r>
        <w:rPr>
          <w:rFonts w:ascii="仿宋" w:hAnsi="仿宋" w:eastAsia="仿宋" w:cs="仿宋"/>
          <w:color w:val="auto"/>
          <w:sz w:val="24"/>
          <w:szCs w:val="24"/>
          <w:highlight w:val="none"/>
        </w:rPr>
        <w:t>服务成果未通过甲方验收，</w:t>
      </w:r>
      <w:r>
        <w:rPr>
          <w:rFonts w:hint="eastAsia" w:ascii="仿宋" w:hAnsi="仿宋" w:eastAsia="仿宋" w:cs="仿宋"/>
          <w:color w:val="auto"/>
          <w:sz w:val="24"/>
          <w:szCs w:val="24"/>
          <w:highlight w:val="none"/>
        </w:rPr>
        <w:t>甲方</w:t>
      </w:r>
      <w:r>
        <w:rPr>
          <w:rFonts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进行整改，相关费用</w:t>
      </w:r>
      <w:r>
        <w:rPr>
          <w:rFonts w:hint="eastAsia" w:ascii="仿宋" w:hAnsi="仿宋" w:eastAsia="仿宋" w:cs="仿宋"/>
          <w:color w:val="auto"/>
          <w:sz w:val="24"/>
          <w:szCs w:val="24"/>
          <w:highlight w:val="none"/>
        </w:rPr>
        <w:t>（包括但不限于重新组织验收等费用）</w:t>
      </w:r>
      <w:r>
        <w:rPr>
          <w:rFonts w:ascii="仿宋" w:hAnsi="仿宋" w:eastAsia="仿宋" w:cs="仿宋"/>
          <w:color w:val="auto"/>
          <w:sz w:val="24"/>
          <w:szCs w:val="24"/>
          <w:highlight w:val="none"/>
        </w:rPr>
        <w:t>由</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rPr>
        <w:t>承担；如</w:t>
      </w:r>
      <w:r>
        <w:rPr>
          <w:rFonts w:hint="eastAsia" w:ascii="仿宋" w:hAnsi="仿宋" w:eastAsia="仿宋" w:cs="仿宋"/>
          <w:color w:val="auto"/>
          <w:sz w:val="24"/>
          <w:szCs w:val="24"/>
          <w:highlight w:val="none"/>
        </w:rPr>
        <w:t>乙方未在甲方要求期限内整改或整改后仍不合格或已经无法整改的，甲方有权要求乙方承担相应的违约责任。</w:t>
      </w:r>
    </w:p>
    <w:bookmarkEnd w:id="608"/>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十五、违约责任</w:t>
      </w:r>
    </w:p>
    <w:p>
      <w:pPr>
        <w:snapToGrid w:val="0"/>
        <w:spacing w:line="360" w:lineRule="auto"/>
        <w:ind w:firstLine="480" w:firstLineChars="200"/>
        <w:rPr>
          <w:rFonts w:ascii="仿宋" w:hAnsi="仿宋" w:eastAsia="仿宋"/>
          <w:snapToGrid w:val="0"/>
          <w:color w:val="auto"/>
          <w:kern w:val="0"/>
          <w:sz w:val="24"/>
          <w:highlight w:val="none"/>
        </w:rPr>
      </w:pPr>
      <w:bookmarkStart w:id="609" w:name="_Hlk112333592"/>
      <w:r>
        <w:rPr>
          <w:rFonts w:ascii="仿宋" w:hAnsi="仿宋" w:eastAsia="仿宋"/>
          <w:snapToGrid w:val="0"/>
          <w:color w:val="auto"/>
          <w:kern w:val="0"/>
          <w:sz w:val="24"/>
          <w:highlight w:val="none"/>
        </w:rPr>
        <w:t>1、甲方无正当理由拒收接受服务的，甲方向乙方偿付合同款项百分之五作为违约金。</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bookmarkEnd w:id="609"/>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十六、不可抗力事件处理</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1、在合同有效期内，任何一方因不可抗力事件导致不能履行合同，则合同履行期可延长，其延长期与不可抗力影响期相同。</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2、不可抗力事件发生后，应立即通知对方，并寄送有关权威机构出具的证明。</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3、不可抗力事件延续120天以上，双方应通过友好协商，确定是否继续履行合同。</w:t>
      </w:r>
    </w:p>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十七、诉讼</w:t>
      </w:r>
    </w:p>
    <w:p>
      <w:pPr>
        <w:snapToGrid w:val="0"/>
        <w:spacing w:line="360" w:lineRule="auto"/>
        <w:ind w:firstLine="480" w:firstLineChars="200"/>
        <w:rPr>
          <w:rFonts w:ascii="仿宋" w:hAnsi="仿宋" w:eastAsia="仿宋"/>
          <w:snapToGrid w:val="0"/>
          <w:color w:val="auto"/>
          <w:kern w:val="0"/>
          <w:sz w:val="24"/>
          <w:highlight w:val="none"/>
        </w:rPr>
      </w:pPr>
      <w:bookmarkStart w:id="610" w:name="_Hlk112333613"/>
      <w:r>
        <w:rPr>
          <w:rFonts w:hint="eastAsia" w:ascii="仿宋" w:hAnsi="仿宋" w:eastAsia="仿宋"/>
          <w:snapToGrid w:val="0"/>
          <w:color w:val="auto"/>
          <w:kern w:val="0"/>
          <w:sz w:val="24"/>
          <w:highlight w:val="none"/>
        </w:rPr>
        <w:t>双方在执行合同中所发生的一切争议，应通过协商解决。如协商不成，可向甲方所在地法院起诉。</w:t>
      </w:r>
    </w:p>
    <w:bookmarkEnd w:id="610"/>
    <w:p>
      <w:pPr>
        <w:snapToGrid w:val="0"/>
        <w:spacing w:line="360" w:lineRule="auto"/>
        <w:ind w:firstLine="482" w:firstLineChars="200"/>
        <w:rPr>
          <w:rFonts w:ascii="仿宋" w:hAnsi="仿宋" w:eastAsia="仿宋"/>
          <w:b/>
          <w:bCs/>
          <w:snapToGrid w:val="0"/>
          <w:color w:val="auto"/>
          <w:kern w:val="0"/>
          <w:sz w:val="24"/>
          <w:highlight w:val="none"/>
        </w:rPr>
      </w:pPr>
      <w:r>
        <w:rPr>
          <w:rFonts w:hint="eastAsia" w:ascii="仿宋" w:hAnsi="仿宋" w:eastAsia="仿宋"/>
          <w:b/>
          <w:bCs/>
          <w:snapToGrid w:val="0"/>
          <w:color w:val="auto"/>
          <w:kern w:val="0"/>
          <w:sz w:val="24"/>
          <w:highlight w:val="none"/>
        </w:rPr>
        <w:t>十八、合同生效及其它</w:t>
      </w:r>
    </w:p>
    <w:p>
      <w:pPr>
        <w:snapToGrid w:val="0"/>
        <w:spacing w:line="360" w:lineRule="auto"/>
        <w:ind w:firstLine="480" w:firstLineChars="200"/>
        <w:rPr>
          <w:rFonts w:ascii="仿宋" w:hAnsi="仿宋" w:eastAsia="仿宋"/>
          <w:snapToGrid w:val="0"/>
          <w:color w:val="auto"/>
          <w:kern w:val="0"/>
          <w:sz w:val="24"/>
          <w:highlight w:val="none"/>
        </w:rPr>
      </w:pPr>
      <w:bookmarkStart w:id="611" w:name="_Hlk112333666"/>
      <w:r>
        <w:rPr>
          <w:rFonts w:ascii="仿宋" w:hAnsi="仿宋" w:eastAsia="仿宋"/>
          <w:snapToGrid w:val="0"/>
          <w:color w:val="auto"/>
          <w:kern w:val="0"/>
          <w:sz w:val="24"/>
          <w:highlight w:val="none"/>
        </w:rPr>
        <w:t>1、合同经双方法定代表人或授权代表签字并加盖单位公章后生效。</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2、合同执行中涉及采购资金和采购内容修改或补充的，须经财政部门审批，并签书面补充协议报政府采购监督管理部门备案，方可作为主合同不可分割的一部分。</w:t>
      </w:r>
    </w:p>
    <w:p>
      <w:pPr>
        <w:snapToGrid w:val="0"/>
        <w:spacing w:line="360" w:lineRule="auto"/>
        <w:ind w:firstLine="480" w:firstLineChars="200"/>
        <w:rPr>
          <w:rFonts w:ascii="仿宋" w:hAnsi="仿宋" w:eastAsia="仿宋"/>
          <w:snapToGrid w:val="0"/>
          <w:color w:val="auto"/>
          <w:kern w:val="0"/>
          <w:sz w:val="24"/>
          <w:highlight w:val="none"/>
        </w:rPr>
      </w:pPr>
      <w:r>
        <w:rPr>
          <w:rFonts w:ascii="仿宋" w:hAnsi="仿宋" w:eastAsia="仿宋"/>
          <w:snapToGrid w:val="0"/>
          <w:color w:val="auto"/>
          <w:kern w:val="0"/>
          <w:sz w:val="24"/>
          <w:highlight w:val="none"/>
        </w:rPr>
        <w:t>3、采购文件、投标文件及评标过程中形成的文字资料、询标纪要均作为本合同的组成部分，具有同等效力。本合同未尽事宜，遵照《</w:t>
      </w:r>
      <w:r>
        <w:rPr>
          <w:rFonts w:hint="eastAsia" w:ascii="仿宋" w:hAnsi="仿宋" w:eastAsia="仿宋"/>
          <w:snapToGrid w:val="0"/>
          <w:color w:val="auto"/>
          <w:kern w:val="0"/>
          <w:sz w:val="24"/>
          <w:highlight w:val="none"/>
        </w:rPr>
        <w:t>中华人民共和国</w:t>
      </w:r>
      <w:r>
        <w:rPr>
          <w:rFonts w:ascii="仿宋" w:hAnsi="仿宋" w:eastAsia="仿宋"/>
          <w:snapToGrid w:val="0"/>
          <w:color w:val="auto"/>
          <w:kern w:val="0"/>
          <w:sz w:val="24"/>
          <w:highlight w:val="none"/>
        </w:rPr>
        <w:t>民法典》有关条文执行。</w:t>
      </w:r>
    </w:p>
    <w:p>
      <w:pPr>
        <w:autoSpaceDE w:val="0"/>
        <w:autoSpaceDN w:val="0"/>
        <w:snapToGrid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snapToGrid w:val="0"/>
          <w:color w:val="auto"/>
          <w:kern w:val="0"/>
          <w:sz w:val="24"/>
          <w:highlight w:val="none"/>
        </w:rPr>
        <w:t>4、本合同一式四份，具有同等法律效力，甲乙双方各执两份。</w:t>
      </w:r>
    </w:p>
    <w:bookmarkEnd w:id="607"/>
    <w:bookmarkEnd w:id="611"/>
    <w:p>
      <w:pPr>
        <w:shd w:val="clear" w:color="auto" w:fill="FFFFFF"/>
        <w:snapToGrid w:val="0"/>
        <w:spacing w:line="360" w:lineRule="auto"/>
        <w:ind w:firstLine="480" w:firstLineChars="200"/>
        <w:rPr>
          <w:rFonts w:ascii="仿宋" w:hAnsi="仿宋" w:eastAsia="仿宋"/>
          <w:color w:val="auto"/>
          <w:sz w:val="24"/>
          <w:highlight w:val="none"/>
        </w:rPr>
      </w:pPr>
      <w:r>
        <w:rPr>
          <w:rFonts w:ascii="Calibri" w:hAnsi="Calibri" w:eastAsia="仿宋" w:cs="Calibri"/>
          <w:color w:val="auto"/>
          <w:sz w:val="24"/>
          <w:highlight w:val="none"/>
        </w:rPr>
        <w:t>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甲方（盖章）：</w:t>
      </w:r>
      <w:r>
        <w:rPr>
          <w:rFonts w:ascii="仿宋" w:hAnsi="仿宋" w:eastAsia="仿宋" w:cs="宋体"/>
          <w:color w:val="auto"/>
          <w:sz w:val="24"/>
          <w:highlight w:val="none"/>
        </w:rPr>
        <w:t xml:space="preserve">                            乙方（盖章）：        </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法定代表人：</w:t>
      </w:r>
      <w:r>
        <w:rPr>
          <w:rFonts w:ascii="仿宋" w:hAnsi="仿宋" w:eastAsia="仿宋" w:cs="宋体"/>
          <w:color w:val="auto"/>
          <w:sz w:val="24"/>
          <w:highlight w:val="none"/>
        </w:rPr>
        <w:t xml:space="preserve">                              法定代表人：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或受委托人（签字）：</w:t>
      </w:r>
      <w:r>
        <w:rPr>
          <w:rFonts w:ascii="仿宋" w:hAnsi="仿宋" w:eastAsia="仿宋" w:cs="宋体"/>
          <w:color w:val="auto"/>
          <w:sz w:val="24"/>
          <w:highlight w:val="none"/>
        </w:rPr>
        <w:t xml:space="preserve">                      或受委托人（签字）：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联系人：</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联系人：</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ascii="仿宋" w:hAnsi="仿宋" w:eastAsia="仿宋" w:cs="宋体"/>
          <w:color w:val="auto"/>
          <w:sz w:val="24"/>
          <w:highlight w:val="none"/>
        </w:rPr>
        <w:t xml:space="preserve">                                    地址：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电话：</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电话：</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传真：</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传真：</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开户银行：</w:t>
      </w:r>
      <w:r>
        <w:rPr>
          <w:rFonts w:ascii="仿宋" w:hAnsi="仿宋" w:eastAsia="仿宋" w:cs="宋体"/>
          <w:color w:val="auto"/>
          <w:sz w:val="24"/>
          <w:highlight w:val="none"/>
        </w:rPr>
        <w:t xml:space="preserve">                                开户银行：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帐号：</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帐号：</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签订时间：</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签订时间：</w:t>
      </w:r>
    </w:p>
    <w:p>
      <w:pPr>
        <w:spacing w:line="360" w:lineRule="auto"/>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tabs>
          <w:tab w:val="left" w:pos="432"/>
        </w:tabs>
        <w:spacing w:line="360" w:lineRule="auto"/>
        <w:jc w:val="center"/>
        <w:rPr>
          <w:rFonts w:ascii="仿宋" w:hAnsi="仿宋" w:eastAsia="仿宋"/>
          <w:color w:val="auto"/>
          <w:highlight w:val="none"/>
        </w:rPr>
      </w:pPr>
    </w:p>
    <w:p>
      <w:pPr>
        <w:rPr>
          <w:rFonts w:ascii="仿宋" w:hAnsi="仿宋" w:eastAsia="仿宋"/>
          <w:color w:val="auto"/>
          <w:highlight w:val="none"/>
        </w:rPr>
      </w:pPr>
      <w:r>
        <w:rPr>
          <w:rFonts w:ascii="仿宋" w:hAnsi="仿宋" w:eastAsia="仿宋"/>
          <w:color w:val="auto"/>
          <w:highlight w:val="none"/>
        </w:rPr>
        <w:br w:type="page"/>
      </w:r>
    </w:p>
    <w:p>
      <w:pPr>
        <w:pStyle w:val="4"/>
        <w:jc w:val="center"/>
        <w:rPr>
          <w:rFonts w:ascii="仿宋" w:hAnsi="仿宋" w:eastAsia="仿宋"/>
          <w:color w:val="auto"/>
          <w:highlight w:val="none"/>
        </w:rPr>
      </w:pPr>
      <w:bookmarkStart w:id="612" w:name="_Toc17409"/>
      <w:r>
        <w:rPr>
          <w:rFonts w:hint="eastAsia" w:ascii="仿宋" w:hAnsi="仿宋" w:eastAsia="仿宋"/>
          <w:color w:val="auto"/>
          <w:highlight w:val="none"/>
        </w:rPr>
        <w:t>第六部分</w:t>
      </w:r>
      <w:bookmarkEnd w:id="593"/>
      <w:r>
        <w:rPr>
          <w:rFonts w:ascii="仿宋" w:hAnsi="仿宋" w:eastAsia="仿宋"/>
          <w:color w:val="auto"/>
          <w:highlight w:val="none"/>
        </w:rPr>
        <w:t xml:space="preserve"> </w:t>
      </w:r>
      <w:bookmarkEnd w:id="594"/>
      <w:r>
        <w:rPr>
          <w:rFonts w:hint="eastAsia" w:ascii="仿宋" w:hAnsi="仿宋" w:eastAsia="仿宋"/>
          <w:color w:val="auto"/>
          <w:highlight w:val="none"/>
        </w:rPr>
        <w:t>应提交的有关格式范例</w:t>
      </w:r>
      <w:bookmarkEnd w:id="596"/>
      <w:bookmarkEnd w:id="597"/>
      <w:bookmarkEnd w:id="598"/>
      <w:bookmarkEnd w:id="599"/>
      <w:bookmarkEnd w:id="600"/>
      <w:bookmarkEnd w:id="612"/>
    </w:p>
    <w:p>
      <w:pPr>
        <w:snapToGrid w:val="0"/>
        <w:spacing w:line="360" w:lineRule="auto"/>
        <w:jc w:val="center"/>
        <w:rPr>
          <w:rFonts w:ascii="仿宋" w:hAnsi="仿宋" w:eastAsia="仿宋" w:cs="仿宋_GB2312"/>
          <w:b/>
          <w:color w:val="auto"/>
          <w:kern w:val="0"/>
          <w:sz w:val="36"/>
          <w:szCs w:val="36"/>
          <w:highlight w:val="none"/>
        </w:rPr>
      </w:pPr>
    </w:p>
    <w:p>
      <w:pPr>
        <w:pStyle w:val="5"/>
        <w:jc w:val="center"/>
        <w:rPr>
          <w:rFonts w:ascii="仿宋" w:hAnsi="仿宋" w:eastAsia="仿宋"/>
          <w:color w:val="auto"/>
          <w:szCs w:val="28"/>
          <w:highlight w:val="none"/>
        </w:rPr>
      </w:pPr>
      <w:bookmarkStart w:id="613" w:name="_Toc7821"/>
      <w:bookmarkStart w:id="614" w:name="_Toc8673"/>
      <w:bookmarkStart w:id="615" w:name="_Toc21599"/>
      <w:bookmarkStart w:id="616" w:name="_Toc95313009"/>
      <w:bookmarkStart w:id="617" w:name="_Toc1293302127"/>
      <w:bookmarkStart w:id="618" w:name="_Toc2036"/>
      <w:r>
        <w:rPr>
          <w:rFonts w:hint="eastAsia" w:ascii="仿宋" w:hAnsi="仿宋" w:eastAsia="仿宋"/>
          <w:color w:val="auto"/>
          <w:szCs w:val="28"/>
          <w:highlight w:val="none"/>
        </w:rPr>
        <w:t>资格文件部分</w:t>
      </w:r>
      <w:bookmarkEnd w:id="613"/>
      <w:bookmarkEnd w:id="614"/>
      <w:bookmarkEnd w:id="615"/>
      <w:bookmarkEnd w:id="616"/>
      <w:bookmarkEnd w:id="617"/>
      <w:bookmarkEnd w:id="618"/>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pStyle w:val="6"/>
        <w:tabs>
          <w:tab w:val="left" w:pos="432"/>
          <w:tab w:val="clear" w:pos="900"/>
        </w:tabs>
        <w:jc w:val="center"/>
        <w:rPr>
          <w:rStyle w:val="1101"/>
          <w:rFonts w:ascii="仿宋" w:hAnsi="仿宋" w:eastAsia="仿宋"/>
          <w:color w:val="auto"/>
          <w:highlight w:val="none"/>
        </w:rPr>
      </w:pPr>
      <w:r>
        <w:rPr>
          <w:rFonts w:ascii="仿宋" w:hAnsi="仿宋" w:eastAsia="仿宋" w:cs="仿宋_GB2312"/>
          <w:color w:val="auto"/>
          <w:kern w:val="0"/>
          <w:highlight w:val="none"/>
        </w:rPr>
        <w:br w:type="page"/>
      </w:r>
      <w:bookmarkStart w:id="619" w:name="_Toc95313010"/>
      <w:bookmarkStart w:id="620" w:name="_Toc1846857202"/>
      <w:bookmarkStart w:id="621" w:name="_Toc2927"/>
      <w:bookmarkStart w:id="622" w:name="_Toc16246"/>
      <w:bookmarkStart w:id="623" w:name="_Toc8296"/>
      <w:bookmarkStart w:id="624" w:name="_Toc1955"/>
      <w:r>
        <w:rPr>
          <w:rStyle w:val="1101"/>
          <w:rFonts w:ascii="仿宋" w:hAnsi="仿宋" w:eastAsia="仿宋"/>
          <w:color w:val="auto"/>
          <w:highlight w:val="none"/>
        </w:rPr>
        <w:t>一、符合参加政府采购活动应当具备的一般条件的承诺函</w:t>
      </w:r>
      <w:bookmarkEnd w:id="619"/>
      <w:bookmarkEnd w:id="620"/>
      <w:bookmarkEnd w:id="621"/>
      <w:bookmarkEnd w:id="622"/>
      <w:bookmarkEnd w:id="623"/>
      <w:bookmarkEnd w:id="624"/>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我方参与2023年余杭区县道小修总包</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
        <w:snapToGrid w:val="0"/>
        <w:spacing w:line="360" w:lineRule="auto"/>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1"/>
          <w:rFonts w:ascii="仿宋" w:hAnsi="仿宋" w:eastAsia="仿宋"/>
          <w:color w:val="auto"/>
          <w:highlight w:val="none"/>
        </w:rPr>
      </w:pPr>
      <w:bookmarkStart w:id="625" w:name="_Toc95313011"/>
      <w:bookmarkStart w:id="626" w:name="_Toc9961"/>
      <w:bookmarkStart w:id="627" w:name="_Toc400360276"/>
      <w:bookmarkStart w:id="628" w:name="_Toc9229"/>
      <w:bookmarkStart w:id="629" w:name="_Toc7859"/>
      <w:bookmarkStart w:id="630" w:name="_Toc11361"/>
      <w:r>
        <w:rPr>
          <w:rStyle w:val="1101"/>
          <w:rFonts w:hint="eastAsia" w:ascii="仿宋" w:hAnsi="仿宋" w:eastAsia="仿宋"/>
          <w:color w:val="auto"/>
          <w:highlight w:val="none"/>
        </w:rPr>
        <w:t>二、落实政府采购政策需满足的资格要求</w:t>
      </w:r>
      <w:bookmarkEnd w:id="625"/>
      <w:bookmarkEnd w:id="626"/>
      <w:bookmarkEnd w:id="627"/>
      <w:bookmarkEnd w:id="628"/>
      <w:bookmarkEnd w:id="629"/>
      <w:bookmarkEnd w:id="630"/>
    </w:p>
    <w:p>
      <w:pPr>
        <w:snapToGrid w:val="0"/>
        <w:spacing w:line="360" w:lineRule="auto"/>
        <w:ind w:firstLine="240" w:firstLineChars="100"/>
        <w:rPr>
          <w:rFonts w:ascii="仿宋" w:hAnsi="仿宋" w:eastAsia="仿宋"/>
          <w:color w:val="auto"/>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w:t>
      </w:r>
      <w:r>
        <w:rPr>
          <w:rFonts w:ascii="仿宋" w:hAnsi="仿宋" w:eastAsia="仿宋"/>
          <w:color w:val="auto"/>
          <w:highlight w:val="none"/>
        </w:rPr>
        <w:t xml:space="preserve"> </w:t>
      </w:r>
    </w:p>
    <w:p>
      <w:pPr>
        <w:snapToGrid w:val="0"/>
        <w:spacing w:line="360" w:lineRule="auto"/>
        <w:ind w:firstLine="240" w:firstLineChars="100"/>
        <w:rPr>
          <w:rFonts w:ascii="仿宋" w:hAnsi="仿宋" w:eastAsia="仿宋" w:cs="宋体"/>
          <w:color w:val="auto"/>
          <w:sz w:val="24"/>
          <w:highlight w:val="none"/>
        </w:rPr>
      </w:pPr>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本项目为服务项目，本项目服务属于【其他未列明行业】，要求服务全部由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注：投标人须提供相应的中小企业声明函（附件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），未提供中小企业申明函或投标人不属于小微企业，资格审查不通过。如投标人提供的中小企业申明函与事实不符，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jc w:val="center"/>
        <w:rPr>
          <w:rFonts w:ascii="仿宋" w:hAnsi="仿宋" w:eastAsia="仿宋"/>
          <w:color w:val="auto"/>
          <w:sz w:val="24"/>
          <w:highlight w:val="none"/>
        </w:rPr>
      </w:pPr>
    </w:p>
    <w:p>
      <w:pPr>
        <w:pStyle w:val="125"/>
        <w:numPr>
          <w:ilvl w:val="0"/>
          <w:numId w:val="21"/>
        </w:numPr>
        <w:snapToGrid w:val="0"/>
        <w:spacing w:before="240" w:after="120"/>
        <w:ind w:firstLineChars="0"/>
        <w:rPr>
          <w:rFonts w:ascii="仿宋" w:hAnsi="仿宋" w:eastAsia="仿宋"/>
          <w:color w:val="auto"/>
          <w:highlight w:val="none"/>
        </w:rPr>
      </w:pPr>
      <w:bookmarkStart w:id="631" w:name="_Toc23177"/>
      <w:bookmarkStart w:id="632" w:name="_Toc95313012"/>
      <w:bookmarkStart w:id="633" w:name="_Toc788892681"/>
      <w:bookmarkStart w:id="634" w:name="_Toc4304"/>
      <w:bookmarkStart w:id="635" w:name="_Toc97219792"/>
      <w:r>
        <w:rPr>
          <w:rFonts w:ascii="仿宋" w:hAnsi="仿宋" w:eastAsia="仿宋" w:cs="仿宋_GB2312"/>
          <w:b/>
          <w:color w:val="auto"/>
          <w:kern w:val="0"/>
          <w:sz w:val="32"/>
          <w:szCs w:val="32"/>
          <w:highlight w:val="none"/>
        </w:rPr>
        <w:br w:type="page"/>
      </w:r>
      <w:r>
        <w:rPr>
          <w:rFonts w:hint="eastAsia" w:ascii="仿宋" w:hAnsi="仿宋" w:eastAsia="仿宋"/>
          <w:color w:val="auto"/>
          <w:highlight w:val="none"/>
        </w:rPr>
        <w:t>供应商以联合体形式投标的：提供联合协议。</w:t>
      </w:r>
    </w:p>
    <w:p>
      <w:pPr>
        <w:snapToGrid w:val="0"/>
        <w:spacing w:line="360" w:lineRule="auto"/>
        <w:jc w:val="center"/>
        <w:rPr>
          <w:rFonts w:ascii="仿宋" w:hAnsi="仿宋" w:eastAsia="仿宋"/>
          <w:color w:val="auto"/>
          <w:sz w:val="24"/>
          <w:highlight w:val="none"/>
        </w:rPr>
      </w:pPr>
    </w:p>
    <w:p>
      <w:pPr>
        <w:snapToGrid w:val="0"/>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联合协议</w:t>
      </w:r>
    </w:p>
    <w:p>
      <w:pPr>
        <w:snapToGrid w:val="0"/>
        <w:spacing w:line="360" w:lineRule="auto"/>
        <w:ind w:left="1740" w:hanging="1740" w:hangingChars="725"/>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【招标编号：】</w:t>
      </w:r>
      <w:r>
        <w:rPr>
          <w:rFonts w:hint="eastAsia" w:ascii="仿宋" w:hAnsi="仿宋" w:eastAsia="仿宋" w:cs="仿宋_GB2312"/>
          <w:color w:val="auto"/>
          <w:kern w:val="0"/>
          <w:sz w:val="24"/>
          <w:highlight w:val="none"/>
          <w:lang w:val="zh-CN"/>
        </w:rPr>
        <w:t>投标。</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rPr>
        <w:t>（某联合体成员名称）</w:t>
      </w:r>
      <w:r>
        <w:rPr>
          <w:rFonts w:hint="eastAsia" w:ascii="仿宋" w:hAnsi="仿宋" w:eastAsia="仿宋" w:cs="仿宋_GB2312"/>
          <w:color w:val="auto"/>
          <w:kern w:val="0"/>
          <w:sz w:val="24"/>
          <w:highlight w:val="none"/>
        </w:rPr>
        <w:t>为联合体</w:t>
      </w:r>
      <w:r>
        <w:rPr>
          <w:rFonts w:hint="eastAsia" w:ascii="仿宋" w:hAnsi="仿宋" w:eastAsia="仿宋" w:cs="仿宋_GB2312"/>
          <w:color w:val="auto"/>
          <w:kern w:val="0"/>
          <w:sz w:val="24"/>
          <w:highlight w:val="none"/>
          <w:lang w:val="zh-CN"/>
        </w:rPr>
        <w:t>牵头人，</w:t>
      </w:r>
      <w:r>
        <w:rPr>
          <w:rFonts w:hint="eastAsia" w:ascii="仿宋" w:hAnsi="仿宋" w:eastAsia="仿宋" w:cs="Arial"/>
          <w:color w:val="auto"/>
          <w:sz w:val="24"/>
          <w:highlight w:val="none"/>
        </w:rPr>
        <w:t>代表所有联合体成员负责投标和合同实施阶段的主办、协调工作</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w:t>
      </w:r>
      <w:r>
        <w:rPr>
          <w:rFonts w:hint="eastAsia" w:ascii="仿宋" w:hAnsi="仿宋" w:eastAsia="仿宋" w:cs="Arial"/>
          <w:color w:val="auto"/>
          <w:sz w:val="24"/>
          <w:highlight w:val="none"/>
        </w:rPr>
        <w:t>所有联合体成员各方签署授权书，授权书载明的</w:t>
      </w:r>
      <w:r>
        <w:rPr>
          <w:rFonts w:hint="eastAsia" w:ascii="仿宋" w:hAnsi="仿宋" w:eastAsia="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三、本次联合投标中，分工如下：</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（联合体其中一方成员名称）</w:t>
      </w:r>
      <w:r>
        <w:rPr>
          <w:rFonts w:hint="eastAsia" w:ascii="仿宋" w:hAnsi="仿宋" w:eastAsia="仿宋" w:cs="仿宋_GB2312"/>
          <w:color w:val="auto"/>
          <w:kern w:val="0"/>
          <w:sz w:val="24"/>
          <w:highlight w:val="none"/>
          <w:lang w:val="zh-CN"/>
        </w:rPr>
        <w:t>承担的工作和义务为：</w:t>
      </w:r>
      <w:r>
        <w:rPr>
          <w:rFonts w:ascii="仿宋" w:hAnsi="仿宋" w:eastAsia="仿宋"/>
          <w:color w:val="auto"/>
          <w:highlight w:val="none"/>
          <w:u w:val="single"/>
        </w:rPr>
        <w:t xml:space="preserve">            </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w:t>
      </w:r>
      <w:r>
        <w:rPr>
          <w:rFonts w:hint="eastAsia" w:ascii="仿宋" w:hAnsi="仿宋" w:eastAsia="仿宋"/>
          <w:color w:val="auto"/>
          <w:sz w:val="24"/>
          <w:highlight w:val="none"/>
        </w:rPr>
        <w:t>中小企业合同金额达到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%，小</w:t>
      </w:r>
      <w:r>
        <w:rPr>
          <w:rFonts w:hint="eastAsia" w:ascii="仿宋" w:hAnsi="仿宋" w:eastAsia="仿宋"/>
          <w:color w:val="auto"/>
          <w:sz w:val="24"/>
          <w:highlight w:val="none"/>
        </w:rPr>
        <w:t>微企业合同金额达到</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五、如果中标，</w:t>
      </w:r>
      <w:r>
        <w:rPr>
          <w:rFonts w:hint="eastAsia" w:ascii="仿宋" w:hAnsi="仿宋" w:eastAsia="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六、有关本次联合投标的其他事宜：</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1、联合体各方不再单独参加或者与其</w:t>
      </w:r>
      <w:r>
        <w:rPr>
          <w:rFonts w:hint="eastAsia" w:ascii="仿宋" w:hAnsi="仿宋" w:eastAsia="仿宋"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pStyle w:val="2"/>
        <w:spacing w:line="360" w:lineRule="auto"/>
        <w:rPr>
          <w:rFonts w:ascii="仿宋" w:hAnsi="仿宋" w:eastAsia="仿宋"/>
          <w:color w:val="auto"/>
          <w:highlight w:val="none"/>
          <w:lang w:val="zh-CN"/>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2023年余杭区县道小修总包</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b/>
          <w:bCs/>
          <w:color w:val="auto"/>
          <w:sz w:val="24"/>
          <w:highlight w:val="none"/>
        </w:rPr>
      </w:pPr>
    </w:p>
    <w:p>
      <w:pPr>
        <w:pStyle w:val="2"/>
        <w:rPr>
          <w:color w:val="auto"/>
          <w:highlight w:val="none"/>
        </w:rPr>
      </w:pPr>
    </w:p>
    <w:p>
      <w:pPr>
        <w:snapToGrid w:val="0"/>
        <w:spacing w:line="360" w:lineRule="auto"/>
        <w:rPr>
          <w:rFonts w:ascii="仿宋" w:hAnsi="仿宋" w:eastAsia="仿宋"/>
          <w:b/>
          <w:bCs/>
          <w:color w:val="auto"/>
          <w:sz w:val="24"/>
          <w:highlight w:val="none"/>
        </w:rPr>
      </w:pPr>
    </w:p>
    <w:p>
      <w:pPr>
        <w:snapToGrid w:val="0"/>
        <w:spacing w:line="360" w:lineRule="auto"/>
        <w:rPr>
          <w:rFonts w:ascii="仿宋" w:hAnsi="仿宋" w:eastAsia="仿宋"/>
          <w:color w:val="auto"/>
          <w:sz w:val="24"/>
          <w:highlight w:val="none"/>
        </w:rPr>
      </w:pPr>
      <w:r>
        <w:rPr>
          <w:rFonts w:ascii="仿宋" w:hAnsi="仿宋" w:eastAsia="仿宋"/>
          <w:b/>
          <w:bCs/>
          <w:color w:val="auto"/>
          <w:sz w:val="24"/>
          <w:highlight w:val="none"/>
        </w:rPr>
        <w:t>B.</w:t>
      </w:r>
      <w:r>
        <w:rPr>
          <w:rFonts w:hint="eastAsia" w:ascii="仿宋" w:hAnsi="仿宋" w:eastAsia="仿宋"/>
          <w:color w:val="auto"/>
          <w:sz w:val="24"/>
          <w:highlight w:val="none"/>
        </w:rPr>
        <w:t>供应商以分包方式投标的：提供分包意向协议。</w:t>
      </w:r>
    </w:p>
    <w:p>
      <w:pPr>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分包意向协议</w:t>
      </w:r>
    </w:p>
    <w:p>
      <w:pPr>
        <w:widowControl/>
        <w:snapToGrid w:val="0"/>
        <w:spacing w:line="360" w:lineRule="auto"/>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hint="eastAsia" w:ascii="仿宋" w:hAnsi="仿宋" w:eastAsia="仿宋" w:cs="仿宋_GB2312"/>
          <w:b/>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color w:val="auto"/>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u w:val="single"/>
        </w:rPr>
        <w:t xml:space="preserve">        </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u w:val="single"/>
        </w:rPr>
        <w:t>招标编号：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的中标供应商，将依法采取分包方式履行合同。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r>
        <w:rPr>
          <w:rFonts w:ascii="仿宋" w:hAnsi="仿宋" w:eastAsia="仿宋" w:cs="仿宋_GB2312"/>
          <w:color w:val="auto"/>
          <w:kern w:val="0"/>
          <w:sz w:val="24"/>
          <w:highlight w:val="none"/>
          <w:lang w:val="zh-CN"/>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企业</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将</w:t>
      </w:r>
      <w:r>
        <w:rPr>
          <w:rFonts w:ascii="仿宋" w:hAnsi="仿宋" w:eastAsia="仿宋"/>
          <w:color w:val="auto"/>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u w:val="single"/>
        </w:rPr>
        <w:t>（某分包供应商名称），</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ascii="仿宋" w:hAnsi="仿宋" w:eastAsia="仿宋" w:cs="仿宋_GB2312"/>
          <w:color w:val="auto"/>
          <w:kern w:val="0"/>
          <w:sz w:val="24"/>
          <w:highlight w:val="none"/>
          <w:u w:val="single"/>
          <w:lang w:val="zh-CN"/>
        </w:rPr>
        <w:t>XX工作内容</w:t>
      </w:r>
      <w:r>
        <w:rPr>
          <w:rFonts w:hint="eastAsia" w:ascii="仿宋" w:hAnsi="仿宋" w:eastAsia="仿宋" w:cs="仿宋_GB2312"/>
          <w:color w:val="auto"/>
          <w:kern w:val="0"/>
          <w:sz w:val="24"/>
          <w:highlight w:val="none"/>
          <w:lang w:val="zh-CN"/>
        </w:rPr>
        <w:t>相应资质条件且不得再次分包；</w:t>
      </w:r>
    </w:p>
    <w:p>
      <w:pPr>
        <w:tabs>
          <w:tab w:val="left" w:pos="432"/>
        </w:tabs>
        <w:snapToGrid w:val="0"/>
        <w:spacing w:line="360" w:lineRule="auto"/>
        <w:ind w:firstLine="228" w:firstLineChars="95"/>
        <w:rPr>
          <w:rFonts w:ascii="仿宋" w:hAnsi="仿宋" w:eastAsia="仿宋"/>
          <w:color w:val="auto"/>
          <w:highlight w:val="none"/>
        </w:rPr>
      </w:pPr>
      <w:r>
        <w:rPr>
          <w:rFonts w:hint="eastAsia" w:ascii="仿宋" w:hAnsi="仿宋" w:eastAsia="仿宋" w:cs="仿宋_GB2312"/>
          <w:color w:val="auto"/>
          <w:kern w:val="0"/>
          <w:sz w:val="24"/>
          <w:highlight w:val="none"/>
        </w:rPr>
        <w:t>……</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二、分包工作履行期限、地点、方式</w:t>
      </w:r>
    </w:p>
    <w:p>
      <w:pPr>
        <w:snapToGrid w:val="0"/>
        <w:spacing w:line="360" w:lineRule="auto"/>
        <w:ind w:firstLine="576"/>
        <w:rPr>
          <w:rFonts w:ascii="仿宋" w:hAnsi="仿宋" w:eastAsia="仿宋"/>
          <w:color w:val="auto"/>
          <w:highlight w:val="none"/>
          <w:u w:val="single"/>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三、质量</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四、价款或者报酬</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66" w:firstLineChars="23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五、违约责任</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六、争议解决的办法</w:t>
      </w:r>
    </w:p>
    <w:p>
      <w:pPr>
        <w:snapToGrid w:val="0"/>
        <w:spacing w:line="360" w:lineRule="auto"/>
        <w:ind w:firstLine="576"/>
        <w:rPr>
          <w:rFonts w:ascii="仿宋" w:hAnsi="仿宋" w:eastAsia="仿宋" w:cs="仿宋_GB2312"/>
          <w:color w:val="auto"/>
          <w:kern w:val="0"/>
          <w:sz w:val="24"/>
          <w:highlight w:val="none"/>
          <w:lang w:val="zh-CN"/>
        </w:rPr>
      </w:pPr>
      <w:r>
        <w:rPr>
          <w:rFonts w:ascii="仿宋" w:hAnsi="仿宋" w:eastAsia="仿宋"/>
          <w:color w:val="auto"/>
          <w:highlight w:val="none"/>
          <w:u w:val="single"/>
        </w:rPr>
        <w:t xml:space="preserve">                                                                                  </w:t>
      </w:r>
    </w:p>
    <w:p>
      <w:pPr>
        <w:snapToGrid w:val="0"/>
        <w:spacing w:line="36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七、其他</w:t>
      </w:r>
    </w:p>
    <w:p>
      <w:pPr>
        <w:snapToGrid w:val="0"/>
        <w:spacing w:line="360" w:lineRule="auto"/>
        <w:ind w:left="5040" w:hanging="5040" w:hangingChars="2100"/>
        <w:jc w:val="left"/>
        <w:rPr>
          <w:rFonts w:ascii="仿宋" w:hAnsi="仿宋" w:eastAsia="仿宋" w:cs="仿宋_GB2312"/>
          <w:color w:val="auto"/>
          <w:kern w:val="0"/>
          <w:sz w:val="24"/>
          <w:highlight w:val="none"/>
          <w:lang w:val="zh-CN"/>
        </w:rPr>
      </w:pPr>
      <w:r>
        <w:rPr>
          <w:rFonts w:ascii="仿宋" w:hAnsi="仿宋" w:eastAsia="仿宋"/>
          <w:color w:val="auto"/>
          <w:sz w:val="24"/>
          <w:highlight w:val="none"/>
        </w:rPr>
        <w:t>小</w:t>
      </w:r>
      <w:r>
        <w:rPr>
          <w:rFonts w:hint="eastAsia" w:ascii="仿宋" w:hAnsi="仿宋" w:eastAsia="仿宋"/>
          <w:color w:val="auto"/>
          <w:sz w:val="24"/>
          <w:highlight w:val="none"/>
        </w:rPr>
        <w:t xml:space="preserve">微企业合同金额达到 </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rPr>
        <w:t>%</w:t>
      </w:r>
      <w:r>
        <w:rPr>
          <w:rFonts w:ascii="仿宋" w:hAnsi="仿宋" w:eastAsia="仿宋" w:cs="仿宋_GB2312"/>
          <w:color w:val="auto"/>
          <w:kern w:val="0"/>
          <w:sz w:val="24"/>
          <w:highlight w:val="none"/>
          <w:lang w:val="zh-CN"/>
        </w:rPr>
        <w:t xml:space="preserve">  。                                           投标人名称(电子签名)：</w:t>
      </w:r>
    </w:p>
    <w:p>
      <w:pPr>
        <w:snapToGrid w:val="0"/>
        <w:spacing w:line="360" w:lineRule="auto"/>
        <w:ind w:firstLine="4320" w:firstLineChars="18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lang w:val="zh-CN"/>
        </w:rPr>
        <w:t>/公章</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widowControl/>
        <w:adjustRightInd/>
        <w:spacing w:line="360" w:lineRule="auto"/>
        <w:jc w:val="left"/>
        <w:rPr>
          <w:rFonts w:ascii="仿宋" w:hAnsi="仿宋" w:eastAsia="仿宋" w:cs="仿宋_GB2312"/>
          <w:b/>
          <w:color w:val="auto"/>
          <w:kern w:val="0"/>
          <w:sz w:val="32"/>
          <w:szCs w:val="32"/>
          <w:highlight w:val="none"/>
        </w:rPr>
      </w:pPr>
    </w:p>
    <w:p>
      <w:pPr>
        <w:pStyle w:val="2"/>
        <w:spacing w:line="360" w:lineRule="auto"/>
        <w:rPr>
          <w:rFonts w:ascii="仿宋" w:hAnsi="仿宋" w:eastAsia="仿宋"/>
          <w:color w:val="auto"/>
          <w:highlight w:val="none"/>
        </w:rPr>
      </w:pPr>
    </w:p>
    <w:p>
      <w:pPr>
        <w:widowControl/>
        <w:numPr>
          <w:ilvl w:val="0"/>
          <w:numId w:val="22"/>
        </w:numPr>
        <w:snapToGrid w:val="0"/>
        <w:spacing w:line="360" w:lineRule="auto"/>
        <w:jc w:val="center"/>
        <w:outlineLvl w:val="2"/>
        <w:rPr>
          <w:rFonts w:ascii="仿宋" w:hAnsi="仿宋" w:eastAsia="仿宋" w:cs="仿宋_GB2312"/>
          <w:b/>
          <w:color w:val="auto"/>
          <w:kern w:val="0"/>
          <w:sz w:val="32"/>
          <w:szCs w:val="32"/>
          <w:highlight w:val="none"/>
        </w:rPr>
      </w:pPr>
      <w:bookmarkStart w:id="636" w:name="_Toc27933"/>
      <w:r>
        <w:rPr>
          <w:rFonts w:hint="eastAsia" w:ascii="仿宋" w:hAnsi="仿宋" w:eastAsia="仿宋" w:cs="仿宋_GB2312"/>
          <w:b/>
          <w:color w:val="auto"/>
          <w:kern w:val="0"/>
          <w:sz w:val="32"/>
          <w:szCs w:val="32"/>
          <w:highlight w:val="none"/>
        </w:rPr>
        <w:t>本项目的特定资格要求</w:t>
      </w:r>
      <w:bookmarkEnd w:id="631"/>
      <w:bookmarkEnd w:id="632"/>
      <w:bookmarkEnd w:id="633"/>
      <w:bookmarkEnd w:id="634"/>
      <w:bookmarkEnd w:id="635"/>
      <w:bookmarkEnd w:id="636"/>
    </w:p>
    <w:p>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snapToGrid w:val="0"/>
          <w:color w:val="auto"/>
          <w:kern w:val="28"/>
          <w:sz w:val="24"/>
          <w:szCs w:val="20"/>
          <w:highlight w:val="none"/>
        </w:rPr>
        <w:t>具有</w:t>
      </w:r>
      <w:r>
        <w:rPr>
          <w:rFonts w:hint="eastAsia" w:ascii="仿宋" w:hAnsi="仿宋" w:eastAsia="仿宋"/>
          <w:color w:val="auto"/>
          <w:sz w:val="24"/>
          <w:highlight w:val="none"/>
        </w:rPr>
        <w:t>交通主管部门颁发的公路养护工程施工从业资质证书三类（甲级）、公路养护工程施工从业资质证书三类（乙级）</w:t>
      </w: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spacing w:line="360" w:lineRule="auto"/>
        <w:rPr>
          <w:rFonts w:ascii="仿宋" w:hAnsi="仿宋" w:eastAsia="仿宋"/>
          <w:color w:val="auto"/>
          <w:highlight w:val="none"/>
        </w:rPr>
      </w:pPr>
    </w:p>
    <w:p>
      <w:pPr>
        <w:pStyle w:val="2"/>
        <w:spacing w:line="360" w:lineRule="auto"/>
        <w:rPr>
          <w:rFonts w:ascii="仿宋" w:hAnsi="仿宋" w:eastAsia="仿宋"/>
          <w:color w:val="auto"/>
          <w:highlight w:val="none"/>
        </w:rPr>
      </w:pPr>
    </w:p>
    <w:p>
      <w:pPr>
        <w:pStyle w:val="5"/>
        <w:jc w:val="center"/>
        <w:rPr>
          <w:rFonts w:ascii="仿宋" w:hAnsi="仿宋" w:eastAsia="仿宋"/>
          <w:color w:val="auto"/>
          <w:szCs w:val="28"/>
          <w:highlight w:val="none"/>
        </w:rPr>
      </w:pPr>
      <w:bookmarkStart w:id="637" w:name="_Toc355252989"/>
      <w:bookmarkStart w:id="638" w:name="_Toc26670"/>
      <w:bookmarkStart w:id="639" w:name="_Toc7510"/>
      <w:bookmarkStart w:id="640" w:name="_Toc5790"/>
      <w:bookmarkStart w:id="641" w:name="_Toc1343"/>
      <w:bookmarkStart w:id="642" w:name="_Toc95313013"/>
      <w:r>
        <w:rPr>
          <w:rFonts w:hint="eastAsia" w:ascii="仿宋" w:hAnsi="仿宋" w:eastAsia="仿宋"/>
          <w:color w:val="auto"/>
          <w:szCs w:val="28"/>
          <w:highlight w:val="none"/>
        </w:rPr>
        <w:t>商务技术文件部分</w:t>
      </w:r>
      <w:bookmarkEnd w:id="637"/>
      <w:bookmarkEnd w:id="638"/>
      <w:bookmarkEnd w:id="639"/>
      <w:bookmarkEnd w:id="640"/>
      <w:bookmarkEnd w:id="641"/>
      <w:bookmarkEnd w:id="642"/>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（2）授权委托书</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（3）法定代表人和授权委托代表的有效身份证复印件</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（4）</w:t>
      </w:r>
      <w:r>
        <w:rPr>
          <w:rFonts w:hint="eastAsia" w:ascii="仿宋" w:hAnsi="仿宋" w:eastAsia="仿宋" w:cs="宋体"/>
          <w:snapToGrid w:val="0"/>
          <w:color w:val="auto"/>
          <w:kern w:val="0"/>
          <w:sz w:val="24"/>
          <w:highlight w:val="none"/>
        </w:rPr>
        <w:t>公司情况介绍</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（5）</w:t>
      </w:r>
      <w:r>
        <w:rPr>
          <w:rFonts w:hint="eastAsia" w:ascii="仿宋" w:hAnsi="仿宋" w:eastAsia="仿宋" w:cs="宋体"/>
          <w:snapToGrid w:val="0"/>
          <w:color w:val="auto"/>
          <w:kern w:val="0"/>
          <w:sz w:val="24"/>
          <w:highlight w:val="none"/>
          <w:lang w:val="zh-CN"/>
        </w:rPr>
        <w:t>供应商成功案例</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（6）</w:t>
      </w:r>
      <w:r>
        <w:rPr>
          <w:rFonts w:hint="eastAsia" w:ascii="仿宋" w:hAnsi="仿宋" w:eastAsia="仿宋" w:cs="宋体"/>
          <w:snapToGrid w:val="0"/>
          <w:color w:val="auto"/>
          <w:kern w:val="0"/>
          <w:sz w:val="24"/>
          <w:highlight w:val="none"/>
        </w:rPr>
        <w:t>相关资质文件（如有）</w:t>
      </w:r>
      <w:r>
        <w:rPr>
          <w:rFonts w:hint="eastAsia" w:ascii="仿宋" w:hAnsi="仿宋" w:eastAsia="仿宋" w:cs="仿宋_GB2312"/>
          <w:color w:val="auto"/>
          <w:sz w:val="24"/>
          <w:highlight w:val="none"/>
        </w:rPr>
        <w:t>……………………………………………（页码）</w:t>
      </w:r>
    </w:p>
    <w:p>
      <w:pPr>
        <w:pStyle w:val="35"/>
        <w:snapToGrid w:val="0"/>
        <w:rPr>
          <w:rFonts w:ascii="仿宋" w:hAnsi="仿宋" w:eastAsia="仿宋" w:cs="宋体"/>
          <w:color w:val="auto"/>
          <w:szCs w:val="24"/>
          <w:highlight w:val="none"/>
        </w:rPr>
      </w:pPr>
      <w:r>
        <w:rPr>
          <w:rFonts w:hint="eastAsia" w:ascii="仿宋" w:hAnsi="仿宋" w:eastAsia="仿宋" w:cs="宋体"/>
          <w:color w:val="auto"/>
          <w:szCs w:val="24"/>
          <w:highlight w:val="none"/>
        </w:rPr>
        <w:t>（7）</w:t>
      </w:r>
      <w:r>
        <w:rPr>
          <w:rFonts w:hint="eastAsia" w:ascii="仿宋" w:hAnsi="仿宋" w:eastAsia="仿宋" w:cs="宋体"/>
          <w:color w:val="auto"/>
          <w:kern w:val="0"/>
          <w:szCs w:val="24"/>
          <w:highlight w:val="none"/>
        </w:rPr>
        <w:t>供应商应提供针对项目的完整服务解决方案</w:t>
      </w:r>
      <w:r>
        <w:rPr>
          <w:rFonts w:hint="eastAsia" w:ascii="仿宋" w:hAnsi="仿宋" w:eastAsia="仿宋" w:cs="仿宋_GB2312"/>
          <w:color w:val="auto"/>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（8）</w:t>
      </w:r>
      <w:r>
        <w:rPr>
          <w:rFonts w:hint="eastAsia" w:ascii="仿宋" w:hAnsi="仿宋" w:eastAsia="仿宋" w:cs="宋体"/>
          <w:bCs/>
          <w:color w:val="auto"/>
          <w:kern w:val="0"/>
          <w:sz w:val="24"/>
          <w:szCs w:val="24"/>
          <w:highlight w:val="none"/>
        </w:rPr>
        <w:t>项目组人员介绍、职责分配</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（9）商务技术偏离表……………………………………………………（页码）</w:t>
      </w:r>
    </w:p>
    <w:p>
      <w:pPr>
        <w:pStyle w:val="45"/>
        <w:snapToGrid w:val="0"/>
        <w:spacing w:line="360" w:lineRule="auto"/>
        <w:rPr>
          <w:rFonts w:ascii="仿宋" w:hAnsi="仿宋" w:eastAsia="仿宋" w:cs="仿宋_GB2312"/>
          <w:color w:val="auto"/>
          <w:sz w:val="24"/>
          <w:szCs w:val="24"/>
          <w:highlight w:val="none"/>
        </w:rPr>
      </w:pPr>
      <w:r>
        <w:rPr>
          <w:rFonts w:hint="eastAsia" w:ascii="仿宋" w:hAnsi="仿宋" w:eastAsia="仿宋" w:cs="宋体"/>
          <w:color w:val="auto"/>
          <w:sz w:val="24"/>
          <w:szCs w:val="24"/>
          <w:highlight w:val="none"/>
        </w:rPr>
        <w:t>（10）</w:t>
      </w:r>
      <w:r>
        <w:rPr>
          <w:rFonts w:hint="eastAsia" w:ascii="仿宋" w:hAnsi="仿宋" w:eastAsia="仿宋" w:cs="宋体"/>
          <w:bCs/>
          <w:color w:val="auto"/>
          <w:kern w:val="0"/>
          <w:sz w:val="24"/>
          <w:highlight w:val="none"/>
        </w:rPr>
        <w:t>其他商务技术文件或说明</w:t>
      </w:r>
      <w:r>
        <w:rPr>
          <w:rFonts w:hint="eastAsia" w:ascii="仿宋" w:hAnsi="仿宋" w:eastAsia="仿宋" w:cs="仿宋_GB2312"/>
          <w:color w:val="auto"/>
          <w:sz w:val="24"/>
          <w:szCs w:val="24"/>
          <w:highlight w:val="none"/>
        </w:rPr>
        <w:t>………………………………………（页码）</w:t>
      </w:r>
    </w:p>
    <w:p>
      <w:pPr>
        <w:pStyle w:val="45"/>
        <w:snapToGrid w:val="0"/>
        <w:spacing w:line="360" w:lineRule="auto"/>
        <w:rPr>
          <w:rFonts w:ascii="仿宋" w:hAnsi="仿宋" w:eastAsia="仿宋" w:cs="宋体"/>
          <w:bCs/>
          <w:color w:val="auto"/>
          <w:kern w:val="0"/>
          <w:sz w:val="24"/>
          <w:szCs w:val="24"/>
          <w:highlight w:val="none"/>
        </w:rPr>
      </w:pPr>
      <w:r>
        <w:rPr>
          <w:rFonts w:hint="eastAsia" w:ascii="仿宋" w:hAnsi="仿宋" w:eastAsia="仿宋" w:cs="宋体"/>
          <w:color w:val="auto"/>
          <w:sz w:val="24"/>
          <w:szCs w:val="24"/>
          <w:highlight w:val="none"/>
        </w:rPr>
        <w:t>（11）</w:t>
      </w:r>
      <w:r>
        <w:rPr>
          <w:rFonts w:hint="eastAsia" w:ascii="仿宋" w:hAnsi="仿宋" w:eastAsia="仿宋" w:cs="宋体"/>
          <w:bCs/>
          <w:color w:val="auto"/>
          <w:kern w:val="0"/>
          <w:sz w:val="24"/>
          <w:szCs w:val="24"/>
          <w:highlight w:val="none"/>
        </w:rPr>
        <w:t>政府采购供应商廉洁自律承诺书</w:t>
      </w:r>
      <w:r>
        <w:rPr>
          <w:rFonts w:hint="eastAsia" w:ascii="仿宋" w:hAnsi="仿宋" w:eastAsia="仿宋" w:cs="仿宋_GB2312"/>
          <w:color w:val="auto"/>
          <w:sz w:val="24"/>
          <w:szCs w:val="24"/>
          <w:highlight w:val="none"/>
        </w:rPr>
        <w:t>………………………………（页码）</w:t>
      </w:r>
    </w:p>
    <w:p>
      <w:pPr>
        <w:snapToGrid w:val="0"/>
        <w:spacing w:line="360" w:lineRule="auto"/>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napToGrid w:val="0"/>
        <w:spacing w:line="360" w:lineRule="auto"/>
        <w:rPr>
          <w:rFonts w:ascii="仿宋" w:hAnsi="仿宋" w:eastAsia="仿宋" w:cs="仿宋_GB2312"/>
          <w:b/>
          <w:color w:val="auto"/>
          <w:kern w:val="0"/>
          <w:sz w:val="32"/>
          <w:szCs w:val="32"/>
          <w:highlight w:val="none"/>
        </w:rPr>
      </w:pPr>
    </w:p>
    <w:p>
      <w:pPr>
        <w:spacing w:line="360" w:lineRule="auto"/>
        <w:jc w:val="center"/>
        <w:rPr>
          <w:rStyle w:val="1101"/>
          <w:rFonts w:ascii="仿宋" w:hAnsi="仿宋" w:eastAsia="仿宋"/>
          <w:b/>
          <w:bCs/>
          <w:color w:val="auto"/>
          <w:highlight w:val="none"/>
          <w:lang w:val="en-US"/>
        </w:rPr>
      </w:pPr>
      <w:bookmarkStart w:id="643" w:name="_Toc21925"/>
      <w:bookmarkStart w:id="644" w:name="_Toc13297"/>
      <w:bookmarkStart w:id="645" w:name="_Toc732447463"/>
      <w:bookmarkStart w:id="646" w:name="_Toc14370"/>
      <w:bookmarkStart w:id="647" w:name="_Toc18272"/>
      <w:bookmarkStart w:id="648" w:name="_Toc95313014"/>
    </w:p>
    <w:p>
      <w:pPr>
        <w:spacing w:line="360" w:lineRule="auto"/>
        <w:jc w:val="center"/>
        <w:rPr>
          <w:rStyle w:val="1101"/>
          <w:rFonts w:ascii="仿宋" w:hAnsi="仿宋" w:eastAsia="仿宋"/>
          <w:b/>
          <w:bCs/>
          <w:color w:val="auto"/>
          <w:highlight w:val="none"/>
          <w:lang w:val="en-US"/>
        </w:rPr>
      </w:pPr>
      <w:r>
        <w:rPr>
          <w:rStyle w:val="1101"/>
          <w:rFonts w:hint="eastAsia" w:ascii="仿宋" w:hAnsi="仿宋" w:eastAsia="仿宋"/>
          <w:b/>
          <w:bCs/>
          <w:color w:val="auto"/>
          <w:highlight w:val="none"/>
          <w:lang w:val="en-US"/>
        </w:rPr>
        <w:t>一、投标函</w:t>
      </w:r>
      <w:bookmarkEnd w:id="643"/>
      <w:bookmarkEnd w:id="644"/>
      <w:bookmarkEnd w:id="645"/>
      <w:bookmarkEnd w:id="646"/>
      <w:bookmarkEnd w:id="647"/>
      <w:bookmarkEnd w:id="648"/>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我方参加你方组织的2023年余杭区县道小修总包</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1、我方承诺投标有效期从提交投标文件的截止之日起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2、我方的投标文件包括以下内容：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2.2.4</w:t>
      </w:r>
      <w:r>
        <w:rPr>
          <w:rFonts w:hint="eastAsia" w:ascii="仿宋" w:hAnsi="仿宋" w:eastAsia="仿宋" w:cs="仿宋_GB2312"/>
          <w:color w:val="auto"/>
          <w:sz w:val="24"/>
          <w:highlight w:val="none"/>
        </w:rPr>
        <w:t>公司情况介绍；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2.2.5</w:t>
      </w:r>
      <w:r>
        <w:rPr>
          <w:rFonts w:hint="eastAsia" w:ascii="仿宋" w:hAnsi="仿宋" w:eastAsia="仿宋" w:cs="仿宋_GB2312"/>
          <w:color w:val="auto"/>
          <w:sz w:val="24"/>
          <w:highlight w:val="none"/>
          <w:lang w:val="zh-CN"/>
        </w:rPr>
        <w:t>供应商成功案例；</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2.2.6</w:t>
      </w:r>
      <w:r>
        <w:rPr>
          <w:rFonts w:hint="eastAsia" w:ascii="仿宋" w:hAnsi="仿宋" w:eastAsia="仿宋" w:cs="仿宋_GB2312"/>
          <w:color w:val="auto"/>
          <w:sz w:val="24"/>
          <w:highlight w:val="none"/>
        </w:rPr>
        <w:t>相关资质文件（如有）；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w:t>
      </w:r>
      <w:r>
        <w:rPr>
          <w:rFonts w:hint="eastAsia" w:ascii="仿宋" w:hAnsi="仿宋" w:eastAsia="仿宋" w:cs="仿宋_GB2312"/>
          <w:color w:val="auto"/>
          <w:sz w:val="24"/>
          <w:highlight w:val="none"/>
        </w:rPr>
        <w:t>供应商应提供针对项目的完整服务解决方案；</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2.2.8</w:t>
      </w:r>
      <w:r>
        <w:rPr>
          <w:rFonts w:hint="eastAsia" w:ascii="仿宋" w:hAnsi="仿宋" w:eastAsia="仿宋" w:cs="仿宋_GB2312"/>
          <w:color w:val="auto"/>
          <w:sz w:val="24"/>
          <w:highlight w:val="none"/>
        </w:rPr>
        <w:t>项目组人员介绍、职责分配；</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2.2.9</w:t>
      </w:r>
      <w:r>
        <w:rPr>
          <w:rFonts w:hint="eastAsia" w:ascii="仿宋" w:hAnsi="仿宋" w:eastAsia="仿宋" w:cs="仿宋_GB2312"/>
          <w:color w:val="auto"/>
          <w:sz w:val="24"/>
          <w:highlight w:val="none"/>
        </w:rPr>
        <w:t>商务技术偏离表；</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10其他商务技术文件或说明；</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1政府采购供应商廉洁自律承诺书。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投标人名称(电子签名)：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1"/>
          <w:rFonts w:ascii="仿宋" w:hAnsi="仿宋" w:eastAsia="仿宋"/>
          <w:color w:val="auto"/>
          <w:highlight w:val="none"/>
          <w:lang w:val="en-US"/>
        </w:rPr>
      </w:pPr>
      <w:bookmarkStart w:id="649" w:name="_Toc23100"/>
      <w:bookmarkStart w:id="650" w:name="_Toc95313015"/>
      <w:bookmarkStart w:id="651" w:name="_Toc15176"/>
      <w:bookmarkStart w:id="652" w:name="_Toc868246037"/>
      <w:bookmarkStart w:id="653" w:name="_Toc23890"/>
      <w:bookmarkStart w:id="654" w:name="_Toc16025"/>
      <w:r>
        <w:rPr>
          <w:rStyle w:val="1101"/>
          <w:rFonts w:hint="eastAsia" w:ascii="仿宋" w:hAnsi="仿宋" w:eastAsia="仿宋"/>
          <w:color w:val="auto"/>
          <w:highlight w:val="none"/>
          <w:lang w:val="en-US"/>
        </w:rPr>
        <w:t>二、授权委托书</w:t>
      </w:r>
      <w:bookmarkEnd w:id="649"/>
      <w:bookmarkEnd w:id="650"/>
      <w:bookmarkEnd w:id="651"/>
      <w:bookmarkEnd w:id="652"/>
      <w:bookmarkEnd w:id="653"/>
      <w:bookmarkEnd w:id="654"/>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仿宋_GB2312"/>
          <w:b/>
          <w:color w:val="auto"/>
          <w:kern w:val="0"/>
          <w:sz w:val="28"/>
          <w:szCs w:val="28"/>
          <w:highlight w:val="none"/>
          <w:lang w:val="zh-CN"/>
        </w:rPr>
        <w:t>授权委托书（适用于非联合体投标）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2023年余杭区县道小修总包</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投标人名称(电子签名)：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ascii="仿宋" w:hAnsi="仿宋" w:eastAsia="仿宋" w:cs="仿宋_GB2312"/>
          <w:b/>
          <w:color w:val="auto"/>
          <w:kern w:val="0"/>
          <w:sz w:val="32"/>
          <w:szCs w:val="32"/>
          <w:highlight w:val="none"/>
          <w:lang w:val="zh-CN"/>
        </w:rPr>
        <w:t xml:space="preserve">      </w:t>
      </w:r>
      <w:r>
        <w:rPr>
          <w:rFonts w:ascii="仿宋" w:hAnsi="仿宋" w:eastAsia="仿宋" w:cs="仿宋_GB2312"/>
          <w:b/>
          <w:color w:val="auto"/>
          <w:kern w:val="0"/>
          <w:sz w:val="32"/>
          <w:szCs w:val="32"/>
          <w:highlight w:val="none"/>
        </w:rPr>
        <w:t xml:space="preserve"> </w:t>
      </w:r>
      <w:r>
        <w:rPr>
          <w:rFonts w:hint="eastAsia" w:ascii="仿宋" w:hAnsi="仿宋" w:eastAsia="仿宋" w:cs="仿宋_GB2312"/>
          <w:b/>
          <w:color w:val="auto"/>
          <w:kern w:val="0"/>
          <w:sz w:val="28"/>
          <w:szCs w:val="28"/>
          <w:highlight w:val="none"/>
          <w:lang w:val="zh-CN"/>
        </w:rPr>
        <w:t>授权委托书（适用于联合体投标）</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2023年余杭区县道小修总包</w:t>
      </w:r>
      <w:r>
        <w:rPr>
          <w:rFonts w:hint="eastAsia" w:ascii="仿宋" w:hAnsi="仿宋" w:eastAsia="仿宋"/>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olor w:val="auto"/>
          <w:highlight w:val="none"/>
        </w:rPr>
      </w:pP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pStyle w:val="6"/>
        <w:tabs>
          <w:tab w:val="left" w:pos="432"/>
          <w:tab w:val="clear" w:pos="900"/>
        </w:tabs>
        <w:jc w:val="center"/>
        <w:rPr>
          <w:rStyle w:val="1101"/>
          <w:rFonts w:ascii="仿宋" w:hAnsi="仿宋" w:eastAsia="仿宋"/>
          <w:color w:val="auto"/>
          <w:highlight w:val="none"/>
          <w:lang w:val="en-US"/>
        </w:rPr>
      </w:pPr>
      <w:bookmarkStart w:id="655" w:name="_Toc8294"/>
      <w:bookmarkStart w:id="656" w:name="_Toc459762494"/>
      <w:bookmarkStart w:id="657" w:name="_Toc25898"/>
      <w:r>
        <w:rPr>
          <w:rStyle w:val="1101"/>
          <w:rFonts w:hint="eastAsia" w:ascii="仿宋" w:hAnsi="仿宋" w:eastAsia="仿宋"/>
          <w:color w:val="auto"/>
          <w:highlight w:val="none"/>
          <w:lang w:val="en-US"/>
        </w:rPr>
        <w:t>三、法定代表人和授权委托代表的有效身份证复印件</w:t>
      </w:r>
      <w:bookmarkEnd w:id="655"/>
      <w:bookmarkEnd w:id="656"/>
      <w:bookmarkEnd w:id="657"/>
    </w:p>
    <w:p>
      <w:pPr>
        <w:pStyle w:val="113"/>
        <w:adjustRightInd w:val="0"/>
        <w:snapToGrid w:val="0"/>
        <w:spacing w:line="360" w:lineRule="auto"/>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13"/>
              <w:adjustRightInd w:val="0"/>
              <w:snapToGri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113"/>
              <w:adjustRightInd w:val="0"/>
              <w:snapToGrid w:val="0"/>
              <w:spacing w:line="360" w:lineRule="auto"/>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w:t>
      </w:r>
    </w:p>
    <w:p>
      <w:pPr>
        <w:snapToGrid w:val="0"/>
        <w:spacing w:line="360" w:lineRule="auto"/>
        <w:ind w:firstLine="576"/>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投标人名称(电子签名)：                              </w:t>
      </w:r>
    </w:p>
    <w:p>
      <w:pPr>
        <w:snapToGrid w:val="0"/>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pStyle w:val="6"/>
        <w:tabs>
          <w:tab w:val="left" w:pos="432"/>
          <w:tab w:val="clear" w:pos="900"/>
        </w:tabs>
        <w:jc w:val="center"/>
        <w:rPr>
          <w:rStyle w:val="1101"/>
          <w:rFonts w:ascii="仿宋" w:hAnsi="仿宋" w:eastAsia="仿宋"/>
          <w:color w:val="auto"/>
          <w:highlight w:val="none"/>
          <w:lang w:val="en-US"/>
        </w:rPr>
      </w:pPr>
      <w:bookmarkStart w:id="658" w:name="_Toc9974"/>
      <w:bookmarkStart w:id="659" w:name="_Toc95313016"/>
      <w:bookmarkStart w:id="660" w:name="_Toc28197"/>
      <w:bookmarkStart w:id="661" w:name="_Toc29937"/>
      <w:bookmarkStart w:id="662" w:name="_Toc582074752"/>
      <w:bookmarkStart w:id="663" w:name="_Toc5272"/>
      <w:r>
        <w:rPr>
          <w:rStyle w:val="1101"/>
          <w:rFonts w:hint="eastAsia" w:ascii="仿宋" w:hAnsi="仿宋" w:eastAsia="仿宋"/>
          <w:color w:val="auto"/>
          <w:highlight w:val="none"/>
          <w:lang w:val="en-US"/>
        </w:rPr>
        <w:t>四、公司情况介绍</w:t>
      </w:r>
      <w:bookmarkEnd w:id="658"/>
      <w:bookmarkEnd w:id="659"/>
      <w:bookmarkEnd w:id="660"/>
      <w:bookmarkEnd w:id="661"/>
      <w:bookmarkEnd w:id="662"/>
      <w:bookmarkEnd w:id="663"/>
    </w:p>
    <w:p>
      <w:pPr>
        <w:pStyle w:val="6"/>
        <w:tabs>
          <w:tab w:val="left" w:pos="432"/>
          <w:tab w:val="clear" w:pos="900"/>
        </w:tabs>
        <w:jc w:val="center"/>
        <w:rPr>
          <w:rStyle w:val="1101"/>
          <w:rFonts w:ascii="仿宋" w:hAnsi="仿宋" w:eastAsia="仿宋"/>
          <w:color w:val="auto"/>
          <w:highlight w:val="none"/>
          <w:lang w:val="en-US"/>
        </w:rPr>
      </w:pPr>
      <w:bookmarkStart w:id="664" w:name="_Toc549"/>
      <w:bookmarkStart w:id="665" w:name="_Toc15640"/>
      <w:bookmarkStart w:id="666" w:name="_Toc16359"/>
      <w:bookmarkStart w:id="667" w:name="_Toc27107"/>
      <w:bookmarkStart w:id="668" w:name="_Toc95313017"/>
      <w:bookmarkStart w:id="669" w:name="_Toc1142344779"/>
      <w:r>
        <w:rPr>
          <w:rStyle w:val="1101"/>
          <w:rFonts w:hint="eastAsia" w:ascii="仿宋" w:hAnsi="仿宋" w:eastAsia="仿宋"/>
          <w:color w:val="auto"/>
          <w:highlight w:val="none"/>
          <w:lang w:val="en-US"/>
        </w:rPr>
        <w:t>五、供应商成功案例</w:t>
      </w:r>
      <w:bookmarkEnd w:id="664"/>
      <w:bookmarkEnd w:id="665"/>
      <w:bookmarkEnd w:id="666"/>
      <w:bookmarkEnd w:id="667"/>
      <w:bookmarkEnd w:id="668"/>
      <w:bookmarkEnd w:id="669"/>
    </w:p>
    <w:p>
      <w:pPr>
        <w:pStyle w:val="6"/>
        <w:tabs>
          <w:tab w:val="left" w:pos="432"/>
          <w:tab w:val="clear" w:pos="900"/>
        </w:tabs>
        <w:jc w:val="center"/>
        <w:rPr>
          <w:rStyle w:val="1101"/>
          <w:rFonts w:ascii="仿宋" w:hAnsi="仿宋" w:eastAsia="仿宋"/>
          <w:color w:val="auto"/>
          <w:highlight w:val="none"/>
          <w:lang w:val="en-US"/>
        </w:rPr>
      </w:pPr>
      <w:bookmarkStart w:id="670" w:name="_Toc2650"/>
      <w:bookmarkStart w:id="671" w:name="_Toc21999"/>
      <w:bookmarkStart w:id="672" w:name="_Toc95313018"/>
      <w:bookmarkStart w:id="673" w:name="_Toc884896473"/>
      <w:bookmarkStart w:id="674" w:name="_Toc2706"/>
      <w:bookmarkStart w:id="675" w:name="_Toc9921"/>
      <w:r>
        <w:rPr>
          <w:rStyle w:val="1101"/>
          <w:rFonts w:hint="eastAsia" w:ascii="仿宋" w:hAnsi="仿宋" w:eastAsia="仿宋"/>
          <w:color w:val="auto"/>
          <w:highlight w:val="none"/>
          <w:lang w:val="en-US"/>
        </w:rPr>
        <w:t>六、相关资质文件（如有）</w:t>
      </w:r>
      <w:bookmarkEnd w:id="670"/>
      <w:bookmarkEnd w:id="671"/>
      <w:bookmarkEnd w:id="672"/>
      <w:bookmarkEnd w:id="673"/>
      <w:bookmarkEnd w:id="674"/>
      <w:bookmarkEnd w:id="675"/>
    </w:p>
    <w:p>
      <w:pPr>
        <w:pStyle w:val="6"/>
        <w:tabs>
          <w:tab w:val="left" w:pos="432"/>
          <w:tab w:val="clear" w:pos="900"/>
        </w:tabs>
        <w:jc w:val="center"/>
        <w:rPr>
          <w:rStyle w:val="1101"/>
          <w:rFonts w:ascii="仿宋" w:hAnsi="仿宋" w:eastAsia="仿宋"/>
          <w:color w:val="auto"/>
          <w:highlight w:val="none"/>
          <w:lang w:val="en-US"/>
        </w:rPr>
      </w:pPr>
      <w:bookmarkStart w:id="676" w:name="_Toc18928"/>
      <w:bookmarkStart w:id="677" w:name="_Toc17051"/>
      <w:bookmarkStart w:id="678" w:name="_Toc95313019"/>
      <w:bookmarkStart w:id="679" w:name="_Toc1130766236"/>
      <w:bookmarkStart w:id="680" w:name="_Toc12619"/>
      <w:bookmarkStart w:id="681" w:name="_Toc11724"/>
      <w:r>
        <w:rPr>
          <w:rStyle w:val="1101"/>
          <w:rFonts w:hint="eastAsia" w:ascii="仿宋" w:hAnsi="仿宋" w:eastAsia="仿宋"/>
          <w:color w:val="auto"/>
          <w:highlight w:val="none"/>
          <w:lang w:val="en-US"/>
        </w:rPr>
        <w:t>七、供应商应提供针对项目的完整服务解决方案</w:t>
      </w:r>
      <w:bookmarkEnd w:id="676"/>
      <w:bookmarkEnd w:id="677"/>
      <w:bookmarkEnd w:id="678"/>
      <w:bookmarkEnd w:id="679"/>
      <w:bookmarkEnd w:id="680"/>
      <w:bookmarkEnd w:id="681"/>
    </w:p>
    <w:p>
      <w:pPr>
        <w:pStyle w:val="6"/>
        <w:tabs>
          <w:tab w:val="left" w:pos="432"/>
          <w:tab w:val="clear" w:pos="900"/>
        </w:tabs>
        <w:jc w:val="center"/>
        <w:rPr>
          <w:rStyle w:val="1101"/>
          <w:rFonts w:ascii="仿宋" w:hAnsi="仿宋" w:eastAsia="仿宋"/>
          <w:color w:val="auto"/>
          <w:highlight w:val="none"/>
          <w:lang w:val="en-US"/>
        </w:rPr>
      </w:pPr>
      <w:bookmarkStart w:id="682" w:name="_Toc12132"/>
      <w:bookmarkStart w:id="683" w:name="_Toc18170"/>
      <w:bookmarkStart w:id="684" w:name="_Toc1705336149"/>
      <w:bookmarkStart w:id="685" w:name="_Toc95313020"/>
      <w:bookmarkStart w:id="686" w:name="_Toc4527"/>
      <w:bookmarkStart w:id="687" w:name="_Toc6456"/>
      <w:r>
        <w:rPr>
          <w:rStyle w:val="1101"/>
          <w:rFonts w:hint="eastAsia" w:ascii="仿宋" w:hAnsi="仿宋" w:eastAsia="仿宋"/>
          <w:color w:val="auto"/>
          <w:highlight w:val="none"/>
          <w:lang w:val="en-US"/>
        </w:rPr>
        <w:t>八、项目组人员介绍、职责分配</w:t>
      </w:r>
      <w:bookmarkEnd w:id="682"/>
      <w:bookmarkEnd w:id="683"/>
      <w:bookmarkEnd w:id="684"/>
      <w:bookmarkEnd w:id="685"/>
      <w:bookmarkEnd w:id="686"/>
      <w:bookmarkEnd w:id="687"/>
    </w:p>
    <w:p>
      <w:pPr>
        <w:snapToGrid w:val="0"/>
        <w:spacing w:line="360" w:lineRule="auto"/>
        <w:rPr>
          <w:rFonts w:ascii="仿宋" w:hAnsi="仿宋" w:eastAsia="仿宋"/>
          <w:color w:val="auto"/>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6"/>
        <w:tabs>
          <w:tab w:val="left" w:pos="432"/>
          <w:tab w:val="clear" w:pos="900"/>
        </w:tabs>
        <w:jc w:val="center"/>
        <w:rPr>
          <w:rStyle w:val="1101"/>
          <w:rFonts w:ascii="仿宋" w:hAnsi="仿宋" w:eastAsia="仿宋"/>
          <w:color w:val="auto"/>
          <w:highlight w:val="none"/>
          <w:lang w:val="en-US"/>
        </w:rPr>
      </w:pPr>
      <w:bookmarkStart w:id="688" w:name="_Toc19138"/>
      <w:bookmarkStart w:id="689" w:name="_Toc18936"/>
      <w:bookmarkStart w:id="690" w:name="_Toc10913"/>
      <w:bookmarkStart w:id="691" w:name="_Toc14563"/>
      <w:bookmarkStart w:id="692" w:name="_Toc95313021"/>
      <w:bookmarkStart w:id="693" w:name="_Toc1267903381"/>
      <w:r>
        <w:rPr>
          <w:rStyle w:val="1101"/>
          <w:rFonts w:hint="eastAsia" w:ascii="仿宋" w:hAnsi="仿宋" w:eastAsia="仿宋"/>
          <w:color w:val="auto"/>
          <w:highlight w:val="none"/>
          <w:lang w:val="en-US"/>
        </w:rPr>
        <w:t>九、商务技术偏离表</w:t>
      </w:r>
      <w:bookmarkEnd w:id="688"/>
      <w:bookmarkEnd w:id="689"/>
      <w:bookmarkEnd w:id="690"/>
      <w:bookmarkEnd w:id="691"/>
      <w:bookmarkEnd w:id="692"/>
      <w:bookmarkEnd w:id="693"/>
    </w:p>
    <w:p>
      <w:pPr>
        <w:snapToGrid w:val="0"/>
        <w:spacing w:line="360" w:lineRule="auto"/>
        <w:jc w:val="center"/>
        <w:rPr>
          <w:rFonts w:ascii="仿宋" w:hAnsi="仿宋" w:eastAsia="仿宋"/>
          <w:b/>
          <w:bCs/>
          <w:color w:val="auto"/>
          <w:sz w:val="24"/>
          <w:highlight w:val="none"/>
        </w:rPr>
      </w:pPr>
    </w:p>
    <w:tbl>
      <w:tblPr>
        <w:tblStyle w:val="8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283"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3160"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1227" w:type="dxa"/>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 w:type="dxa"/>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283"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3160" w:type="dxa"/>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227" w:type="dxa"/>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45"/>
        <w:snapToGrid w:val="0"/>
        <w:spacing w:line="360" w:lineRule="auto"/>
        <w:rPr>
          <w:rFonts w:ascii="仿宋" w:hAnsi="仿宋" w:eastAsia="仿宋" w:cs="宋体"/>
          <w:b/>
          <w:bCs/>
          <w:color w:val="auto"/>
          <w:sz w:val="32"/>
          <w:szCs w:val="32"/>
          <w:highlight w:val="none"/>
        </w:rPr>
      </w:pPr>
    </w:p>
    <w:p>
      <w:pPr>
        <w:pStyle w:val="6"/>
        <w:tabs>
          <w:tab w:val="left" w:pos="432"/>
          <w:tab w:val="clear" w:pos="900"/>
        </w:tabs>
        <w:jc w:val="center"/>
        <w:rPr>
          <w:rStyle w:val="1101"/>
          <w:rFonts w:ascii="仿宋" w:hAnsi="仿宋" w:eastAsia="仿宋"/>
          <w:color w:val="auto"/>
          <w:highlight w:val="none"/>
          <w:lang w:val="en-US"/>
        </w:rPr>
      </w:pPr>
      <w:bookmarkStart w:id="694" w:name="_Toc15595"/>
      <w:bookmarkStart w:id="695" w:name="_Toc171895286"/>
      <w:bookmarkStart w:id="696" w:name="_Toc19072"/>
      <w:r>
        <w:rPr>
          <w:rStyle w:val="1101"/>
          <w:rFonts w:hint="eastAsia" w:ascii="仿宋" w:hAnsi="仿宋" w:eastAsia="仿宋"/>
          <w:color w:val="auto"/>
          <w:highlight w:val="none"/>
          <w:lang w:val="en-US"/>
        </w:rPr>
        <w:t>十、其他商务技术文件或说明</w:t>
      </w:r>
      <w:bookmarkEnd w:id="694"/>
      <w:bookmarkEnd w:id="695"/>
      <w:bookmarkEnd w:id="696"/>
      <w:bookmarkStart w:id="697" w:name="_Toc685"/>
      <w:bookmarkStart w:id="698" w:name="_Toc95313022"/>
      <w:bookmarkStart w:id="699" w:name="_Toc678566587"/>
      <w:bookmarkStart w:id="700" w:name="_Toc14486"/>
    </w:p>
    <w:p>
      <w:pPr>
        <w:spacing w:before="229" w:line="360" w:lineRule="auto"/>
        <w:ind w:right="-99" w:rightChars="-47"/>
        <w:jc w:val="left"/>
        <w:outlineLvl w:val="1"/>
        <w:rPr>
          <w:rFonts w:ascii="仿宋" w:hAnsi="仿宋" w:eastAsia="仿宋" w:cs="宋体"/>
          <w:b/>
          <w:bCs/>
          <w:color w:val="auto"/>
          <w:spacing w:val="1"/>
          <w:sz w:val="24"/>
          <w:highlight w:val="none"/>
        </w:rPr>
      </w:pPr>
      <w:r>
        <w:rPr>
          <w:rFonts w:ascii="仿宋" w:hAnsi="仿宋" w:eastAsia="仿宋" w:cs="宋体"/>
          <w:b/>
          <w:bCs/>
          <w:color w:val="auto"/>
          <w:spacing w:val="3"/>
          <w:sz w:val="24"/>
          <w:highlight w:val="none"/>
        </w:rPr>
        <w:t>承诺拟投入本项目</w:t>
      </w:r>
      <w:r>
        <w:rPr>
          <w:rFonts w:hint="eastAsia" w:ascii="仿宋" w:hAnsi="仿宋" w:eastAsia="仿宋" w:cs="宋体"/>
          <w:b/>
          <w:bCs/>
          <w:color w:val="auto"/>
          <w:spacing w:val="3"/>
          <w:sz w:val="24"/>
          <w:highlight w:val="none"/>
        </w:rPr>
        <w:t>养护</w:t>
      </w:r>
      <w:r>
        <w:rPr>
          <w:rFonts w:ascii="仿宋" w:hAnsi="仿宋" w:eastAsia="仿宋" w:cs="宋体"/>
          <w:b/>
          <w:bCs/>
          <w:color w:val="auto"/>
          <w:spacing w:val="3"/>
          <w:sz w:val="24"/>
          <w:highlight w:val="none"/>
        </w:rPr>
        <w:t>人员</w:t>
      </w:r>
      <w:r>
        <w:rPr>
          <w:rFonts w:hint="eastAsia" w:ascii="仿宋" w:hAnsi="仿宋" w:eastAsia="仿宋" w:cs="宋体"/>
          <w:b/>
          <w:bCs/>
          <w:color w:val="auto"/>
          <w:spacing w:val="3"/>
          <w:sz w:val="24"/>
          <w:highlight w:val="none"/>
        </w:rPr>
        <w:t>平均每公里</w:t>
      </w:r>
      <w:r>
        <w:rPr>
          <w:rFonts w:ascii="仿宋" w:hAnsi="仿宋" w:eastAsia="仿宋" w:cs="宋体"/>
          <w:b/>
          <w:bCs/>
          <w:color w:val="auto"/>
          <w:spacing w:val="3"/>
          <w:sz w:val="24"/>
          <w:highlight w:val="none"/>
        </w:rPr>
        <w:t>不少于</w:t>
      </w:r>
      <w:r>
        <w:rPr>
          <w:rFonts w:ascii="仿宋" w:hAnsi="仿宋" w:eastAsia="仿宋"/>
          <w:b/>
          <w:bCs/>
          <w:color w:val="auto"/>
          <w:spacing w:val="2"/>
          <w:sz w:val="24"/>
          <w:highlight w:val="none"/>
        </w:rPr>
        <w:t xml:space="preserve">2 </w:t>
      </w:r>
      <w:r>
        <w:rPr>
          <w:rFonts w:ascii="仿宋" w:hAnsi="仿宋" w:eastAsia="仿宋" w:cs="宋体"/>
          <w:b/>
          <w:bCs/>
          <w:color w:val="auto"/>
          <w:spacing w:val="3"/>
          <w:sz w:val="24"/>
          <w:highlight w:val="none"/>
        </w:rPr>
        <w:t>人，男性需在</w:t>
      </w:r>
      <w:r>
        <w:rPr>
          <w:rFonts w:ascii="仿宋" w:hAnsi="仿宋" w:eastAsia="仿宋"/>
          <w:b/>
          <w:bCs/>
          <w:color w:val="auto"/>
          <w:spacing w:val="2"/>
          <w:sz w:val="24"/>
          <w:highlight w:val="none"/>
        </w:rPr>
        <w:t xml:space="preserve"> 60</w:t>
      </w:r>
      <w:r>
        <w:rPr>
          <w:rFonts w:ascii="仿宋" w:hAnsi="仿宋" w:eastAsia="仿宋"/>
          <w:b/>
          <w:bCs/>
          <w:color w:val="auto"/>
          <w:sz w:val="24"/>
          <w:highlight w:val="none"/>
        </w:rPr>
        <w:t xml:space="preserve"> </w:t>
      </w:r>
      <w:r>
        <w:rPr>
          <w:rFonts w:ascii="仿宋" w:hAnsi="仿宋" w:eastAsia="仿宋" w:cs="宋体"/>
          <w:b/>
          <w:bCs/>
          <w:color w:val="auto"/>
          <w:spacing w:val="3"/>
          <w:sz w:val="24"/>
          <w:highlight w:val="none"/>
        </w:rPr>
        <w:t>周岁以下，女性</w:t>
      </w:r>
      <w:r>
        <w:rPr>
          <w:rFonts w:ascii="仿宋" w:hAnsi="仿宋" w:eastAsia="仿宋" w:cs="宋体"/>
          <w:b/>
          <w:bCs/>
          <w:color w:val="auto"/>
          <w:spacing w:val="2"/>
          <w:sz w:val="24"/>
          <w:highlight w:val="none"/>
        </w:rPr>
        <w:t>需在</w:t>
      </w:r>
      <w:r>
        <w:rPr>
          <w:rFonts w:ascii="仿宋" w:hAnsi="仿宋" w:eastAsia="仿宋"/>
          <w:b/>
          <w:bCs/>
          <w:color w:val="auto"/>
          <w:spacing w:val="-2"/>
          <w:sz w:val="24"/>
          <w:highlight w:val="none"/>
        </w:rPr>
        <w:t xml:space="preserve"> </w:t>
      </w:r>
      <w:r>
        <w:rPr>
          <w:rFonts w:ascii="仿宋" w:hAnsi="仿宋" w:eastAsia="仿宋"/>
          <w:b/>
          <w:bCs/>
          <w:color w:val="auto"/>
          <w:spacing w:val="2"/>
          <w:sz w:val="24"/>
          <w:highlight w:val="none"/>
        </w:rPr>
        <w:t>55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周岁以下。项目组成员不得有退休人员。项目负责人及技术负责人每月出勤天数不少于</w:t>
      </w:r>
      <w:r>
        <w:rPr>
          <w:rFonts w:ascii="仿宋" w:hAnsi="仿宋" w:eastAsia="仿宋"/>
          <w:b/>
          <w:bCs/>
          <w:color w:val="auto"/>
          <w:spacing w:val="-1"/>
          <w:sz w:val="24"/>
          <w:highlight w:val="none"/>
        </w:rPr>
        <w:t xml:space="preserve"> </w:t>
      </w:r>
      <w:r>
        <w:rPr>
          <w:rFonts w:ascii="仿宋" w:hAnsi="仿宋" w:eastAsia="仿宋"/>
          <w:b/>
          <w:bCs/>
          <w:color w:val="auto"/>
          <w:spacing w:val="2"/>
          <w:sz w:val="24"/>
          <w:highlight w:val="none"/>
        </w:rPr>
        <w:t>25</w:t>
      </w:r>
      <w:r>
        <w:rPr>
          <w:rFonts w:ascii="仿宋" w:hAnsi="仿宋" w:eastAsia="仿宋"/>
          <w:b/>
          <w:bCs/>
          <w:color w:val="auto"/>
          <w:spacing w:val="-2"/>
          <w:sz w:val="24"/>
          <w:highlight w:val="none"/>
        </w:rPr>
        <w:t xml:space="preserve"> </w:t>
      </w:r>
      <w:r>
        <w:rPr>
          <w:rFonts w:ascii="仿宋" w:hAnsi="仿宋" w:eastAsia="仿宋" w:cs="宋体"/>
          <w:b/>
          <w:bCs/>
          <w:color w:val="auto"/>
          <w:spacing w:val="1"/>
          <w:sz w:val="24"/>
          <w:highlight w:val="none"/>
        </w:rPr>
        <w:t>天，在有重大任务和突发事件时必须到位并组织工作</w:t>
      </w:r>
      <w:r>
        <w:rPr>
          <w:rFonts w:hint="eastAsia" w:ascii="仿宋" w:hAnsi="仿宋" w:eastAsia="仿宋" w:cs="宋体"/>
          <w:b/>
          <w:bCs/>
          <w:color w:val="auto"/>
          <w:spacing w:val="1"/>
          <w:sz w:val="24"/>
          <w:highlight w:val="none"/>
        </w:rPr>
        <w:t>（如目前还不具备，须在收到中标通知书之日起5个日历天内配齐相关人员，否者采购人有权取消合同）（格式自拟）</w:t>
      </w:r>
      <w:r>
        <w:rPr>
          <w:rFonts w:ascii="仿宋" w:hAnsi="仿宋" w:eastAsia="仿宋" w:cs="宋体"/>
          <w:b/>
          <w:bCs/>
          <w:color w:val="auto"/>
          <w:spacing w:val="1"/>
          <w:sz w:val="24"/>
          <w:highlight w:val="none"/>
        </w:rPr>
        <w:t>。</w:t>
      </w:r>
    </w:p>
    <w:p>
      <w:pPr>
        <w:spacing w:line="360" w:lineRule="auto"/>
        <w:rPr>
          <w:rFonts w:ascii="仿宋" w:hAnsi="仿宋" w:eastAsia="仿宋"/>
          <w:color w:val="auto"/>
          <w:highlight w:val="none"/>
        </w:rPr>
      </w:pPr>
    </w:p>
    <w:p>
      <w:pPr>
        <w:tabs>
          <w:tab w:val="left" w:pos="432"/>
        </w:tabs>
        <w:spacing w:line="360" w:lineRule="auto"/>
        <w:jc w:val="center"/>
        <w:rPr>
          <w:rStyle w:val="1101"/>
          <w:rFonts w:ascii="仿宋" w:hAnsi="仿宋" w:eastAsia="仿宋"/>
          <w:color w:val="auto"/>
          <w:highlight w:val="none"/>
          <w:lang w:val="en-US"/>
        </w:rPr>
      </w:pPr>
      <w:bookmarkStart w:id="701" w:name="_Toc7937"/>
    </w:p>
    <w:p>
      <w:pPr>
        <w:tabs>
          <w:tab w:val="left" w:pos="432"/>
        </w:tabs>
        <w:spacing w:line="360" w:lineRule="auto"/>
        <w:jc w:val="center"/>
        <w:rPr>
          <w:rStyle w:val="1101"/>
          <w:rFonts w:ascii="仿宋" w:hAnsi="仿宋" w:eastAsia="仿宋"/>
          <w:color w:val="auto"/>
          <w:highlight w:val="none"/>
          <w:lang w:val="en-US"/>
        </w:rPr>
      </w:pPr>
    </w:p>
    <w:p>
      <w:pPr>
        <w:pStyle w:val="2"/>
        <w:spacing w:line="360" w:lineRule="auto"/>
        <w:ind w:firstLine="0" w:firstLineChars="0"/>
        <w:rPr>
          <w:rFonts w:ascii="仿宋" w:hAnsi="仿宋" w:eastAsia="仿宋"/>
          <w:color w:val="auto"/>
          <w:highlight w:val="none"/>
        </w:rPr>
      </w:pPr>
    </w:p>
    <w:p>
      <w:pPr>
        <w:pStyle w:val="6"/>
        <w:tabs>
          <w:tab w:val="left" w:pos="432"/>
          <w:tab w:val="clear" w:pos="900"/>
        </w:tabs>
        <w:jc w:val="center"/>
        <w:rPr>
          <w:rStyle w:val="1101"/>
          <w:rFonts w:ascii="仿宋" w:hAnsi="仿宋" w:eastAsia="仿宋"/>
          <w:color w:val="auto"/>
          <w:highlight w:val="none"/>
          <w:lang w:val="en-US"/>
        </w:rPr>
      </w:pPr>
      <w:bookmarkStart w:id="702" w:name="_Toc9627"/>
      <w:r>
        <w:rPr>
          <w:rStyle w:val="1101"/>
          <w:rFonts w:hint="eastAsia" w:ascii="仿宋" w:hAnsi="仿宋" w:eastAsia="仿宋"/>
          <w:color w:val="auto"/>
          <w:highlight w:val="none"/>
          <w:lang w:val="en-US"/>
        </w:rPr>
        <w:t>十一、政府采购供应商廉洁自律承诺书</w:t>
      </w:r>
      <w:bookmarkEnd w:id="697"/>
      <w:bookmarkEnd w:id="698"/>
      <w:bookmarkEnd w:id="699"/>
      <w:bookmarkEnd w:id="700"/>
      <w:bookmarkEnd w:id="701"/>
      <w:bookmarkEnd w:id="702"/>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法》《中华人民共和国民法典》等法律法规，诚实守信，合法经营，坚决抵制各种违法违纪行为。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760" w:firstLineChars="24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r>
        <w:rPr>
          <w:rFonts w:ascii="仿宋" w:hAnsi="仿宋" w:eastAsia="仿宋" w:cs="仿宋_GB2312"/>
          <w:color w:val="auto"/>
          <w:kern w:val="0"/>
          <w:sz w:val="24"/>
          <w:highlight w:val="none"/>
          <w:lang w:val="zh-CN"/>
        </w:rPr>
        <w:t xml:space="preserve">                                                                                                                                                                                                               </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pStyle w:val="5"/>
        <w:jc w:val="center"/>
        <w:rPr>
          <w:rFonts w:ascii="仿宋" w:hAnsi="仿宋" w:eastAsia="仿宋"/>
          <w:color w:val="auto"/>
          <w:szCs w:val="28"/>
          <w:highlight w:val="none"/>
        </w:rPr>
      </w:pPr>
      <w:bookmarkStart w:id="703" w:name="_Toc10259"/>
      <w:bookmarkStart w:id="704" w:name="_Toc7258"/>
      <w:bookmarkStart w:id="705" w:name="_Toc95313023"/>
      <w:bookmarkStart w:id="706" w:name="_Toc1530462139"/>
      <w:bookmarkStart w:id="707" w:name="_Toc28502"/>
      <w:bookmarkStart w:id="708" w:name="_Toc13284"/>
      <w:r>
        <w:rPr>
          <w:rFonts w:hint="eastAsia" w:ascii="仿宋" w:hAnsi="仿宋" w:eastAsia="仿宋"/>
          <w:color w:val="auto"/>
          <w:szCs w:val="28"/>
          <w:highlight w:val="none"/>
        </w:rPr>
        <w:t>报价文件部分</w:t>
      </w:r>
      <w:bookmarkEnd w:id="703"/>
      <w:bookmarkEnd w:id="704"/>
      <w:bookmarkEnd w:id="705"/>
      <w:bookmarkEnd w:id="706"/>
      <w:bookmarkEnd w:id="707"/>
      <w:bookmarkEnd w:id="708"/>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125"/>
        <w:snapToGrid w:val="0"/>
        <w:ind w:firstLine="0" w:firstLineChars="0"/>
        <w:rPr>
          <w:rFonts w:ascii="仿宋" w:hAnsi="仿宋" w:eastAsia="仿宋" w:cs="仿宋_GB2312"/>
          <w:color w:val="auto"/>
          <w:highlight w:val="none"/>
        </w:rPr>
      </w:pPr>
      <w:r>
        <w:rPr>
          <w:rFonts w:hint="eastAsia" w:ascii="仿宋" w:hAnsi="仿宋" w:eastAsia="仿宋" w:cs="仿宋_GB2312"/>
          <w:color w:val="auto"/>
          <w:highlight w:val="none"/>
        </w:rPr>
        <w:t>（1）</w:t>
      </w:r>
      <w:r>
        <w:rPr>
          <w:rFonts w:ascii="仿宋" w:hAnsi="仿宋" w:eastAsia="仿宋" w:cs="仿宋_GB2312"/>
          <w:color w:val="auto"/>
          <w:highlight w:val="none"/>
        </w:rPr>
        <w:t>开标一览表（报价表）……</w:t>
      </w:r>
      <w:r>
        <w:rPr>
          <w:rFonts w:hint="eastAsia" w:ascii="仿宋" w:hAnsi="仿宋" w:eastAsia="仿宋" w:cs="仿宋_GB2312"/>
          <w:color w:val="auto"/>
          <w:highlight w:val="none"/>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1906" w:h="16838"/>
          <w:pgMar w:top="1440" w:right="1797" w:bottom="1440" w:left="1797" w:header="851" w:footer="992" w:gutter="0"/>
          <w:cols w:space="720" w:num="1"/>
          <w:docGrid w:linePitch="312" w:charSpace="0"/>
        </w:sectPr>
      </w:pPr>
    </w:p>
    <w:p>
      <w:pPr>
        <w:pStyle w:val="6"/>
        <w:tabs>
          <w:tab w:val="left" w:pos="432"/>
          <w:tab w:val="clear" w:pos="900"/>
        </w:tabs>
        <w:jc w:val="center"/>
        <w:rPr>
          <w:rStyle w:val="1101"/>
          <w:rFonts w:ascii="仿宋" w:hAnsi="仿宋" w:eastAsia="仿宋"/>
          <w:color w:val="auto"/>
          <w:highlight w:val="none"/>
          <w:lang w:val="en-US"/>
        </w:rPr>
      </w:pPr>
      <w:bookmarkStart w:id="709" w:name="_Toc22914"/>
      <w:bookmarkStart w:id="710" w:name="_Toc25121"/>
      <w:bookmarkStart w:id="711" w:name="_Toc4493"/>
      <w:bookmarkStart w:id="712" w:name="_Toc95313024"/>
      <w:bookmarkStart w:id="713" w:name="_Toc2065530054"/>
      <w:bookmarkStart w:id="714" w:name="_Toc29369"/>
      <w:r>
        <w:rPr>
          <w:rStyle w:val="1101"/>
          <w:rFonts w:hint="eastAsia" w:ascii="仿宋" w:hAnsi="仿宋" w:eastAsia="仿宋"/>
          <w:color w:val="auto"/>
          <w:highlight w:val="none"/>
          <w:lang w:val="en-US"/>
        </w:rPr>
        <w:t>一、开标一览表（报价表）</w:t>
      </w:r>
      <w:bookmarkEnd w:id="709"/>
      <w:bookmarkEnd w:id="710"/>
      <w:bookmarkEnd w:id="711"/>
      <w:bookmarkEnd w:id="712"/>
      <w:bookmarkEnd w:id="713"/>
      <w:bookmarkEnd w:id="714"/>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杭州市余杭区交通运输局、浙江省成套招标代理有限公司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2023年余杭区县道小修总包项目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rPr>
        <w:t>CTZB-2022100196</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bookmarkStart w:id="715" w:name="_Toc95736639"/>
      <w:r>
        <w:rPr>
          <w:rFonts w:hint="eastAsia" w:ascii="仿宋" w:hAnsi="仿宋" w:eastAsia="仿宋" w:cs="仿宋_GB2312"/>
          <w:b/>
          <w:color w:val="auto"/>
          <w:kern w:val="0"/>
          <w:sz w:val="24"/>
          <w:highlight w:val="none"/>
          <w:lang w:val="zh-CN"/>
        </w:rPr>
        <w:t>开标一览表（报价表）（单位：元）</w:t>
      </w:r>
    </w:p>
    <w:tbl>
      <w:tblPr>
        <w:tblStyle w:val="88"/>
        <w:tblW w:w="14174" w:type="dxa"/>
        <w:tblInd w:w="0" w:type="dxa"/>
        <w:tblLayout w:type="fixed"/>
        <w:tblCellMar>
          <w:top w:w="0" w:type="dxa"/>
          <w:left w:w="108" w:type="dxa"/>
          <w:bottom w:w="0" w:type="dxa"/>
          <w:right w:w="108" w:type="dxa"/>
        </w:tblCellMar>
      </w:tblPr>
      <w:tblGrid>
        <w:gridCol w:w="492"/>
        <w:gridCol w:w="2574"/>
        <w:gridCol w:w="1223"/>
        <w:gridCol w:w="1357"/>
        <w:gridCol w:w="1491"/>
        <w:gridCol w:w="2565"/>
        <w:gridCol w:w="1591"/>
        <w:gridCol w:w="988"/>
        <w:gridCol w:w="1893"/>
      </w:tblGrid>
      <w:tr>
        <w:tblPrEx>
          <w:tblCellMar>
            <w:top w:w="0" w:type="dxa"/>
            <w:left w:w="108" w:type="dxa"/>
            <w:bottom w:w="0" w:type="dxa"/>
            <w:right w:w="108" w:type="dxa"/>
          </w:tblCellMar>
        </w:tblPrEx>
        <w:trPr>
          <w:trHeight w:val="1231" w:hRule="atLeast"/>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2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线路名称</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里程</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（Km)</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养护等级</w:t>
            </w:r>
          </w:p>
        </w:tc>
        <w:tc>
          <w:tcPr>
            <w:tcW w:w="149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养护面积</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最高限价（单价）</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投标单价</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合计报价（万元）</w:t>
            </w:r>
          </w:p>
        </w:tc>
        <w:tc>
          <w:tcPr>
            <w:tcW w:w="18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备注</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长乐-径山</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18.00 </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15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漕桥-雅城</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19.13 </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双溪-后畈</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19.15 </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石竹园-关口场</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2.71 </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"file:///C:\\Users\\Lujia\\Desktop\\19.县道公路病历\\4.黄湖公路养护站\\7.百丈-甘岭.doc"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百丈-甘岭</w:t>
            </w:r>
            <w:r>
              <w:rPr>
                <w:rFonts w:hint="eastAsia" w:ascii="宋体" w:hAnsi="宋体" w:cs="宋体"/>
                <w:color w:val="auto"/>
                <w:kern w:val="0"/>
                <w:sz w:val="20"/>
                <w:szCs w:val="20"/>
                <w:highlight w:val="none"/>
              </w:rPr>
              <w:fldChar w:fldCharType="end"/>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5.485</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"file:///C:\\Users\\Lujia\\Desktop\\19.县道公路病历\\4.黄湖公路养护站\\8.小弄里-交界村.doc"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小弄里-交界村</w:t>
            </w:r>
            <w:r>
              <w:rPr>
                <w:rFonts w:hint="eastAsia" w:ascii="宋体" w:hAnsi="宋体" w:cs="宋体"/>
                <w:color w:val="auto"/>
                <w:kern w:val="0"/>
                <w:sz w:val="20"/>
                <w:szCs w:val="20"/>
                <w:highlight w:val="none"/>
              </w:rPr>
              <w:fldChar w:fldCharType="end"/>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9.368</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25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"file:///C:\\Users\\Lujia\\Desktop\\19.县道公路病历\\4.黄湖公路养护站\\9.双溪-洞桥.doc"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双溪-洞桥</w:t>
            </w:r>
            <w:r>
              <w:rPr>
                <w:rFonts w:hint="eastAsia" w:ascii="宋体" w:hAnsi="宋体" w:cs="宋体"/>
                <w:color w:val="auto"/>
                <w:kern w:val="0"/>
                <w:sz w:val="20"/>
                <w:szCs w:val="20"/>
                <w:highlight w:val="none"/>
              </w:rPr>
              <w:fldChar w:fldCharType="end"/>
            </w:r>
          </w:p>
        </w:tc>
        <w:tc>
          <w:tcPr>
            <w:tcW w:w="12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6.293</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彭公-余杭（凤凰岭）</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21.939</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fldChar w:fldCharType="begin"/>
            </w:r>
            <w:r>
              <w:rPr>
                <w:rFonts w:hint="eastAsia" w:ascii="宋体" w:hAnsi="宋体" w:cs="宋体"/>
                <w:color w:val="auto"/>
                <w:kern w:val="0"/>
                <w:sz w:val="20"/>
                <w:szCs w:val="20"/>
                <w:highlight w:val="none"/>
              </w:rPr>
              <w:instrText xml:space="preserve"> HYPERLINK "file:///C:\\Users\\Lujia\\Desktop\\19.县道公路病历\\4.黄湖公路养护站\\12.201省道-鸬鸟连接线.doc" </w:instrText>
            </w:r>
            <w:r>
              <w:rPr>
                <w:rFonts w:hint="eastAsia" w:ascii="宋体" w:hAnsi="宋体" w:cs="宋体"/>
                <w:color w:val="auto"/>
                <w:kern w:val="0"/>
                <w:sz w:val="20"/>
                <w:szCs w:val="20"/>
                <w:highlight w:val="none"/>
              </w:rPr>
              <w:fldChar w:fldCharType="separate"/>
            </w:r>
            <w:r>
              <w:rPr>
                <w:rFonts w:hint="eastAsia" w:ascii="宋体" w:hAnsi="宋体" w:cs="宋体"/>
                <w:color w:val="auto"/>
                <w:kern w:val="0"/>
                <w:sz w:val="20"/>
                <w:szCs w:val="20"/>
                <w:highlight w:val="none"/>
              </w:rPr>
              <w:t>201省道-鸬鸟连接线</w:t>
            </w:r>
            <w:r>
              <w:rPr>
                <w:rFonts w:hint="eastAsia" w:ascii="宋体" w:hAnsi="宋体" w:cs="宋体"/>
                <w:color w:val="auto"/>
                <w:kern w:val="0"/>
                <w:sz w:val="20"/>
                <w:szCs w:val="20"/>
                <w:highlight w:val="none"/>
              </w:rPr>
              <w:fldChar w:fldCharType="end"/>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1.634</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祥符桥-余杭</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11.237</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良化-上坟山</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15.438</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石岩山-茶场</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6.102</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安溪-上纤埠</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5.967</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257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石鸽-横溪桥</w:t>
            </w:r>
          </w:p>
        </w:tc>
        <w:tc>
          <w:tcPr>
            <w:tcW w:w="12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10.156</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荆山岭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余杭叉口</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4.81</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凤凰岭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中桥</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5.15</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长命</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下溪湾</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5.838</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25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良渚</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塘栖</w:t>
            </w:r>
          </w:p>
        </w:tc>
        <w:tc>
          <w:tcPr>
            <w:tcW w:w="122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19.121</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19</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毛园岭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潘板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15.458</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舟枕</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青山</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7.964</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21</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荆山岭</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大陆</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2.867</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22</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长命</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连琪塘</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1.425</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老15省道</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1.339</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勾庄</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陈家角</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2.496</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25</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东塘</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姚斗</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1.823</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26</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高桥</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泰山</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3.856</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27</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高桥</w:t>
            </w:r>
            <w:r>
              <w:rPr>
                <w:rFonts w:hint="eastAsia" w:ascii="宋体" w:hAnsi="宋体" w:cs="宋体"/>
                <w:color w:val="auto"/>
                <w:kern w:val="0"/>
                <w:sz w:val="20"/>
                <w:szCs w:val="20"/>
                <w:highlight w:val="none"/>
              </w:rPr>
              <w:t>-</w:t>
            </w:r>
            <w:r>
              <w:rPr>
                <w:rFonts w:hint="eastAsia" w:ascii="宋体" w:hAnsi="宋体" w:eastAsia="宋体" w:cs="宋体"/>
                <w:color w:val="auto"/>
                <w:kern w:val="0"/>
                <w:sz w:val="20"/>
                <w:szCs w:val="20"/>
                <w:highlight w:val="none"/>
              </w:rPr>
              <w:t>桦树村</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3.663</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老04省道</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1.441</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hint="eastAsia" w:ascii="宋体" w:hAnsi="宋体" w:eastAsia="宋体" w:cs="宋体"/>
                <w:color w:val="auto"/>
                <w:kern w:val="0"/>
                <w:sz w:val="20"/>
                <w:szCs w:val="20"/>
                <w:highlight w:val="none"/>
              </w:rPr>
              <w:t>·年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r>
              <w:rPr>
                <w:rFonts w:ascii="宋体" w:hAnsi="宋体" w:cs="宋体"/>
                <w:color w:val="auto"/>
                <w:kern w:val="0"/>
                <w:sz w:val="20"/>
                <w:szCs w:val="20"/>
                <w:highlight w:val="none"/>
              </w:rPr>
              <w:t>KM</w:t>
            </w:r>
            <w:r>
              <w:rPr>
                <w:rFonts w:ascii="仿宋" w:hAnsi="仿宋" w:eastAsia="仿宋" w:cs="宋体"/>
                <w:color w:val="auto"/>
                <w:kern w:val="0"/>
                <w:sz w:val="24"/>
                <w:highlight w:val="none"/>
              </w:rPr>
              <w:t>·年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20"/>
                <w:szCs w:val="20"/>
                <w:highlight w:val="none"/>
              </w:rPr>
              <w:t>29</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老104国道</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1.771</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74065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eastAsia="宋体" w:cs="宋体"/>
                <w:color w:val="auto"/>
                <w:kern w:val="0"/>
                <w:sz w:val="20"/>
                <w:szCs w:val="20"/>
                <w:highlight w:val="none"/>
              </w:rPr>
              <w:t>保洁、小修综合单价：13.92元/平方·年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0</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祥彭线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12.408</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186120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1</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临余线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8.509</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208471 </w:t>
            </w:r>
          </w:p>
        </w:tc>
        <w:tc>
          <w:tcPr>
            <w:tcW w:w="2565"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2</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瓶仓线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3.7</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167170 </w:t>
            </w:r>
          </w:p>
        </w:tc>
        <w:tc>
          <w:tcPr>
            <w:tcW w:w="2565"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3</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余百线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1.776</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30192 </w:t>
            </w:r>
          </w:p>
        </w:tc>
        <w:tc>
          <w:tcPr>
            <w:tcW w:w="2565"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4</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新长西线</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5.713</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三类城市化县道</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139969 </w:t>
            </w:r>
          </w:p>
        </w:tc>
        <w:tc>
          <w:tcPr>
            <w:tcW w:w="2565" w:type="dxa"/>
            <w:tcBorders>
              <w:top w:val="nil"/>
              <w:left w:val="nil"/>
              <w:bottom w:val="single" w:color="auto" w:sz="4" w:space="0"/>
              <w:right w:val="single" w:color="auto" w:sz="4" w:space="0"/>
            </w:tcBorders>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小修综合单价：</w:t>
            </w:r>
            <w:r>
              <w:rPr>
                <w:rFonts w:hint="eastAsia" w:ascii="宋体" w:hAnsi="宋体" w:eastAsia="宋体" w:cs="宋体"/>
                <w:color w:val="auto"/>
                <w:kern w:val="0"/>
                <w:sz w:val="20"/>
                <w:szCs w:val="20"/>
                <w:highlight w:val="none"/>
              </w:rPr>
              <w:t>6.96元/平方·年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s="宋体"/>
                <w:color w:val="auto"/>
                <w:kern w:val="0"/>
                <w:sz w:val="24"/>
                <w:highlight w:val="none"/>
              </w:rPr>
              <w:t>元/平方·年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5</w:t>
            </w:r>
          </w:p>
        </w:tc>
        <w:tc>
          <w:tcPr>
            <w:tcW w:w="257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大型桥梁（3座）</w:t>
            </w:r>
          </w:p>
        </w:tc>
        <w:tc>
          <w:tcPr>
            <w:tcW w:w="122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35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6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ascii="宋体" w:hAnsi="宋体" w:cs="宋体"/>
                <w:color w:val="auto"/>
                <w:kern w:val="0"/>
                <w:sz w:val="20"/>
                <w:szCs w:val="20"/>
                <w:highlight w:val="none"/>
              </w:rPr>
              <w:t>0</w:t>
            </w:r>
            <w:r>
              <w:rPr>
                <w:rFonts w:hint="eastAsia" w:ascii="宋体" w:hAnsi="宋体" w:cs="宋体"/>
                <w:color w:val="auto"/>
                <w:kern w:val="0"/>
                <w:sz w:val="20"/>
                <w:szCs w:val="20"/>
                <w:highlight w:val="none"/>
              </w:rPr>
              <w:t>万</w:t>
            </w:r>
            <w:r>
              <w:rPr>
                <w:rFonts w:hint="eastAsia" w:ascii="宋体" w:hAnsi="宋体" w:eastAsia="宋体" w:cs="宋体"/>
                <w:color w:val="auto"/>
                <w:kern w:val="0"/>
                <w:sz w:val="20"/>
                <w:szCs w:val="20"/>
                <w:highlight w:val="none"/>
              </w:rPr>
              <w:t>元/座·年</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ascii="仿宋" w:hAnsi="仿宋" w:eastAsia="仿宋"/>
                <w:color w:val="auto"/>
                <w:sz w:val="24"/>
                <w:highlight w:val="none"/>
              </w:rPr>
              <w:t>元/座·年</w:t>
            </w:r>
          </w:p>
        </w:tc>
        <w:tc>
          <w:tcPr>
            <w:tcW w:w="9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养护期2023年1月1日-2023年12月31日</w:t>
            </w:r>
          </w:p>
        </w:tc>
      </w:tr>
      <w:tr>
        <w:tblPrEx>
          <w:tblCellMar>
            <w:top w:w="0" w:type="dxa"/>
            <w:left w:w="108" w:type="dxa"/>
            <w:bottom w:w="0" w:type="dxa"/>
            <w:right w:w="108" w:type="dxa"/>
          </w:tblCellMar>
        </w:tblPrEx>
        <w:trPr>
          <w:trHeight w:val="699" w:hRule="atLeast"/>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6</w:t>
            </w:r>
          </w:p>
        </w:tc>
        <w:tc>
          <w:tcPr>
            <w:tcW w:w="10801"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auto"/>
                <w:sz w:val="24"/>
                <w:highlight w:val="none"/>
              </w:rPr>
            </w:pPr>
            <w:r>
              <w:rPr>
                <w:rFonts w:hint="eastAsia" w:ascii="仿宋" w:hAnsi="仿宋" w:eastAsia="仿宋" w:cs="宋体"/>
                <w:b/>
                <w:bCs/>
                <w:color w:val="auto"/>
                <w:sz w:val="24"/>
                <w:highlight w:val="none"/>
              </w:rPr>
              <w:t>投标报价（</w:t>
            </w:r>
            <w:r>
              <w:rPr>
                <w:rFonts w:ascii="仿宋" w:hAnsi="仿宋" w:eastAsia="仿宋" w:cs="宋体"/>
                <w:b/>
                <w:bCs/>
                <w:color w:val="auto"/>
                <w:sz w:val="24"/>
                <w:highlight w:val="none"/>
              </w:rPr>
              <w:t>1+2+3+4+5+6+7+8+9+10+11+12+13+14+15+16+17+18+19+20+21+22+23+24+25+26+27+28+29</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30</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31</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32</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33</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34</w:t>
            </w:r>
            <w:r>
              <w:rPr>
                <w:rFonts w:hint="eastAsia" w:ascii="仿宋" w:hAnsi="仿宋" w:eastAsia="仿宋" w:cs="宋体"/>
                <w:b/>
                <w:bCs/>
                <w:color w:val="auto"/>
                <w:sz w:val="24"/>
                <w:highlight w:val="none"/>
              </w:rPr>
              <w:t>+</w:t>
            </w:r>
            <w:r>
              <w:rPr>
                <w:rFonts w:ascii="仿宋" w:hAnsi="仿宋" w:eastAsia="仿宋" w:cs="宋体"/>
                <w:b/>
                <w:bCs/>
                <w:color w:val="auto"/>
                <w:sz w:val="24"/>
                <w:highlight w:val="none"/>
              </w:rPr>
              <w:t>35</w:t>
            </w:r>
            <w:r>
              <w:rPr>
                <w:rFonts w:hint="eastAsia" w:ascii="仿宋" w:hAnsi="仿宋" w:eastAsia="仿宋" w:cs="宋体"/>
                <w:b/>
                <w:bCs/>
                <w:color w:val="auto"/>
                <w:sz w:val="24"/>
                <w:highlight w:val="none"/>
              </w:rPr>
              <w:t>）（小写）</w:t>
            </w:r>
          </w:p>
        </w:tc>
        <w:tc>
          <w:tcPr>
            <w:tcW w:w="28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r>
              <w:rPr>
                <w:rFonts w:ascii="宋体" w:hAnsi="宋体" w:cs="宋体"/>
                <w:color w:val="auto"/>
                <w:kern w:val="0"/>
                <w:sz w:val="20"/>
                <w:szCs w:val="20"/>
                <w:highlight w:val="none"/>
              </w:rPr>
              <w:t>7</w:t>
            </w:r>
          </w:p>
        </w:tc>
        <w:tc>
          <w:tcPr>
            <w:tcW w:w="10801"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olor w:val="auto"/>
                <w:sz w:val="24"/>
                <w:highlight w:val="none"/>
              </w:rPr>
            </w:pPr>
            <w:r>
              <w:rPr>
                <w:rFonts w:hint="eastAsia" w:ascii="仿宋" w:hAnsi="仿宋" w:eastAsia="仿宋" w:cs="宋体"/>
                <w:b/>
                <w:bCs/>
                <w:color w:val="auto"/>
                <w:sz w:val="24"/>
                <w:highlight w:val="none"/>
              </w:rPr>
              <w:t>投标报价（大写）</w:t>
            </w:r>
          </w:p>
        </w:tc>
        <w:tc>
          <w:tcPr>
            <w:tcW w:w="28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p>
        </w:tc>
      </w:tr>
    </w:tbl>
    <w:p>
      <w:pPr>
        <w:snapToGrid w:val="0"/>
        <w:spacing w:line="360" w:lineRule="auto"/>
        <w:ind w:firstLine="482" w:firstLineChars="200"/>
        <w:rPr>
          <w:rFonts w:ascii="仿宋" w:hAnsi="仿宋" w:eastAsia="仿宋" w:cs="仿宋"/>
          <w:b/>
          <w:bCs/>
          <w:color w:val="auto"/>
          <w:sz w:val="24"/>
          <w:highlight w:val="none"/>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rPr>
        <w:t>、报价须包含按采购文件要求完成本项目所需的所有费用均计入报价。对于保障本项目完整顺利实施的必须项，如上述未包含，供应商需自行测算及预估，且费用均已包含在报价中。</w:t>
      </w:r>
      <w:r>
        <w:rPr>
          <w:rFonts w:hint="eastAsia" w:ascii="仿宋" w:hAnsi="仿宋" w:eastAsia="仿宋" w:cs="仿宋"/>
          <w:b/>
          <w:bCs/>
          <w:color w:val="auto"/>
          <w:sz w:val="24"/>
          <w:highlight w:val="none"/>
          <w:lang w:val="zh-CN"/>
        </w:rPr>
        <w:t>采购人将以合同形式有偿取得货物或服务，不接受</w:t>
      </w:r>
      <w:r>
        <w:rPr>
          <w:rFonts w:hint="eastAsia" w:ascii="仿宋" w:hAnsi="仿宋" w:eastAsia="仿宋" w:cs="仿宋"/>
          <w:b/>
          <w:bCs/>
          <w:color w:val="auto"/>
          <w:sz w:val="24"/>
          <w:highlight w:val="none"/>
        </w:rPr>
        <w:t>供应商</w:t>
      </w:r>
      <w:r>
        <w:rPr>
          <w:rFonts w:hint="eastAsia" w:ascii="仿宋" w:hAnsi="仿宋" w:eastAsia="仿宋" w:cs="仿宋"/>
          <w:b/>
          <w:bCs/>
          <w:color w:val="auto"/>
          <w:sz w:val="24"/>
          <w:highlight w:val="none"/>
          <w:lang w:val="zh-CN"/>
        </w:rPr>
        <w:t>给予的赠品、回扣或者与采购无关的其他商品、服务，不得出现“0元”“免费赠送”等形式的无偿报价，</w:t>
      </w:r>
      <w:r>
        <w:rPr>
          <w:rFonts w:hint="eastAsia" w:ascii="仿宋" w:hAnsi="仿宋" w:eastAsia="仿宋" w:cs="仿宋"/>
          <w:b/>
          <w:bCs/>
          <w:color w:val="auto"/>
          <w:sz w:val="24"/>
          <w:highlight w:val="none"/>
        </w:rPr>
        <w:t>否则视为投标文件含有采购人不能接受的附加条件的，投标无效</w:t>
      </w:r>
      <w:r>
        <w:rPr>
          <w:rFonts w:hint="eastAsia" w:ascii="仿宋" w:hAnsi="仿宋" w:eastAsia="仿宋" w:cs="仿宋"/>
          <w:b/>
          <w:bCs/>
          <w:color w:val="auto"/>
          <w:sz w:val="24"/>
          <w:highlight w:val="none"/>
          <w:lang w:val="zh-CN"/>
        </w:rPr>
        <w:t>。</w:t>
      </w:r>
      <w:bookmarkEnd w:id="715"/>
    </w:p>
    <w:p>
      <w:pPr>
        <w:snapToGrid w:val="0"/>
        <w:spacing w:line="360" w:lineRule="auto"/>
        <w:ind w:firstLine="480" w:firstLineChars="20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rPr>
        <w:t>2</w:t>
      </w:r>
      <w:r>
        <w:rPr>
          <w:rFonts w:ascii="仿宋" w:hAnsi="仿宋" w:eastAsia="仿宋" w:cs="仿宋_GB2312"/>
          <w:color w:val="auto"/>
          <w:kern w:val="0"/>
          <w:sz w:val="24"/>
          <w:highlight w:val="none"/>
          <w:lang w:val="zh-CN"/>
        </w:rPr>
        <w:t>、特别提示：采购代理机构将对</w:t>
      </w:r>
      <w:r>
        <w:rPr>
          <w:rFonts w:hint="eastAsia" w:ascii="仿宋" w:hAnsi="仿宋" w:eastAsia="仿宋" w:cs="仿宋_GB2312"/>
          <w:color w:val="auto"/>
          <w:kern w:val="0"/>
          <w:sz w:val="24"/>
          <w:highlight w:val="none"/>
          <w:lang w:val="zh-CN"/>
        </w:rPr>
        <w:t>项目名称、</w:t>
      </w:r>
      <w:r>
        <w:rPr>
          <w:rFonts w:ascii="仿宋" w:hAnsi="仿宋" w:eastAsia="仿宋" w:cs="仿宋_GB2312"/>
          <w:color w:val="auto"/>
          <w:kern w:val="0"/>
          <w:sz w:val="24"/>
          <w:highlight w:val="none"/>
          <w:lang w:val="zh-CN"/>
        </w:rPr>
        <w:t>项目编号，中标供应商名称、地址和中标金额，主要中标标的</w:t>
      </w:r>
      <w:r>
        <w:rPr>
          <w:rFonts w:hint="eastAsia" w:ascii="仿宋" w:hAnsi="仿宋" w:eastAsia="仿宋" w:cs="仿宋_GB2312"/>
          <w:color w:val="auto"/>
          <w:kern w:val="0"/>
          <w:sz w:val="24"/>
          <w:highlight w:val="none"/>
          <w:lang w:val="zh-CN"/>
        </w:rPr>
        <w:t>的名称单价、服务要求等予以公示。</w:t>
      </w: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投标人名称(电子签名)：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pStyle w:val="401"/>
        <w:tabs>
          <w:tab w:val="clear" w:pos="720"/>
        </w:tabs>
        <w:snapToGrid w:val="0"/>
        <w:ind w:firstLine="643"/>
        <w:outlineLvl w:val="9"/>
        <w:rPr>
          <w:rFonts w:ascii="仿宋" w:hAnsi="仿宋" w:eastAsia="仿宋" w:cs="仿宋_GB2312"/>
          <w:color w:val="auto"/>
          <w:kern w:val="2"/>
          <w:sz w:val="32"/>
          <w:szCs w:val="32"/>
          <w:highlight w:val="none"/>
        </w:rPr>
        <w:sectPr>
          <w:pgSz w:w="16838" w:h="11906" w:orient="landscape"/>
          <w:pgMar w:top="1797" w:right="1440" w:bottom="1797" w:left="1440" w:header="851" w:footer="992" w:gutter="0"/>
          <w:cols w:space="720" w:num="1"/>
          <w:titlePg/>
          <w:docGrid w:linePitch="312" w:charSpace="0"/>
        </w:sectPr>
      </w:pPr>
    </w:p>
    <w:p>
      <w:pPr>
        <w:pStyle w:val="4"/>
        <w:jc w:val="center"/>
        <w:rPr>
          <w:rFonts w:ascii="仿宋" w:hAnsi="仿宋" w:eastAsia="仿宋"/>
          <w:color w:val="auto"/>
          <w:highlight w:val="none"/>
        </w:rPr>
      </w:pPr>
      <w:bookmarkStart w:id="716" w:name="_Toc95313028"/>
      <w:bookmarkStart w:id="717" w:name="_Toc30388"/>
      <w:bookmarkStart w:id="718" w:name="_Toc3941"/>
      <w:bookmarkStart w:id="719" w:name="_Toc1629831275"/>
      <w:bookmarkStart w:id="720" w:name="_Toc7477"/>
      <w:bookmarkStart w:id="721" w:name="_Toc18250"/>
      <w:r>
        <w:rPr>
          <w:rFonts w:hint="eastAsia" w:ascii="仿宋" w:hAnsi="仿宋" w:eastAsia="仿宋"/>
          <w:color w:val="auto"/>
          <w:highlight w:val="none"/>
        </w:rPr>
        <w:t>政府采购支持中小企业信用融资相关事项通知</w:t>
      </w:r>
      <w:bookmarkEnd w:id="716"/>
      <w:bookmarkEnd w:id="717"/>
      <w:bookmarkEnd w:id="718"/>
      <w:bookmarkEnd w:id="719"/>
      <w:bookmarkEnd w:id="720"/>
      <w:bookmarkEnd w:id="721"/>
    </w:p>
    <w:p>
      <w:pPr>
        <w:snapToGrid w:val="0"/>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三、政府采购信用融资操作流程：</w:t>
      </w:r>
    </w:p>
    <w:p>
      <w:pPr>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（三）杭州e融平台申请融资</w:t>
      </w:r>
    </w:p>
    <w:p>
      <w:pPr>
        <w:tabs>
          <w:tab w:val="left" w:pos="432"/>
        </w:tabs>
        <w:snapToGrid w:val="0"/>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供应商通过杭州e融平台政采贷专区，自行选择金融产品，按规定手续办理贷款流程。</w:t>
      </w:r>
    </w:p>
    <w:p>
      <w:pPr>
        <w:snapToGrid w:val="0"/>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pStyle w:val="4"/>
        <w:jc w:val="left"/>
        <w:rPr>
          <w:rFonts w:ascii="仿宋" w:hAnsi="仿宋" w:eastAsia="仿宋"/>
          <w:color w:val="auto"/>
          <w:sz w:val="32"/>
          <w:szCs w:val="32"/>
          <w:highlight w:val="none"/>
        </w:rPr>
      </w:pPr>
      <w:bookmarkStart w:id="722" w:name="_Toc28957"/>
      <w:r>
        <w:rPr>
          <w:rFonts w:hint="eastAsia" w:ascii="仿宋" w:hAnsi="仿宋" w:eastAsia="仿宋"/>
          <w:color w:val="auto"/>
          <w:sz w:val="32"/>
          <w:szCs w:val="32"/>
          <w:highlight w:val="none"/>
        </w:rPr>
        <w:t>附件1：</w:t>
      </w:r>
      <w:bookmarkEnd w:id="722"/>
    </w:p>
    <w:p>
      <w:pPr>
        <w:pStyle w:val="4"/>
        <w:jc w:val="center"/>
        <w:rPr>
          <w:rFonts w:ascii="仿宋" w:hAnsi="仿宋" w:eastAsia="仿宋"/>
          <w:color w:val="auto"/>
          <w:sz w:val="32"/>
          <w:szCs w:val="32"/>
          <w:highlight w:val="none"/>
        </w:rPr>
      </w:pPr>
      <w:bookmarkStart w:id="723" w:name="OLE_LINK13"/>
      <w:bookmarkStart w:id="724" w:name="_Toc23554"/>
      <w:bookmarkStart w:id="725" w:name="OLE_LINK14"/>
      <w:r>
        <w:rPr>
          <w:rFonts w:hint="eastAsia" w:ascii="仿宋" w:hAnsi="仿宋" w:eastAsia="仿宋"/>
          <w:color w:val="auto"/>
          <w:sz w:val="32"/>
          <w:szCs w:val="32"/>
          <w:highlight w:val="none"/>
        </w:rPr>
        <w:t>残疾人福利性单位声明函</w:t>
      </w:r>
      <w:bookmarkEnd w:id="723"/>
      <w:bookmarkEnd w:id="724"/>
      <w:bookmarkEnd w:id="725"/>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民政部</w:t>
      </w: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kern w:val="0"/>
          <w:sz w:val="24"/>
          <w:highlight w:val="none"/>
          <w:lang w:val="zh-CN"/>
        </w:rPr>
        <w:t xml:space="preserve"> 投标人名称(电子签名)</w:t>
      </w:r>
      <w:r>
        <w:rPr>
          <w:rFonts w:hint="eastAsia" w:ascii="仿宋" w:hAnsi="仿宋" w:eastAsia="仿宋" w:cs="仿宋_GB2312"/>
          <w:color w:val="auto"/>
          <w:sz w:val="24"/>
          <w:highlight w:val="none"/>
        </w:rPr>
        <w:t>：</w:t>
      </w:r>
    </w:p>
    <w:p>
      <w:pPr>
        <w:tabs>
          <w:tab w:val="left" w:pos="4860"/>
        </w:tabs>
        <w:snapToGrid w:val="0"/>
        <w:spacing w:line="360" w:lineRule="auto"/>
        <w:ind w:firstLine="480" w:firstLineChars="200"/>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  期：</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
        <w:jc w:val="left"/>
        <w:rPr>
          <w:rFonts w:ascii="仿宋" w:hAnsi="仿宋" w:eastAsia="仿宋"/>
          <w:color w:val="auto"/>
          <w:sz w:val="32"/>
          <w:szCs w:val="32"/>
          <w:highlight w:val="none"/>
        </w:rPr>
      </w:pPr>
      <w:bookmarkStart w:id="726" w:name="_Toc23705"/>
      <w:r>
        <w:rPr>
          <w:rFonts w:hint="eastAsia" w:ascii="仿宋" w:hAnsi="仿宋" w:eastAsia="仿宋"/>
          <w:color w:val="auto"/>
          <w:sz w:val="32"/>
          <w:szCs w:val="32"/>
          <w:highlight w:val="none"/>
        </w:rPr>
        <w:t>附件2：质疑函范本及制作说明</w:t>
      </w:r>
      <w:bookmarkEnd w:id="726"/>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ascii="仿宋" w:hAnsi="仿宋" w:eastAsia="仿宋" w:cs="仿宋"/>
          <w:color w:val="auto"/>
          <w:sz w:val="24"/>
          <w:highlight w:val="none"/>
          <w:u w:val="dotted"/>
        </w:rPr>
        <w:t xml:space="preserve">                                           </w:t>
      </w:r>
      <w:r>
        <w:rPr>
          <w:rFonts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ascii="仿宋" w:hAnsi="仿宋" w:eastAsia="仿宋" w:cs="仿宋"/>
          <w:color w:val="auto"/>
          <w:sz w:val="24"/>
          <w:highlight w:val="none"/>
        </w:rPr>
        <w:t xml:space="preserve"> </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ascii="仿宋" w:hAnsi="仿宋" w:eastAsia="仿宋" w:cs="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jc w:val="center"/>
        <w:rPr>
          <w:rFonts w:ascii="仿宋" w:hAnsi="仿宋" w:eastAsia="仿宋" w:cs="仿宋"/>
          <w:b/>
          <w:bCs/>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pPr>
        <w:widowControl/>
        <w:snapToGrid w:val="0"/>
        <w:spacing w:line="360" w:lineRule="auto"/>
        <w:ind w:firstLine="600" w:firstLineChars="200"/>
        <w:jc w:val="left"/>
        <w:rPr>
          <w:rFonts w:ascii="仿宋" w:hAnsi="仿宋" w:eastAsia="仿宋"/>
          <w:color w:val="auto"/>
          <w:sz w:val="30"/>
          <w:szCs w:val="30"/>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center"/>
        <w:rPr>
          <w:rFonts w:ascii="仿宋" w:hAnsi="仿宋" w:eastAsia="仿宋"/>
          <w:b/>
          <w:color w:val="auto"/>
          <w:spacing w:val="6"/>
          <w:sz w:val="32"/>
          <w:szCs w:val="32"/>
          <w:highlight w:val="none"/>
        </w:rPr>
      </w:pPr>
    </w:p>
    <w:p>
      <w:pPr>
        <w:snapToGrid w:val="0"/>
        <w:spacing w:line="360" w:lineRule="auto"/>
        <w:jc w:val="left"/>
        <w:rPr>
          <w:rFonts w:ascii="仿宋" w:hAnsi="仿宋" w:eastAsia="仿宋"/>
          <w:b/>
          <w:color w:val="auto"/>
          <w:spacing w:val="6"/>
          <w:sz w:val="32"/>
          <w:szCs w:val="32"/>
          <w:highlight w:val="none"/>
        </w:rPr>
      </w:pPr>
    </w:p>
    <w:p>
      <w:pPr>
        <w:tabs>
          <w:tab w:val="left" w:pos="432"/>
        </w:tabs>
        <w:spacing w:line="360" w:lineRule="auto"/>
        <w:jc w:val="left"/>
        <w:rPr>
          <w:rFonts w:ascii="仿宋" w:hAnsi="仿宋" w:eastAsia="仿宋"/>
          <w:color w:val="auto"/>
          <w:sz w:val="32"/>
          <w:szCs w:val="32"/>
          <w:highlight w:val="none"/>
        </w:rPr>
      </w:pPr>
    </w:p>
    <w:p>
      <w:pPr>
        <w:pStyle w:val="4"/>
        <w:jc w:val="left"/>
        <w:rPr>
          <w:rFonts w:ascii="仿宋" w:hAnsi="仿宋" w:eastAsia="仿宋"/>
          <w:color w:val="auto"/>
          <w:sz w:val="32"/>
          <w:szCs w:val="32"/>
          <w:highlight w:val="none"/>
        </w:rPr>
      </w:pPr>
      <w:bookmarkStart w:id="727" w:name="_Toc687"/>
      <w:r>
        <w:rPr>
          <w:rFonts w:hint="eastAsia" w:ascii="仿宋" w:hAnsi="仿宋" w:eastAsia="仿宋"/>
          <w:color w:val="auto"/>
          <w:sz w:val="32"/>
          <w:szCs w:val="32"/>
          <w:highlight w:val="none"/>
        </w:rPr>
        <w:t>附件3：投诉书范本及制作说明</w:t>
      </w:r>
      <w:bookmarkEnd w:id="727"/>
    </w:p>
    <w:p>
      <w:pPr>
        <w:snapToGrid w:val="0"/>
        <w:spacing w:line="360" w:lineRule="auto"/>
        <w:jc w:val="center"/>
        <w:rPr>
          <w:rFonts w:ascii="仿宋" w:hAnsi="仿宋" w:eastAsia="仿宋"/>
          <w:b/>
          <w:color w:val="auto"/>
          <w:sz w:val="24"/>
          <w:highlight w:val="none"/>
        </w:rPr>
      </w:pPr>
    </w:p>
    <w:p>
      <w:pPr>
        <w:snapToGrid w:val="0"/>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tabs>
          <w:tab w:val="left" w:pos="6510"/>
        </w:tabs>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tabs>
          <w:tab w:val="left" w:pos="6510"/>
        </w:tabs>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u w:val="dotted"/>
        </w:rPr>
        <w:t>：</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w:t>
      </w:r>
      <w:r>
        <w:rPr>
          <w:rFonts w:ascii="仿宋" w:hAnsi="仿宋" w:eastAsia="仿宋"/>
          <w:color w:val="auto"/>
          <w:sz w:val="24"/>
          <w:highlight w:val="none"/>
        </w:rPr>
        <w:t xml:space="preserve">     </w:t>
      </w:r>
      <w:r>
        <w:rPr>
          <w:rFonts w:hint="eastAsia" w:ascii="仿宋" w:hAnsi="仿宋" w:eastAsia="仿宋"/>
          <w:color w:val="auto"/>
          <w:sz w:val="24"/>
          <w:highlight w:val="none"/>
        </w:rPr>
        <w:t>址：</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邮编：</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联系电话：</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包号：</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r>
        <w:rPr>
          <w:rFonts w:ascii="仿宋" w:hAnsi="仿宋" w:eastAsia="仿宋"/>
          <w:color w:val="auto"/>
          <w:sz w:val="24"/>
          <w:highlight w:val="none"/>
          <w:u w:val="dotted"/>
        </w:rPr>
        <w:t xml:space="preserve">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pPr>
        <w:snapToGrid w:val="0"/>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,向</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提出质疑，质疑事项为：</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年</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月</w:t>
      </w:r>
      <w:r>
        <w:rPr>
          <w:rFonts w:ascii="仿宋" w:hAnsi="仿宋" w:eastAsia="仿宋"/>
          <w:color w:val="auto"/>
          <w:sz w:val="24"/>
          <w:highlight w:val="none"/>
          <w:u w:val="dotted"/>
        </w:rPr>
        <w:t xml:space="preserve">   </w:t>
      </w:r>
      <w:r>
        <w:rPr>
          <w:rFonts w:hint="eastAsia" w:ascii="仿宋" w:hAnsi="仿宋" w:eastAsia="仿宋"/>
          <w:color w:val="auto"/>
          <w:sz w:val="24"/>
          <w:highlight w:val="none"/>
        </w:rPr>
        <w:t>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u w:val="dotted"/>
        </w:rPr>
      </w:pPr>
      <w:r>
        <w:rPr>
          <w:rFonts w:ascii="仿宋" w:hAnsi="仿宋" w:eastAsia="仿宋"/>
          <w:color w:val="auto"/>
          <w:sz w:val="24"/>
          <w:highlight w:val="none"/>
          <w:u w:val="dotted"/>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pPr>
        <w:snapToGrid w:val="0"/>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r>
        <w:rPr>
          <w:rFonts w:ascii="仿宋" w:hAnsi="仿宋" w:eastAsia="仿宋"/>
          <w:color w:val="auto"/>
          <w:sz w:val="24"/>
          <w:highlight w:val="none"/>
          <w:u w:val="dotted"/>
        </w:rPr>
        <w:t xml:space="preserve">                                              </w:t>
      </w: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u w:val="single"/>
        </w:rPr>
      </w:pPr>
      <w:r>
        <w:rPr>
          <w:rFonts w:ascii="仿宋" w:hAnsi="仿宋" w:eastAsia="仿宋"/>
          <w:color w:val="auto"/>
          <w:sz w:val="24"/>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 xml:space="preserve">    </w:t>
      </w: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pPr>
        <w:widowControl/>
        <w:snapToGrid w:val="0"/>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pPr>
        <w:widowControl/>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pPr>
        <w:widowControl/>
        <w:snapToGrid w:val="0"/>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pPr>
        <w:tabs>
          <w:tab w:val="left" w:pos="432"/>
        </w:tabs>
        <w:spacing w:line="360" w:lineRule="auto"/>
        <w:jc w:val="center"/>
        <w:rPr>
          <w:rFonts w:ascii="仿宋" w:hAnsi="仿宋" w:eastAsia="仿宋"/>
          <w:color w:val="auto"/>
          <w:sz w:val="32"/>
          <w:szCs w:val="32"/>
          <w:highlight w:val="none"/>
        </w:rPr>
      </w:pPr>
    </w:p>
    <w:p>
      <w:pPr>
        <w:pStyle w:val="4"/>
        <w:jc w:val="center"/>
        <w:rPr>
          <w:rFonts w:ascii="仿宋" w:hAnsi="仿宋" w:eastAsia="仿宋"/>
          <w:color w:val="auto"/>
          <w:sz w:val="32"/>
          <w:szCs w:val="32"/>
          <w:highlight w:val="none"/>
        </w:rPr>
      </w:pPr>
      <w:bookmarkStart w:id="728" w:name="_Toc5582"/>
      <w:r>
        <w:rPr>
          <w:rFonts w:hint="eastAsia" w:ascii="仿宋" w:hAnsi="仿宋" w:eastAsia="仿宋"/>
          <w:color w:val="auto"/>
          <w:sz w:val="32"/>
          <w:szCs w:val="32"/>
          <w:highlight w:val="none"/>
        </w:rPr>
        <w:t>附件4：业务专用章使用说明函</w:t>
      </w:r>
      <w:bookmarkEnd w:id="728"/>
    </w:p>
    <w:p>
      <w:pPr>
        <w:snapToGrid w:val="0"/>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杭州市余杭区交通运输局、浙江省成套招标代理有限公司</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投标人</w:t>
      </w:r>
      <w:r>
        <w:rPr>
          <w:rFonts w:ascii="仿宋" w:hAnsi="仿宋" w:eastAsia="仿宋" w:cs="仿宋_GB2312"/>
          <w:color w:val="auto"/>
          <w:sz w:val="24"/>
          <w:highlight w:val="none"/>
        </w:rPr>
        <w:t>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你方组织的2023年余杭区县道小修总包项目【招标编号：CTZB-2022100196</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94"/>
        <w:rPr>
          <w:rFonts w:ascii="仿宋" w:hAnsi="仿宋" w:eastAsia="仿宋" w:cs="宋体"/>
          <w:color w:val="auto"/>
          <w:sz w:val="24"/>
          <w:highlight w:val="none"/>
        </w:rPr>
      </w:pPr>
    </w:p>
    <w:p>
      <w:pPr>
        <w:snapToGrid w:val="0"/>
        <w:spacing w:line="360" w:lineRule="auto"/>
        <w:ind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napToGrid w:val="0"/>
        <w:spacing w:line="360" w:lineRule="auto"/>
        <w:ind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snapToGrid w:val="0"/>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napToGrid w:val="0"/>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2"/>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Ousx0foBAAAf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eBEssMNvz3tx+/&#10;fn4nVdJm8FBjyJ2/DZMHaCaixzaY9EcK5Jj1PJ31lMdIOG5Wb8qrq+WCEo5nVbV4vZwvEmpxf90H&#10;iB+kMyQZDQ3YsKwjO3yEOIb+DUnZwGkltkrr7IRu904HcmDY3G3+JvRHYdqSoaHXiyoVwnBiW5wU&#10;NI1H1mC7nO/RDXgIXObvX8CpsA2DfiwgI6QwVhsVZchWL5l4bwWJJ4/KWnxQNBVjpKBES3x/ycqR&#10;kSl9SSRqpy1KmDoz9iJZOydO2Me9D6rrUcd5rjed4NxkwacZT4P50M9I9+96/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jB2AAAAAoBAAAPAAAAAAAAAAEAIAAAACIAAABkcnMvZG93bnJldi54&#10;bWxQSwECFAAUAAAACACHTuJAOusx0foBAAAfBAAADgAAAAAAAAABACAAAAAnAQAAZHJzL2Uyb0Rv&#10;Yy54bWxQSwUGAAAAAAYABgBZAQAAkwUAAAAA&#10;">
                <v:fill on="t" focussize="0,0"/>
                <v:stroke color="#000000"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矩形 1"/>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F2QAAAAoBAAAPAAAAAAAAAAEAIAAAACIAAABkcnMvZG93bnJldi54&#10;bWxQSwECFAAUAAAACACHTuJAJgI4f/kBAAAfBAAADgAAAAAAAAABACAAAAAoAQAAZHJzL2Uyb0Rv&#10;Yy54bWxQSwUGAAAAAAYABgBZAQAAkwU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autoSpaceDE w:val="0"/>
        <w:autoSpaceDN w:val="0"/>
        <w:snapToGrid w:val="0"/>
        <w:spacing w:line="360" w:lineRule="auto"/>
        <w:jc w:val="center"/>
        <w:rPr>
          <w:rFonts w:ascii="仿宋" w:hAnsi="仿宋" w:eastAsia="仿宋"/>
          <w:b/>
          <w:color w:val="auto"/>
          <w:spacing w:val="6"/>
          <w:sz w:val="32"/>
          <w:szCs w:val="32"/>
          <w:highlight w:val="none"/>
        </w:rPr>
      </w:pPr>
    </w:p>
    <w:p>
      <w:pPr>
        <w:pStyle w:val="4"/>
        <w:rPr>
          <w:rFonts w:ascii="仿宋" w:hAnsi="仿宋" w:eastAsia="仿宋"/>
          <w:color w:val="auto"/>
          <w:sz w:val="32"/>
          <w:szCs w:val="32"/>
          <w:highlight w:val="none"/>
        </w:rPr>
      </w:pPr>
      <w:r>
        <w:rPr>
          <w:rFonts w:hint="eastAsia" w:ascii="仿宋" w:hAnsi="仿宋" w:eastAsia="仿宋"/>
          <w:color w:val="auto"/>
          <w:spacing w:val="6"/>
          <w:sz w:val="32"/>
          <w:szCs w:val="32"/>
          <w:highlight w:val="none"/>
        </w:rPr>
        <w:br w:type="page"/>
      </w:r>
      <w:bookmarkStart w:id="729" w:name="_Toc5504"/>
      <w:r>
        <w:rPr>
          <w:rFonts w:hint="eastAsia" w:ascii="仿宋" w:hAnsi="仿宋" w:eastAsia="仿宋"/>
          <w:color w:val="auto"/>
          <w:sz w:val="32"/>
          <w:szCs w:val="32"/>
          <w:highlight w:val="none"/>
        </w:rPr>
        <w:t>附件5：中小企业声明函</w:t>
      </w:r>
      <w:bookmarkEnd w:id="729"/>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号）的规定，本公司（联合体）参加</w:t>
      </w:r>
      <w:r>
        <w:rPr>
          <w:rFonts w:ascii="仿宋" w:hAnsi="仿宋" w:eastAsia="仿宋"/>
          <w:color w:val="auto"/>
          <w:sz w:val="24"/>
          <w:highlight w:val="none"/>
        </w:rPr>
        <w:t xml:space="preserve"> </w:t>
      </w:r>
      <w:r>
        <w:rPr>
          <w:rFonts w:hint="eastAsia" w:ascii="仿宋" w:hAnsi="仿宋" w:eastAsia="仿宋"/>
          <w:color w:val="auto"/>
          <w:sz w:val="24"/>
          <w:highlight w:val="none"/>
        </w:rPr>
        <w:t>（单位名称）</w:t>
      </w:r>
      <w:r>
        <w:rPr>
          <w:rFonts w:ascii="仿宋" w:hAnsi="仿宋" w:eastAsia="仿宋"/>
          <w:color w:val="auto"/>
          <w:sz w:val="24"/>
          <w:highlight w:val="none"/>
        </w:rPr>
        <w:t xml:space="preserve"> </w:t>
      </w:r>
      <w:r>
        <w:rPr>
          <w:rFonts w:hint="eastAsia" w:ascii="仿宋" w:hAnsi="仿宋" w:eastAsia="仿宋"/>
          <w:color w:val="auto"/>
          <w:sz w:val="24"/>
          <w:highlight w:val="none"/>
        </w:rPr>
        <w:t>的</w:t>
      </w:r>
      <w:r>
        <w:rPr>
          <w:rFonts w:ascii="仿宋" w:hAnsi="仿宋" w:eastAsia="仿宋"/>
          <w:color w:val="auto"/>
          <w:sz w:val="24"/>
          <w:highlight w:val="none"/>
        </w:rPr>
        <w:t xml:space="preserve"> </w:t>
      </w:r>
      <w:r>
        <w:rPr>
          <w:rFonts w:hint="eastAsia" w:ascii="仿宋" w:hAnsi="仿宋" w:eastAsia="仿宋" w:cs="仿宋_GB2312"/>
          <w:color w:val="auto"/>
          <w:sz w:val="24"/>
          <w:highlight w:val="none"/>
        </w:rPr>
        <w:t>2023年余杭区县道小修总包</w:t>
      </w:r>
      <w:r>
        <w:rPr>
          <w:rFonts w:hint="eastAsia" w:ascii="仿宋" w:hAnsi="仿宋" w:eastAsia="仿宋"/>
          <w:color w:val="auto"/>
          <w:sz w:val="24"/>
          <w:highlight w:val="none"/>
        </w:rPr>
        <w:t>项目采购活动，服务全部由符合政策要求的中小企业承接。相关企业（含联合体中的中小企业、签订分包意向协议的中小企业）的具体情况如下：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仿宋_GB2312"/>
          <w:color w:val="auto"/>
          <w:sz w:val="24"/>
          <w:highlight w:val="none"/>
          <w:u w:val="single"/>
        </w:rPr>
        <w:t>2023年余杭区县道小修总包</w:t>
      </w:r>
      <w:r>
        <w:rPr>
          <w:rFonts w:hint="eastAsia" w:ascii="仿宋" w:hAnsi="仿宋" w:eastAsia="仿宋"/>
          <w:color w:val="auto"/>
          <w:sz w:val="24"/>
          <w:highlight w:val="none"/>
          <w:u w:val="single"/>
        </w:rPr>
        <w:t>项目），</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其他未列明行业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投标人名称(电子签名)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napToGrid w:val="0"/>
        <w:spacing w:line="360" w:lineRule="auto"/>
        <w:rPr>
          <w:rFonts w:hint="eastAsia" w:ascii="仿宋" w:hAnsi="仿宋" w:eastAsia="仿宋" w:cs="仿宋_GB2312"/>
          <w:color w:val="auto"/>
          <w:sz w:val="24"/>
          <w:highlight w:val="none"/>
        </w:rPr>
      </w:pPr>
      <w:r>
        <w:rPr>
          <w:rFonts w:ascii="仿宋" w:hAnsi="仿宋" w:eastAsia="仿宋" w:cs="仿宋_GB2312"/>
          <w:color w:val="auto"/>
          <w:sz w:val="24"/>
          <w:highlight w:val="none"/>
        </w:rPr>
        <w:t xml:space="preserve">   </w:t>
      </w:r>
      <w:r>
        <w:rPr>
          <w:rFonts w:hint="eastAsia" w:ascii="仿宋" w:hAnsi="仿宋" w:eastAsia="仿宋" w:cs="仿宋_GB2312"/>
          <w:color w:val="auto"/>
          <w:sz w:val="24"/>
          <w:highlight w:val="none"/>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360" w:lineRule="auto"/>
        <w:rPr>
          <w:rFonts w:ascii="仿宋" w:hAnsi="仿宋" w:eastAsia="仿宋" w:cs="仿宋_GB2312"/>
          <w:b/>
          <w:color w:val="auto"/>
          <w:sz w:val="32"/>
          <w:szCs w:val="32"/>
          <w:highlight w:val="none"/>
        </w:rPr>
      </w:pPr>
    </w:p>
    <w:sectPr>
      <w:headerReference r:id="rId8" w:type="first"/>
      <w:footerReference r:id="rId11" w:type="first"/>
      <w:headerReference r:id="rId7" w:type="default"/>
      <w:footerReference r:id="rId9" w:type="default"/>
      <w:footerReference r:id="rId10"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rPr>
        <w:rFonts w:hint="eastAsia"/>
      </w:rPr>
      <w:t>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z85nEAQAAjwMAAA4AAABkcnMvZTJvRG9jLnhtbK1TzY7TMBC+I/EO&#10;lu80aaVF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vz85nEAQAAjwMAAA4AAAAAAAAAAQAgAAAAHwEAAGRycy9lMm9Eb2MueG1s&#10;UEsFBgAAAAAGAAYAWQEAAFU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5</w:t>
                    </w:r>
                    <w:r>
                      <w:fldChar w:fldCharType="end"/>
                    </w:r>
                  </w:p>
                </w:txbxContent>
              </v:textbox>
            </v:rect>
          </w:pict>
        </mc:Fallback>
      </mc:AlternateContent>
    </w:r>
  </w:p>
  <w:p>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pPr>
                      <w:pStyle w:val="55"/>
                      <w:jc w:val="center"/>
                    </w:pPr>
                    <w:r>
                      <w:fldChar w:fldCharType="begin"/>
                    </w:r>
                    <w:r>
                      <w:instrText xml:space="preserve">PAGE   \* MERGEFORMAT</w:instrText>
                    </w:r>
                    <w:r>
                      <w:fldChar w:fldCharType="separate"/>
                    </w:r>
                    <w:r>
                      <w:rPr>
                        <w:lang w:val="zh-CN"/>
                      </w:rPr>
                      <w:t>2</w:t>
                    </w:r>
                    <w:r>
                      <w:fldChar w:fldCharType="end"/>
                    </w:r>
                  </w:p>
                  <w:p>
                    <w:pPr>
                      <w:pStyle w:val="2"/>
                    </w:pPr>
                  </w:p>
                </w:txbxContent>
              </v:textbox>
            </v:rect>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319</w:t>
                          </w:r>
                          <w:r>
                            <w:fldChar w:fldCharType="end"/>
                          </w:r>
                        </w:p>
                      </w:txbxContent>
                    </wps:txbx>
                    <wps:bodyPr wrap="none" lIns="0" tIns="0" rIns="0" bIns="0" upright="1">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x8ZrF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1vOHPC0oVffny//Px9+fWN&#10;rd4mf/qAFbU9hHuYMqQwiR1asOlNMtiQPT1fPVVDZJKKy/VqvS7Jbklnc0I4xePnATC+V96yFNQc&#10;6NKyl+L0EePYOrekac7faWOoLirj/ioQZqoUifHIMUVx2A8T8b1vziS3p/uuuaP15sx8cGRnWo05&#10;gDnYz8ExgD50RG2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MsfGaxQEAAJADAAAOAAAAAAAAAAEAIAAAAB8BAABkcnMvZTJvRG9jLnht&#10;bFBLBQYAAAAABgAGAFkBAABWBQ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319</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1"/>
      <w:rPr>
        <w:rStyle w:val="98"/>
      </w:rPr>
    </w:pPr>
    <w:r>
      <w:fldChar w:fldCharType="begin"/>
    </w:r>
    <w:r>
      <w:rPr>
        <w:rStyle w:val="98"/>
      </w:rPr>
      <w:instrText xml:space="preserve">PAGE  </w:instrText>
    </w:r>
    <w:r>
      <w:fldChar w:fldCharType="end"/>
    </w:r>
  </w:p>
  <w:p>
    <w:pPr>
      <w:pStyle w:val="5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5"/>
                          </w:pPr>
                          <w:r>
                            <w:fldChar w:fldCharType="begin"/>
                          </w:r>
                          <w:r>
                            <w:instrText xml:space="preserve"> PAGE  \* MERGEFORMAT </w:instrText>
                          </w:r>
                          <w:r>
                            <w:fldChar w:fldCharType="separate"/>
                          </w:r>
                          <w:r>
                            <w:t>318</w:t>
                          </w:r>
                          <w:r>
                            <w:fldChar w:fldCharType="end"/>
                          </w:r>
                        </w:p>
                      </w:txbxContent>
                    </wps:txbx>
                    <wps:bodyPr wrap="none" lIns="0" tIns="0" rIns="0" bIns="0" upright="1">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TIZyPEAQAAkAMAAA4AAAAAAAAAAQAgAAAAHwEAAGRycy9lMm9Eb2MueG1s&#10;UEsFBgAAAAAGAAYAWQEAAFUFAAAAAA==&#10;">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318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仿宋_GB2312" w:eastAsia="仿宋_GB2312"/>
        <w:b/>
        <w:i/>
        <w:iCs/>
        <w:u w:val="single"/>
      </w:rPr>
    </w:pPr>
    <w:r>
      <w:t>杭州市政府采购公开采购文件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w:t>
    </w:r>
    <w:r>
      <w:rPr>
        <w:rFonts w:hint="eastAsia"/>
      </w:rPr>
      <w:t xml:space="preserve">                                             </w:t>
    </w:r>
    <w:r>
      <w:t>杭州市政府采购公开采购文件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EB9D"/>
    <w:multiLevelType w:val="singleLevel"/>
    <w:tmpl w:val="8125EB9D"/>
    <w:lvl w:ilvl="0" w:tentative="0">
      <w:start w:val="5"/>
      <w:numFmt w:val="decimal"/>
      <w:lvlText w:val="%1."/>
      <w:lvlJc w:val="left"/>
      <w:pPr>
        <w:tabs>
          <w:tab w:val="left" w:pos="1022"/>
        </w:tabs>
      </w:pPr>
    </w:lvl>
  </w:abstractNum>
  <w:abstractNum w:abstractNumId="1">
    <w:nsid w:val="8C4B6D3B"/>
    <w:multiLevelType w:val="singleLevel"/>
    <w:tmpl w:val="8C4B6D3B"/>
    <w:lvl w:ilvl="0" w:tentative="0">
      <w:start w:val="1"/>
      <w:numFmt w:val="decimal"/>
      <w:suff w:val="nothing"/>
      <w:lvlText w:val="%1、"/>
      <w:lvlJc w:val="left"/>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A14772B"/>
    <w:multiLevelType w:val="singleLevel"/>
    <w:tmpl w:val="CA14772B"/>
    <w:lvl w:ilvl="0" w:tentative="0">
      <w:start w:val="3"/>
      <w:numFmt w:val="decimal"/>
      <w:suff w:val="nothing"/>
      <w:lvlText w:val="%1、"/>
      <w:lvlJc w:val="left"/>
    </w:lvl>
  </w:abstractNum>
  <w:abstractNum w:abstractNumId="4">
    <w:nsid w:val="D9EC99C5"/>
    <w:multiLevelType w:val="singleLevel"/>
    <w:tmpl w:val="D9EC99C5"/>
    <w:lvl w:ilvl="0" w:tentative="0">
      <w:start w:val="1"/>
      <w:numFmt w:val="decimal"/>
      <w:pStyle w:val="25"/>
      <w:lvlText w:val="(%1)"/>
      <w:lvlJc w:val="left"/>
      <w:pPr>
        <w:ind w:left="425" w:hanging="425"/>
      </w:pPr>
      <w:rPr>
        <w:rFonts w:hint="default"/>
      </w:rPr>
    </w:lvl>
  </w:abstractNum>
  <w:abstractNum w:abstractNumId="5">
    <w:nsid w:val="FFFFFF7C"/>
    <w:multiLevelType w:val="singleLevel"/>
    <w:tmpl w:val="FFFFFF7C"/>
    <w:lvl w:ilvl="0" w:tentative="0">
      <w:start w:val="1"/>
      <w:numFmt w:val="decimal"/>
      <w:pStyle w:val="714"/>
      <w:lvlText w:val="%1."/>
      <w:lvlJc w:val="left"/>
      <w:pPr>
        <w:tabs>
          <w:tab w:val="left" w:pos="2040"/>
        </w:tabs>
        <w:ind w:left="2040" w:leftChars="800" w:hanging="360" w:hangingChars="200"/>
      </w:pPr>
    </w:lvl>
  </w:abstractNum>
  <w:abstractNum w:abstractNumId="6">
    <w:nsid w:val="FFFFFF7E"/>
    <w:multiLevelType w:val="singleLevel"/>
    <w:tmpl w:val="FFFFFF7E"/>
    <w:lvl w:ilvl="0" w:tentative="0">
      <w:start w:val="1"/>
      <w:numFmt w:val="decimal"/>
      <w:pStyle w:val="79"/>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46"/>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lvlText w:val=""/>
      <w:lvlJc w:val="left"/>
      <w:pPr>
        <w:tabs>
          <w:tab w:val="left" w:pos="2040"/>
        </w:tabs>
        <w:ind w:left="2040" w:leftChars="800" w:hanging="360" w:hangingChars="200"/>
      </w:pPr>
      <w:rPr>
        <w:rFonts w:hint="default" w:ascii="Wingdings" w:hAnsi="Wingdings"/>
      </w:rPr>
    </w:lvl>
  </w:abstractNum>
  <w:abstractNum w:abstractNumId="9">
    <w:nsid w:val="FFFFFF82"/>
    <w:multiLevelType w:val="singleLevel"/>
    <w:tmpl w:val="FFFFFF82"/>
    <w:lvl w:ilvl="0" w:tentative="0">
      <w:start w:val="1"/>
      <w:numFmt w:val="bullet"/>
      <w:lvlText w:val=""/>
      <w:lvlJc w:val="left"/>
      <w:pPr>
        <w:tabs>
          <w:tab w:val="left" w:pos="1200"/>
        </w:tabs>
        <w:ind w:left="1200" w:leftChars="400" w:hanging="360" w:hangingChars="200"/>
      </w:pPr>
      <w:rPr>
        <w:rFonts w:hint="default" w:ascii="Wingdings" w:hAnsi="Wingdings"/>
      </w:rPr>
    </w:lvl>
  </w:abstractNum>
  <w:abstractNum w:abstractNumId="10">
    <w:nsid w:val="0C6A744B"/>
    <w:multiLevelType w:val="multilevel"/>
    <w:tmpl w:val="0C6A744B"/>
    <w:lvl w:ilvl="0" w:tentative="0">
      <w:start w:val="1"/>
      <w:numFmt w:val="chineseCountingThousand"/>
      <w:pStyle w:val="670"/>
      <w:suff w:val="nothing"/>
      <w:lvlText w:val="第%1章"/>
      <w:lvlJc w:val="left"/>
      <w:pPr>
        <w:ind w:left="0" w:firstLine="0"/>
      </w:pPr>
      <w:rPr>
        <w:rFonts w:hint="eastAsia"/>
      </w:rPr>
    </w:lvl>
    <w:lvl w:ilvl="1" w:tentative="0">
      <w:start w:val="1"/>
      <w:numFmt w:val="decimal"/>
      <w:pStyle w:val="663"/>
      <w:isLgl/>
      <w:suff w:val="nothing"/>
      <w:lvlText w:val="%1.%2."/>
      <w:lvlJc w:val="left"/>
      <w:pPr>
        <w:ind w:left="568" w:firstLine="0"/>
      </w:pPr>
      <w:rPr>
        <w:rFonts w:hint="eastAsia"/>
      </w:rPr>
    </w:lvl>
    <w:lvl w:ilvl="2" w:tentative="0">
      <w:start w:val="1"/>
      <w:numFmt w:val="decimal"/>
      <w:pStyle w:val="671"/>
      <w:isLgl/>
      <w:suff w:val="nothing"/>
      <w:lvlText w:val="%1.%2.%3."/>
      <w:lvlJc w:val="left"/>
      <w:pPr>
        <w:ind w:left="0" w:firstLine="0"/>
      </w:pPr>
      <w:rPr>
        <w:rFonts w:hint="eastAsia"/>
      </w:rPr>
    </w:lvl>
    <w:lvl w:ilvl="3" w:tentative="0">
      <w:start w:val="1"/>
      <w:numFmt w:val="decimal"/>
      <w:pStyle w:val="664"/>
      <w:isLgl/>
      <w:suff w:val="nothing"/>
      <w:lvlText w:val="%1.%2.%3.%4."/>
      <w:lvlJc w:val="left"/>
      <w:pPr>
        <w:ind w:left="0" w:firstLine="0"/>
      </w:pPr>
      <w:rPr>
        <w:rFonts w:hint="eastAsia"/>
      </w:rPr>
    </w:lvl>
    <w:lvl w:ilvl="4" w:tentative="0">
      <w:start w:val="1"/>
      <w:numFmt w:val="decimal"/>
      <w:pStyle w:val="665"/>
      <w:isLgl/>
      <w:suff w:val="nothing"/>
      <w:lvlText w:val="%1.%2.%3.%4.%5."/>
      <w:lvlJc w:val="left"/>
      <w:pPr>
        <w:ind w:left="0" w:firstLine="0"/>
      </w:pPr>
      <w:rPr>
        <w:rFonts w:hint="eastAsia"/>
      </w:rPr>
    </w:lvl>
    <w:lvl w:ilvl="5" w:tentative="0">
      <w:start w:val="1"/>
      <w:numFmt w:val="decimal"/>
      <w:pStyle w:val="666"/>
      <w:isLgl/>
      <w:suff w:val="nothing"/>
      <w:lvlText w:val="%1.%2.%3.%4.%5.%6."/>
      <w:lvlJc w:val="left"/>
      <w:pPr>
        <w:ind w:left="0" w:firstLine="0"/>
      </w:pPr>
      <w:rPr>
        <w:rFonts w:hint="eastAsia"/>
      </w:rPr>
    </w:lvl>
    <w:lvl w:ilvl="6" w:tentative="0">
      <w:start w:val="1"/>
      <w:numFmt w:val="decimal"/>
      <w:pStyle w:val="667"/>
      <w:isLgl/>
      <w:suff w:val="nothing"/>
      <w:lvlText w:val="%1.%2.%3.%4.%5.%6.%7."/>
      <w:lvlJc w:val="left"/>
      <w:pPr>
        <w:ind w:left="0" w:firstLine="0"/>
      </w:pPr>
      <w:rPr>
        <w:rFonts w:hint="eastAsia"/>
      </w:rPr>
    </w:lvl>
    <w:lvl w:ilvl="7" w:tentative="0">
      <w:start w:val="1"/>
      <w:numFmt w:val="decimal"/>
      <w:pStyle w:val="668"/>
      <w:isLgl/>
      <w:suff w:val="nothing"/>
      <w:lvlText w:val="%1.%2.%3.%4.%5.%6.%7.%8."/>
      <w:lvlJc w:val="left"/>
      <w:pPr>
        <w:ind w:left="0" w:firstLine="0"/>
      </w:pPr>
      <w:rPr>
        <w:rFonts w:hint="eastAsia"/>
      </w:rPr>
    </w:lvl>
    <w:lvl w:ilvl="8" w:tentative="0">
      <w:start w:val="1"/>
      <w:numFmt w:val="decimal"/>
      <w:pStyle w:val="669"/>
      <w:isLgl/>
      <w:suff w:val="nothing"/>
      <w:lvlText w:val="%1.%2.%3.%4.%5.%6.%7.%8.%9."/>
      <w:lvlJc w:val="left"/>
      <w:pPr>
        <w:ind w:left="0" w:firstLine="0"/>
      </w:pPr>
      <w:rPr>
        <w:rFonts w:hint="eastAsia"/>
      </w:rPr>
    </w:lvl>
  </w:abstractNum>
  <w:abstractNum w:abstractNumId="11">
    <w:nsid w:val="1D447743"/>
    <w:multiLevelType w:val="multilevel"/>
    <w:tmpl w:val="1D447743"/>
    <w:lvl w:ilvl="0" w:tentative="0">
      <w:start w:val="1"/>
      <w:numFmt w:val="chineseCountingThousand"/>
      <w:lvlText w:val="%1."/>
      <w:lvlJc w:val="left"/>
      <w:pPr>
        <w:ind w:left="420" w:hanging="420"/>
      </w:pPr>
      <w:rPr>
        <w:rFonts w:hint="eastAsia"/>
        <w:sz w:val="36"/>
        <w:szCs w:val="36"/>
      </w:rPr>
    </w:lvl>
    <w:lvl w:ilvl="1" w:tentative="0">
      <w:start w:val="1"/>
      <w:numFmt w:val="decimal"/>
      <w:isLgl/>
      <w:lvlText w:val="%1.%2"/>
      <w:lvlJc w:val="left"/>
      <w:pPr>
        <w:ind w:left="840" w:hanging="840"/>
      </w:pPr>
      <w:rPr>
        <w:rFonts w:hint="eastAsia"/>
      </w:rPr>
    </w:lvl>
    <w:lvl w:ilvl="2" w:tentative="0">
      <w:start w:val="1"/>
      <w:numFmt w:val="decimal"/>
      <w:isLgl/>
      <w:lvlText w:val="%1.%2.%3"/>
      <w:lvlJc w:val="left"/>
      <w:pPr>
        <w:ind w:left="420" w:hanging="420"/>
      </w:pPr>
      <w:rPr>
        <w:rFonts w:hint="eastAsia"/>
      </w:rPr>
    </w:lvl>
    <w:lvl w:ilvl="3" w:tentative="0">
      <w:start w:val="1"/>
      <w:numFmt w:val="decimal"/>
      <w:isLgl/>
      <w:lvlText w:val="%1.%2.%3.%4"/>
      <w:lvlJc w:val="left"/>
      <w:pPr>
        <w:ind w:left="420" w:hanging="420"/>
      </w:pPr>
      <w:rPr>
        <w:rFonts w:hint="eastAsia"/>
      </w:rPr>
    </w:lvl>
    <w:lvl w:ilvl="4" w:tentative="0">
      <w:start w:val="1"/>
      <w:numFmt w:val="lowerLetter"/>
      <w:pStyle w:val="716"/>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56B4185"/>
    <w:multiLevelType w:val="multilevel"/>
    <w:tmpl w:val="256B4185"/>
    <w:lvl w:ilvl="0" w:tentative="0">
      <w:start w:val="1"/>
      <w:numFmt w:val="japaneseCounting"/>
      <w:lvlText w:val="%1、"/>
      <w:lvlJc w:val="left"/>
      <w:pPr>
        <w:ind w:left="1072"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43235266"/>
    <w:multiLevelType w:val="multilevel"/>
    <w:tmpl w:val="43235266"/>
    <w:lvl w:ilvl="0" w:tentative="0">
      <w:start w:val="1"/>
      <w:numFmt w:val="bullet"/>
      <w:pStyle w:val="696"/>
      <w:lvlText w:val=""/>
      <w:lvlJc w:val="left"/>
      <w:pPr>
        <w:tabs>
          <w:tab w:val="left" w:pos="1123"/>
        </w:tabs>
        <w:ind w:left="1123" w:hanging="375"/>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pStyle w:val="693"/>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abstractNum w:abstractNumId="14">
    <w:nsid w:val="4E7107F0"/>
    <w:multiLevelType w:val="multilevel"/>
    <w:tmpl w:val="4E7107F0"/>
    <w:lvl w:ilvl="0" w:tentative="0">
      <w:start w:val="1"/>
      <w:numFmt w:val="bullet"/>
      <w:lvlText w:val=""/>
      <w:lvlJc w:val="left"/>
      <w:pPr>
        <w:tabs>
          <w:tab w:val="left" w:pos="-860"/>
        </w:tabs>
        <w:ind w:left="-860" w:hanging="420"/>
      </w:pPr>
      <w:rPr>
        <w:rFonts w:hint="default" w:ascii="Wingdings" w:hAnsi="Wingdings"/>
      </w:rPr>
    </w:lvl>
    <w:lvl w:ilvl="1" w:tentative="0">
      <w:start w:val="1"/>
      <w:numFmt w:val="decimal"/>
      <w:suff w:val="nothing"/>
      <w:lvlText w:val="%2.%1 "/>
      <w:lvlJc w:val="left"/>
      <w:pPr>
        <w:tabs>
          <w:tab w:val="left" w:pos="0"/>
        </w:tabs>
        <w:ind w:left="-960" w:firstLine="0"/>
      </w:pPr>
      <w:rPr>
        <w:rFonts w:hint="eastAsia"/>
      </w:rPr>
    </w:lvl>
    <w:lvl w:ilvl="2" w:tentative="0">
      <w:start w:val="1"/>
      <w:numFmt w:val="decimal"/>
      <w:suff w:val="nothing"/>
      <w:lvlText w:val="%1.%2.%3 "/>
      <w:lvlJc w:val="left"/>
      <w:pPr>
        <w:tabs>
          <w:tab w:val="left" w:pos="0"/>
        </w:tabs>
        <w:ind w:left="-960" w:firstLine="0"/>
      </w:pPr>
      <w:rPr>
        <w:rFonts w:hint="eastAsia"/>
      </w:rPr>
    </w:lvl>
    <w:lvl w:ilvl="3" w:tentative="0">
      <w:start w:val="1"/>
      <w:numFmt w:val="decimal"/>
      <w:suff w:val="nothing"/>
      <w:lvlText w:val="%1.%2.%3.%4 "/>
      <w:lvlJc w:val="left"/>
      <w:pPr>
        <w:tabs>
          <w:tab w:val="left" w:pos="0"/>
        </w:tabs>
        <w:ind w:left="-960" w:firstLine="0"/>
      </w:pPr>
      <w:rPr>
        <w:rFonts w:hint="eastAsia"/>
      </w:rPr>
    </w:lvl>
    <w:lvl w:ilvl="4" w:tentative="0">
      <w:start w:val="1"/>
      <w:numFmt w:val="decimal"/>
      <w:suff w:val="nothing"/>
      <w:lvlText w:val="%1.%2.%3.%4.%5 "/>
      <w:lvlJc w:val="left"/>
      <w:pPr>
        <w:tabs>
          <w:tab w:val="left" w:pos="0"/>
        </w:tabs>
        <w:ind w:left="-960" w:firstLine="0"/>
      </w:pPr>
      <w:rPr>
        <w:rFonts w:hint="eastAsia"/>
      </w:rPr>
    </w:lvl>
    <w:lvl w:ilvl="5" w:tentative="0">
      <w:start w:val="1"/>
      <w:numFmt w:val="decimal"/>
      <w:suff w:val="nothing"/>
      <w:lvlText w:val="%1.%2.%3.%4.%5.%6 "/>
      <w:lvlJc w:val="left"/>
      <w:pPr>
        <w:tabs>
          <w:tab w:val="left" w:pos="0"/>
        </w:tabs>
        <w:ind w:left="-960" w:firstLine="0"/>
      </w:pPr>
      <w:rPr>
        <w:rFonts w:hint="eastAsia"/>
      </w:rPr>
    </w:lvl>
    <w:lvl w:ilvl="6" w:tentative="0">
      <w:start w:val="1"/>
      <w:numFmt w:val="decimal"/>
      <w:suff w:val="nothing"/>
      <w:lvlText w:val="%7."/>
      <w:lvlJc w:val="left"/>
      <w:pPr>
        <w:tabs>
          <w:tab w:val="left" w:pos="0"/>
        </w:tabs>
        <w:ind w:left="-960" w:firstLine="0"/>
      </w:pPr>
      <w:rPr>
        <w:rFonts w:hint="eastAsia"/>
      </w:rPr>
    </w:lvl>
    <w:lvl w:ilvl="7" w:tentative="0">
      <w:start w:val="1"/>
      <w:numFmt w:val="none"/>
      <w:suff w:val="nothing"/>
      <w:lvlText w:val=""/>
      <w:lvlJc w:val="left"/>
      <w:pPr>
        <w:tabs>
          <w:tab w:val="left" w:pos="0"/>
        </w:tabs>
        <w:ind w:left="-960" w:firstLine="0"/>
      </w:pPr>
      <w:rPr>
        <w:rFonts w:hint="eastAsia"/>
      </w:rPr>
    </w:lvl>
    <w:lvl w:ilvl="8" w:tentative="0">
      <w:start w:val="1"/>
      <w:numFmt w:val="none"/>
      <w:suff w:val="nothing"/>
      <w:lvlText w:val=""/>
      <w:lvlJc w:val="left"/>
      <w:pPr>
        <w:tabs>
          <w:tab w:val="left" w:pos="0"/>
        </w:tabs>
        <w:ind w:left="-960" w:firstLine="0"/>
      </w:pPr>
      <w:rPr>
        <w:rFonts w:hint="eastAsia"/>
      </w:rPr>
    </w:lvl>
  </w:abstractNum>
  <w:abstractNum w:abstractNumId="15">
    <w:nsid w:val="51E91DB7"/>
    <w:multiLevelType w:val="multilevel"/>
    <w:tmpl w:val="51E91DB7"/>
    <w:lvl w:ilvl="0" w:tentative="0">
      <w:start w:val="1"/>
      <w:numFmt w:val="decimal"/>
      <w:pStyle w:val="683"/>
      <w:lvlText w:val="(%1)"/>
      <w:lvlJc w:val="left"/>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rPr>
    </w:lvl>
    <w:lvl w:ilvl="1" w:tentative="0">
      <w:start w:val="1"/>
      <w:numFmt w:val="decimalEnclosedCircle"/>
      <w:lvlText w:val="%2"/>
      <w:lvlJc w:val="left"/>
      <w:pPr>
        <w:tabs>
          <w:tab w:val="left" w:pos="2070"/>
        </w:tabs>
        <w:ind w:left="2070" w:hanging="840"/>
      </w:pPr>
      <w:rPr>
        <w:rFonts w:hint="default" w:ascii="仿宋_GB2312"/>
      </w:rPr>
    </w:lvl>
    <w:lvl w:ilvl="2" w:tentative="0">
      <w:start w:val="1"/>
      <w:numFmt w:val="lowerRoman"/>
      <w:lvlText w:val="%3."/>
      <w:lvlJc w:val="right"/>
      <w:pPr>
        <w:tabs>
          <w:tab w:val="left" w:pos="2070"/>
        </w:tabs>
        <w:ind w:left="2070" w:hanging="420"/>
      </w:pPr>
    </w:lvl>
    <w:lvl w:ilvl="3" w:tentative="0">
      <w:start w:val="1"/>
      <w:numFmt w:val="decimal"/>
      <w:lvlText w:val="%4."/>
      <w:lvlJc w:val="left"/>
      <w:pPr>
        <w:tabs>
          <w:tab w:val="left" w:pos="2490"/>
        </w:tabs>
        <w:ind w:left="2490" w:hanging="420"/>
      </w:pPr>
    </w:lvl>
    <w:lvl w:ilvl="4" w:tentative="0">
      <w:start w:val="1"/>
      <w:numFmt w:val="lowerLetter"/>
      <w:lvlText w:val="%5)"/>
      <w:lvlJc w:val="left"/>
      <w:pPr>
        <w:tabs>
          <w:tab w:val="left" w:pos="2910"/>
        </w:tabs>
        <w:ind w:left="2910" w:hanging="420"/>
      </w:pPr>
    </w:lvl>
    <w:lvl w:ilvl="5" w:tentative="0">
      <w:start w:val="1"/>
      <w:numFmt w:val="lowerRoman"/>
      <w:lvlText w:val="%6."/>
      <w:lvlJc w:val="right"/>
      <w:pPr>
        <w:tabs>
          <w:tab w:val="left" w:pos="3330"/>
        </w:tabs>
        <w:ind w:left="3330" w:hanging="420"/>
      </w:pPr>
    </w:lvl>
    <w:lvl w:ilvl="6" w:tentative="0">
      <w:start w:val="1"/>
      <w:numFmt w:val="decimal"/>
      <w:lvlText w:val="%7."/>
      <w:lvlJc w:val="left"/>
      <w:pPr>
        <w:tabs>
          <w:tab w:val="left" w:pos="3750"/>
        </w:tabs>
        <w:ind w:left="3750" w:hanging="420"/>
      </w:pPr>
    </w:lvl>
    <w:lvl w:ilvl="7" w:tentative="0">
      <w:start w:val="1"/>
      <w:numFmt w:val="lowerLetter"/>
      <w:lvlText w:val="%8)"/>
      <w:lvlJc w:val="left"/>
      <w:pPr>
        <w:tabs>
          <w:tab w:val="left" w:pos="4170"/>
        </w:tabs>
        <w:ind w:left="4170" w:hanging="420"/>
      </w:pPr>
    </w:lvl>
    <w:lvl w:ilvl="8" w:tentative="0">
      <w:start w:val="1"/>
      <w:numFmt w:val="lowerRoman"/>
      <w:lvlText w:val="%9."/>
      <w:lvlJc w:val="right"/>
      <w:pPr>
        <w:tabs>
          <w:tab w:val="left" w:pos="4590"/>
        </w:tabs>
        <w:ind w:left="4590" w:hanging="420"/>
      </w:pPr>
    </w:lvl>
  </w:abstractNum>
  <w:abstractNum w:abstractNumId="16">
    <w:nsid w:val="58AFD64F"/>
    <w:multiLevelType w:val="singleLevel"/>
    <w:tmpl w:val="58AFD64F"/>
    <w:lvl w:ilvl="0" w:tentative="0">
      <w:start w:val="1"/>
      <w:numFmt w:val="decimal"/>
      <w:suff w:val="nothing"/>
      <w:lvlText w:val="%1、"/>
      <w:lvlJc w:val="left"/>
    </w:lvl>
  </w:abstractNum>
  <w:abstractNum w:abstractNumId="17">
    <w:nsid w:val="605B608A"/>
    <w:multiLevelType w:val="singleLevel"/>
    <w:tmpl w:val="605B608A"/>
    <w:lvl w:ilvl="0" w:tentative="0">
      <w:start w:val="3"/>
      <w:numFmt w:val="chineseCounting"/>
      <w:suff w:val="nothing"/>
      <w:lvlText w:val="%1、"/>
      <w:lvlJc w:val="left"/>
      <w:rPr>
        <w:rFonts w:hint="eastAsia"/>
      </w:rPr>
    </w:lvl>
  </w:abstractNum>
  <w:abstractNum w:abstractNumId="18">
    <w:nsid w:val="64D75899"/>
    <w:multiLevelType w:val="multilevel"/>
    <w:tmpl w:val="64D7589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F72FE4"/>
    <w:multiLevelType w:val="multilevel"/>
    <w:tmpl w:val="6BF72FE4"/>
    <w:lvl w:ilvl="0" w:tentative="0">
      <w:start w:val="1"/>
      <w:numFmt w:val="decimal"/>
      <w:pStyle w:val="720"/>
      <w:suff w:val="nothing"/>
      <w:lvlText w:val="（%1）"/>
      <w:lvlJc w:val="left"/>
      <w:pPr>
        <w:tabs>
          <w:tab w:val="left" w:pos="0"/>
        </w:tabs>
        <w:ind w:left="482" w:hanging="28"/>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20">
    <w:nsid w:val="70914521"/>
    <w:multiLevelType w:val="multilevel"/>
    <w:tmpl w:val="70914521"/>
    <w:lvl w:ilvl="0" w:tentative="0">
      <w:start w:val="1"/>
      <w:numFmt w:val="chineseCountingThousand"/>
      <w:lvlText w:val="%1、"/>
      <w:lvlJc w:val="left"/>
      <w:pPr>
        <w:tabs>
          <w:tab w:val="left" w:pos="570"/>
        </w:tabs>
        <w:ind w:left="210" w:firstLine="0"/>
      </w:pPr>
      <w:rPr>
        <w:rFonts w:hint="default" w:eastAsia="黑体"/>
        <w:b/>
        <w:i w:val="0"/>
        <w:sz w:val="44"/>
      </w:rPr>
    </w:lvl>
    <w:lvl w:ilvl="1" w:tentative="0">
      <w:start w:val="1"/>
      <w:numFmt w:val="decimal"/>
      <w:lvlText w:val="%1.%2."/>
      <w:lvlJc w:val="left"/>
      <w:pPr>
        <w:tabs>
          <w:tab w:val="left" w:pos="930"/>
        </w:tabs>
        <w:ind w:left="777" w:hanging="567"/>
      </w:pPr>
    </w:lvl>
    <w:lvl w:ilvl="2" w:tentative="0">
      <w:start w:val="1"/>
      <w:numFmt w:val="decimal"/>
      <w:lvlText w:val="%1.%2.%3."/>
      <w:lvlJc w:val="left"/>
      <w:pPr>
        <w:tabs>
          <w:tab w:val="left" w:pos="919"/>
        </w:tabs>
        <w:ind w:left="919" w:hanging="709"/>
      </w:pPr>
    </w:lvl>
    <w:lvl w:ilvl="3" w:tentative="0">
      <w:start w:val="1"/>
      <w:numFmt w:val="decimal"/>
      <w:lvlText w:val="%1.%2.%3.%4."/>
      <w:lvlJc w:val="left"/>
      <w:pPr>
        <w:tabs>
          <w:tab w:val="left" w:pos="1061"/>
        </w:tabs>
        <w:ind w:left="1061" w:hanging="851"/>
      </w:pPr>
      <w:rPr>
        <w:rFonts w:hint="default" w:ascii="宋体" w:hAnsi="宋体" w:eastAsia="宋体" w:cs="Tahoma"/>
        <w:b/>
        <w:sz w:val="21"/>
        <w:szCs w:val="21"/>
      </w:rPr>
    </w:lvl>
    <w:lvl w:ilvl="4" w:tentative="0">
      <w:start w:val="1"/>
      <w:numFmt w:val="decimal"/>
      <w:pStyle w:val="695"/>
      <w:lvlText w:val="%1.%2.%3.%4.%5."/>
      <w:lvlJc w:val="left"/>
      <w:pPr>
        <w:tabs>
          <w:tab w:val="left" w:pos="1202"/>
        </w:tabs>
        <w:ind w:left="1202" w:hanging="992"/>
      </w:pPr>
    </w:lvl>
    <w:lvl w:ilvl="5" w:tentative="0">
      <w:start w:val="1"/>
      <w:numFmt w:val="decimal"/>
      <w:pStyle w:val="689"/>
      <w:lvlText w:val="%1.%2.%3.%4.%5.%6."/>
      <w:lvlJc w:val="left"/>
      <w:pPr>
        <w:tabs>
          <w:tab w:val="left" w:pos="1344"/>
        </w:tabs>
        <w:ind w:left="1344" w:hanging="1134"/>
      </w:pPr>
    </w:lvl>
    <w:lvl w:ilvl="6" w:tentative="0">
      <w:start w:val="1"/>
      <w:numFmt w:val="decimal"/>
      <w:lvlText w:val="%1.%2.%3.%4.%5.%6.%7."/>
      <w:lvlJc w:val="left"/>
      <w:pPr>
        <w:tabs>
          <w:tab w:val="left" w:pos="1486"/>
        </w:tabs>
        <w:ind w:left="1486" w:hanging="1276"/>
      </w:pPr>
    </w:lvl>
    <w:lvl w:ilvl="7" w:tentative="0">
      <w:start w:val="1"/>
      <w:numFmt w:val="decimal"/>
      <w:lvlText w:val="%1.%2.%3.%4.%5.%6.%7.%8."/>
      <w:lvlJc w:val="left"/>
      <w:pPr>
        <w:tabs>
          <w:tab w:val="left" w:pos="1628"/>
        </w:tabs>
        <w:ind w:left="1628" w:hanging="1418"/>
      </w:pPr>
    </w:lvl>
    <w:lvl w:ilvl="8" w:tentative="0">
      <w:start w:val="1"/>
      <w:numFmt w:val="decimal"/>
      <w:lvlText w:val="%1.%2.%3.%4.%5.%6.%7.%8.%9."/>
      <w:lvlJc w:val="left"/>
      <w:pPr>
        <w:tabs>
          <w:tab w:val="left" w:pos="1769"/>
        </w:tabs>
        <w:ind w:left="1769" w:hanging="1559"/>
      </w:pPr>
    </w:lvl>
  </w:abstractNum>
  <w:abstractNum w:abstractNumId="21">
    <w:nsid w:val="79EB7B22"/>
    <w:multiLevelType w:val="multilevel"/>
    <w:tmpl w:val="79EB7B22"/>
    <w:lvl w:ilvl="0" w:tentative="0">
      <w:start w:val="1"/>
      <w:numFmt w:val="bullet"/>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pStyle w:val="646"/>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4"/>
  </w:num>
  <w:num w:numId="2">
    <w:abstractNumId w:val="7"/>
  </w:num>
  <w:num w:numId="3">
    <w:abstractNumId w:val="6"/>
  </w:num>
  <w:num w:numId="4">
    <w:abstractNumId w:val="21"/>
  </w:num>
  <w:num w:numId="5">
    <w:abstractNumId w:val="10"/>
  </w:num>
  <w:num w:numId="6">
    <w:abstractNumId w:val="15"/>
  </w:num>
  <w:num w:numId="7">
    <w:abstractNumId w:val="20"/>
  </w:num>
  <w:num w:numId="8">
    <w:abstractNumId w:val="13"/>
  </w:num>
  <w:num w:numId="9">
    <w:abstractNumId w:val="8"/>
  </w:num>
  <w:num w:numId="10">
    <w:abstractNumId w:val="9"/>
  </w:num>
  <w:num w:numId="11">
    <w:abstractNumId w:val="5"/>
  </w:num>
  <w:num w:numId="12">
    <w:abstractNumId w:val="11"/>
  </w:num>
  <w:num w:numId="13">
    <w:abstractNumId w:val="19"/>
  </w:num>
  <w:num w:numId="14">
    <w:abstractNumId w:val="14"/>
  </w:num>
  <w:num w:numId="15">
    <w:abstractNumId w:val="2"/>
  </w:num>
  <w:num w:numId="16">
    <w:abstractNumId w:val="16"/>
  </w:num>
  <w:num w:numId="17">
    <w:abstractNumId w:val="3"/>
  </w:num>
  <w:num w:numId="18">
    <w:abstractNumId w:val="1"/>
  </w:num>
  <w:num w:numId="19">
    <w:abstractNumId w:val="0"/>
  </w:num>
  <w:num w:numId="20">
    <w:abstractNumId w:val="12"/>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revisionView w:markup="0"/>
  <w:documentProtection w:edit="readOnly" w:enforcement="1" w:cryptProviderType="rsaFull" w:cryptAlgorithmClass="hash" w:cryptAlgorithmType="typeAny" w:cryptAlgorithmSid="4" w:cryptSpinCount="0" w:hash="rFms9SwR2eKHgfr/PzZCRHdr0m4=" w:salt="rDlirK442+mU3Wv8ZepJMg=="/>
  <w:defaultTabStop w:val="420"/>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jg1MDdjOTBiZWY5OWEwODBiNjhmZWM3NGU0NzQifQ=="/>
  </w:docVars>
  <w:rsids>
    <w:rsidRoot w:val="00172A27"/>
    <w:rsid w:val="00000451"/>
    <w:rsid w:val="00000D59"/>
    <w:rsid w:val="0000108B"/>
    <w:rsid w:val="0000133D"/>
    <w:rsid w:val="00001509"/>
    <w:rsid w:val="000032B2"/>
    <w:rsid w:val="0000363B"/>
    <w:rsid w:val="000037A4"/>
    <w:rsid w:val="00004767"/>
    <w:rsid w:val="00004895"/>
    <w:rsid w:val="000058BD"/>
    <w:rsid w:val="00006109"/>
    <w:rsid w:val="00006150"/>
    <w:rsid w:val="00006316"/>
    <w:rsid w:val="000063E8"/>
    <w:rsid w:val="00006725"/>
    <w:rsid w:val="0000675E"/>
    <w:rsid w:val="00007CAA"/>
    <w:rsid w:val="000104C7"/>
    <w:rsid w:val="00010CA2"/>
    <w:rsid w:val="00010FE9"/>
    <w:rsid w:val="0001122F"/>
    <w:rsid w:val="00011A4B"/>
    <w:rsid w:val="00011C23"/>
    <w:rsid w:val="00012251"/>
    <w:rsid w:val="0001337C"/>
    <w:rsid w:val="000138C4"/>
    <w:rsid w:val="00013C1F"/>
    <w:rsid w:val="00013F31"/>
    <w:rsid w:val="000140D8"/>
    <w:rsid w:val="00014530"/>
    <w:rsid w:val="00014BBC"/>
    <w:rsid w:val="00014DE7"/>
    <w:rsid w:val="000150EE"/>
    <w:rsid w:val="00015D12"/>
    <w:rsid w:val="000168D8"/>
    <w:rsid w:val="000170C8"/>
    <w:rsid w:val="000173F4"/>
    <w:rsid w:val="00017A1E"/>
    <w:rsid w:val="00020287"/>
    <w:rsid w:val="000202FE"/>
    <w:rsid w:val="00020B5F"/>
    <w:rsid w:val="000211BC"/>
    <w:rsid w:val="0002159A"/>
    <w:rsid w:val="0002177F"/>
    <w:rsid w:val="00021CC1"/>
    <w:rsid w:val="0002207B"/>
    <w:rsid w:val="00022FB3"/>
    <w:rsid w:val="000232FD"/>
    <w:rsid w:val="00023323"/>
    <w:rsid w:val="000233E4"/>
    <w:rsid w:val="00023495"/>
    <w:rsid w:val="00023777"/>
    <w:rsid w:val="00023B06"/>
    <w:rsid w:val="000240D6"/>
    <w:rsid w:val="00024130"/>
    <w:rsid w:val="00024584"/>
    <w:rsid w:val="0002464A"/>
    <w:rsid w:val="00024962"/>
    <w:rsid w:val="000249AA"/>
    <w:rsid w:val="00025350"/>
    <w:rsid w:val="000253E5"/>
    <w:rsid w:val="00025776"/>
    <w:rsid w:val="00026EAC"/>
    <w:rsid w:val="000270F2"/>
    <w:rsid w:val="00027540"/>
    <w:rsid w:val="00030572"/>
    <w:rsid w:val="00030A97"/>
    <w:rsid w:val="00030CB3"/>
    <w:rsid w:val="0003206A"/>
    <w:rsid w:val="000326A7"/>
    <w:rsid w:val="00032DDF"/>
    <w:rsid w:val="00032EA0"/>
    <w:rsid w:val="000331B0"/>
    <w:rsid w:val="000336D4"/>
    <w:rsid w:val="00034FA7"/>
    <w:rsid w:val="0003533D"/>
    <w:rsid w:val="000357E4"/>
    <w:rsid w:val="00035ACA"/>
    <w:rsid w:val="00035C05"/>
    <w:rsid w:val="00040065"/>
    <w:rsid w:val="00040447"/>
    <w:rsid w:val="00040494"/>
    <w:rsid w:val="000407A2"/>
    <w:rsid w:val="00040B70"/>
    <w:rsid w:val="000419B8"/>
    <w:rsid w:val="00042441"/>
    <w:rsid w:val="00042533"/>
    <w:rsid w:val="00042DBB"/>
    <w:rsid w:val="00042E65"/>
    <w:rsid w:val="0004347C"/>
    <w:rsid w:val="00043907"/>
    <w:rsid w:val="00043AEA"/>
    <w:rsid w:val="00044F48"/>
    <w:rsid w:val="00046537"/>
    <w:rsid w:val="000470C0"/>
    <w:rsid w:val="00047134"/>
    <w:rsid w:val="00047354"/>
    <w:rsid w:val="00047B00"/>
    <w:rsid w:val="00050656"/>
    <w:rsid w:val="00050A19"/>
    <w:rsid w:val="00050B5D"/>
    <w:rsid w:val="000511B6"/>
    <w:rsid w:val="00051B00"/>
    <w:rsid w:val="00051C72"/>
    <w:rsid w:val="00052192"/>
    <w:rsid w:val="0005238F"/>
    <w:rsid w:val="00052787"/>
    <w:rsid w:val="00052BB8"/>
    <w:rsid w:val="00053C0F"/>
    <w:rsid w:val="0005417A"/>
    <w:rsid w:val="00054D39"/>
    <w:rsid w:val="0005501B"/>
    <w:rsid w:val="000550F5"/>
    <w:rsid w:val="00055337"/>
    <w:rsid w:val="000554C7"/>
    <w:rsid w:val="00056145"/>
    <w:rsid w:val="00056376"/>
    <w:rsid w:val="00056402"/>
    <w:rsid w:val="00056791"/>
    <w:rsid w:val="00056868"/>
    <w:rsid w:val="00056876"/>
    <w:rsid w:val="000568DF"/>
    <w:rsid w:val="000578A3"/>
    <w:rsid w:val="00057D4C"/>
    <w:rsid w:val="00060C48"/>
    <w:rsid w:val="00061A3C"/>
    <w:rsid w:val="00061C48"/>
    <w:rsid w:val="00064278"/>
    <w:rsid w:val="000646CA"/>
    <w:rsid w:val="000665C4"/>
    <w:rsid w:val="000666A0"/>
    <w:rsid w:val="00067625"/>
    <w:rsid w:val="00067821"/>
    <w:rsid w:val="0006785E"/>
    <w:rsid w:val="00067DE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85"/>
    <w:rsid w:val="0007568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5F"/>
    <w:rsid w:val="00082684"/>
    <w:rsid w:val="00082AD4"/>
    <w:rsid w:val="00083E07"/>
    <w:rsid w:val="00084D27"/>
    <w:rsid w:val="00084ED6"/>
    <w:rsid w:val="0008580E"/>
    <w:rsid w:val="0008586C"/>
    <w:rsid w:val="00085A0E"/>
    <w:rsid w:val="00085C4F"/>
    <w:rsid w:val="00086EFD"/>
    <w:rsid w:val="00086F8A"/>
    <w:rsid w:val="00087031"/>
    <w:rsid w:val="00090243"/>
    <w:rsid w:val="000904F6"/>
    <w:rsid w:val="00090918"/>
    <w:rsid w:val="00090ED8"/>
    <w:rsid w:val="00090F9F"/>
    <w:rsid w:val="0009145F"/>
    <w:rsid w:val="0009184E"/>
    <w:rsid w:val="00091B4E"/>
    <w:rsid w:val="000921F4"/>
    <w:rsid w:val="00092467"/>
    <w:rsid w:val="000927CF"/>
    <w:rsid w:val="00092FE9"/>
    <w:rsid w:val="000936BF"/>
    <w:rsid w:val="0009382F"/>
    <w:rsid w:val="00093A30"/>
    <w:rsid w:val="00094314"/>
    <w:rsid w:val="00094342"/>
    <w:rsid w:val="000945BA"/>
    <w:rsid w:val="00095954"/>
    <w:rsid w:val="000960BA"/>
    <w:rsid w:val="0009662A"/>
    <w:rsid w:val="0009690D"/>
    <w:rsid w:val="00096C1D"/>
    <w:rsid w:val="00096DFF"/>
    <w:rsid w:val="000A0729"/>
    <w:rsid w:val="000A0E69"/>
    <w:rsid w:val="000A1A52"/>
    <w:rsid w:val="000A1B44"/>
    <w:rsid w:val="000A1F98"/>
    <w:rsid w:val="000A200F"/>
    <w:rsid w:val="000A28F2"/>
    <w:rsid w:val="000A37B4"/>
    <w:rsid w:val="000A3D58"/>
    <w:rsid w:val="000A3FE3"/>
    <w:rsid w:val="000A47B0"/>
    <w:rsid w:val="000A4851"/>
    <w:rsid w:val="000A49BB"/>
    <w:rsid w:val="000A4F22"/>
    <w:rsid w:val="000A5674"/>
    <w:rsid w:val="000A5A46"/>
    <w:rsid w:val="000A5DC3"/>
    <w:rsid w:val="000A7299"/>
    <w:rsid w:val="000A752E"/>
    <w:rsid w:val="000B0E04"/>
    <w:rsid w:val="000B1309"/>
    <w:rsid w:val="000B2663"/>
    <w:rsid w:val="000B268D"/>
    <w:rsid w:val="000B291B"/>
    <w:rsid w:val="000B3AA9"/>
    <w:rsid w:val="000B4435"/>
    <w:rsid w:val="000B456C"/>
    <w:rsid w:val="000B45B9"/>
    <w:rsid w:val="000B47CE"/>
    <w:rsid w:val="000B4B56"/>
    <w:rsid w:val="000B4C62"/>
    <w:rsid w:val="000B541D"/>
    <w:rsid w:val="000B54C1"/>
    <w:rsid w:val="000B5553"/>
    <w:rsid w:val="000B5FE8"/>
    <w:rsid w:val="000B666E"/>
    <w:rsid w:val="000C033C"/>
    <w:rsid w:val="000C06EC"/>
    <w:rsid w:val="000C0A43"/>
    <w:rsid w:val="000C0CB1"/>
    <w:rsid w:val="000C1411"/>
    <w:rsid w:val="000C1ADE"/>
    <w:rsid w:val="000C1C38"/>
    <w:rsid w:val="000C21DC"/>
    <w:rsid w:val="000C2264"/>
    <w:rsid w:val="000C256B"/>
    <w:rsid w:val="000C3125"/>
    <w:rsid w:val="000C3970"/>
    <w:rsid w:val="000C3B1A"/>
    <w:rsid w:val="000C3FA3"/>
    <w:rsid w:val="000C4727"/>
    <w:rsid w:val="000C47AE"/>
    <w:rsid w:val="000C51AD"/>
    <w:rsid w:val="000C5374"/>
    <w:rsid w:val="000C5EC0"/>
    <w:rsid w:val="000C6162"/>
    <w:rsid w:val="000C64CC"/>
    <w:rsid w:val="000C6688"/>
    <w:rsid w:val="000C692E"/>
    <w:rsid w:val="000C6B28"/>
    <w:rsid w:val="000C7BEB"/>
    <w:rsid w:val="000D00D6"/>
    <w:rsid w:val="000D0124"/>
    <w:rsid w:val="000D08F8"/>
    <w:rsid w:val="000D11E5"/>
    <w:rsid w:val="000D19E8"/>
    <w:rsid w:val="000D1FA1"/>
    <w:rsid w:val="000D208A"/>
    <w:rsid w:val="000D225B"/>
    <w:rsid w:val="000D2834"/>
    <w:rsid w:val="000D2CAC"/>
    <w:rsid w:val="000D34C8"/>
    <w:rsid w:val="000D34FD"/>
    <w:rsid w:val="000D3932"/>
    <w:rsid w:val="000D3A37"/>
    <w:rsid w:val="000D3BE5"/>
    <w:rsid w:val="000D3C37"/>
    <w:rsid w:val="000D453A"/>
    <w:rsid w:val="000D4AFA"/>
    <w:rsid w:val="000D5240"/>
    <w:rsid w:val="000D5EA6"/>
    <w:rsid w:val="000D5F00"/>
    <w:rsid w:val="000D6C9F"/>
    <w:rsid w:val="000D6E3B"/>
    <w:rsid w:val="000D6F30"/>
    <w:rsid w:val="000D74E4"/>
    <w:rsid w:val="000D7C9D"/>
    <w:rsid w:val="000D7CE0"/>
    <w:rsid w:val="000E10B6"/>
    <w:rsid w:val="000E1444"/>
    <w:rsid w:val="000E2785"/>
    <w:rsid w:val="000E27BB"/>
    <w:rsid w:val="000E3153"/>
    <w:rsid w:val="000E3484"/>
    <w:rsid w:val="000E386F"/>
    <w:rsid w:val="000E4051"/>
    <w:rsid w:val="000E4139"/>
    <w:rsid w:val="000E4765"/>
    <w:rsid w:val="000E5433"/>
    <w:rsid w:val="000E5661"/>
    <w:rsid w:val="000E5B7E"/>
    <w:rsid w:val="000E5BB8"/>
    <w:rsid w:val="000E5FF9"/>
    <w:rsid w:val="000E6AE1"/>
    <w:rsid w:val="000E7142"/>
    <w:rsid w:val="000E7236"/>
    <w:rsid w:val="000E7632"/>
    <w:rsid w:val="000E7737"/>
    <w:rsid w:val="000E7739"/>
    <w:rsid w:val="000E77EE"/>
    <w:rsid w:val="000F1604"/>
    <w:rsid w:val="000F2798"/>
    <w:rsid w:val="000F287A"/>
    <w:rsid w:val="000F2940"/>
    <w:rsid w:val="000F2AB3"/>
    <w:rsid w:val="000F3C29"/>
    <w:rsid w:val="000F3D08"/>
    <w:rsid w:val="000F439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4AE"/>
    <w:rsid w:val="001015F8"/>
    <w:rsid w:val="00101967"/>
    <w:rsid w:val="001024BA"/>
    <w:rsid w:val="00103251"/>
    <w:rsid w:val="00103509"/>
    <w:rsid w:val="00103709"/>
    <w:rsid w:val="0010393D"/>
    <w:rsid w:val="00103D66"/>
    <w:rsid w:val="00103EBD"/>
    <w:rsid w:val="00104699"/>
    <w:rsid w:val="00104E5B"/>
    <w:rsid w:val="00104EEC"/>
    <w:rsid w:val="001050DC"/>
    <w:rsid w:val="00105482"/>
    <w:rsid w:val="001056A5"/>
    <w:rsid w:val="00105BA9"/>
    <w:rsid w:val="00105BF2"/>
    <w:rsid w:val="00105FE1"/>
    <w:rsid w:val="001066EF"/>
    <w:rsid w:val="00106AAA"/>
    <w:rsid w:val="00106E0E"/>
    <w:rsid w:val="00107127"/>
    <w:rsid w:val="001078A5"/>
    <w:rsid w:val="00107BBD"/>
    <w:rsid w:val="00107BC7"/>
    <w:rsid w:val="00110033"/>
    <w:rsid w:val="001102B5"/>
    <w:rsid w:val="00110E34"/>
    <w:rsid w:val="00111986"/>
    <w:rsid w:val="00111C7D"/>
    <w:rsid w:val="00112038"/>
    <w:rsid w:val="001127FF"/>
    <w:rsid w:val="00112B0B"/>
    <w:rsid w:val="00112EB5"/>
    <w:rsid w:val="0011383E"/>
    <w:rsid w:val="00113EE3"/>
    <w:rsid w:val="001140CC"/>
    <w:rsid w:val="00114847"/>
    <w:rsid w:val="00114C4D"/>
    <w:rsid w:val="0011585B"/>
    <w:rsid w:val="00115B1A"/>
    <w:rsid w:val="00115F27"/>
    <w:rsid w:val="001160FF"/>
    <w:rsid w:val="001164F4"/>
    <w:rsid w:val="001168F8"/>
    <w:rsid w:val="001176FF"/>
    <w:rsid w:val="0012030E"/>
    <w:rsid w:val="0012153F"/>
    <w:rsid w:val="0012159D"/>
    <w:rsid w:val="00121804"/>
    <w:rsid w:val="0012196B"/>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429"/>
    <w:rsid w:val="00131C2D"/>
    <w:rsid w:val="0013202C"/>
    <w:rsid w:val="00132704"/>
    <w:rsid w:val="00132CBF"/>
    <w:rsid w:val="0013337F"/>
    <w:rsid w:val="00133707"/>
    <w:rsid w:val="00133742"/>
    <w:rsid w:val="00133B70"/>
    <w:rsid w:val="00133E97"/>
    <w:rsid w:val="00134823"/>
    <w:rsid w:val="00134BE9"/>
    <w:rsid w:val="001350F7"/>
    <w:rsid w:val="00135769"/>
    <w:rsid w:val="00135BE9"/>
    <w:rsid w:val="00135E1E"/>
    <w:rsid w:val="00135E5C"/>
    <w:rsid w:val="00135F56"/>
    <w:rsid w:val="001363FF"/>
    <w:rsid w:val="00136692"/>
    <w:rsid w:val="00136762"/>
    <w:rsid w:val="00136E33"/>
    <w:rsid w:val="00136E9D"/>
    <w:rsid w:val="0013773D"/>
    <w:rsid w:val="00140319"/>
    <w:rsid w:val="0014042F"/>
    <w:rsid w:val="00140693"/>
    <w:rsid w:val="00140D7A"/>
    <w:rsid w:val="0014148C"/>
    <w:rsid w:val="00141D28"/>
    <w:rsid w:val="00141DFE"/>
    <w:rsid w:val="00142185"/>
    <w:rsid w:val="001422E2"/>
    <w:rsid w:val="00142C26"/>
    <w:rsid w:val="001433BC"/>
    <w:rsid w:val="001435ED"/>
    <w:rsid w:val="00143872"/>
    <w:rsid w:val="00143A85"/>
    <w:rsid w:val="00144649"/>
    <w:rsid w:val="00145022"/>
    <w:rsid w:val="00145662"/>
    <w:rsid w:val="00145C6D"/>
    <w:rsid w:val="001460FC"/>
    <w:rsid w:val="00146151"/>
    <w:rsid w:val="00146326"/>
    <w:rsid w:val="00147032"/>
    <w:rsid w:val="0014763D"/>
    <w:rsid w:val="001479FD"/>
    <w:rsid w:val="00147EA7"/>
    <w:rsid w:val="00151170"/>
    <w:rsid w:val="00151820"/>
    <w:rsid w:val="00151B2F"/>
    <w:rsid w:val="001524DC"/>
    <w:rsid w:val="001525E5"/>
    <w:rsid w:val="00152F90"/>
    <w:rsid w:val="00153117"/>
    <w:rsid w:val="00153859"/>
    <w:rsid w:val="00153915"/>
    <w:rsid w:val="001539F0"/>
    <w:rsid w:val="00153C3F"/>
    <w:rsid w:val="0015419D"/>
    <w:rsid w:val="0015498C"/>
    <w:rsid w:val="00154BBA"/>
    <w:rsid w:val="00155B95"/>
    <w:rsid w:val="00156853"/>
    <w:rsid w:val="00157432"/>
    <w:rsid w:val="001603D9"/>
    <w:rsid w:val="00161185"/>
    <w:rsid w:val="001614F0"/>
    <w:rsid w:val="001620BA"/>
    <w:rsid w:val="001623AC"/>
    <w:rsid w:val="00162BAA"/>
    <w:rsid w:val="00163C40"/>
    <w:rsid w:val="001644AC"/>
    <w:rsid w:val="0016488B"/>
    <w:rsid w:val="00165758"/>
    <w:rsid w:val="00165A65"/>
    <w:rsid w:val="00165F10"/>
    <w:rsid w:val="001661DE"/>
    <w:rsid w:val="00166317"/>
    <w:rsid w:val="00166424"/>
    <w:rsid w:val="00167478"/>
    <w:rsid w:val="00167594"/>
    <w:rsid w:val="001701A4"/>
    <w:rsid w:val="001702BE"/>
    <w:rsid w:val="001703AB"/>
    <w:rsid w:val="001704B3"/>
    <w:rsid w:val="0017059C"/>
    <w:rsid w:val="00170805"/>
    <w:rsid w:val="0017098F"/>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0FC0"/>
    <w:rsid w:val="001827B7"/>
    <w:rsid w:val="001827EF"/>
    <w:rsid w:val="00182982"/>
    <w:rsid w:val="001829BC"/>
    <w:rsid w:val="00182D68"/>
    <w:rsid w:val="00182FEB"/>
    <w:rsid w:val="00183031"/>
    <w:rsid w:val="00183468"/>
    <w:rsid w:val="0018397E"/>
    <w:rsid w:val="0018413B"/>
    <w:rsid w:val="00184220"/>
    <w:rsid w:val="00184466"/>
    <w:rsid w:val="00184DBF"/>
    <w:rsid w:val="001850D2"/>
    <w:rsid w:val="001852A8"/>
    <w:rsid w:val="0018620A"/>
    <w:rsid w:val="00186C1E"/>
    <w:rsid w:val="00186EB0"/>
    <w:rsid w:val="00187121"/>
    <w:rsid w:val="00187243"/>
    <w:rsid w:val="00187C29"/>
    <w:rsid w:val="00187D13"/>
    <w:rsid w:val="00190782"/>
    <w:rsid w:val="00190942"/>
    <w:rsid w:val="001909A7"/>
    <w:rsid w:val="001909C3"/>
    <w:rsid w:val="00191459"/>
    <w:rsid w:val="00191603"/>
    <w:rsid w:val="0019173E"/>
    <w:rsid w:val="0019174E"/>
    <w:rsid w:val="0019196B"/>
    <w:rsid w:val="00191CFA"/>
    <w:rsid w:val="001923D5"/>
    <w:rsid w:val="00192991"/>
    <w:rsid w:val="00193470"/>
    <w:rsid w:val="00193B94"/>
    <w:rsid w:val="001940A7"/>
    <w:rsid w:val="00194A71"/>
    <w:rsid w:val="00194BB1"/>
    <w:rsid w:val="00194BC6"/>
    <w:rsid w:val="00195070"/>
    <w:rsid w:val="00195245"/>
    <w:rsid w:val="0019526D"/>
    <w:rsid w:val="0019553F"/>
    <w:rsid w:val="001956BE"/>
    <w:rsid w:val="00195E24"/>
    <w:rsid w:val="0019602C"/>
    <w:rsid w:val="001969F2"/>
    <w:rsid w:val="00196CD6"/>
    <w:rsid w:val="0019756A"/>
    <w:rsid w:val="001A0496"/>
    <w:rsid w:val="001A06B5"/>
    <w:rsid w:val="001A07F8"/>
    <w:rsid w:val="001A0A23"/>
    <w:rsid w:val="001A0C98"/>
    <w:rsid w:val="001A128B"/>
    <w:rsid w:val="001A1475"/>
    <w:rsid w:val="001A16FB"/>
    <w:rsid w:val="001A1F0E"/>
    <w:rsid w:val="001A3335"/>
    <w:rsid w:val="001A3CB9"/>
    <w:rsid w:val="001A473A"/>
    <w:rsid w:val="001A4ED9"/>
    <w:rsid w:val="001A5785"/>
    <w:rsid w:val="001A5D2D"/>
    <w:rsid w:val="001A5FD7"/>
    <w:rsid w:val="001A66A6"/>
    <w:rsid w:val="001A6BAF"/>
    <w:rsid w:val="001A6BBB"/>
    <w:rsid w:val="001A6CEE"/>
    <w:rsid w:val="001A7314"/>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8F2"/>
    <w:rsid w:val="001B6D58"/>
    <w:rsid w:val="001B6FA7"/>
    <w:rsid w:val="001B7A15"/>
    <w:rsid w:val="001B7B69"/>
    <w:rsid w:val="001B7B9A"/>
    <w:rsid w:val="001B7DC1"/>
    <w:rsid w:val="001C08DB"/>
    <w:rsid w:val="001C0E6F"/>
    <w:rsid w:val="001C0FF7"/>
    <w:rsid w:val="001C10BD"/>
    <w:rsid w:val="001C1F01"/>
    <w:rsid w:val="001C2092"/>
    <w:rsid w:val="001C232F"/>
    <w:rsid w:val="001C2544"/>
    <w:rsid w:val="001C2A17"/>
    <w:rsid w:val="001C31F5"/>
    <w:rsid w:val="001C4A57"/>
    <w:rsid w:val="001C6047"/>
    <w:rsid w:val="001C6698"/>
    <w:rsid w:val="001C6C1C"/>
    <w:rsid w:val="001C6C5B"/>
    <w:rsid w:val="001C7399"/>
    <w:rsid w:val="001C7CE0"/>
    <w:rsid w:val="001D005B"/>
    <w:rsid w:val="001D0947"/>
    <w:rsid w:val="001D16F5"/>
    <w:rsid w:val="001D1970"/>
    <w:rsid w:val="001D1D55"/>
    <w:rsid w:val="001D1EDB"/>
    <w:rsid w:val="001D21EF"/>
    <w:rsid w:val="001D29A4"/>
    <w:rsid w:val="001D2AED"/>
    <w:rsid w:val="001D2B73"/>
    <w:rsid w:val="001D2BB4"/>
    <w:rsid w:val="001D3136"/>
    <w:rsid w:val="001D330D"/>
    <w:rsid w:val="001D4AB6"/>
    <w:rsid w:val="001D4AD3"/>
    <w:rsid w:val="001D4DCF"/>
    <w:rsid w:val="001D5281"/>
    <w:rsid w:val="001E11BD"/>
    <w:rsid w:val="001E17E3"/>
    <w:rsid w:val="001E2052"/>
    <w:rsid w:val="001E2492"/>
    <w:rsid w:val="001E257C"/>
    <w:rsid w:val="001E286C"/>
    <w:rsid w:val="001E2CE8"/>
    <w:rsid w:val="001E2F34"/>
    <w:rsid w:val="001E35EE"/>
    <w:rsid w:val="001E4B2C"/>
    <w:rsid w:val="001E507F"/>
    <w:rsid w:val="001E56C2"/>
    <w:rsid w:val="001E59FB"/>
    <w:rsid w:val="001E65E4"/>
    <w:rsid w:val="001E7F81"/>
    <w:rsid w:val="001F0FD1"/>
    <w:rsid w:val="001F1526"/>
    <w:rsid w:val="001F19D1"/>
    <w:rsid w:val="001F1CB9"/>
    <w:rsid w:val="001F1F18"/>
    <w:rsid w:val="001F2C9D"/>
    <w:rsid w:val="001F2F92"/>
    <w:rsid w:val="001F50E3"/>
    <w:rsid w:val="001F53B8"/>
    <w:rsid w:val="001F5DA1"/>
    <w:rsid w:val="001F612E"/>
    <w:rsid w:val="001F6A92"/>
    <w:rsid w:val="001F77E8"/>
    <w:rsid w:val="001F7A8E"/>
    <w:rsid w:val="00201A0C"/>
    <w:rsid w:val="00201B0F"/>
    <w:rsid w:val="0020255A"/>
    <w:rsid w:val="002026D0"/>
    <w:rsid w:val="00202800"/>
    <w:rsid w:val="00202A6E"/>
    <w:rsid w:val="00202D33"/>
    <w:rsid w:val="00202E58"/>
    <w:rsid w:val="00202F99"/>
    <w:rsid w:val="00203C85"/>
    <w:rsid w:val="0020449A"/>
    <w:rsid w:val="00204E9B"/>
    <w:rsid w:val="00205214"/>
    <w:rsid w:val="00205298"/>
    <w:rsid w:val="002055C0"/>
    <w:rsid w:val="0020569E"/>
    <w:rsid w:val="002064F7"/>
    <w:rsid w:val="00206698"/>
    <w:rsid w:val="002066F9"/>
    <w:rsid w:val="00206736"/>
    <w:rsid w:val="00206C88"/>
    <w:rsid w:val="00210B9C"/>
    <w:rsid w:val="00211000"/>
    <w:rsid w:val="00211185"/>
    <w:rsid w:val="00211A94"/>
    <w:rsid w:val="002120CB"/>
    <w:rsid w:val="002126F2"/>
    <w:rsid w:val="00213478"/>
    <w:rsid w:val="002136C3"/>
    <w:rsid w:val="00214028"/>
    <w:rsid w:val="002141C3"/>
    <w:rsid w:val="002141DC"/>
    <w:rsid w:val="0021440C"/>
    <w:rsid w:val="00214479"/>
    <w:rsid w:val="002144F3"/>
    <w:rsid w:val="002146C3"/>
    <w:rsid w:val="00214C61"/>
    <w:rsid w:val="00215334"/>
    <w:rsid w:val="00215514"/>
    <w:rsid w:val="002158FC"/>
    <w:rsid w:val="00215A2A"/>
    <w:rsid w:val="00215A3F"/>
    <w:rsid w:val="00215D21"/>
    <w:rsid w:val="0021636B"/>
    <w:rsid w:val="00216387"/>
    <w:rsid w:val="00216E7B"/>
    <w:rsid w:val="00217E1F"/>
    <w:rsid w:val="0022015D"/>
    <w:rsid w:val="002202D2"/>
    <w:rsid w:val="002204BC"/>
    <w:rsid w:val="00220F7B"/>
    <w:rsid w:val="0022127E"/>
    <w:rsid w:val="002213CE"/>
    <w:rsid w:val="0022165F"/>
    <w:rsid w:val="00221AF7"/>
    <w:rsid w:val="00222494"/>
    <w:rsid w:val="00222718"/>
    <w:rsid w:val="00222775"/>
    <w:rsid w:val="00222A31"/>
    <w:rsid w:val="00222C37"/>
    <w:rsid w:val="00222CF6"/>
    <w:rsid w:val="00223A2C"/>
    <w:rsid w:val="00224037"/>
    <w:rsid w:val="002244E4"/>
    <w:rsid w:val="00224D2A"/>
    <w:rsid w:val="00224D8D"/>
    <w:rsid w:val="0022513A"/>
    <w:rsid w:val="0022555A"/>
    <w:rsid w:val="00225B52"/>
    <w:rsid w:val="00227214"/>
    <w:rsid w:val="00227D86"/>
    <w:rsid w:val="00227DDC"/>
    <w:rsid w:val="0023079F"/>
    <w:rsid w:val="00230A8C"/>
    <w:rsid w:val="00231135"/>
    <w:rsid w:val="002314B1"/>
    <w:rsid w:val="002317A1"/>
    <w:rsid w:val="00231B0B"/>
    <w:rsid w:val="00232555"/>
    <w:rsid w:val="00233538"/>
    <w:rsid w:val="00233A43"/>
    <w:rsid w:val="00234248"/>
    <w:rsid w:val="00234362"/>
    <w:rsid w:val="0023449F"/>
    <w:rsid w:val="002344F5"/>
    <w:rsid w:val="0023454D"/>
    <w:rsid w:val="00234679"/>
    <w:rsid w:val="002359FC"/>
    <w:rsid w:val="002361C8"/>
    <w:rsid w:val="002362A6"/>
    <w:rsid w:val="00236690"/>
    <w:rsid w:val="0023669D"/>
    <w:rsid w:val="00237EAE"/>
    <w:rsid w:val="00237FA2"/>
    <w:rsid w:val="0024027A"/>
    <w:rsid w:val="002403D5"/>
    <w:rsid w:val="00240C1F"/>
    <w:rsid w:val="00240F55"/>
    <w:rsid w:val="00240F67"/>
    <w:rsid w:val="00241144"/>
    <w:rsid w:val="00241C7B"/>
    <w:rsid w:val="00242510"/>
    <w:rsid w:val="00242F79"/>
    <w:rsid w:val="00243118"/>
    <w:rsid w:val="0024415B"/>
    <w:rsid w:val="00245565"/>
    <w:rsid w:val="002458C1"/>
    <w:rsid w:val="00245E62"/>
    <w:rsid w:val="002460D0"/>
    <w:rsid w:val="00246357"/>
    <w:rsid w:val="00247422"/>
    <w:rsid w:val="00247BA2"/>
    <w:rsid w:val="00247BE2"/>
    <w:rsid w:val="00250870"/>
    <w:rsid w:val="00250CA4"/>
    <w:rsid w:val="00250D6D"/>
    <w:rsid w:val="0025151C"/>
    <w:rsid w:val="0025184F"/>
    <w:rsid w:val="00251967"/>
    <w:rsid w:val="002521B2"/>
    <w:rsid w:val="002527CC"/>
    <w:rsid w:val="00252F48"/>
    <w:rsid w:val="002530C0"/>
    <w:rsid w:val="00253586"/>
    <w:rsid w:val="002537FC"/>
    <w:rsid w:val="002542F8"/>
    <w:rsid w:val="002543EF"/>
    <w:rsid w:val="00254F2A"/>
    <w:rsid w:val="002552F4"/>
    <w:rsid w:val="002553ED"/>
    <w:rsid w:val="00255530"/>
    <w:rsid w:val="00255784"/>
    <w:rsid w:val="00255A29"/>
    <w:rsid w:val="0025631F"/>
    <w:rsid w:val="00256986"/>
    <w:rsid w:val="00256D61"/>
    <w:rsid w:val="00256E23"/>
    <w:rsid w:val="00257246"/>
    <w:rsid w:val="00257438"/>
    <w:rsid w:val="00257B6A"/>
    <w:rsid w:val="002609E9"/>
    <w:rsid w:val="0026119C"/>
    <w:rsid w:val="00261AFE"/>
    <w:rsid w:val="0026212A"/>
    <w:rsid w:val="002621D7"/>
    <w:rsid w:val="00262996"/>
    <w:rsid w:val="00263044"/>
    <w:rsid w:val="00263759"/>
    <w:rsid w:val="002638BD"/>
    <w:rsid w:val="00263A58"/>
    <w:rsid w:val="0026470B"/>
    <w:rsid w:val="0026486D"/>
    <w:rsid w:val="00264C4B"/>
    <w:rsid w:val="00264ED0"/>
    <w:rsid w:val="00265346"/>
    <w:rsid w:val="00266045"/>
    <w:rsid w:val="002660C3"/>
    <w:rsid w:val="00266ACF"/>
    <w:rsid w:val="00266C21"/>
    <w:rsid w:val="00266DE1"/>
    <w:rsid w:val="00266E95"/>
    <w:rsid w:val="00267408"/>
    <w:rsid w:val="00267720"/>
    <w:rsid w:val="00267A92"/>
    <w:rsid w:val="00267E43"/>
    <w:rsid w:val="00270282"/>
    <w:rsid w:val="00270780"/>
    <w:rsid w:val="00270CF6"/>
    <w:rsid w:val="00271097"/>
    <w:rsid w:val="0027131F"/>
    <w:rsid w:val="00271C53"/>
    <w:rsid w:val="00272066"/>
    <w:rsid w:val="0027244F"/>
    <w:rsid w:val="00273052"/>
    <w:rsid w:val="002739CE"/>
    <w:rsid w:val="00273C5F"/>
    <w:rsid w:val="002741D4"/>
    <w:rsid w:val="002743AC"/>
    <w:rsid w:val="002747F9"/>
    <w:rsid w:val="0027499D"/>
    <w:rsid w:val="002751CA"/>
    <w:rsid w:val="0027544D"/>
    <w:rsid w:val="00277196"/>
    <w:rsid w:val="002775ED"/>
    <w:rsid w:val="002778AB"/>
    <w:rsid w:val="0027798D"/>
    <w:rsid w:val="002802A5"/>
    <w:rsid w:val="002803CC"/>
    <w:rsid w:val="00280CFB"/>
    <w:rsid w:val="00280D24"/>
    <w:rsid w:val="002815C4"/>
    <w:rsid w:val="00281BCB"/>
    <w:rsid w:val="00281C76"/>
    <w:rsid w:val="00281D7F"/>
    <w:rsid w:val="00282A88"/>
    <w:rsid w:val="0028316D"/>
    <w:rsid w:val="00283296"/>
    <w:rsid w:val="00283C0A"/>
    <w:rsid w:val="002855FC"/>
    <w:rsid w:val="0028583E"/>
    <w:rsid w:val="00285853"/>
    <w:rsid w:val="00285B1A"/>
    <w:rsid w:val="00285F3F"/>
    <w:rsid w:val="00285FF3"/>
    <w:rsid w:val="002866EC"/>
    <w:rsid w:val="0028744E"/>
    <w:rsid w:val="002876D2"/>
    <w:rsid w:val="00287936"/>
    <w:rsid w:val="00287BB0"/>
    <w:rsid w:val="00287BB7"/>
    <w:rsid w:val="002903C5"/>
    <w:rsid w:val="0029041B"/>
    <w:rsid w:val="00290A99"/>
    <w:rsid w:val="00290EAF"/>
    <w:rsid w:val="0029159A"/>
    <w:rsid w:val="00291CF1"/>
    <w:rsid w:val="00291EEA"/>
    <w:rsid w:val="00292AA1"/>
    <w:rsid w:val="00293871"/>
    <w:rsid w:val="002939CD"/>
    <w:rsid w:val="00294012"/>
    <w:rsid w:val="002944E7"/>
    <w:rsid w:val="002945B0"/>
    <w:rsid w:val="0029499D"/>
    <w:rsid w:val="00294A13"/>
    <w:rsid w:val="00294B10"/>
    <w:rsid w:val="00294DF9"/>
    <w:rsid w:val="00295073"/>
    <w:rsid w:val="00295468"/>
    <w:rsid w:val="0029612B"/>
    <w:rsid w:val="00296819"/>
    <w:rsid w:val="00296C32"/>
    <w:rsid w:val="002977CE"/>
    <w:rsid w:val="00297AF5"/>
    <w:rsid w:val="00297F13"/>
    <w:rsid w:val="002A01C1"/>
    <w:rsid w:val="002A02D6"/>
    <w:rsid w:val="002A03ED"/>
    <w:rsid w:val="002A07C4"/>
    <w:rsid w:val="002A0921"/>
    <w:rsid w:val="002A0B04"/>
    <w:rsid w:val="002A0CB3"/>
    <w:rsid w:val="002A1887"/>
    <w:rsid w:val="002A2001"/>
    <w:rsid w:val="002A3450"/>
    <w:rsid w:val="002A4060"/>
    <w:rsid w:val="002A4868"/>
    <w:rsid w:val="002A4A05"/>
    <w:rsid w:val="002A4EB3"/>
    <w:rsid w:val="002A51D9"/>
    <w:rsid w:val="002A525A"/>
    <w:rsid w:val="002A5968"/>
    <w:rsid w:val="002A5C82"/>
    <w:rsid w:val="002A5CAB"/>
    <w:rsid w:val="002A5D40"/>
    <w:rsid w:val="002A622E"/>
    <w:rsid w:val="002A6424"/>
    <w:rsid w:val="002A64E7"/>
    <w:rsid w:val="002A706B"/>
    <w:rsid w:val="002A734F"/>
    <w:rsid w:val="002A7748"/>
    <w:rsid w:val="002A7ED3"/>
    <w:rsid w:val="002A7FB1"/>
    <w:rsid w:val="002A7FC9"/>
    <w:rsid w:val="002B139C"/>
    <w:rsid w:val="002B1881"/>
    <w:rsid w:val="002B1F61"/>
    <w:rsid w:val="002B2070"/>
    <w:rsid w:val="002B227D"/>
    <w:rsid w:val="002B2906"/>
    <w:rsid w:val="002B2C66"/>
    <w:rsid w:val="002B3216"/>
    <w:rsid w:val="002B34E3"/>
    <w:rsid w:val="002B3EF8"/>
    <w:rsid w:val="002B4B5C"/>
    <w:rsid w:val="002B51B6"/>
    <w:rsid w:val="002B5AEE"/>
    <w:rsid w:val="002B6177"/>
    <w:rsid w:val="002B650C"/>
    <w:rsid w:val="002B68E6"/>
    <w:rsid w:val="002B6985"/>
    <w:rsid w:val="002B6BD4"/>
    <w:rsid w:val="002B6D7A"/>
    <w:rsid w:val="002B72AE"/>
    <w:rsid w:val="002C02BA"/>
    <w:rsid w:val="002C0301"/>
    <w:rsid w:val="002C0326"/>
    <w:rsid w:val="002C077E"/>
    <w:rsid w:val="002C07B2"/>
    <w:rsid w:val="002C0A9F"/>
    <w:rsid w:val="002C1AB3"/>
    <w:rsid w:val="002C1BB7"/>
    <w:rsid w:val="002C1F0E"/>
    <w:rsid w:val="002C1FB3"/>
    <w:rsid w:val="002C2665"/>
    <w:rsid w:val="002C28E1"/>
    <w:rsid w:val="002C327D"/>
    <w:rsid w:val="002C3607"/>
    <w:rsid w:val="002C3890"/>
    <w:rsid w:val="002C3AD9"/>
    <w:rsid w:val="002C3B82"/>
    <w:rsid w:val="002C4286"/>
    <w:rsid w:val="002C43FC"/>
    <w:rsid w:val="002C45C3"/>
    <w:rsid w:val="002C483B"/>
    <w:rsid w:val="002C4DFE"/>
    <w:rsid w:val="002C519E"/>
    <w:rsid w:val="002C5D5E"/>
    <w:rsid w:val="002C6116"/>
    <w:rsid w:val="002C643D"/>
    <w:rsid w:val="002C66B8"/>
    <w:rsid w:val="002C70E7"/>
    <w:rsid w:val="002D016F"/>
    <w:rsid w:val="002D0404"/>
    <w:rsid w:val="002D0C27"/>
    <w:rsid w:val="002D0E88"/>
    <w:rsid w:val="002D0EA7"/>
    <w:rsid w:val="002D0F31"/>
    <w:rsid w:val="002D1593"/>
    <w:rsid w:val="002D1A1E"/>
    <w:rsid w:val="002D22A6"/>
    <w:rsid w:val="002D2819"/>
    <w:rsid w:val="002D2CD6"/>
    <w:rsid w:val="002D2F81"/>
    <w:rsid w:val="002D330B"/>
    <w:rsid w:val="002D38A3"/>
    <w:rsid w:val="002D39A9"/>
    <w:rsid w:val="002D3BA3"/>
    <w:rsid w:val="002D43EE"/>
    <w:rsid w:val="002D4892"/>
    <w:rsid w:val="002D4D06"/>
    <w:rsid w:val="002D4DDE"/>
    <w:rsid w:val="002D4EE7"/>
    <w:rsid w:val="002D4EED"/>
    <w:rsid w:val="002D5AAD"/>
    <w:rsid w:val="002D5DA3"/>
    <w:rsid w:val="002D6097"/>
    <w:rsid w:val="002D65AD"/>
    <w:rsid w:val="002D6782"/>
    <w:rsid w:val="002D68CC"/>
    <w:rsid w:val="002D6E4D"/>
    <w:rsid w:val="002D74A4"/>
    <w:rsid w:val="002D788E"/>
    <w:rsid w:val="002D7C3D"/>
    <w:rsid w:val="002D7DB2"/>
    <w:rsid w:val="002D7DBD"/>
    <w:rsid w:val="002D7EA8"/>
    <w:rsid w:val="002E00E1"/>
    <w:rsid w:val="002E0102"/>
    <w:rsid w:val="002E03AE"/>
    <w:rsid w:val="002E0542"/>
    <w:rsid w:val="002E05F2"/>
    <w:rsid w:val="002E0E87"/>
    <w:rsid w:val="002E12FA"/>
    <w:rsid w:val="002E13CF"/>
    <w:rsid w:val="002E1A42"/>
    <w:rsid w:val="002E1D14"/>
    <w:rsid w:val="002E201C"/>
    <w:rsid w:val="002E22CA"/>
    <w:rsid w:val="002E236F"/>
    <w:rsid w:val="002E2A3C"/>
    <w:rsid w:val="002E2A90"/>
    <w:rsid w:val="002E3294"/>
    <w:rsid w:val="002E36EE"/>
    <w:rsid w:val="002E37C5"/>
    <w:rsid w:val="002E3956"/>
    <w:rsid w:val="002E3C08"/>
    <w:rsid w:val="002E3CF2"/>
    <w:rsid w:val="002E469E"/>
    <w:rsid w:val="002E4C01"/>
    <w:rsid w:val="002E4D50"/>
    <w:rsid w:val="002E4F8E"/>
    <w:rsid w:val="002E51C3"/>
    <w:rsid w:val="002E55FF"/>
    <w:rsid w:val="002E587E"/>
    <w:rsid w:val="002E672A"/>
    <w:rsid w:val="002E6853"/>
    <w:rsid w:val="002E70B3"/>
    <w:rsid w:val="002E7EC1"/>
    <w:rsid w:val="002E7EE5"/>
    <w:rsid w:val="002F0323"/>
    <w:rsid w:val="002F0DFB"/>
    <w:rsid w:val="002F134F"/>
    <w:rsid w:val="002F1D0B"/>
    <w:rsid w:val="002F1E1D"/>
    <w:rsid w:val="002F1F02"/>
    <w:rsid w:val="002F27E5"/>
    <w:rsid w:val="002F2D81"/>
    <w:rsid w:val="002F2F66"/>
    <w:rsid w:val="002F3128"/>
    <w:rsid w:val="002F339A"/>
    <w:rsid w:val="002F39D4"/>
    <w:rsid w:val="002F4A71"/>
    <w:rsid w:val="002F4BA9"/>
    <w:rsid w:val="002F541B"/>
    <w:rsid w:val="002F5BFE"/>
    <w:rsid w:val="002F5DA5"/>
    <w:rsid w:val="002F5E17"/>
    <w:rsid w:val="002F6371"/>
    <w:rsid w:val="002F647C"/>
    <w:rsid w:val="002F6C6B"/>
    <w:rsid w:val="002F6CB0"/>
    <w:rsid w:val="002F6EFF"/>
    <w:rsid w:val="002F7DF0"/>
    <w:rsid w:val="002F7FAF"/>
    <w:rsid w:val="00300573"/>
    <w:rsid w:val="00302077"/>
    <w:rsid w:val="003025FE"/>
    <w:rsid w:val="00302A27"/>
    <w:rsid w:val="00303AB6"/>
    <w:rsid w:val="00303E6E"/>
    <w:rsid w:val="00303EC4"/>
    <w:rsid w:val="00304640"/>
    <w:rsid w:val="00304AC1"/>
    <w:rsid w:val="00305090"/>
    <w:rsid w:val="00305454"/>
    <w:rsid w:val="00305B9F"/>
    <w:rsid w:val="00305E21"/>
    <w:rsid w:val="003066C6"/>
    <w:rsid w:val="003066FA"/>
    <w:rsid w:val="00306AD6"/>
    <w:rsid w:val="003076AD"/>
    <w:rsid w:val="003077F4"/>
    <w:rsid w:val="00307DC7"/>
    <w:rsid w:val="00307FF2"/>
    <w:rsid w:val="00310EDB"/>
    <w:rsid w:val="00311C51"/>
    <w:rsid w:val="00311D56"/>
    <w:rsid w:val="00312016"/>
    <w:rsid w:val="00312340"/>
    <w:rsid w:val="00312C8B"/>
    <w:rsid w:val="00312DFC"/>
    <w:rsid w:val="0031318C"/>
    <w:rsid w:val="00313C9D"/>
    <w:rsid w:val="0031430C"/>
    <w:rsid w:val="00314919"/>
    <w:rsid w:val="00314C43"/>
    <w:rsid w:val="00314C5A"/>
    <w:rsid w:val="0031507A"/>
    <w:rsid w:val="0031531A"/>
    <w:rsid w:val="00315394"/>
    <w:rsid w:val="00315764"/>
    <w:rsid w:val="00315C7E"/>
    <w:rsid w:val="00315D77"/>
    <w:rsid w:val="00315D8E"/>
    <w:rsid w:val="00316002"/>
    <w:rsid w:val="0031677D"/>
    <w:rsid w:val="00316901"/>
    <w:rsid w:val="00316CDE"/>
    <w:rsid w:val="0031752D"/>
    <w:rsid w:val="00317709"/>
    <w:rsid w:val="00317E32"/>
    <w:rsid w:val="00320688"/>
    <w:rsid w:val="00320B75"/>
    <w:rsid w:val="00321DB7"/>
    <w:rsid w:val="00321E7A"/>
    <w:rsid w:val="0032226D"/>
    <w:rsid w:val="003235E6"/>
    <w:rsid w:val="0032361E"/>
    <w:rsid w:val="00323B95"/>
    <w:rsid w:val="00324038"/>
    <w:rsid w:val="00324507"/>
    <w:rsid w:val="00324951"/>
    <w:rsid w:val="003249F6"/>
    <w:rsid w:val="00324B2F"/>
    <w:rsid w:val="003255A4"/>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2E6"/>
    <w:rsid w:val="00333337"/>
    <w:rsid w:val="00333A28"/>
    <w:rsid w:val="00333B6C"/>
    <w:rsid w:val="00334927"/>
    <w:rsid w:val="00335A52"/>
    <w:rsid w:val="00335E84"/>
    <w:rsid w:val="003360AD"/>
    <w:rsid w:val="0033631D"/>
    <w:rsid w:val="003369C7"/>
    <w:rsid w:val="003373A6"/>
    <w:rsid w:val="00337409"/>
    <w:rsid w:val="00337E18"/>
    <w:rsid w:val="003405AF"/>
    <w:rsid w:val="0034088F"/>
    <w:rsid w:val="00340B3E"/>
    <w:rsid w:val="00341350"/>
    <w:rsid w:val="003413D2"/>
    <w:rsid w:val="00341525"/>
    <w:rsid w:val="0034257E"/>
    <w:rsid w:val="003429A1"/>
    <w:rsid w:val="003429FC"/>
    <w:rsid w:val="00343079"/>
    <w:rsid w:val="00343127"/>
    <w:rsid w:val="00343320"/>
    <w:rsid w:val="00343BED"/>
    <w:rsid w:val="00344066"/>
    <w:rsid w:val="00344BBF"/>
    <w:rsid w:val="0034509B"/>
    <w:rsid w:val="003452E8"/>
    <w:rsid w:val="00345644"/>
    <w:rsid w:val="00345D0E"/>
    <w:rsid w:val="00345D7A"/>
    <w:rsid w:val="0034607E"/>
    <w:rsid w:val="00346A96"/>
    <w:rsid w:val="00346B6D"/>
    <w:rsid w:val="00346BA3"/>
    <w:rsid w:val="00346C69"/>
    <w:rsid w:val="00346C82"/>
    <w:rsid w:val="00347356"/>
    <w:rsid w:val="0035005C"/>
    <w:rsid w:val="003507E8"/>
    <w:rsid w:val="00350896"/>
    <w:rsid w:val="00350C31"/>
    <w:rsid w:val="00350C9F"/>
    <w:rsid w:val="00351391"/>
    <w:rsid w:val="003519CD"/>
    <w:rsid w:val="00351A3A"/>
    <w:rsid w:val="00351BA5"/>
    <w:rsid w:val="003522B8"/>
    <w:rsid w:val="0035452D"/>
    <w:rsid w:val="0035455F"/>
    <w:rsid w:val="00355D75"/>
    <w:rsid w:val="00355D8F"/>
    <w:rsid w:val="00355DD8"/>
    <w:rsid w:val="00356A73"/>
    <w:rsid w:val="00356FF0"/>
    <w:rsid w:val="003577EF"/>
    <w:rsid w:val="0035794A"/>
    <w:rsid w:val="00357A60"/>
    <w:rsid w:val="00360304"/>
    <w:rsid w:val="00360A78"/>
    <w:rsid w:val="00361750"/>
    <w:rsid w:val="00361CDF"/>
    <w:rsid w:val="00362B21"/>
    <w:rsid w:val="00363894"/>
    <w:rsid w:val="00363B2A"/>
    <w:rsid w:val="00363BF1"/>
    <w:rsid w:val="003650C5"/>
    <w:rsid w:val="0036516F"/>
    <w:rsid w:val="00365627"/>
    <w:rsid w:val="00365DC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DC5"/>
    <w:rsid w:val="0037510C"/>
    <w:rsid w:val="00375850"/>
    <w:rsid w:val="0037632F"/>
    <w:rsid w:val="003777A8"/>
    <w:rsid w:val="00377B26"/>
    <w:rsid w:val="00381014"/>
    <w:rsid w:val="00381604"/>
    <w:rsid w:val="00381C68"/>
    <w:rsid w:val="00381F60"/>
    <w:rsid w:val="00382693"/>
    <w:rsid w:val="00382738"/>
    <w:rsid w:val="00382F11"/>
    <w:rsid w:val="00383204"/>
    <w:rsid w:val="00383AB0"/>
    <w:rsid w:val="003847BB"/>
    <w:rsid w:val="00384814"/>
    <w:rsid w:val="00384C0A"/>
    <w:rsid w:val="003857F9"/>
    <w:rsid w:val="00385B16"/>
    <w:rsid w:val="00385B96"/>
    <w:rsid w:val="0038637D"/>
    <w:rsid w:val="003865C3"/>
    <w:rsid w:val="003868F6"/>
    <w:rsid w:val="003869DC"/>
    <w:rsid w:val="00386C07"/>
    <w:rsid w:val="00386F58"/>
    <w:rsid w:val="0038700D"/>
    <w:rsid w:val="003879CE"/>
    <w:rsid w:val="00387B88"/>
    <w:rsid w:val="00390AD5"/>
    <w:rsid w:val="00390B8F"/>
    <w:rsid w:val="00390C0D"/>
    <w:rsid w:val="00390C79"/>
    <w:rsid w:val="00391447"/>
    <w:rsid w:val="003919D9"/>
    <w:rsid w:val="00391BDD"/>
    <w:rsid w:val="003922DE"/>
    <w:rsid w:val="00392E35"/>
    <w:rsid w:val="00392FC8"/>
    <w:rsid w:val="00393247"/>
    <w:rsid w:val="00393285"/>
    <w:rsid w:val="00393551"/>
    <w:rsid w:val="00393816"/>
    <w:rsid w:val="003939E9"/>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23"/>
    <w:rsid w:val="003A218C"/>
    <w:rsid w:val="003A24CC"/>
    <w:rsid w:val="003A2512"/>
    <w:rsid w:val="003A2A53"/>
    <w:rsid w:val="003A2EE8"/>
    <w:rsid w:val="003A363A"/>
    <w:rsid w:val="003A373C"/>
    <w:rsid w:val="003A5378"/>
    <w:rsid w:val="003A553C"/>
    <w:rsid w:val="003A56DF"/>
    <w:rsid w:val="003A6008"/>
    <w:rsid w:val="003A703F"/>
    <w:rsid w:val="003A7433"/>
    <w:rsid w:val="003A7E2B"/>
    <w:rsid w:val="003A7E40"/>
    <w:rsid w:val="003B0336"/>
    <w:rsid w:val="003B07A8"/>
    <w:rsid w:val="003B0A3A"/>
    <w:rsid w:val="003B0D79"/>
    <w:rsid w:val="003B2930"/>
    <w:rsid w:val="003B31A7"/>
    <w:rsid w:val="003B4587"/>
    <w:rsid w:val="003B4B51"/>
    <w:rsid w:val="003B4FE1"/>
    <w:rsid w:val="003B514E"/>
    <w:rsid w:val="003B5531"/>
    <w:rsid w:val="003B6238"/>
    <w:rsid w:val="003B636A"/>
    <w:rsid w:val="003B69CE"/>
    <w:rsid w:val="003B71B0"/>
    <w:rsid w:val="003B7403"/>
    <w:rsid w:val="003B79BD"/>
    <w:rsid w:val="003B7BDE"/>
    <w:rsid w:val="003C011C"/>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5A"/>
    <w:rsid w:val="003C76E6"/>
    <w:rsid w:val="003C77A5"/>
    <w:rsid w:val="003C7E59"/>
    <w:rsid w:val="003C7F12"/>
    <w:rsid w:val="003D03D6"/>
    <w:rsid w:val="003D075D"/>
    <w:rsid w:val="003D0EE2"/>
    <w:rsid w:val="003D1283"/>
    <w:rsid w:val="003D14C8"/>
    <w:rsid w:val="003D1517"/>
    <w:rsid w:val="003D16C5"/>
    <w:rsid w:val="003D1CA9"/>
    <w:rsid w:val="003D2CDA"/>
    <w:rsid w:val="003D2DA0"/>
    <w:rsid w:val="003D34C3"/>
    <w:rsid w:val="003D3B4D"/>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BE0"/>
    <w:rsid w:val="003E1ED6"/>
    <w:rsid w:val="003E20F7"/>
    <w:rsid w:val="003E336A"/>
    <w:rsid w:val="003E3E2F"/>
    <w:rsid w:val="003E4048"/>
    <w:rsid w:val="003E4CE5"/>
    <w:rsid w:val="003E604C"/>
    <w:rsid w:val="003E60DA"/>
    <w:rsid w:val="003E6E00"/>
    <w:rsid w:val="003E7111"/>
    <w:rsid w:val="003E7940"/>
    <w:rsid w:val="003F01BD"/>
    <w:rsid w:val="003F01EE"/>
    <w:rsid w:val="003F0486"/>
    <w:rsid w:val="003F048E"/>
    <w:rsid w:val="003F09FA"/>
    <w:rsid w:val="003F0AFF"/>
    <w:rsid w:val="003F0DE2"/>
    <w:rsid w:val="003F1AA2"/>
    <w:rsid w:val="003F1B81"/>
    <w:rsid w:val="003F1ED6"/>
    <w:rsid w:val="003F26DC"/>
    <w:rsid w:val="003F2E19"/>
    <w:rsid w:val="003F2E2F"/>
    <w:rsid w:val="003F42FF"/>
    <w:rsid w:val="003F4747"/>
    <w:rsid w:val="003F4B48"/>
    <w:rsid w:val="003F4DDC"/>
    <w:rsid w:val="003F53CB"/>
    <w:rsid w:val="003F54DD"/>
    <w:rsid w:val="003F56B8"/>
    <w:rsid w:val="003F59D7"/>
    <w:rsid w:val="003F5F1A"/>
    <w:rsid w:val="003F6327"/>
    <w:rsid w:val="003F7425"/>
    <w:rsid w:val="003F765B"/>
    <w:rsid w:val="003F7CB8"/>
    <w:rsid w:val="00400BD6"/>
    <w:rsid w:val="00400CB4"/>
    <w:rsid w:val="00401386"/>
    <w:rsid w:val="004013E6"/>
    <w:rsid w:val="004018D2"/>
    <w:rsid w:val="00401A49"/>
    <w:rsid w:val="00401E31"/>
    <w:rsid w:val="0040234D"/>
    <w:rsid w:val="00402BBA"/>
    <w:rsid w:val="004035D0"/>
    <w:rsid w:val="0040361D"/>
    <w:rsid w:val="00403795"/>
    <w:rsid w:val="004041FB"/>
    <w:rsid w:val="0040443E"/>
    <w:rsid w:val="004056B6"/>
    <w:rsid w:val="00405764"/>
    <w:rsid w:val="00406745"/>
    <w:rsid w:val="0040674B"/>
    <w:rsid w:val="00406B32"/>
    <w:rsid w:val="004074FA"/>
    <w:rsid w:val="00407A56"/>
    <w:rsid w:val="00407AEF"/>
    <w:rsid w:val="00407FCC"/>
    <w:rsid w:val="00410301"/>
    <w:rsid w:val="0041035A"/>
    <w:rsid w:val="00410E76"/>
    <w:rsid w:val="004112D1"/>
    <w:rsid w:val="004113C9"/>
    <w:rsid w:val="00411D1E"/>
    <w:rsid w:val="00411DF2"/>
    <w:rsid w:val="004120DF"/>
    <w:rsid w:val="004126B5"/>
    <w:rsid w:val="004136AD"/>
    <w:rsid w:val="00414039"/>
    <w:rsid w:val="00414359"/>
    <w:rsid w:val="00414477"/>
    <w:rsid w:val="00414909"/>
    <w:rsid w:val="00414BD5"/>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2CA"/>
    <w:rsid w:val="00422907"/>
    <w:rsid w:val="00422CCE"/>
    <w:rsid w:val="00423125"/>
    <w:rsid w:val="00423256"/>
    <w:rsid w:val="00423309"/>
    <w:rsid w:val="004233AD"/>
    <w:rsid w:val="00424446"/>
    <w:rsid w:val="00424585"/>
    <w:rsid w:val="00424867"/>
    <w:rsid w:val="00425154"/>
    <w:rsid w:val="00425341"/>
    <w:rsid w:val="004255FE"/>
    <w:rsid w:val="00425674"/>
    <w:rsid w:val="00425A82"/>
    <w:rsid w:val="00425C60"/>
    <w:rsid w:val="00425F97"/>
    <w:rsid w:val="00426B2C"/>
    <w:rsid w:val="00427FA8"/>
    <w:rsid w:val="0043009D"/>
    <w:rsid w:val="0043026B"/>
    <w:rsid w:val="00430299"/>
    <w:rsid w:val="004306D4"/>
    <w:rsid w:val="0043091C"/>
    <w:rsid w:val="00430E92"/>
    <w:rsid w:val="00431433"/>
    <w:rsid w:val="00431A2A"/>
    <w:rsid w:val="00432ECA"/>
    <w:rsid w:val="004336E7"/>
    <w:rsid w:val="004342E5"/>
    <w:rsid w:val="0043554E"/>
    <w:rsid w:val="004355D4"/>
    <w:rsid w:val="004357B1"/>
    <w:rsid w:val="00435821"/>
    <w:rsid w:val="0043583E"/>
    <w:rsid w:val="00436CCE"/>
    <w:rsid w:val="00436EAD"/>
    <w:rsid w:val="004375E1"/>
    <w:rsid w:val="004379D4"/>
    <w:rsid w:val="00437A2F"/>
    <w:rsid w:val="00437FCE"/>
    <w:rsid w:val="00440262"/>
    <w:rsid w:val="004406BF"/>
    <w:rsid w:val="00440814"/>
    <w:rsid w:val="0044105D"/>
    <w:rsid w:val="004411C1"/>
    <w:rsid w:val="004412D7"/>
    <w:rsid w:val="00441424"/>
    <w:rsid w:val="00442731"/>
    <w:rsid w:val="00442C12"/>
    <w:rsid w:val="004434DF"/>
    <w:rsid w:val="0044354B"/>
    <w:rsid w:val="004439F4"/>
    <w:rsid w:val="00443E0C"/>
    <w:rsid w:val="00444273"/>
    <w:rsid w:val="0044493E"/>
    <w:rsid w:val="00444A1F"/>
    <w:rsid w:val="00444FC6"/>
    <w:rsid w:val="00445874"/>
    <w:rsid w:val="00445C38"/>
    <w:rsid w:val="0044686B"/>
    <w:rsid w:val="004475F7"/>
    <w:rsid w:val="0045057B"/>
    <w:rsid w:val="0045069B"/>
    <w:rsid w:val="00450B22"/>
    <w:rsid w:val="004515F7"/>
    <w:rsid w:val="00451709"/>
    <w:rsid w:val="004518FA"/>
    <w:rsid w:val="00451A02"/>
    <w:rsid w:val="0045277C"/>
    <w:rsid w:val="00453232"/>
    <w:rsid w:val="00453507"/>
    <w:rsid w:val="00453592"/>
    <w:rsid w:val="004541C7"/>
    <w:rsid w:val="004543AB"/>
    <w:rsid w:val="004545EC"/>
    <w:rsid w:val="00455967"/>
    <w:rsid w:val="00455C14"/>
    <w:rsid w:val="00455F71"/>
    <w:rsid w:val="00456272"/>
    <w:rsid w:val="0045675A"/>
    <w:rsid w:val="004570EF"/>
    <w:rsid w:val="00457517"/>
    <w:rsid w:val="00457CF7"/>
    <w:rsid w:val="00457D37"/>
    <w:rsid w:val="0046028A"/>
    <w:rsid w:val="004604BB"/>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6B08"/>
    <w:rsid w:val="004672E3"/>
    <w:rsid w:val="0046775D"/>
    <w:rsid w:val="00467823"/>
    <w:rsid w:val="004705FA"/>
    <w:rsid w:val="004708AC"/>
    <w:rsid w:val="00471387"/>
    <w:rsid w:val="0047146C"/>
    <w:rsid w:val="0047149F"/>
    <w:rsid w:val="00471963"/>
    <w:rsid w:val="00471D8D"/>
    <w:rsid w:val="004724B8"/>
    <w:rsid w:val="004728FB"/>
    <w:rsid w:val="00472952"/>
    <w:rsid w:val="004729AD"/>
    <w:rsid w:val="00472CA7"/>
    <w:rsid w:val="00472CEC"/>
    <w:rsid w:val="00472F0D"/>
    <w:rsid w:val="00472F40"/>
    <w:rsid w:val="00473308"/>
    <w:rsid w:val="00473313"/>
    <w:rsid w:val="0047377C"/>
    <w:rsid w:val="0047471E"/>
    <w:rsid w:val="004749DA"/>
    <w:rsid w:val="00474DEF"/>
    <w:rsid w:val="004750E3"/>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E4A"/>
    <w:rsid w:val="00483091"/>
    <w:rsid w:val="00483140"/>
    <w:rsid w:val="0048360C"/>
    <w:rsid w:val="00483984"/>
    <w:rsid w:val="00483BB3"/>
    <w:rsid w:val="00483BC7"/>
    <w:rsid w:val="00483CF0"/>
    <w:rsid w:val="00484B6A"/>
    <w:rsid w:val="00484D4D"/>
    <w:rsid w:val="00486516"/>
    <w:rsid w:val="0048664F"/>
    <w:rsid w:val="004868AD"/>
    <w:rsid w:val="00486D00"/>
    <w:rsid w:val="00487FE1"/>
    <w:rsid w:val="0049007D"/>
    <w:rsid w:val="00490707"/>
    <w:rsid w:val="004907EF"/>
    <w:rsid w:val="00490815"/>
    <w:rsid w:val="0049117E"/>
    <w:rsid w:val="00492503"/>
    <w:rsid w:val="004925C8"/>
    <w:rsid w:val="00492AF9"/>
    <w:rsid w:val="00492B76"/>
    <w:rsid w:val="00492BA0"/>
    <w:rsid w:val="0049333E"/>
    <w:rsid w:val="0049418F"/>
    <w:rsid w:val="0049570D"/>
    <w:rsid w:val="00495C48"/>
    <w:rsid w:val="00495DC6"/>
    <w:rsid w:val="00495FFB"/>
    <w:rsid w:val="004967B9"/>
    <w:rsid w:val="00496A82"/>
    <w:rsid w:val="00496CCE"/>
    <w:rsid w:val="004978C1"/>
    <w:rsid w:val="00497AAD"/>
    <w:rsid w:val="00497BD7"/>
    <w:rsid w:val="00497D1A"/>
    <w:rsid w:val="004A00C9"/>
    <w:rsid w:val="004A03D0"/>
    <w:rsid w:val="004A1049"/>
    <w:rsid w:val="004A1AFA"/>
    <w:rsid w:val="004A1EA7"/>
    <w:rsid w:val="004A21EA"/>
    <w:rsid w:val="004A26F5"/>
    <w:rsid w:val="004A2EF8"/>
    <w:rsid w:val="004A3A21"/>
    <w:rsid w:val="004A407A"/>
    <w:rsid w:val="004A4AFB"/>
    <w:rsid w:val="004A4E3B"/>
    <w:rsid w:val="004A6110"/>
    <w:rsid w:val="004A61B8"/>
    <w:rsid w:val="004A6415"/>
    <w:rsid w:val="004A64F9"/>
    <w:rsid w:val="004A65F4"/>
    <w:rsid w:val="004A6D2C"/>
    <w:rsid w:val="004A7C04"/>
    <w:rsid w:val="004B026C"/>
    <w:rsid w:val="004B0271"/>
    <w:rsid w:val="004B0BE8"/>
    <w:rsid w:val="004B0E4A"/>
    <w:rsid w:val="004B12D0"/>
    <w:rsid w:val="004B18F4"/>
    <w:rsid w:val="004B1A98"/>
    <w:rsid w:val="004B23A2"/>
    <w:rsid w:val="004B2463"/>
    <w:rsid w:val="004B2532"/>
    <w:rsid w:val="004B2E9D"/>
    <w:rsid w:val="004B305F"/>
    <w:rsid w:val="004B3066"/>
    <w:rsid w:val="004B34C4"/>
    <w:rsid w:val="004B34E8"/>
    <w:rsid w:val="004B3981"/>
    <w:rsid w:val="004B3A03"/>
    <w:rsid w:val="004B4104"/>
    <w:rsid w:val="004B419F"/>
    <w:rsid w:val="004B4EA9"/>
    <w:rsid w:val="004B5376"/>
    <w:rsid w:val="004B53CB"/>
    <w:rsid w:val="004B5C96"/>
    <w:rsid w:val="004B6124"/>
    <w:rsid w:val="004B64B2"/>
    <w:rsid w:val="004B676F"/>
    <w:rsid w:val="004B6E50"/>
    <w:rsid w:val="004B6EA7"/>
    <w:rsid w:val="004B728F"/>
    <w:rsid w:val="004B7317"/>
    <w:rsid w:val="004B75B2"/>
    <w:rsid w:val="004B75C6"/>
    <w:rsid w:val="004C02C5"/>
    <w:rsid w:val="004C0BF0"/>
    <w:rsid w:val="004C0D40"/>
    <w:rsid w:val="004C114F"/>
    <w:rsid w:val="004C11A9"/>
    <w:rsid w:val="004C1FE0"/>
    <w:rsid w:val="004C27CF"/>
    <w:rsid w:val="004C2CA7"/>
    <w:rsid w:val="004C3592"/>
    <w:rsid w:val="004C45C8"/>
    <w:rsid w:val="004C4620"/>
    <w:rsid w:val="004C4F8F"/>
    <w:rsid w:val="004C50A0"/>
    <w:rsid w:val="004C5C18"/>
    <w:rsid w:val="004C5F4B"/>
    <w:rsid w:val="004C612E"/>
    <w:rsid w:val="004C61B8"/>
    <w:rsid w:val="004C69FE"/>
    <w:rsid w:val="004C6C0A"/>
    <w:rsid w:val="004C6C6D"/>
    <w:rsid w:val="004C77FF"/>
    <w:rsid w:val="004C7DB0"/>
    <w:rsid w:val="004C7DFB"/>
    <w:rsid w:val="004C7FFC"/>
    <w:rsid w:val="004D0223"/>
    <w:rsid w:val="004D0C4C"/>
    <w:rsid w:val="004D16A3"/>
    <w:rsid w:val="004D1934"/>
    <w:rsid w:val="004D1E41"/>
    <w:rsid w:val="004D2017"/>
    <w:rsid w:val="004D2326"/>
    <w:rsid w:val="004D261E"/>
    <w:rsid w:val="004D2E11"/>
    <w:rsid w:val="004D3108"/>
    <w:rsid w:val="004D329C"/>
    <w:rsid w:val="004D34D1"/>
    <w:rsid w:val="004D3FB8"/>
    <w:rsid w:val="004D4523"/>
    <w:rsid w:val="004D4990"/>
    <w:rsid w:val="004D51D6"/>
    <w:rsid w:val="004D6BF2"/>
    <w:rsid w:val="004D6F29"/>
    <w:rsid w:val="004D7A42"/>
    <w:rsid w:val="004D7BF5"/>
    <w:rsid w:val="004D7F9C"/>
    <w:rsid w:val="004E03F4"/>
    <w:rsid w:val="004E068F"/>
    <w:rsid w:val="004E0860"/>
    <w:rsid w:val="004E09CF"/>
    <w:rsid w:val="004E0B75"/>
    <w:rsid w:val="004E0C29"/>
    <w:rsid w:val="004E0DC4"/>
    <w:rsid w:val="004E109C"/>
    <w:rsid w:val="004E1248"/>
    <w:rsid w:val="004E1D6F"/>
    <w:rsid w:val="004E1DF3"/>
    <w:rsid w:val="004E2393"/>
    <w:rsid w:val="004E3117"/>
    <w:rsid w:val="004E3A2A"/>
    <w:rsid w:val="004E3AB1"/>
    <w:rsid w:val="004E4003"/>
    <w:rsid w:val="004E4626"/>
    <w:rsid w:val="004E4984"/>
    <w:rsid w:val="004E5101"/>
    <w:rsid w:val="004E5380"/>
    <w:rsid w:val="004E6746"/>
    <w:rsid w:val="004E675C"/>
    <w:rsid w:val="004E6CAC"/>
    <w:rsid w:val="004E6F69"/>
    <w:rsid w:val="004E74F2"/>
    <w:rsid w:val="004E75C1"/>
    <w:rsid w:val="004E777F"/>
    <w:rsid w:val="004E7E66"/>
    <w:rsid w:val="004F07F2"/>
    <w:rsid w:val="004F07F9"/>
    <w:rsid w:val="004F0A50"/>
    <w:rsid w:val="004F0A51"/>
    <w:rsid w:val="004F0D1F"/>
    <w:rsid w:val="004F0E82"/>
    <w:rsid w:val="004F1468"/>
    <w:rsid w:val="004F1523"/>
    <w:rsid w:val="004F1847"/>
    <w:rsid w:val="004F1CE1"/>
    <w:rsid w:val="004F1F9E"/>
    <w:rsid w:val="004F2491"/>
    <w:rsid w:val="004F2CB6"/>
    <w:rsid w:val="004F2E6E"/>
    <w:rsid w:val="004F3015"/>
    <w:rsid w:val="004F313F"/>
    <w:rsid w:val="004F367F"/>
    <w:rsid w:val="004F39A3"/>
    <w:rsid w:val="004F3A3B"/>
    <w:rsid w:val="004F3EEF"/>
    <w:rsid w:val="004F43A7"/>
    <w:rsid w:val="004F447B"/>
    <w:rsid w:val="004F497C"/>
    <w:rsid w:val="004F4FAC"/>
    <w:rsid w:val="004F4FE8"/>
    <w:rsid w:val="004F531B"/>
    <w:rsid w:val="004F560C"/>
    <w:rsid w:val="004F5DBB"/>
    <w:rsid w:val="004F60B4"/>
    <w:rsid w:val="004F61A3"/>
    <w:rsid w:val="004F6874"/>
    <w:rsid w:val="004F7254"/>
    <w:rsid w:val="004F73BD"/>
    <w:rsid w:val="004F7922"/>
    <w:rsid w:val="004F7A1F"/>
    <w:rsid w:val="004F7B47"/>
    <w:rsid w:val="0050079C"/>
    <w:rsid w:val="0050106A"/>
    <w:rsid w:val="005010BC"/>
    <w:rsid w:val="00501848"/>
    <w:rsid w:val="0050258A"/>
    <w:rsid w:val="00502B31"/>
    <w:rsid w:val="0050434C"/>
    <w:rsid w:val="0050537D"/>
    <w:rsid w:val="0050591C"/>
    <w:rsid w:val="005059BD"/>
    <w:rsid w:val="005060AE"/>
    <w:rsid w:val="005064BF"/>
    <w:rsid w:val="0050790B"/>
    <w:rsid w:val="00507C05"/>
    <w:rsid w:val="00507FDF"/>
    <w:rsid w:val="0051037C"/>
    <w:rsid w:val="0051050F"/>
    <w:rsid w:val="0051058B"/>
    <w:rsid w:val="00510DDC"/>
    <w:rsid w:val="00511166"/>
    <w:rsid w:val="00512217"/>
    <w:rsid w:val="00512459"/>
    <w:rsid w:val="00512787"/>
    <w:rsid w:val="005131A2"/>
    <w:rsid w:val="005137E4"/>
    <w:rsid w:val="00513BB9"/>
    <w:rsid w:val="0051440E"/>
    <w:rsid w:val="00514480"/>
    <w:rsid w:val="005148CD"/>
    <w:rsid w:val="00514FB2"/>
    <w:rsid w:val="00515180"/>
    <w:rsid w:val="00515973"/>
    <w:rsid w:val="00516069"/>
    <w:rsid w:val="005175F0"/>
    <w:rsid w:val="00517AC8"/>
    <w:rsid w:val="00517C3E"/>
    <w:rsid w:val="005207D8"/>
    <w:rsid w:val="0052091D"/>
    <w:rsid w:val="005212F4"/>
    <w:rsid w:val="00521908"/>
    <w:rsid w:val="00521BCC"/>
    <w:rsid w:val="005224BC"/>
    <w:rsid w:val="00522928"/>
    <w:rsid w:val="00522FF1"/>
    <w:rsid w:val="005230E1"/>
    <w:rsid w:val="005231CD"/>
    <w:rsid w:val="00523946"/>
    <w:rsid w:val="0052397A"/>
    <w:rsid w:val="00524125"/>
    <w:rsid w:val="005243FC"/>
    <w:rsid w:val="005256D6"/>
    <w:rsid w:val="00525AD8"/>
    <w:rsid w:val="00526429"/>
    <w:rsid w:val="005266C1"/>
    <w:rsid w:val="005267F4"/>
    <w:rsid w:val="005269D3"/>
    <w:rsid w:val="00527317"/>
    <w:rsid w:val="005278FA"/>
    <w:rsid w:val="00527ED6"/>
    <w:rsid w:val="0053024F"/>
    <w:rsid w:val="00531064"/>
    <w:rsid w:val="005312CB"/>
    <w:rsid w:val="005313B2"/>
    <w:rsid w:val="005317BA"/>
    <w:rsid w:val="00531911"/>
    <w:rsid w:val="00531E92"/>
    <w:rsid w:val="005324D7"/>
    <w:rsid w:val="005326F0"/>
    <w:rsid w:val="0053275F"/>
    <w:rsid w:val="00532764"/>
    <w:rsid w:val="00532AA5"/>
    <w:rsid w:val="00532C5F"/>
    <w:rsid w:val="00533233"/>
    <w:rsid w:val="005333D2"/>
    <w:rsid w:val="005335A2"/>
    <w:rsid w:val="00533D13"/>
    <w:rsid w:val="00533DEC"/>
    <w:rsid w:val="00534026"/>
    <w:rsid w:val="00534D55"/>
    <w:rsid w:val="005358F6"/>
    <w:rsid w:val="00535B53"/>
    <w:rsid w:val="00536392"/>
    <w:rsid w:val="00536B03"/>
    <w:rsid w:val="00537456"/>
    <w:rsid w:val="00537708"/>
    <w:rsid w:val="0053790C"/>
    <w:rsid w:val="00537B3D"/>
    <w:rsid w:val="00540401"/>
    <w:rsid w:val="005405B2"/>
    <w:rsid w:val="0054076A"/>
    <w:rsid w:val="00540D47"/>
    <w:rsid w:val="00540EE7"/>
    <w:rsid w:val="00541651"/>
    <w:rsid w:val="0054191A"/>
    <w:rsid w:val="00541A22"/>
    <w:rsid w:val="00541EAD"/>
    <w:rsid w:val="005424C2"/>
    <w:rsid w:val="005426B2"/>
    <w:rsid w:val="00542C0E"/>
    <w:rsid w:val="00543519"/>
    <w:rsid w:val="00543640"/>
    <w:rsid w:val="00544019"/>
    <w:rsid w:val="005444C6"/>
    <w:rsid w:val="00544BF9"/>
    <w:rsid w:val="00544F05"/>
    <w:rsid w:val="00544FCC"/>
    <w:rsid w:val="005454B8"/>
    <w:rsid w:val="00545ACB"/>
    <w:rsid w:val="00545DB9"/>
    <w:rsid w:val="005462ED"/>
    <w:rsid w:val="00546585"/>
    <w:rsid w:val="0054680A"/>
    <w:rsid w:val="00546AC1"/>
    <w:rsid w:val="00546BF8"/>
    <w:rsid w:val="00547BA2"/>
    <w:rsid w:val="005503B7"/>
    <w:rsid w:val="00550AC5"/>
    <w:rsid w:val="00550B7E"/>
    <w:rsid w:val="00551052"/>
    <w:rsid w:val="005524ED"/>
    <w:rsid w:val="00552D8C"/>
    <w:rsid w:val="005539D9"/>
    <w:rsid w:val="00553F91"/>
    <w:rsid w:val="00554007"/>
    <w:rsid w:val="00554C03"/>
    <w:rsid w:val="00554C58"/>
    <w:rsid w:val="00554D5D"/>
    <w:rsid w:val="005550F9"/>
    <w:rsid w:val="00556338"/>
    <w:rsid w:val="00556441"/>
    <w:rsid w:val="0055693B"/>
    <w:rsid w:val="00557031"/>
    <w:rsid w:val="00557F87"/>
    <w:rsid w:val="0056013C"/>
    <w:rsid w:val="00560FCB"/>
    <w:rsid w:val="00561001"/>
    <w:rsid w:val="0056111C"/>
    <w:rsid w:val="00561140"/>
    <w:rsid w:val="005612B1"/>
    <w:rsid w:val="00561412"/>
    <w:rsid w:val="005614DB"/>
    <w:rsid w:val="00561903"/>
    <w:rsid w:val="00561A9B"/>
    <w:rsid w:val="00561E54"/>
    <w:rsid w:val="00561F73"/>
    <w:rsid w:val="005621F7"/>
    <w:rsid w:val="005624C4"/>
    <w:rsid w:val="0056278F"/>
    <w:rsid w:val="00562FB1"/>
    <w:rsid w:val="00563068"/>
    <w:rsid w:val="0056376A"/>
    <w:rsid w:val="00563B3C"/>
    <w:rsid w:val="00563FC9"/>
    <w:rsid w:val="0056419C"/>
    <w:rsid w:val="00564C77"/>
    <w:rsid w:val="00564D70"/>
    <w:rsid w:val="00564DA7"/>
    <w:rsid w:val="00565204"/>
    <w:rsid w:val="00565473"/>
    <w:rsid w:val="00565AB1"/>
    <w:rsid w:val="00565AF9"/>
    <w:rsid w:val="00565DAC"/>
    <w:rsid w:val="00565F0D"/>
    <w:rsid w:val="005662DC"/>
    <w:rsid w:val="00566329"/>
    <w:rsid w:val="005668B9"/>
    <w:rsid w:val="00566AD4"/>
    <w:rsid w:val="00566E39"/>
    <w:rsid w:val="0056704E"/>
    <w:rsid w:val="00567623"/>
    <w:rsid w:val="005701C2"/>
    <w:rsid w:val="00570763"/>
    <w:rsid w:val="00570EBB"/>
    <w:rsid w:val="00571CDF"/>
    <w:rsid w:val="0057200B"/>
    <w:rsid w:val="00572297"/>
    <w:rsid w:val="0057345D"/>
    <w:rsid w:val="0057347D"/>
    <w:rsid w:val="00573560"/>
    <w:rsid w:val="00573564"/>
    <w:rsid w:val="00573CE6"/>
    <w:rsid w:val="00574E7B"/>
    <w:rsid w:val="00574F36"/>
    <w:rsid w:val="00576B5C"/>
    <w:rsid w:val="005770CC"/>
    <w:rsid w:val="005802F9"/>
    <w:rsid w:val="005806D5"/>
    <w:rsid w:val="00580DFC"/>
    <w:rsid w:val="0058134C"/>
    <w:rsid w:val="00581359"/>
    <w:rsid w:val="005815CD"/>
    <w:rsid w:val="005827A7"/>
    <w:rsid w:val="00583D43"/>
    <w:rsid w:val="005841FB"/>
    <w:rsid w:val="005846C3"/>
    <w:rsid w:val="00584F04"/>
    <w:rsid w:val="0058544C"/>
    <w:rsid w:val="00585623"/>
    <w:rsid w:val="005857F7"/>
    <w:rsid w:val="00585D9D"/>
    <w:rsid w:val="005865E9"/>
    <w:rsid w:val="00586810"/>
    <w:rsid w:val="005868FD"/>
    <w:rsid w:val="00587D7B"/>
    <w:rsid w:val="005904DB"/>
    <w:rsid w:val="005905ED"/>
    <w:rsid w:val="00590D11"/>
    <w:rsid w:val="0059180B"/>
    <w:rsid w:val="00591911"/>
    <w:rsid w:val="00591BA6"/>
    <w:rsid w:val="005924F2"/>
    <w:rsid w:val="00592825"/>
    <w:rsid w:val="00593488"/>
    <w:rsid w:val="00593DC7"/>
    <w:rsid w:val="00594437"/>
    <w:rsid w:val="005948D8"/>
    <w:rsid w:val="00594B70"/>
    <w:rsid w:val="00595870"/>
    <w:rsid w:val="00596CFA"/>
    <w:rsid w:val="00596EC6"/>
    <w:rsid w:val="005975CE"/>
    <w:rsid w:val="005A0088"/>
    <w:rsid w:val="005A04F6"/>
    <w:rsid w:val="005A14F0"/>
    <w:rsid w:val="005A1861"/>
    <w:rsid w:val="005A1A31"/>
    <w:rsid w:val="005A22D4"/>
    <w:rsid w:val="005A361D"/>
    <w:rsid w:val="005A36C2"/>
    <w:rsid w:val="005A3719"/>
    <w:rsid w:val="005A38BE"/>
    <w:rsid w:val="005A3DD7"/>
    <w:rsid w:val="005A40FA"/>
    <w:rsid w:val="005A4AC9"/>
    <w:rsid w:val="005A4C20"/>
    <w:rsid w:val="005A4F48"/>
    <w:rsid w:val="005A54F1"/>
    <w:rsid w:val="005A57B8"/>
    <w:rsid w:val="005A5DDE"/>
    <w:rsid w:val="005A5DFC"/>
    <w:rsid w:val="005A64A8"/>
    <w:rsid w:val="005A65C5"/>
    <w:rsid w:val="005A6875"/>
    <w:rsid w:val="005A6F0B"/>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4D3"/>
    <w:rsid w:val="005B58F7"/>
    <w:rsid w:val="005B5981"/>
    <w:rsid w:val="005B5994"/>
    <w:rsid w:val="005B6474"/>
    <w:rsid w:val="005B666D"/>
    <w:rsid w:val="005B667A"/>
    <w:rsid w:val="005B6865"/>
    <w:rsid w:val="005B78F8"/>
    <w:rsid w:val="005B7ABC"/>
    <w:rsid w:val="005C039B"/>
    <w:rsid w:val="005C059F"/>
    <w:rsid w:val="005C07CE"/>
    <w:rsid w:val="005C0B8F"/>
    <w:rsid w:val="005C160D"/>
    <w:rsid w:val="005C161E"/>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3CC"/>
    <w:rsid w:val="005D01C3"/>
    <w:rsid w:val="005D05FF"/>
    <w:rsid w:val="005D0FB4"/>
    <w:rsid w:val="005D1176"/>
    <w:rsid w:val="005D1747"/>
    <w:rsid w:val="005D1FDB"/>
    <w:rsid w:val="005D2226"/>
    <w:rsid w:val="005D2397"/>
    <w:rsid w:val="005D266D"/>
    <w:rsid w:val="005D306D"/>
    <w:rsid w:val="005D3327"/>
    <w:rsid w:val="005D3D6B"/>
    <w:rsid w:val="005D4854"/>
    <w:rsid w:val="005D5BCF"/>
    <w:rsid w:val="005D65BF"/>
    <w:rsid w:val="005D6D84"/>
    <w:rsid w:val="005D70A1"/>
    <w:rsid w:val="005D79F2"/>
    <w:rsid w:val="005D7C91"/>
    <w:rsid w:val="005D7CB1"/>
    <w:rsid w:val="005D7F57"/>
    <w:rsid w:val="005E0067"/>
    <w:rsid w:val="005E0141"/>
    <w:rsid w:val="005E09CA"/>
    <w:rsid w:val="005E1AB4"/>
    <w:rsid w:val="005E222B"/>
    <w:rsid w:val="005E255B"/>
    <w:rsid w:val="005E2CF7"/>
    <w:rsid w:val="005E4543"/>
    <w:rsid w:val="005E4A1C"/>
    <w:rsid w:val="005E56C9"/>
    <w:rsid w:val="005E5CF7"/>
    <w:rsid w:val="005E5FF0"/>
    <w:rsid w:val="005E642A"/>
    <w:rsid w:val="005E65A7"/>
    <w:rsid w:val="005E6E5A"/>
    <w:rsid w:val="005E721E"/>
    <w:rsid w:val="005E7C92"/>
    <w:rsid w:val="005F0857"/>
    <w:rsid w:val="005F0B15"/>
    <w:rsid w:val="005F1470"/>
    <w:rsid w:val="005F15A9"/>
    <w:rsid w:val="005F2807"/>
    <w:rsid w:val="005F2CD5"/>
    <w:rsid w:val="005F32A1"/>
    <w:rsid w:val="005F3382"/>
    <w:rsid w:val="005F3720"/>
    <w:rsid w:val="005F516D"/>
    <w:rsid w:val="005F5506"/>
    <w:rsid w:val="005F5A0D"/>
    <w:rsid w:val="005F60DF"/>
    <w:rsid w:val="005F615B"/>
    <w:rsid w:val="005F61DF"/>
    <w:rsid w:val="005F663B"/>
    <w:rsid w:val="005F680A"/>
    <w:rsid w:val="005F6880"/>
    <w:rsid w:val="005F6895"/>
    <w:rsid w:val="005F6B3E"/>
    <w:rsid w:val="005F6ED2"/>
    <w:rsid w:val="005F745B"/>
    <w:rsid w:val="005F77F8"/>
    <w:rsid w:val="005F7CA8"/>
    <w:rsid w:val="00600B8B"/>
    <w:rsid w:val="00600DE1"/>
    <w:rsid w:val="00601506"/>
    <w:rsid w:val="00601596"/>
    <w:rsid w:val="00601A38"/>
    <w:rsid w:val="00601C92"/>
    <w:rsid w:val="00601F66"/>
    <w:rsid w:val="00602764"/>
    <w:rsid w:val="00602B29"/>
    <w:rsid w:val="00602DAD"/>
    <w:rsid w:val="006030E9"/>
    <w:rsid w:val="00603373"/>
    <w:rsid w:val="006036D0"/>
    <w:rsid w:val="00603B1C"/>
    <w:rsid w:val="006042CD"/>
    <w:rsid w:val="00604375"/>
    <w:rsid w:val="00605217"/>
    <w:rsid w:val="006054A5"/>
    <w:rsid w:val="006059E4"/>
    <w:rsid w:val="00605D60"/>
    <w:rsid w:val="006062A0"/>
    <w:rsid w:val="00607015"/>
    <w:rsid w:val="0061098D"/>
    <w:rsid w:val="00610B78"/>
    <w:rsid w:val="00610F80"/>
    <w:rsid w:val="00611992"/>
    <w:rsid w:val="00611B59"/>
    <w:rsid w:val="00611FBA"/>
    <w:rsid w:val="00612098"/>
    <w:rsid w:val="0061272A"/>
    <w:rsid w:val="00612BF8"/>
    <w:rsid w:val="006130D0"/>
    <w:rsid w:val="0061355D"/>
    <w:rsid w:val="006139F7"/>
    <w:rsid w:val="00613AA2"/>
    <w:rsid w:val="00614542"/>
    <w:rsid w:val="00614906"/>
    <w:rsid w:val="0061517F"/>
    <w:rsid w:val="00615276"/>
    <w:rsid w:val="006155F1"/>
    <w:rsid w:val="00615846"/>
    <w:rsid w:val="006160F0"/>
    <w:rsid w:val="0061618F"/>
    <w:rsid w:val="0061624B"/>
    <w:rsid w:val="00616400"/>
    <w:rsid w:val="006166AD"/>
    <w:rsid w:val="00616812"/>
    <w:rsid w:val="00616C1E"/>
    <w:rsid w:val="00617EFC"/>
    <w:rsid w:val="00620055"/>
    <w:rsid w:val="00620336"/>
    <w:rsid w:val="006204B3"/>
    <w:rsid w:val="006204C2"/>
    <w:rsid w:val="006212D3"/>
    <w:rsid w:val="00621639"/>
    <w:rsid w:val="00622B22"/>
    <w:rsid w:val="00622F67"/>
    <w:rsid w:val="00623571"/>
    <w:rsid w:val="00623A5E"/>
    <w:rsid w:val="00624B9F"/>
    <w:rsid w:val="00625008"/>
    <w:rsid w:val="006252EE"/>
    <w:rsid w:val="0062548B"/>
    <w:rsid w:val="00625DF7"/>
    <w:rsid w:val="00626710"/>
    <w:rsid w:val="00626930"/>
    <w:rsid w:val="00626AD3"/>
    <w:rsid w:val="00626BAC"/>
    <w:rsid w:val="006271C3"/>
    <w:rsid w:val="00627976"/>
    <w:rsid w:val="00627B14"/>
    <w:rsid w:val="0063001E"/>
    <w:rsid w:val="00630023"/>
    <w:rsid w:val="006308EE"/>
    <w:rsid w:val="00630C70"/>
    <w:rsid w:val="00630D67"/>
    <w:rsid w:val="00631005"/>
    <w:rsid w:val="00631C79"/>
    <w:rsid w:val="00631FFE"/>
    <w:rsid w:val="00632284"/>
    <w:rsid w:val="00632727"/>
    <w:rsid w:val="0063283D"/>
    <w:rsid w:val="00633769"/>
    <w:rsid w:val="00633FE3"/>
    <w:rsid w:val="00634276"/>
    <w:rsid w:val="00634570"/>
    <w:rsid w:val="0063487C"/>
    <w:rsid w:val="0063548C"/>
    <w:rsid w:val="00635B73"/>
    <w:rsid w:val="00635BB7"/>
    <w:rsid w:val="00636CC7"/>
    <w:rsid w:val="0063727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5F2B"/>
    <w:rsid w:val="00646084"/>
    <w:rsid w:val="006468ED"/>
    <w:rsid w:val="00646DA2"/>
    <w:rsid w:val="00646E7A"/>
    <w:rsid w:val="00646EA6"/>
    <w:rsid w:val="00647272"/>
    <w:rsid w:val="00647664"/>
    <w:rsid w:val="00650D19"/>
    <w:rsid w:val="00651268"/>
    <w:rsid w:val="006521D7"/>
    <w:rsid w:val="00652CF5"/>
    <w:rsid w:val="0065343E"/>
    <w:rsid w:val="006536BB"/>
    <w:rsid w:val="0065398F"/>
    <w:rsid w:val="00653C7C"/>
    <w:rsid w:val="00654252"/>
    <w:rsid w:val="006543B7"/>
    <w:rsid w:val="00654EA5"/>
    <w:rsid w:val="0065587E"/>
    <w:rsid w:val="006558CD"/>
    <w:rsid w:val="0065592E"/>
    <w:rsid w:val="00655C26"/>
    <w:rsid w:val="0065637A"/>
    <w:rsid w:val="00656998"/>
    <w:rsid w:val="00656E4D"/>
    <w:rsid w:val="006576BA"/>
    <w:rsid w:val="00657CBB"/>
    <w:rsid w:val="006600BF"/>
    <w:rsid w:val="00660AF7"/>
    <w:rsid w:val="00660D3E"/>
    <w:rsid w:val="0066136C"/>
    <w:rsid w:val="00661691"/>
    <w:rsid w:val="00662D3D"/>
    <w:rsid w:val="00662F1F"/>
    <w:rsid w:val="00663D15"/>
    <w:rsid w:val="00665030"/>
    <w:rsid w:val="00665670"/>
    <w:rsid w:val="006659EA"/>
    <w:rsid w:val="00665F27"/>
    <w:rsid w:val="006661E8"/>
    <w:rsid w:val="00666424"/>
    <w:rsid w:val="006664DF"/>
    <w:rsid w:val="0066676C"/>
    <w:rsid w:val="006673B9"/>
    <w:rsid w:val="0066790C"/>
    <w:rsid w:val="00667FF0"/>
    <w:rsid w:val="00670319"/>
    <w:rsid w:val="00670C7C"/>
    <w:rsid w:val="00671480"/>
    <w:rsid w:val="006717E7"/>
    <w:rsid w:val="00671FD5"/>
    <w:rsid w:val="006720BC"/>
    <w:rsid w:val="006722B0"/>
    <w:rsid w:val="00672906"/>
    <w:rsid w:val="00672C73"/>
    <w:rsid w:val="00673B64"/>
    <w:rsid w:val="006753AC"/>
    <w:rsid w:val="00675430"/>
    <w:rsid w:val="006755F0"/>
    <w:rsid w:val="00675749"/>
    <w:rsid w:val="006759FE"/>
    <w:rsid w:val="00675C59"/>
    <w:rsid w:val="0067736F"/>
    <w:rsid w:val="00677382"/>
    <w:rsid w:val="006776F6"/>
    <w:rsid w:val="0067772D"/>
    <w:rsid w:val="00677991"/>
    <w:rsid w:val="00677AD2"/>
    <w:rsid w:val="00680326"/>
    <w:rsid w:val="00680714"/>
    <w:rsid w:val="0068071D"/>
    <w:rsid w:val="00680C6B"/>
    <w:rsid w:val="006811F3"/>
    <w:rsid w:val="00681240"/>
    <w:rsid w:val="0068139A"/>
    <w:rsid w:val="00681A77"/>
    <w:rsid w:val="0068270E"/>
    <w:rsid w:val="00683068"/>
    <w:rsid w:val="00683DAD"/>
    <w:rsid w:val="00684138"/>
    <w:rsid w:val="00684592"/>
    <w:rsid w:val="00684963"/>
    <w:rsid w:val="00685033"/>
    <w:rsid w:val="0068517F"/>
    <w:rsid w:val="0068564B"/>
    <w:rsid w:val="00685C15"/>
    <w:rsid w:val="00685D65"/>
    <w:rsid w:val="00685FC8"/>
    <w:rsid w:val="00686E80"/>
    <w:rsid w:val="0068790B"/>
    <w:rsid w:val="00687AF2"/>
    <w:rsid w:val="006901AC"/>
    <w:rsid w:val="00690C8D"/>
    <w:rsid w:val="00691890"/>
    <w:rsid w:val="00691AAD"/>
    <w:rsid w:val="00691DFC"/>
    <w:rsid w:val="00692416"/>
    <w:rsid w:val="006927FC"/>
    <w:rsid w:val="00692A22"/>
    <w:rsid w:val="00692AFF"/>
    <w:rsid w:val="00692D2D"/>
    <w:rsid w:val="00692D66"/>
    <w:rsid w:val="00693B73"/>
    <w:rsid w:val="00693F11"/>
    <w:rsid w:val="006945A1"/>
    <w:rsid w:val="00694A53"/>
    <w:rsid w:val="006952DE"/>
    <w:rsid w:val="00695985"/>
    <w:rsid w:val="00695C78"/>
    <w:rsid w:val="00695E6C"/>
    <w:rsid w:val="00695EAC"/>
    <w:rsid w:val="00696904"/>
    <w:rsid w:val="00696C79"/>
    <w:rsid w:val="00696CB8"/>
    <w:rsid w:val="00697068"/>
    <w:rsid w:val="006977DE"/>
    <w:rsid w:val="00697907"/>
    <w:rsid w:val="00697D5F"/>
    <w:rsid w:val="006A035B"/>
    <w:rsid w:val="006A0582"/>
    <w:rsid w:val="006A060C"/>
    <w:rsid w:val="006A06F8"/>
    <w:rsid w:val="006A071C"/>
    <w:rsid w:val="006A0D23"/>
    <w:rsid w:val="006A0DC7"/>
    <w:rsid w:val="006A150D"/>
    <w:rsid w:val="006A1B00"/>
    <w:rsid w:val="006A2766"/>
    <w:rsid w:val="006A394B"/>
    <w:rsid w:val="006A39D0"/>
    <w:rsid w:val="006A3E91"/>
    <w:rsid w:val="006A4321"/>
    <w:rsid w:val="006A4E20"/>
    <w:rsid w:val="006A4F11"/>
    <w:rsid w:val="006A5474"/>
    <w:rsid w:val="006A563C"/>
    <w:rsid w:val="006A5782"/>
    <w:rsid w:val="006A5A6F"/>
    <w:rsid w:val="006A5F7E"/>
    <w:rsid w:val="006A6786"/>
    <w:rsid w:val="006A7C29"/>
    <w:rsid w:val="006B0580"/>
    <w:rsid w:val="006B0DA2"/>
    <w:rsid w:val="006B0F70"/>
    <w:rsid w:val="006B1486"/>
    <w:rsid w:val="006B169F"/>
    <w:rsid w:val="006B1BEB"/>
    <w:rsid w:val="006B1D06"/>
    <w:rsid w:val="006B2823"/>
    <w:rsid w:val="006B29DC"/>
    <w:rsid w:val="006B2B21"/>
    <w:rsid w:val="006B2F60"/>
    <w:rsid w:val="006B33DB"/>
    <w:rsid w:val="006B3669"/>
    <w:rsid w:val="006B36E5"/>
    <w:rsid w:val="006B397E"/>
    <w:rsid w:val="006B3C07"/>
    <w:rsid w:val="006B3D00"/>
    <w:rsid w:val="006B4CF8"/>
    <w:rsid w:val="006B506B"/>
    <w:rsid w:val="006B53F6"/>
    <w:rsid w:val="006B54E8"/>
    <w:rsid w:val="006B5FBC"/>
    <w:rsid w:val="006B6ED2"/>
    <w:rsid w:val="006B70D5"/>
    <w:rsid w:val="006B7F74"/>
    <w:rsid w:val="006C0230"/>
    <w:rsid w:val="006C05C7"/>
    <w:rsid w:val="006C0E68"/>
    <w:rsid w:val="006C1F31"/>
    <w:rsid w:val="006C25AB"/>
    <w:rsid w:val="006C2DA6"/>
    <w:rsid w:val="006C3581"/>
    <w:rsid w:val="006C38AB"/>
    <w:rsid w:val="006C39A0"/>
    <w:rsid w:val="006C3EFE"/>
    <w:rsid w:val="006C4282"/>
    <w:rsid w:val="006C46C7"/>
    <w:rsid w:val="006C4767"/>
    <w:rsid w:val="006C4A1A"/>
    <w:rsid w:val="006C4D02"/>
    <w:rsid w:val="006C53A4"/>
    <w:rsid w:val="006C54DF"/>
    <w:rsid w:val="006C5D5D"/>
    <w:rsid w:val="006C627E"/>
    <w:rsid w:val="006C6303"/>
    <w:rsid w:val="006C63ED"/>
    <w:rsid w:val="006C669B"/>
    <w:rsid w:val="006C6A51"/>
    <w:rsid w:val="006C6EBD"/>
    <w:rsid w:val="006C7E04"/>
    <w:rsid w:val="006C7F79"/>
    <w:rsid w:val="006C7FB4"/>
    <w:rsid w:val="006D0004"/>
    <w:rsid w:val="006D015F"/>
    <w:rsid w:val="006D060E"/>
    <w:rsid w:val="006D0681"/>
    <w:rsid w:val="006D0A80"/>
    <w:rsid w:val="006D0AE8"/>
    <w:rsid w:val="006D135C"/>
    <w:rsid w:val="006D16F6"/>
    <w:rsid w:val="006D2F72"/>
    <w:rsid w:val="006D43C1"/>
    <w:rsid w:val="006D4955"/>
    <w:rsid w:val="006D4BE9"/>
    <w:rsid w:val="006D4CC1"/>
    <w:rsid w:val="006D5442"/>
    <w:rsid w:val="006D6921"/>
    <w:rsid w:val="006D6E4E"/>
    <w:rsid w:val="006D7A7B"/>
    <w:rsid w:val="006D7A8E"/>
    <w:rsid w:val="006D7C59"/>
    <w:rsid w:val="006E00E3"/>
    <w:rsid w:val="006E045C"/>
    <w:rsid w:val="006E0569"/>
    <w:rsid w:val="006E065E"/>
    <w:rsid w:val="006E082D"/>
    <w:rsid w:val="006E0849"/>
    <w:rsid w:val="006E11D6"/>
    <w:rsid w:val="006E17AC"/>
    <w:rsid w:val="006E189B"/>
    <w:rsid w:val="006E20D9"/>
    <w:rsid w:val="006E25C1"/>
    <w:rsid w:val="006E27DC"/>
    <w:rsid w:val="006E2902"/>
    <w:rsid w:val="006E2F9D"/>
    <w:rsid w:val="006E37C6"/>
    <w:rsid w:val="006E3CF3"/>
    <w:rsid w:val="006E41ED"/>
    <w:rsid w:val="006E4667"/>
    <w:rsid w:val="006E46B7"/>
    <w:rsid w:val="006E475A"/>
    <w:rsid w:val="006E486D"/>
    <w:rsid w:val="006E4880"/>
    <w:rsid w:val="006E48BB"/>
    <w:rsid w:val="006E5462"/>
    <w:rsid w:val="006E618C"/>
    <w:rsid w:val="006E641A"/>
    <w:rsid w:val="006E65D6"/>
    <w:rsid w:val="006E727B"/>
    <w:rsid w:val="006E73B4"/>
    <w:rsid w:val="006E76C8"/>
    <w:rsid w:val="006E7A92"/>
    <w:rsid w:val="006F01FF"/>
    <w:rsid w:val="006F0C11"/>
    <w:rsid w:val="006F0CB2"/>
    <w:rsid w:val="006F1DE9"/>
    <w:rsid w:val="006F2046"/>
    <w:rsid w:val="006F2555"/>
    <w:rsid w:val="006F2F59"/>
    <w:rsid w:val="006F30CA"/>
    <w:rsid w:val="006F311E"/>
    <w:rsid w:val="006F3442"/>
    <w:rsid w:val="006F36A5"/>
    <w:rsid w:val="006F39F5"/>
    <w:rsid w:val="006F41F4"/>
    <w:rsid w:val="006F442B"/>
    <w:rsid w:val="006F4576"/>
    <w:rsid w:val="006F5813"/>
    <w:rsid w:val="006F59A8"/>
    <w:rsid w:val="006F5A1D"/>
    <w:rsid w:val="006F64DC"/>
    <w:rsid w:val="006F71A6"/>
    <w:rsid w:val="006F7974"/>
    <w:rsid w:val="006F7C2C"/>
    <w:rsid w:val="006F7FD5"/>
    <w:rsid w:val="00700405"/>
    <w:rsid w:val="0070061F"/>
    <w:rsid w:val="00700D18"/>
    <w:rsid w:val="0070168D"/>
    <w:rsid w:val="00701C36"/>
    <w:rsid w:val="00701D7B"/>
    <w:rsid w:val="00702581"/>
    <w:rsid w:val="00702DF3"/>
    <w:rsid w:val="00702F2D"/>
    <w:rsid w:val="00702F3D"/>
    <w:rsid w:val="0070353F"/>
    <w:rsid w:val="00703A99"/>
    <w:rsid w:val="0070415E"/>
    <w:rsid w:val="00704631"/>
    <w:rsid w:val="00704B79"/>
    <w:rsid w:val="00704E7D"/>
    <w:rsid w:val="00705060"/>
    <w:rsid w:val="00705351"/>
    <w:rsid w:val="00705619"/>
    <w:rsid w:val="00705E93"/>
    <w:rsid w:val="007062AF"/>
    <w:rsid w:val="007069AE"/>
    <w:rsid w:val="007069D4"/>
    <w:rsid w:val="00706A4F"/>
    <w:rsid w:val="00706C89"/>
    <w:rsid w:val="0070744A"/>
    <w:rsid w:val="00707967"/>
    <w:rsid w:val="00710224"/>
    <w:rsid w:val="00710257"/>
    <w:rsid w:val="00710587"/>
    <w:rsid w:val="007107D5"/>
    <w:rsid w:val="007119DC"/>
    <w:rsid w:val="00711CC7"/>
    <w:rsid w:val="0071230A"/>
    <w:rsid w:val="0071281A"/>
    <w:rsid w:val="00712930"/>
    <w:rsid w:val="0071294A"/>
    <w:rsid w:val="00712BDD"/>
    <w:rsid w:val="00712E1E"/>
    <w:rsid w:val="00712F37"/>
    <w:rsid w:val="00713146"/>
    <w:rsid w:val="00713A6B"/>
    <w:rsid w:val="00713CB5"/>
    <w:rsid w:val="0071499C"/>
    <w:rsid w:val="00714F9D"/>
    <w:rsid w:val="00715141"/>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5F5"/>
    <w:rsid w:val="0072388C"/>
    <w:rsid w:val="0072454E"/>
    <w:rsid w:val="007249D1"/>
    <w:rsid w:val="00724FE4"/>
    <w:rsid w:val="00725829"/>
    <w:rsid w:val="00725D6A"/>
    <w:rsid w:val="007263A2"/>
    <w:rsid w:val="007266B9"/>
    <w:rsid w:val="00727235"/>
    <w:rsid w:val="00727351"/>
    <w:rsid w:val="00727821"/>
    <w:rsid w:val="00727AC5"/>
    <w:rsid w:val="00727C65"/>
    <w:rsid w:val="007300F0"/>
    <w:rsid w:val="00730904"/>
    <w:rsid w:val="00731D13"/>
    <w:rsid w:val="00731DEB"/>
    <w:rsid w:val="00731EDE"/>
    <w:rsid w:val="0073245C"/>
    <w:rsid w:val="00732493"/>
    <w:rsid w:val="00732FE9"/>
    <w:rsid w:val="00733772"/>
    <w:rsid w:val="00733A43"/>
    <w:rsid w:val="00733AE4"/>
    <w:rsid w:val="00733D5F"/>
    <w:rsid w:val="00734932"/>
    <w:rsid w:val="00734A6F"/>
    <w:rsid w:val="00735D53"/>
    <w:rsid w:val="0073618A"/>
    <w:rsid w:val="007364A3"/>
    <w:rsid w:val="00736740"/>
    <w:rsid w:val="007378FD"/>
    <w:rsid w:val="007379E8"/>
    <w:rsid w:val="007403FE"/>
    <w:rsid w:val="00740422"/>
    <w:rsid w:val="00740495"/>
    <w:rsid w:val="007405ED"/>
    <w:rsid w:val="00740AA6"/>
    <w:rsid w:val="007413EB"/>
    <w:rsid w:val="007413FB"/>
    <w:rsid w:val="00742D32"/>
    <w:rsid w:val="00742E9B"/>
    <w:rsid w:val="0074310F"/>
    <w:rsid w:val="007444E6"/>
    <w:rsid w:val="00745184"/>
    <w:rsid w:val="0074592C"/>
    <w:rsid w:val="00745B5D"/>
    <w:rsid w:val="00745C91"/>
    <w:rsid w:val="00746098"/>
    <w:rsid w:val="00746D58"/>
    <w:rsid w:val="00747578"/>
    <w:rsid w:val="0074795D"/>
    <w:rsid w:val="00750D12"/>
    <w:rsid w:val="00751073"/>
    <w:rsid w:val="007517B3"/>
    <w:rsid w:val="0075191B"/>
    <w:rsid w:val="00751AF2"/>
    <w:rsid w:val="00751B1A"/>
    <w:rsid w:val="00751BD2"/>
    <w:rsid w:val="00751C69"/>
    <w:rsid w:val="00751CE5"/>
    <w:rsid w:val="00752034"/>
    <w:rsid w:val="00752188"/>
    <w:rsid w:val="00752859"/>
    <w:rsid w:val="00752CC6"/>
    <w:rsid w:val="00752CEB"/>
    <w:rsid w:val="0075307A"/>
    <w:rsid w:val="00753938"/>
    <w:rsid w:val="00753A57"/>
    <w:rsid w:val="0075418B"/>
    <w:rsid w:val="007543CE"/>
    <w:rsid w:val="0075497E"/>
    <w:rsid w:val="00754A29"/>
    <w:rsid w:val="00754CB9"/>
    <w:rsid w:val="00755B6F"/>
    <w:rsid w:val="00755BCF"/>
    <w:rsid w:val="00756C5F"/>
    <w:rsid w:val="00756D69"/>
    <w:rsid w:val="0075700D"/>
    <w:rsid w:val="00757029"/>
    <w:rsid w:val="007571FD"/>
    <w:rsid w:val="0075723D"/>
    <w:rsid w:val="007602D4"/>
    <w:rsid w:val="007606A3"/>
    <w:rsid w:val="00760D96"/>
    <w:rsid w:val="0076124A"/>
    <w:rsid w:val="0076161B"/>
    <w:rsid w:val="0076182A"/>
    <w:rsid w:val="00761950"/>
    <w:rsid w:val="00761CB5"/>
    <w:rsid w:val="0076216B"/>
    <w:rsid w:val="007622AA"/>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610"/>
    <w:rsid w:val="007739A3"/>
    <w:rsid w:val="00773BD9"/>
    <w:rsid w:val="00773CB0"/>
    <w:rsid w:val="00773D71"/>
    <w:rsid w:val="007745E1"/>
    <w:rsid w:val="00775526"/>
    <w:rsid w:val="00775651"/>
    <w:rsid w:val="00775F3F"/>
    <w:rsid w:val="007767B1"/>
    <w:rsid w:val="0077710B"/>
    <w:rsid w:val="0077765A"/>
    <w:rsid w:val="00780032"/>
    <w:rsid w:val="00780636"/>
    <w:rsid w:val="00780E86"/>
    <w:rsid w:val="0078108C"/>
    <w:rsid w:val="00781727"/>
    <w:rsid w:val="007823E8"/>
    <w:rsid w:val="00782411"/>
    <w:rsid w:val="00782CF3"/>
    <w:rsid w:val="007838BA"/>
    <w:rsid w:val="00783959"/>
    <w:rsid w:val="00783BA5"/>
    <w:rsid w:val="007843D8"/>
    <w:rsid w:val="007844A9"/>
    <w:rsid w:val="00785091"/>
    <w:rsid w:val="0078638C"/>
    <w:rsid w:val="0078681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E4F"/>
    <w:rsid w:val="007952DE"/>
    <w:rsid w:val="00795479"/>
    <w:rsid w:val="007959DB"/>
    <w:rsid w:val="00796292"/>
    <w:rsid w:val="007965D9"/>
    <w:rsid w:val="00796BA2"/>
    <w:rsid w:val="007972D5"/>
    <w:rsid w:val="0079778D"/>
    <w:rsid w:val="00797927"/>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29"/>
    <w:rsid w:val="007A54F6"/>
    <w:rsid w:val="007A55FE"/>
    <w:rsid w:val="007A582C"/>
    <w:rsid w:val="007A5950"/>
    <w:rsid w:val="007A6850"/>
    <w:rsid w:val="007A6D91"/>
    <w:rsid w:val="007A7618"/>
    <w:rsid w:val="007B00C9"/>
    <w:rsid w:val="007B02C7"/>
    <w:rsid w:val="007B0306"/>
    <w:rsid w:val="007B084C"/>
    <w:rsid w:val="007B08E4"/>
    <w:rsid w:val="007B0D86"/>
    <w:rsid w:val="007B270F"/>
    <w:rsid w:val="007B28C3"/>
    <w:rsid w:val="007B305E"/>
    <w:rsid w:val="007B3A8E"/>
    <w:rsid w:val="007B3C9B"/>
    <w:rsid w:val="007B4271"/>
    <w:rsid w:val="007B457C"/>
    <w:rsid w:val="007B497D"/>
    <w:rsid w:val="007B4EE9"/>
    <w:rsid w:val="007B5234"/>
    <w:rsid w:val="007B54C7"/>
    <w:rsid w:val="007B5637"/>
    <w:rsid w:val="007B5DC5"/>
    <w:rsid w:val="007B5F32"/>
    <w:rsid w:val="007B63FC"/>
    <w:rsid w:val="007B6708"/>
    <w:rsid w:val="007B6C20"/>
    <w:rsid w:val="007B6E8D"/>
    <w:rsid w:val="007B7ECE"/>
    <w:rsid w:val="007C029E"/>
    <w:rsid w:val="007C0636"/>
    <w:rsid w:val="007C10E4"/>
    <w:rsid w:val="007C159F"/>
    <w:rsid w:val="007C17B4"/>
    <w:rsid w:val="007C19F6"/>
    <w:rsid w:val="007C20F8"/>
    <w:rsid w:val="007C21C5"/>
    <w:rsid w:val="007C2229"/>
    <w:rsid w:val="007C2267"/>
    <w:rsid w:val="007C2313"/>
    <w:rsid w:val="007C2423"/>
    <w:rsid w:val="007C25C1"/>
    <w:rsid w:val="007C3590"/>
    <w:rsid w:val="007C387A"/>
    <w:rsid w:val="007C3A0D"/>
    <w:rsid w:val="007C3EB0"/>
    <w:rsid w:val="007C43D6"/>
    <w:rsid w:val="007C47FF"/>
    <w:rsid w:val="007C60A8"/>
    <w:rsid w:val="007C660F"/>
    <w:rsid w:val="007C6664"/>
    <w:rsid w:val="007C66FF"/>
    <w:rsid w:val="007C69AE"/>
    <w:rsid w:val="007C6A25"/>
    <w:rsid w:val="007C6E15"/>
    <w:rsid w:val="007C6FE9"/>
    <w:rsid w:val="007C7688"/>
    <w:rsid w:val="007C76E3"/>
    <w:rsid w:val="007C76F3"/>
    <w:rsid w:val="007C7DD9"/>
    <w:rsid w:val="007D03BC"/>
    <w:rsid w:val="007D0DC9"/>
    <w:rsid w:val="007D0ECD"/>
    <w:rsid w:val="007D1374"/>
    <w:rsid w:val="007D1ACB"/>
    <w:rsid w:val="007D2882"/>
    <w:rsid w:val="007D296C"/>
    <w:rsid w:val="007D2C31"/>
    <w:rsid w:val="007D2E50"/>
    <w:rsid w:val="007D3D74"/>
    <w:rsid w:val="007D445F"/>
    <w:rsid w:val="007D4DED"/>
    <w:rsid w:val="007D5B91"/>
    <w:rsid w:val="007D5BA2"/>
    <w:rsid w:val="007D5ED3"/>
    <w:rsid w:val="007D682F"/>
    <w:rsid w:val="007D6FB9"/>
    <w:rsid w:val="007D7211"/>
    <w:rsid w:val="007D7D94"/>
    <w:rsid w:val="007E0595"/>
    <w:rsid w:val="007E0820"/>
    <w:rsid w:val="007E0A63"/>
    <w:rsid w:val="007E0B6C"/>
    <w:rsid w:val="007E0C63"/>
    <w:rsid w:val="007E0E05"/>
    <w:rsid w:val="007E0F5D"/>
    <w:rsid w:val="007E1D2C"/>
    <w:rsid w:val="007E23A1"/>
    <w:rsid w:val="007E259F"/>
    <w:rsid w:val="007E2E09"/>
    <w:rsid w:val="007E347E"/>
    <w:rsid w:val="007E3A1A"/>
    <w:rsid w:val="007E41A4"/>
    <w:rsid w:val="007E43E3"/>
    <w:rsid w:val="007E54B8"/>
    <w:rsid w:val="007E56FB"/>
    <w:rsid w:val="007E5D12"/>
    <w:rsid w:val="007E6420"/>
    <w:rsid w:val="007E677F"/>
    <w:rsid w:val="007E6B25"/>
    <w:rsid w:val="007E6E06"/>
    <w:rsid w:val="007E6F4A"/>
    <w:rsid w:val="007E79CC"/>
    <w:rsid w:val="007E7DAE"/>
    <w:rsid w:val="007F1124"/>
    <w:rsid w:val="007F152D"/>
    <w:rsid w:val="007F20C4"/>
    <w:rsid w:val="007F20EE"/>
    <w:rsid w:val="007F23D8"/>
    <w:rsid w:val="007F267E"/>
    <w:rsid w:val="007F307A"/>
    <w:rsid w:val="007F30C6"/>
    <w:rsid w:val="007F3561"/>
    <w:rsid w:val="007F38FD"/>
    <w:rsid w:val="007F3C18"/>
    <w:rsid w:val="007F4318"/>
    <w:rsid w:val="007F4709"/>
    <w:rsid w:val="007F47DA"/>
    <w:rsid w:val="007F4E52"/>
    <w:rsid w:val="007F4F18"/>
    <w:rsid w:val="007F4F84"/>
    <w:rsid w:val="007F5382"/>
    <w:rsid w:val="007F55A4"/>
    <w:rsid w:val="007F5D28"/>
    <w:rsid w:val="007F6260"/>
    <w:rsid w:val="007F631D"/>
    <w:rsid w:val="007F6370"/>
    <w:rsid w:val="007F6466"/>
    <w:rsid w:val="007F682B"/>
    <w:rsid w:val="007F78E8"/>
    <w:rsid w:val="007F7EB8"/>
    <w:rsid w:val="007F7F8F"/>
    <w:rsid w:val="00800509"/>
    <w:rsid w:val="0080078E"/>
    <w:rsid w:val="00800B7F"/>
    <w:rsid w:val="008012B1"/>
    <w:rsid w:val="0080133B"/>
    <w:rsid w:val="00801D63"/>
    <w:rsid w:val="0080348B"/>
    <w:rsid w:val="00803632"/>
    <w:rsid w:val="00803B3C"/>
    <w:rsid w:val="00803D82"/>
    <w:rsid w:val="00803D98"/>
    <w:rsid w:val="00804BD2"/>
    <w:rsid w:val="008052CE"/>
    <w:rsid w:val="008058D0"/>
    <w:rsid w:val="0080621C"/>
    <w:rsid w:val="00806446"/>
    <w:rsid w:val="00806A4C"/>
    <w:rsid w:val="0080705B"/>
    <w:rsid w:val="00807196"/>
    <w:rsid w:val="0080723C"/>
    <w:rsid w:val="00807604"/>
    <w:rsid w:val="00807F71"/>
    <w:rsid w:val="0081000F"/>
    <w:rsid w:val="00811ABF"/>
    <w:rsid w:val="00812657"/>
    <w:rsid w:val="00812960"/>
    <w:rsid w:val="00812A1A"/>
    <w:rsid w:val="00812DFF"/>
    <w:rsid w:val="0081362F"/>
    <w:rsid w:val="0081383A"/>
    <w:rsid w:val="00813EC2"/>
    <w:rsid w:val="008147EA"/>
    <w:rsid w:val="0081497F"/>
    <w:rsid w:val="00814B90"/>
    <w:rsid w:val="00814E9C"/>
    <w:rsid w:val="00814FC7"/>
    <w:rsid w:val="0081660C"/>
    <w:rsid w:val="00817195"/>
    <w:rsid w:val="00817416"/>
    <w:rsid w:val="00817658"/>
    <w:rsid w:val="00817CFF"/>
    <w:rsid w:val="00817DFB"/>
    <w:rsid w:val="008206AE"/>
    <w:rsid w:val="00821271"/>
    <w:rsid w:val="00821306"/>
    <w:rsid w:val="008213D9"/>
    <w:rsid w:val="008216CE"/>
    <w:rsid w:val="00821827"/>
    <w:rsid w:val="008218AE"/>
    <w:rsid w:val="00821D85"/>
    <w:rsid w:val="00821E47"/>
    <w:rsid w:val="008220F6"/>
    <w:rsid w:val="00822456"/>
    <w:rsid w:val="00823819"/>
    <w:rsid w:val="00823C4B"/>
    <w:rsid w:val="0082427D"/>
    <w:rsid w:val="00825441"/>
    <w:rsid w:val="00826855"/>
    <w:rsid w:val="008268D5"/>
    <w:rsid w:val="00826D38"/>
    <w:rsid w:val="00830052"/>
    <w:rsid w:val="008300D0"/>
    <w:rsid w:val="008308D8"/>
    <w:rsid w:val="0083150E"/>
    <w:rsid w:val="008320D2"/>
    <w:rsid w:val="008321CE"/>
    <w:rsid w:val="0083257C"/>
    <w:rsid w:val="0083261B"/>
    <w:rsid w:val="00832B44"/>
    <w:rsid w:val="00832EC9"/>
    <w:rsid w:val="00833307"/>
    <w:rsid w:val="00833583"/>
    <w:rsid w:val="00833B5B"/>
    <w:rsid w:val="00833E9A"/>
    <w:rsid w:val="00833F52"/>
    <w:rsid w:val="0083445C"/>
    <w:rsid w:val="00834FEF"/>
    <w:rsid w:val="00836323"/>
    <w:rsid w:val="00837D3D"/>
    <w:rsid w:val="00837E9B"/>
    <w:rsid w:val="008404AA"/>
    <w:rsid w:val="008406D7"/>
    <w:rsid w:val="0084074F"/>
    <w:rsid w:val="008407BA"/>
    <w:rsid w:val="00840A70"/>
    <w:rsid w:val="00840AA3"/>
    <w:rsid w:val="00840AAC"/>
    <w:rsid w:val="0084101C"/>
    <w:rsid w:val="0084181B"/>
    <w:rsid w:val="00841F29"/>
    <w:rsid w:val="008425CC"/>
    <w:rsid w:val="00842DC2"/>
    <w:rsid w:val="0084357B"/>
    <w:rsid w:val="0084568C"/>
    <w:rsid w:val="008462D6"/>
    <w:rsid w:val="008465B4"/>
    <w:rsid w:val="00846A47"/>
    <w:rsid w:val="00846D25"/>
    <w:rsid w:val="00847907"/>
    <w:rsid w:val="00850013"/>
    <w:rsid w:val="008500DD"/>
    <w:rsid w:val="00850A0A"/>
    <w:rsid w:val="00850A94"/>
    <w:rsid w:val="00851E96"/>
    <w:rsid w:val="00851F1C"/>
    <w:rsid w:val="00852FA5"/>
    <w:rsid w:val="00853114"/>
    <w:rsid w:val="00853208"/>
    <w:rsid w:val="008535AE"/>
    <w:rsid w:val="00853DE9"/>
    <w:rsid w:val="00853F7D"/>
    <w:rsid w:val="0085517F"/>
    <w:rsid w:val="0085562D"/>
    <w:rsid w:val="00855A78"/>
    <w:rsid w:val="00856154"/>
    <w:rsid w:val="00856286"/>
    <w:rsid w:val="0085657E"/>
    <w:rsid w:val="00856D63"/>
    <w:rsid w:val="00856E98"/>
    <w:rsid w:val="00856F0E"/>
    <w:rsid w:val="008573AF"/>
    <w:rsid w:val="008576B0"/>
    <w:rsid w:val="00860296"/>
    <w:rsid w:val="008602E3"/>
    <w:rsid w:val="00860DA4"/>
    <w:rsid w:val="00861146"/>
    <w:rsid w:val="00861948"/>
    <w:rsid w:val="00862011"/>
    <w:rsid w:val="00862A15"/>
    <w:rsid w:val="00862AAE"/>
    <w:rsid w:val="00862CC9"/>
    <w:rsid w:val="00862D8E"/>
    <w:rsid w:val="00862EF2"/>
    <w:rsid w:val="00863509"/>
    <w:rsid w:val="00863D33"/>
    <w:rsid w:val="00863D80"/>
    <w:rsid w:val="00864FB3"/>
    <w:rsid w:val="0086598A"/>
    <w:rsid w:val="00865C3D"/>
    <w:rsid w:val="00865F4C"/>
    <w:rsid w:val="00866453"/>
    <w:rsid w:val="0086707F"/>
    <w:rsid w:val="00867501"/>
    <w:rsid w:val="00867D8E"/>
    <w:rsid w:val="008700C0"/>
    <w:rsid w:val="0087058B"/>
    <w:rsid w:val="0087063B"/>
    <w:rsid w:val="0087099A"/>
    <w:rsid w:val="00870D79"/>
    <w:rsid w:val="00871333"/>
    <w:rsid w:val="00871952"/>
    <w:rsid w:val="00872006"/>
    <w:rsid w:val="00872386"/>
    <w:rsid w:val="008726D7"/>
    <w:rsid w:val="00873128"/>
    <w:rsid w:val="008735BC"/>
    <w:rsid w:val="0087363E"/>
    <w:rsid w:val="00873897"/>
    <w:rsid w:val="00873AAC"/>
    <w:rsid w:val="00873C61"/>
    <w:rsid w:val="00873DFD"/>
    <w:rsid w:val="008749BF"/>
    <w:rsid w:val="00875542"/>
    <w:rsid w:val="00875E14"/>
    <w:rsid w:val="0087677E"/>
    <w:rsid w:val="0087712C"/>
    <w:rsid w:val="008776E7"/>
    <w:rsid w:val="00877746"/>
    <w:rsid w:val="00877C5D"/>
    <w:rsid w:val="00880354"/>
    <w:rsid w:val="00880611"/>
    <w:rsid w:val="0088093C"/>
    <w:rsid w:val="00880BC0"/>
    <w:rsid w:val="0088127A"/>
    <w:rsid w:val="00881D59"/>
    <w:rsid w:val="00881ED4"/>
    <w:rsid w:val="00882991"/>
    <w:rsid w:val="00882EC1"/>
    <w:rsid w:val="0088324E"/>
    <w:rsid w:val="0088434F"/>
    <w:rsid w:val="00884371"/>
    <w:rsid w:val="008848E2"/>
    <w:rsid w:val="00884B7A"/>
    <w:rsid w:val="00884D47"/>
    <w:rsid w:val="00884FDD"/>
    <w:rsid w:val="008856C5"/>
    <w:rsid w:val="00886112"/>
    <w:rsid w:val="00886B7E"/>
    <w:rsid w:val="008870B9"/>
    <w:rsid w:val="008872B3"/>
    <w:rsid w:val="00887392"/>
    <w:rsid w:val="00887C3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AB"/>
    <w:rsid w:val="00895963"/>
    <w:rsid w:val="00896C63"/>
    <w:rsid w:val="008972B6"/>
    <w:rsid w:val="00897339"/>
    <w:rsid w:val="00897697"/>
    <w:rsid w:val="008977E1"/>
    <w:rsid w:val="00897BFA"/>
    <w:rsid w:val="00897D19"/>
    <w:rsid w:val="008A0044"/>
    <w:rsid w:val="008A0BFE"/>
    <w:rsid w:val="008A1932"/>
    <w:rsid w:val="008A1E83"/>
    <w:rsid w:val="008A21D9"/>
    <w:rsid w:val="008A232D"/>
    <w:rsid w:val="008A290C"/>
    <w:rsid w:val="008A2D78"/>
    <w:rsid w:val="008A3182"/>
    <w:rsid w:val="008A3C76"/>
    <w:rsid w:val="008A3D54"/>
    <w:rsid w:val="008A3E10"/>
    <w:rsid w:val="008A411C"/>
    <w:rsid w:val="008A4630"/>
    <w:rsid w:val="008A47CE"/>
    <w:rsid w:val="008A4DFA"/>
    <w:rsid w:val="008A5DCA"/>
    <w:rsid w:val="008A5F2F"/>
    <w:rsid w:val="008A6BAE"/>
    <w:rsid w:val="008A6E81"/>
    <w:rsid w:val="008A7350"/>
    <w:rsid w:val="008A7A72"/>
    <w:rsid w:val="008B09F3"/>
    <w:rsid w:val="008B111A"/>
    <w:rsid w:val="008B16E6"/>
    <w:rsid w:val="008B1AB2"/>
    <w:rsid w:val="008B1B17"/>
    <w:rsid w:val="008B1D9B"/>
    <w:rsid w:val="008B2042"/>
    <w:rsid w:val="008B25F1"/>
    <w:rsid w:val="008B2C8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107"/>
    <w:rsid w:val="008B770C"/>
    <w:rsid w:val="008C0325"/>
    <w:rsid w:val="008C094A"/>
    <w:rsid w:val="008C0A61"/>
    <w:rsid w:val="008C1570"/>
    <w:rsid w:val="008C1792"/>
    <w:rsid w:val="008C17B2"/>
    <w:rsid w:val="008C1E3E"/>
    <w:rsid w:val="008C2059"/>
    <w:rsid w:val="008C21D0"/>
    <w:rsid w:val="008C2DBC"/>
    <w:rsid w:val="008C3A4E"/>
    <w:rsid w:val="008C4104"/>
    <w:rsid w:val="008C4A37"/>
    <w:rsid w:val="008C5371"/>
    <w:rsid w:val="008C623D"/>
    <w:rsid w:val="008C65F4"/>
    <w:rsid w:val="008C6683"/>
    <w:rsid w:val="008C6E0C"/>
    <w:rsid w:val="008C7273"/>
    <w:rsid w:val="008C78F8"/>
    <w:rsid w:val="008D05DF"/>
    <w:rsid w:val="008D09E8"/>
    <w:rsid w:val="008D0CE3"/>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4E8C"/>
    <w:rsid w:val="008D5432"/>
    <w:rsid w:val="008D54C0"/>
    <w:rsid w:val="008D5558"/>
    <w:rsid w:val="008D5806"/>
    <w:rsid w:val="008D5ED9"/>
    <w:rsid w:val="008D6857"/>
    <w:rsid w:val="008D69BC"/>
    <w:rsid w:val="008D7247"/>
    <w:rsid w:val="008D7567"/>
    <w:rsid w:val="008E0464"/>
    <w:rsid w:val="008E092F"/>
    <w:rsid w:val="008E0E24"/>
    <w:rsid w:val="008E0EE4"/>
    <w:rsid w:val="008E1074"/>
    <w:rsid w:val="008E12BE"/>
    <w:rsid w:val="008E13FD"/>
    <w:rsid w:val="008E17D5"/>
    <w:rsid w:val="008E1BBD"/>
    <w:rsid w:val="008E1C24"/>
    <w:rsid w:val="008E2626"/>
    <w:rsid w:val="008E27A9"/>
    <w:rsid w:val="008E295D"/>
    <w:rsid w:val="008E323C"/>
    <w:rsid w:val="008E32E0"/>
    <w:rsid w:val="008E330D"/>
    <w:rsid w:val="008E35A6"/>
    <w:rsid w:val="008E36D9"/>
    <w:rsid w:val="008E3A5C"/>
    <w:rsid w:val="008E3A9A"/>
    <w:rsid w:val="008E429E"/>
    <w:rsid w:val="008E58A3"/>
    <w:rsid w:val="008E5938"/>
    <w:rsid w:val="008E6109"/>
    <w:rsid w:val="008E6A39"/>
    <w:rsid w:val="008E76BB"/>
    <w:rsid w:val="008F1312"/>
    <w:rsid w:val="008F1764"/>
    <w:rsid w:val="008F1E3D"/>
    <w:rsid w:val="008F235C"/>
    <w:rsid w:val="008F290B"/>
    <w:rsid w:val="008F2F11"/>
    <w:rsid w:val="008F3369"/>
    <w:rsid w:val="008F33A6"/>
    <w:rsid w:val="008F35EC"/>
    <w:rsid w:val="008F4A31"/>
    <w:rsid w:val="008F4FE8"/>
    <w:rsid w:val="008F4FED"/>
    <w:rsid w:val="008F583A"/>
    <w:rsid w:val="008F5D5A"/>
    <w:rsid w:val="008F6032"/>
    <w:rsid w:val="008F6200"/>
    <w:rsid w:val="008F62F8"/>
    <w:rsid w:val="008F6893"/>
    <w:rsid w:val="008F70CC"/>
    <w:rsid w:val="008F7292"/>
    <w:rsid w:val="008F76C0"/>
    <w:rsid w:val="009000F2"/>
    <w:rsid w:val="0090079D"/>
    <w:rsid w:val="0090086A"/>
    <w:rsid w:val="00900D2C"/>
    <w:rsid w:val="00901411"/>
    <w:rsid w:val="00901807"/>
    <w:rsid w:val="00901BF9"/>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4F6"/>
    <w:rsid w:val="00906EA2"/>
    <w:rsid w:val="00907278"/>
    <w:rsid w:val="00910041"/>
    <w:rsid w:val="0091112B"/>
    <w:rsid w:val="00911D61"/>
    <w:rsid w:val="00912349"/>
    <w:rsid w:val="00912850"/>
    <w:rsid w:val="009128B8"/>
    <w:rsid w:val="00912BCD"/>
    <w:rsid w:val="00912CAF"/>
    <w:rsid w:val="00913E1B"/>
    <w:rsid w:val="0091472C"/>
    <w:rsid w:val="00914DC9"/>
    <w:rsid w:val="00915351"/>
    <w:rsid w:val="00915679"/>
    <w:rsid w:val="009159C2"/>
    <w:rsid w:val="0091627F"/>
    <w:rsid w:val="00916E45"/>
    <w:rsid w:val="0092077A"/>
    <w:rsid w:val="00920DC0"/>
    <w:rsid w:val="00920E2F"/>
    <w:rsid w:val="00921419"/>
    <w:rsid w:val="009219F3"/>
    <w:rsid w:val="009221CB"/>
    <w:rsid w:val="00922320"/>
    <w:rsid w:val="00922ECC"/>
    <w:rsid w:val="00923643"/>
    <w:rsid w:val="0092371D"/>
    <w:rsid w:val="00923E1A"/>
    <w:rsid w:val="009245CC"/>
    <w:rsid w:val="0092490A"/>
    <w:rsid w:val="00925A3E"/>
    <w:rsid w:val="009261DB"/>
    <w:rsid w:val="00926939"/>
    <w:rsid w:val="00926E06"/>
    <w:rsid w:val="00926F4C"/>
    <w:rsid w:val="00927330"/>
    <w:rsid w:val="00927710"/>
    <w:rsid w:val="009279F9"/>
    <w:rsid w:val="00927B47"/>
    <w:rsid w:val="009307CA"/>
    <w:rsid w:val="0093115F"/>
    <w:rsid w:val="009312F9"/>
    <w:rsid w:val="00931445"/>
    <w:rsid w:val="00931AB8"/>
    <w:rsid w:val="00931C19"/>
    <w:rsid w:val="00931C63"/>
    <w:rsid w:val="00931D10"/>
    <w:rsid w:val="0093218A"/>
    <w:rsid w:val="0093386D"/>
    <w:rsid w:val="00934C8E"/>
    <w:rsid w:val="00935194"/>
    <w:rsid w:val="00936E71"/>
    <w:rsid w:val="00936EA5"/>
    <w:rsid w:val="00937114"/>
    <w:rsid w:val="009400A3"/>
    <w:rsid w:val="0094015D"/>
    <w:rsid w:val="00940461"/>
    <w:rsid w:val="00940916"/>
    <w:rsid w:val="0094129E"/>
    <w:rsid w:val="009412B7"/>
    <w:rsid w:val="00941B13"/>
    <w:rsid w:val="00941F94"/>
    <w:rsid w:val="0094215C"/>
    <w:rsid w:val="00942F8E"/>
    <w:rsid w:val="00943505"/>
    <w:rsid w:val="00943543"/>
    <w:rsid w:val="009441DB"/>
    <w:rsid w:val="00944834"/>
    <w:rsid w:val="00946128"/>
    <w:rsid w:val="0094633F"/>
    <w:rsid w:val="00946E09"/>
    <w:rsid w:val="00947BA5"/>
    <w:rsid w:val="00950805"/>
    <w:rsid w:val="009517E4"/>
    <w:rsid w:val="009517FD"/>
    <w:rsid w:val="009518D4"/>
    <w:rsid w:val="009520BC"/>
    <w:rsid w:val="009521D2"/>
    <w:rsid w:val="00952403"/>
    <w:rsid w:val="00952589"/>
    <w:rsid w:val="00952BD8"/>
    <w:rsid w:val="00953573"/>
    <w:rsid w:val="009537C0"/>
    <w:rsid w:val="009552B6"/>
    <w:rsid w:val="009557A9"/>
    <w:rsid w:val="00956647"/>
    <w:rsid w:val="00957380"/>
    <w:rsid w:val="00957409"/>
    <w:rsid w:val="00957499"/>
    <w:rsid w:val="00957AE1"/>
    <w:rsid w:val="00957ED2"/>
    <w:rsid w:val="009604AE"/>
    <w:rsid w:val="009609AF"/>
    <w:rsid w:val="00960C7F"/>
    <w:rsid w:val="00960DE4"/>
    <w:rsid w:val="00960E27"/>
    <w:rsid w:val="009610C7"/>
    <w:rsid w:val="00961164"/>
    <w:rsid w:val="00961867"/>
    <w:rsid w:val="00961A4F"/>
    <w:rsid w:val="009625B7"/>
    <w:rsid w:val="00962FB8"/>
    <w:rsid w:val="00963183"/>
    <w:rsid w:val="00963591"/>
    <w:rsid w:val="0096373F"/>
    <w:rsid w:val="00964007"/>
    <w:rsid w:val="00964283"/>
    <w:rsid w:val="009642A4"/>
    <w:rsid w:val="009643F4"/>
    <w:rsid w:val="009645A6"/>
    <w:rsid w:val="00964677"/>
    <w:rsid w:val="009648FE"/>
    <w:rsid w:val="009649B0"/>
    <w:rsid w:val="00964F5A"/>
    <w:rsid w:val="0096527F"/>
    <w:rsid w:val="009653ED"/>
    <w:rsid w:val="00966957"/>
    <w:rsid w:val="00966A21"/>
    <w:rsid w:val="00966AD2"/>
    <w:rsid w:val="009673A2"/>
    <w:rsid w:val="00970A5C"/>
    <w:rsid w:val="00971415"/>
    <w:rsid w:val="009716D8"/>
    <w:rsid w:val="00971F54"/>
    <w:rsid w:val="00972057"/>
    <w:rsid w:val="0097227B"/>
    <w:rsid w:val="0097262E"/>
    <w:rsid w:val="0097293F"/>
    <w:rsid w:val="00973103"/>
    <w:rsid w:val="0097337B"/>
    <w:rsid w:val="0097340F"/>
    <w:rsid w:val="009736EF"/>
    <w:rsid w:val="00974022"/>
    <w:rsid w:val="009743E8"/>
    <w:rsid w:val="009745D8"/>
    <w:rsid w:val="009748EA"/>
    <w:rsid w:val="00974F3B"/>
    <w:rsid w:val="0097552A"/>
    <w:rsid w:val="0097564A"/>
    <w:rsid w:val="00975974"/>
    <w:rsid w:val="00975D06"/>
    <w:rsid w:val="00975D63"/>
    <w:rsid w:val="00975DAE"/>
    <w:rsid w:val="00976BBE"/>
    <w:rsid w:val="0097774B"/>
    <w:rsid w:val="00980516"/>
    <w:rsid w:val="0098055B"/>
    <w:rsid w:val="00980B30"/>
    <w:rsid w:val="009810BE"/>
    <w:rsid w:val="00981601"/>
    <w:rsid w:val="009817BC"/>
    <w:rsid w:val="009819A7"/>
    <w:rsid w:val="0098220A"/>
    <w:rsid w:val="00982240"/>
    <w:rsid w:val="0098285E"/>
    <w:rsid w:val="00982E75"/>
    <w:rsid w:val="00983337"/>
    <w:rsid w:val="009836AA"/>
    <w:rsid w:val="0098450E"/>
    <w:rsid w:val="009846BF"/>
    <w:rsid w:val="00984FCA"/>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3135"/>
    <w:rsid w:val="00993AC7"/>
    <w:rsid w:val="00993BAD"/>
    <w:rsid w:val="00993E49"/>
    <w:rsid w:val="00994120"/>
    <w:rsid w:val="009942F5"/>
    <w:rsid w:val="00994568"/>
    <w:rsid w:val="00994602"/>
    <w:rsid w:val="00995B01"/>
    <w:rsid w:val="00995C43"/>
    <w:rsid w:val="00996055"/>
    <w:rsid w:val="00996EF4"/>
    <w:rsid w:val="00997044"/>
    <w:rsid w:val="00997BC9"/>
    <w:rsid w:val="009A07FD"/>
    <w:rsid w:val="009A113D"/>
    <w:rsid w:val="009A1ECA"/>
    <w:rsid w:val="009A2671"/>
    <w:rsid w:val="009A2BE9"/>
    <w:rsid w:val="009A2BF3"/>
    <w:rsid w:val="009A3688"/>
    <w:rsid w:val="009A3713"/>
    <w:rsid w:val="009A3C3E"/>
    <w:rsid w:val="009A4153"/>
    <w:rsid w:val="009A4C2C"/>
    <w:rsid w:val="009A4CAB"/>
    <w:rsid w:val="009A571E"/>
    <w:rsid w:val="009A59B3"/>
    <w:rsid w:val="009A5C28"/>
    <w:rsid w:val="009A5FAE"/>
    <w:rsid w:val="009A67DA"/>
    <w:rsid w:val="009A6B3A"/>
    <w:rsid w:val="009A70A3"/>
    <w:rsid w:val="009A7E7C"/>
    <w:rsid w:val="009B00E9"/>
    <w:rsid w:val="009B036C"/>
    <w:rsid w:val="009B05D2"/>
    <w:rsid w:val="009B152B"/>
    <w:rsid w:val="009B2731"/>
    <w:rsid w:val="009B2AFB"/>
    <w:rsid w:val="009B2DCF"/>
    <w:rsid w:val="009B312A"/>
    <w:rsid w:val="009B31B6"/>
    <w:rsid w:val="009B39D8"/>
    <w:rsid w:val="009B3D38"/>
    <w:rsid w:val="009B4368"/>
    <w:rsid w:val="009B4A6E"/>
    <w:rsid w:val="009B4D4C"/>
    <w:rsid w:val="009B63AE"/>
    <w:rsid w:val="009B66F5"/>
    <w:rsid w:val="009B7505"/>
    <w:rsid w:val="009C0020"/>
    <w:rsid w:val="009C03F7"/>
    <w:rsid w:val="009C0CE9"/>
    <w:rsid w:val="009C1029"/>
    <w:rsid w:val="009C10DA"/>
    <w:rsid w:val="009C19FC"/>
    <w:rsid w:val="009C27F7"/>
    <w:rsid w:val="009C354B"/>
    <w:rsid w:val="009C3BC4"/>
    <w:rsid w:val="009C3C93"/>
    <w:rsid w:val="009C3E97"/>
    <w:rsid w:val="009C4017"/>
    <w:rsid w:val="009C424E"/>
    <w:rsid w:val="009C4708"/>
    <w:rsid w:val="009C4870"/>
    <w:rsid w:val="009C4904"/>
    <w:rsid w:val="009C4C4E"/>
    <w:rsid w:val="009C4D37"/>
    <w:rsid w:val="009C55D5"/>
    <w:rsid w:val="009C574C"/>
    <w:rsid w:val="009C5753"/>
    <w:rsid w:val="009C5E42"/>
    <w:rsid w:val="009C5F35"/>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082"/>
    <w:rsid w:val="009D298F"/>
    <w:rsid w:val="009D29B9"/>
    <w:rsid w:val="009D2F9C"/>
    <w:rsid w:val="009D4207"/>
    <w:rsid w:val="009D4DDC"/>
    <w:rsid w:val="009D4DED"/>
    <w:rsid w:val="009D4E4A"/>
    <w:rsid w:val="009D5130"/>
    <w:rsid w:val="009D53D1"/>
    <w:rsid w:val="009D53FB"/>
    <w:rsid w:val="009D56A4"/>
    <w:rsid w:val="009D5FA0"/>
    <w:rsid w:val="009D6081"/>
    <w:rsid w:val="009D678C"/>
    <w:rsid w:val="009D6B8D"/>
    <w:rsid w:val="009D6B9A"/>
    <w:rsid w:val="009D6D30"/>
    <w:rsid w:val="009D7523"/>
    <w:rsid w:val="009D76B5"/>
    <w:rsid w:val="009D7AF1"/>
    <w:rsid w:val="009D7B88"/>
    <w:rsid w:val="009D7BC7"/>
    <w:rsid w:val="009D7FAC"/>
    <w:rsid w:val="009E0109"/>
    <w:rsid w:val="009E0342"/>
    <w:rsid w:val="009E098B"/>
    <w:rsid w:val="009E09AB"/>
    <w:rsid w:val="009E0D7D"/>
    <w:rsid w:val="009E0DAF"/>
    <w:rsid w:val="009E108C"/>
    <w:rsid w:val="009E19BB"/>
    <w:rsid w:val="009E1C47"/>
    <w:rsid w:val="009E2A08"/>
    <w:rsid w:val="009E38D1"/>
    <w:rsid w:val="009E3DF1"/>
    <w:rsid w:val="009E441F"/>
    <w:rsid w:val="009E458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FC1"/>
    <w:rsid w:val="009F4550"/>
    <w:rsid w:val="009F4AED"/>
    <w:rsid w:val="009F56C0"/>
    <w:rsid w:val="009F5C76"/>
    <w:rsid w:val="009F7317"/>
    <w:rsid w:val="009F76A9"/>
    <w:rsid w:val="00A000C5"/>
    <w:rsid w:val="00A007B4"/>
    <w:rsid w:val="00A00930"/>
    <w:rsid w:val="00A00CA0"/>
    <w:rsid w:val="00A00E00"/>
    <w:rsid w:val="00A01221"/>
    <w:rsid w:val="00A012A8"/>
    <w:rsid w:val="00A012F1"/>
    <w:rsid w:val="00A016FF"/>
    <w:rsid w:val="00A01886"/>
    <w:rsid w:val="00A01E4E"/>
    <w:rsid w:val="00A0207F"/>
    <w:rsid w:val="00A021AF"/>
    <w:rsid w:val="00A02689"/>
    <w:rsid w:val="00A027B1"/>
    <w:rsid w:val="00A0307A"/>
    <w:rsid w:val="00A03A7C"/>
    <w:rsid w:val="00A044AA"/>
    <w:rsid w:val="00A046B7"/>
    <w:rsid w:val="00A04D5E"/>
    <w:rsid w:val="00A0618C"/>
    <w:rsid w:val="00A06275"/>
    <w:rsid w:val="00A0700C"/>
    <w:rsid w:val="00A07FCF"/>
    <w:rsid w:val="00A102F8"/>
    <w:rsid w:val="00A107C0"/>
    <w:rsid w:val="00A10A20"/>
    <w:rsid w:val="00A117D5"/>
    <w:rsid w:val="00A11836"/>
    <w:rsid w:val="00A11C11"/>
    <w:rsid w:val="00A11DB3"/>
    <w:rsid w:val="00A12720"/>
    <w:rsid w:val="00A12ED1"/>
    <w:rsid w:val="00A13121"/>
    <w:rsid w:val="00A131F5"/>
    <w:rsid w:val="00A133C1"/>
    <w:rsid w:val="00A13414"/>
    <w:rsid w:val="00A13675"/>
    <w:rsid w:val="00A138B7"/>
    <w:rsid w:val="00A13DC4"/>
    <w:rsid w:val="00A13F2D"/>
    <w:rsid w:val="00A14153"/>
    <w:rsid w:val="00A148A0"/>
    <w:rsid w:val="00A14AA8"/>
    <w:rsid w:val="00A14F81"/>
    <w:rsid w:val="00A1535F"/>
    <w:rsid w:val="00A15CB1"/>
    <w:rsid w:val="00A15DCC"/>
    <w:rsid w:val="00A15E7D"/>
    <w:rsid w:val="00A15E84"/>
    <w:rsid w:val="00A16021"/>
    <w:rsid w:val="00A165D7"/>
    <w:rsid w:val="00A16961"/>
    <w:rsid w:val="00A175E3"/>
    <w:rsid w:val="00A176DD"/>
    <w:rsid w:val="00A21838"/>
    <w:rsid w:val="00A22C3E"/>
    <w:rsid w:val="00A22C4D"/>
    <w:rsid w:val="00A2334E"/>
    <w:rsid w:val="00A23442"/>
    <w:rsid w:val="00A249D2"/>
    <w:rsid w:val="00A25375"/>
    <w:rsid w:val="00A254AB"/>
    <w:rsid w:val="00A259F2"/>
    <w:rsid w:val="00A25F15"/>
    <w:rsid w:val="00A266CC"/>
    <w:rsid w:val="00A266E8"/>
    <w:rsid w:val="00A26DB4"/>
    <w:rsid w:val="00A2737F"/>
    <w:rsid w:val="00A27425"/>
    <w:rsid w:val="00A300D0"/>
    <w:rsid w:val="00A3023E"/>
    <w:rsid w:val="00A305C5"/>
    <w:rsid w:val="00A30919"/>
    <w:rsid w:val="00A31B08"/>
    <w:rsid w:val="00A31F05"/>
    <w:rsid w:val="00A31FD2"/>
    <w:rsid w:val="00A32CE8"/>
    <w:rsid w:val="00A3404D"/>
    <w:rsid w:val="00A341AB"/>
    <w:rsid w:val="00A34290"/>
    <w:rsid w:val="00A353A1"/>
    <w:rsid w:val="00A3547B"/>
    <w:rsid w:val="00A355F9"/>
    <w:rsid w:val="00A357D3"/>
    <w:rsid w:val="00A35AA9"/>
    <w:rsid w:val="00A35F3C"/>
    <w:rsid w:val="00A36201"/>
    <w:rsid w:val="00A365C8"/>
    <w:rsid w:val="00A36CF6"/>
    <w:rsid w:val="00A37309"/>
    <w:rsid w:val="00A37329"/>
    <w:rsid w:val="00A37558"/>
    <w:rsid w:val="00A3786A"/>
    <w:rsid w:val="00A4008C"/>
    <w:rsid w:val="00A402A8"/>
    <w:rsid w:val="00A40685"/>
    <w:rsid w:val="00A40E2F"/>
    <w:rsid w:val="00A41819"/>
    <w:rsid w:val="00A41C9A"/>
    <w:rsid w:val="00A41D73"/>
    <w:rsid w:val="00A42406"/>
    <w:rsid w:val="00A43173"/>
    <w:rsid w:val="00A433E8"/>
    <w:rsid w:val="00A43A1D"/>
    <w:rsid w:val="00A43AB0"/>
    <w:rsid w:val="00A44854"/>
    <w:rsid w:val="00A44A45"/>
    <w:rsid w:val="00A45ECA"/>
    <w:rsid w:val="00A45F2C"/>
    <w:rsid w:val="00A4665D"/>
    <w:rsid w:val="00A46859"/>
    <w:rsid w:val="00A46D39"/>
    <w:rsid w:val="00A46DA6"/>
    <w:rsid w:val="00A47019"/>
    <w:rsid w:val="00A472B8"/>
    <w:rsid w:val="00A5004A"/>
    <w:rsid w:val="00A5017C"/>
    <w:rsid w:val="00A502D6"/>
    <w:rsid w:val="00A502F5"/>
    <w:rsid w:val="00A504F4"/>
    <w:rsid w:val="00A507C4"/>
    <w:rsid w:val="00A508AA"/>
    <w:rsid w:val="00A50D24"/>
    <w:rsid w:val="00A50EE7"/>
    <w:rsid w:val="00A526CE"/>
    <w:rsid w:val="00A52B9F"/>
    <w:rsid w:val="00A52D19"/>
    <w:rsid w:val="00A5325E"/>
    <w:rsid w:val="00A5338D"/>
    <w:rsid w:val="00A535C4"/>
    <w:rsid w:val="00A54909"/>
    <w:rsid w:val="00A54DC0"/>
    <w:rsid w:val="00A550C9"/>
    <w:rsid w:val="00A55228"/>
    <w:rsid w:val="00A55410"/>
    <w:rsid w:val="00A55A04"/>
    <w:rsid w:val="00A55F4B"/>
    <w:rsid w:val="00A564DE"/>
    <w:rsid w:val="00A57500"/>
    <w:rsid w:val="00A57CDE"/>
    <w:rsid w:val="00A6054E"/>
    <w:rsid w:val="00A60799"/>
    <w:rsid w:val="00A6170B"/>
    <w:rsid w:val="00A61991"/>
    <w:rsid w:val="00A619E9"/>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2FB"/>
    <w:rsid w:val="00A70590"/>
    <w:rsid w:val="00A7062E"/>
    <w:rsid w:val="00A70834"/>
    <w:rsid w:val="00A71079"/>
    <w:rsid w:val="00A71542"/>
    <w:rsid w:val="00A7171F"/>
    <w:rsid w:val="00A71FA0"/>
    <w:rsid w:val="00A71FBD"/>
    <w:rsid w:val="00A72727"/>
    <w:rsid w:val="00A727D8"/>
    <w:rsid w:val="00A72C1A"/>
    <w:rsid w:val="00A732FB"/>
    <w:rsid w:val="00A7463E"/>
    <w:rsid w:val="00A753F8"/>
    <w:rsid w:val="00A758E2"/>
    <w:rsid w:val="00A765B1"/>
    <w:rsid w:val="00A772F2"/>
    <w:rsid w:val="00A77828"/>
    <w:rsid w:val="00A77BAA"/>
    <w:rsid w:val="00A77DEE"/>
    <w:rsid w:val="00A800F9"/>
    <w:rsid w:val="00A803A6"/>
    <w:rsid w:val="00A8073D"/>
    <w:rsid w:val="00A80B0E"/>
    <w:rsid w:val="00A80D02"/>
    <w:rsid w:val="00A812DD"/>
    <w:rsid w:val="00A815FB"/>
    <w:rsid w:val="00A81AEB"/>
    <w:rsid w:val="00A82D32"/>
    <w:rsid w:val="00A82EAE"/>
    <w:rsid w:val="00A82FC7"/>
    <w:rsid w:val="00A8323C"/>
    <w:rsid w:val="00A847F9"/>
    <w:rsid w:val="00A84F27"/>
    <w:rsid w:val="00A8519C"/>
    <w:rsid w:val="00A855EE"/>
    <w:rsid w:val="00A856E1"/>
    <w:rsid w:val="00A8597A"/>
    <w:rsid w:val="00A85A6E"/>
    <w:rsid w:val="00A85B87"/>
    <w:rsid w:val="00A85CE4"/>
    <w:rsid w:val="00A85F83"/>
    <w:rsid w:val="00A86019"/>
    <w:rsid w:val="00A86EED"/>
    <w:rsid w:val="00A8733A"/>
    <w:rsid w:val="00A87429"/>
    <w:rsid w:val="00A90434"/>
    <w:rsid w:val="00A90629"/>
    <w:rsid w:val="00A90766"/>
    <w:rsid w:val="00A90C4D"/>
    <w:rsid w:val="00A91340"/>
    <w:rsid w:val="00A9151F"/>
    <w:rsid w:val="00A918FA"/>
    <w:rsid w:val="00A9196B"/>
    <w:rsid w:val="00A91BB5"/>
    <w:rsid w:val="00A91BEE"/>
    <w:rsid w:val="00A91D4B"/>
    <w:rsid w:val="00A920B2"/>
    <w:rsid w:val="00A92A96"/>
    <w:rsid w:val="00A92AF0"/>
    <w:rsid w:val="00A933FE"/>
    <w:rsid w:val="00A937D5"/>
    <w:rsid w:val="00A93C70"/>
    <w:rsid w:val="00A94A32"/>
    <w:rsid w:val="00A94AC5"/>
    <w:rsid w:val="00A94AFC"/>
    <w:rsid w:val="00A94BF5"/>
    <w:rsid w:val="00A9686A"/>
    <w:rsid w:val="00A968BF"/>
    <w:rsid w:val="00A96B4A"/>
    <w:rsid w:val="00A97BDA"/>
    <w:rsid w:val="00AA043A"/>
    <w:rsid w:val="00AA0779"/>
    <w:rsid w:val="00AA08F3"/>
    <w:rsid w:val="00AA0A7E"/>
    <w:rsid w:val="00AA0F23"/>
    <w:rsid w:val="00AA1067"/>
    <w:rsid w:val="00AA1163"/>
    <w:rsid w:val="00AA1732"/>
    <w:rsid w:val="00AA1DA8"/>
    <w:rsid w:val="00AA218C"/>
    <w:rsid w:val="00AA222C"/>
    <w:rsid w:val="00AA2264"/>
    <w:rsid w:val="00AA238E"/>
    <w:rsid w:val="00AA2483"/>
    <w:rsid w:val="00AA253B"/>
    <w:rsid w:val="00AA26C8"/>
    <w:rsid w:val="00AA29F8"/>
    <w:rsid w:val="00AA2EB4"/>
    <w:rsid w:val="00AA31AC"/>
    <w:rsid w:val="00AA3243"/>
    <w:rsid w:val="00AA3252"/>
    <w:rsid w:val="00AA388F"/>
    <w:rsid w:val="00AA395A"/>
    <w:rsid w:val="00AA3C4C"/>
    <w:rsid w:val="00AA408E"/>
    <w:rsid w:val="00AA4DA9"/>
    <w:rsid w:val="00AA4F6D"/>
    <w:rsid w:val="00AA50CE"/>
    <w:rsid w:val="00AA536B"/>
    <w:rsid w:val="00AA55E5"/>
    <w:rsid w:val="00AA57C9"/>
    <w:rsid w:val="00AA5A5C"/>
    <w:rsid w:val="00AA5A6F"/>
    <w:rsid w:val="00AA634D"/>
    <w:rsid w:val="00AA6F6C"/>
    <w:rsid w:val="00AA721D"/>
    <w:rsid w:val="00AA7519"/>
    <w:rsid w:val="00AA759D"/>
    <w:rsid w:val="00AA790A"/>
    <w:rsid w:val="00AB02EA"/>
    <w:rsid w:val="00AB05EE"/>
    <w:rsid w:val="00AB110C"/>
    <w:rsid w:val="00AB227A"/>
    <w:rsid w:val="00AB22BF"/>
    <w:rsid w:val="00AB256E"/>
    <w:rsid w:val="00AB3466"/>
    <w:rsid w:val="00AB38B2"/>
    <w:rsid w:val="00AB39EF"/>
    <w:rsid w:val="00AB3BBB"/>
    <w:rsid w:val="00AB408C"/>
    <w:rsid w:val="00AB43AF"/>
    <w:rsid w:val="00AB4E41"/>
    <w:rsid w:val="00AB5EB1"/>
    <w:rsid w:val="00AB6003"/>
    <w:rsid w:val="00AB6718"/>
    <w:rsid w:val="00AB6B4E"/>
    <w:rsid w:val="00AB7396"/>
    <w:rsid w:val="00AB73BE"/>
    <w:rsid w:val="00AB759A"/>
    <w:rsid w:val="00AB7B06"/>
    <w:rsid w:val="00AB7EAA"/>
    <w:rsid w:val="00AC0432"/>
    <w:rsid w:val="00AC0770"/>
    <w:rsid w:val="00AC1683"/>
    <w:rsid w:val="00AC1BB9"/>
    <w:rsid w:val="00AC1D82"/>
    <w:rsid w:val="00AC2D5F"/>
    <w:rsid w:val="00AC320F"/>
    <w:rsid w:val="00AC3B5D"/>
    <w:rsid w:val="00AC4094"/>
    <w:rsid w:val="00AC42B6"/>
    <w:rsid w:val="00AC4AB7"/>
    <w:rsid w:val="00AC4B91"/>
    <w:rsid w:val="00AC51E0"/>
    <w:rsid w:val="00AC6D24"/>
    <w:rsid w:val="00AC6E18"/>
    <w:rsid w:val="00AC7F64"/>
    <w:rsid w:val="00AD1065"/>
    <w:rsid w:val="00AD1098"/>
    <w:rsid w:val="00AD159E"/>
    <w:rsid w:val="00AD170C"/>
    <w:rsid w:val="00AD2AB1"/>
    <w:rsid w:val="00AD3132"/>
    <w:rsid w:val="00AD3CEB"/>
    <w:rsid w:val="00AD3DA6"/>
    <w:rsid w:val="00AD3F3C"/>
    <w:rsid w:val="00AD43B7"/>
    <w:rsid w:val="00AD447E"/>
    <w:rsid w:val="00AD4B2F"/>
    <w:rsid w:val="00AD4C13"/>
    <w:rsid w:val="00AD5F0A"/>
    <w:rsid w:val="00AD6A5B"/>
    <w:rsid w:val="00AD6B4F"/>
    <w:rsid w:val="00AD6D19"/>
    <w:rsid w:val="00AD73D4"/>
    <w:rsid w:val="00AD7812"/>
    <w:rsid w:val="00AD7C42"/>
    <w:rsid w:val="00AD7CFA"/>
    <w:rsid w:val="00AE06B0"/>
    <w:rsid w:val="00AE0BD6"/>
    <w:rsid w:val="00AE11C1"/>
    <w:rsid w:val="00AE163D"/>
    <w:rsid w:val="00AE1A42"/>
    <w:rsid w:val="00AE1C5C"/>
    <w:rsid w:val="00AE2814"/>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2D4"/>
    <w:rsid w:val="00AF4407"/>
    <w:rsid w:val="00AF4CEE"/>
    <w:rsid w:val="00AF4F4A"/>
    <w:rsid w:val="00AF584C"/>
    <w:rsid w:val="00AF5D84"/>
    <w:rsid w:val="00AF6476"/>
    <w:rsid w:val="00AF669D"/>
    <w:rsid w:val="00AF672C"/>
    <w:rsid w:val="00AF673E"/>
    <w:rsid w:val="00AF6ABE"/>
    <w:rsid w:val="00AF7389"/>
    <w:rsid w:val="00AF79DF"/>
    <w:rsid w:val="00AF7C37"/>
    <w:rsid w:val="00B00378"/>
    <w:rsid w:val="00B007F1"/>
    <w:rsid w:val="00B00A80"/>
    <w:rsid w:val="00B00D91"/>
    <w:rsid w:val="00B00E84"/>
    <w:rsid w:val="00B011FB"/>
    <w:rsid w:val="00B01DD9"/>
    <w:rsid w:val="00B01F0E"/>
    <w:rsid w:val="00B038F1"/>
    <w:rsid w:val="00B03C1B"/>
    <w:rsid w:val="00B04232"/>
    <w:rsid w:val="00B04678"/>
    <w:rsid w:val="00B047C9"/>
    <w:rsid w:val="00B04A04"/>
    <w:rsid w:val="00B04B78"/>
    <w:rsid w:val="00B04C37"/>
    <w:rsid w:val="00B04F00"/>
    <w:rsid w:val="00B05BA6"/>
    <w:rsid w:val="00B066FE"/>
    <w:rsid w:val="00B06912"/>
    <w:rsid w:val="00B06E19"/>
    <w:rsid w:val="00B07316"/>
    <w:rsid w:val="00B07F74"/>
    <w:rsid w:val="00B10618"/>
    <w:rsid w:val="00B10B04"/>
    <w:rsid w:val="00B10CC6"/>
    <w:rsid w:val="00B10FEA"/>
    <w:rsid w:val="00B11932"/>
    <w:rsid w:val="00B11A61"/>
    <w:rsid w:val="00B12082"/>
    <w:rsid w:val="00B12648"/>
    <w:rsid w:val="00B1270C"/>
    <w:rsid w:val="00B12710"/>
    <w:rsid w:val="00B130B3"/>
    <w:rsid w:val="00B13389"/>
    <w:rsid w:val="00B1364C"/>
    <w:rsid w:val="00B137C9"/>
    <w:rsid w:val="00B13EDB"/>
    <w:rsid w:val="00B141A5"/>
    <w:rsid w:val="00B142B6"/>
    <w:rsid w:val="00B148A3"/>
    <w:rsid w:val="00B14F47"/>
    <w:rsid w:val="00B15282"/>
    <w:rsid w:val="00B15286"/>
    <w:rsid w:val="00B1539F"/>
    <w:rsid w:val="00B1550D"/>
    <w:rsid w:val="00B15A0E"/>
    <w:rsid w:val="00B15F6C"/>
    <w:rsid w:val="00B163E8"/>
    <w:rsid w:val="00B1767E"/>
    <w:rsid w:val="00B2044D"/>
    <w:rsid w:val="00B20760"/>
    <w:rsid w:val="00B20E73"/>
    <w:rsid w:val="00B2125C"/>
    <w:rsid w:val="00B21676"/>
    <w:rsid w:val="00B219E1"/>
    <w:rsid w:val="00B21ECF"/>
    <w:rsid w:val="00B22150"/>
    <w:rsid w:val="00B22466"/>
    <w:rsid w:val="00B225E1"/>
    <w:rsid w:val="00B226DE"/>
    <w:rsid w:val="00B22FB5"/>
    <w:rsid w:val="00B2358C"/>
    <w:rsid w:val="00B23FB7"/>
    <w:rsid w:val="00B241D5"/>
    <w:rsid w:val="00B24BE9"/>
    <w:rsid w:val="00B2551D"/>
    <w:rsid w:val="00B25F8C"/>
    <w:rsid w:val="00B260BE"/>
    <w:rsid w:val="00B2658F"/>
    <w:rsid w:val="00B26677"/>
    <w:rsid w:val="00B26A96"/>
    <w:rsid w:val="00B274E3"/>
    <w:rsid w:val="00B2765C"/>
    <w:rsid w:val="00B27C4B"/>
    <w:rsid w:val="00B30563"/>
    <w:rsid w:val="00B3069E"/>
    <w:rsid w:val="00B30A76"/>
    <w:rsid w:val="00B30FC6"/>
    <w:rsid w:val="00B31158"/>
    <w:rsid w:val="00B31246"/>
    <w:rsid w:val="00B31F6E"/>
    <w:rsid w:val="00B32295"/>
    <w:rsid w:val="00B329E1"/>
    <w:rsid w:val="00B32DEF"/>
    <w:rsid w:val="00B33788"/>
    <w:rsid w:val="00B33AB5"/>
    <w:rsid w:val="00B3412E"/>
    <w:rsid w:val="00B343E0"/>
    <w:rsid w:val="00B35B6D"/>
    <w:rsid w:val="00B35D53"/>
    <w:rsid w:val="00B365B6"/>
    <w:rsid w:val="00B367C4"/>
    <w:rsid w:val="00B36D3E"/>
    <w:rsid w:val="00B37B8E"/>
    <w:rsid w:val="00B401D6"/>
    <w:rsid w:val="00B40222"/>
    <w:rsid w:val="00B404C3"/>
    <w:rsid w:val="00B40C8E"/>
    <w:rsid w:val="00B41125"/>
    <w:rsid w:val="00B41A04"/>
    <w:rsid w:val="00B42538"/>
    <w:rsid w:val="00B42743"/>
    <w:rsid w:val="00B430E9"/>
    <w:rsid w:val="00B4311F"/>
    <w:rsid w:val="00B431AE"/>
    <w:rsid w:val="00B44288"/>
    <w:rsid w:val="00B44603"/>
    <w:rsid w:val="00B448BF"/>
    <w:rsid w:val="00B45A59"/>
    <w:rsid w:val="00B45F9F"/>
    <w:rsid w:val="00B4627C"/>
    <w:rsid w:val="00B4641F"/>
    <w:rsid w:val="00B46793"/>
    <w:rsid w:val="00B46953"/>
    <w:rsid w:val="00B46B9F"/>
    <w:rsid w:val="00B4704F"/>
    <w:rsid w:val="00B47455"/>
    <w:rsid w:val="00B47979"/>
    <w:rsid w:val="00B47A59"/>
    <w:rsid w:val="00B47ECD"/>
    <w:rsid w:val="00B47FF3"/>
    <w:rsid w:val="00B503D6"/>
    <w:rsid w:val="00B509E1"/>
    <w:rsid w:val="00B50D2D"/>
    <w:rsid w:val="00B51520"/>
    <w:rsid w:val="00B515C3"/>
    <w:rsid w:val="00B517C2"/>
    <w:rsid w:val="00B518CE"/>
    <w:rsid w:val="00B51F56"/>
    <w:rsid w:val="00B52234"/>
    <w:rsid w:val="00B53623"/>
    <w:rsid w:val="00B53D1D"/>
    <w:rsid w:val="00B53E98"/>
    <w:rsid w:val="00B53F9B"/>
    <w:rsid w:val="00B5417F"/>
    <w:rsid w:val="00B54B19"/>
    <w:rsid w:val="00B55F64"/>
    <w:rsid w:val="00B56ECA"/>
    <w:rsid w:val="00B57093"/>
    <w:rsid w:val="00B57B5D"/>
    <w:rsid w:val="00B601B2"/>
    <w:rsid w:val="00B60613"/>
    <w:rsid w:val="00B60B8F"/>
    <w:rsid w:val="00B61AEC"/>
    <w:rsid w:val="00B6244C"/>
    <w:rsid w:val="00B625B1"/>
    <w:rsid w:val="00B62A2F"/>
    <w:rsid w:val="00B62B7B"/>
    <w:rsid w:val="00B62F0A"/>
    <w:rsid w:val="00B63484"/>
    <w:rsid w:val="00B634B7"/>
    <w:rsid w:val="00B634F1"/>
    <w:rsid w:val="00B637EF"/>
    <w:rsid w:val="00B63EF6"/>
    <w:rsid w:val="00B6440A"/>
    <w:rsid w:val="00B65788"/>
    <w:rsid w:val="00B65844"/>
    <w:rsid w:val="00B66054"/>
    <w:rsid w:val="00B6677F"/>
    <w:rsid w:val="00B667A3"/>
    <w:rsid w:val="00B66C7A"/>
    <w:rsid w:val="00B672EA"/>
    <w:rsid w:val="00B6747B"/>
    <w:rsid w:val="00B70200"/>
    <w:rsid w:val="00B702D7"/>
    <w:rsid w:val="00B70389"/>
    <w:rsid w:val="00B70E01"/>
    <w:rsid w:val="00B718C5"/>
    <w:rsid w:val="00B71CCD"/>
    <w:rsid w:val="00B72CF0"/>
    <w:rsid w:val="00B7380E"/>
    <w:rsid w:val="00B740F6"/>
    <w:rsid w:val="00B74615"/>
    <w:rsid w:val="00B74789"/>
    <w:rsid w:val="00B755B6"/>
    <w:rsid w:val="00B75884"/>
    <w:rsid w:val="00B75977"/>
    <w:rsid w:val="00B75A48"/>
    <w:rsid w:val="00B75CC0"/>
    <w:rsid w:val="00B76021"/>
    <w:rsid w:val="00B7659D"/>
    <w:rsid w:val="00B76FCD"/>
    <w:rsid w:val="00B7764D"/>
    <w:rsid w:val="00B804F8"/>
    <w:rsid w:val="00B8095A"/>
    <w:rsid w:val="00B80E1F"/>
    <w:rsid w:val="00B80F65"/>
    <w:rsid w:val="00B81274"/>
    <w:rsid w:val="00B815D3"/>
    <w:rsid w:val="00B816A9"/>
    <w:rsid w:val="00B81742"/>
    <w:rsid w:val="00B817B5"/>
    <w:rsid w:val="00B823A6"/>
    <w:rsid w:val="00B83E76"/>
    <w:rsid w:val="00B83FA0"/>
    <w:rsid w:val="00B84156"/>
    <w:rsid w:val="00B846E6"/>
    <w:rsid w:val="00B8537B"/>
    <w:rsid w:val="00B85586"/>
    <w:rsid w:val="00B85B6E"/>
    <w:rsid w:val="00B86289"/>
    <w:rsid w:val="00B863B3"/>
    <w:rsid w:val="00B869D3"/>
    <w:rsid w:val="00B86CF8"/>
    <w:rsid w:val="00B86E44"/>
    <w:rsid w:val="00B87359"/>
    <w:rsid w:val="00B87446"/>
    <w:rsid w:val="00B87F1C"/>
    <w:rsid w:val="00B90BFD"/>
    <w:rsid w:val="00B90D8D"/>
    <w:rsid w:val="00B91263"/>
    <w:rsid w:val="00B91B61"/>
    <w:rsid w:val="00B93849"/>
    <w:rsid w:val="00B938BD"/>
    <w:rsid w:val="00B93CF3"/>
    <w:rsid w:val="00B9407F"/>
    <w:rsid w:val="00B944C4"/>
    <w:rsid w:val="00B944E9"/>
    <w:rsid w:val="00B945D7"/>
    <w:rsid w:val="00B94612"/>
    <w:rsid w:val="00B94896"/>
    <w:rsid w:val="00B94BDD"/>
    <w:rsid w:val="00B94CDD"/>
    <w:rsid w:val="00B94DA7"/>
    <w:rsid w:val="00B95163"/>
    <w:rsid w:val="00B954D0"/>
    <w:rsid w:val="00B96D60"/>
    <w:rsid w:val="00B96DD9"/>
    <w:rsid w:val="00B96EA6"/>
    <w:rsid w:val="00B97353"/>
    <w:rsid w:val="00B975EA"/>
    <w:rsid w:val="00B9789D"/>
    <w:rsid w:val="00B978EA"/>
    <w:rsid w:val="00B97A4C"/>
    <w:rsid w:val="00BA050E"/>
    <w:rsid w:val="00BA0A1C"/>
    <w:rsid w:val="00BA1289"/>
    <w:rsid w:val="00BA14B2"/>
    <w:rsid w:val="00BA15DC"/>
    <w:rsid w:val="00BA1E2F"/>
    <w:rsid w:val="00BA1EB8"/>
    <w:rsid w:val="00BA1F48"/>
    <w:rsid w:val="00BA23D6"/>
    <w:rsid w:val="00BA2C82"/>
    <w:rsid w:val="00BA3869"/>
    <w:rsid w:val="00BA4399"/>
    <w:rsid w:val="00BA4452"/>
    <w:rsid w:val="00BA4503"/>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0D5E"/>
    <w:rsid w:val="00BB0D8C"/>
    <w:rsid w:val="00BB1688"/>
    <w:rsid w:val="00BB1EFB"/>
    <w:rsid w:val="00BB269F"/>
    <w:rsid w:val="00BB27CC"/>
    <w:rsid w:val="00BB2ACE"/>
    <w:rsid w:val="00BB2E4E"/>
    <w:rsid w:val="00BB2E62"/>
    <w:rsid w:val="00BB36C9"/>
    <w:rsid w:val="00BB3A66"/>
    <w:rsid w:val="00BB3FD8"/>
    <w:rsid w:val="00BB40D1"/>
    <w:rsid w:val="00BB4FAC"/>
    <w:rsid w:val="00BB6188"/>
    <w:rsid w:val="00BB777D"/>
    <w:rsid w:val="00BB7EC0"/>
    <w:rsid w:val="00BB7F88"/>
    <w:rsid w:val="00BC0207"/>
    <w:rsid w:val="00BC089F"/>
    <w:rsid w:val="00BC0A0C"/>
    <w:rsid w:val="00BC0A5A"/>
    <w:rsid w:val="00BC0E64"/>
    <w:rsid w:val="00BC1F60"/>
    <w:rsid w:val="00BC25D1"/>
    <w:rsid w:val="00BC2DBD"/>
    <w:rsid w:val="00BC2F1A"/>
    <w:rsid w:val="00BC2FEB"/>
    <w:rsid w:val="00BC3BCB"/>
    <w:rsid w:val="00BC3CF1"/>
    <w:rsid w:val="00BC428A"/>
    <w:rsid w:val="00BC4885"/>
    <w:rsid w:val="00BC4C40"/>
    <w:rsid w:val="00BC5A29"/>
    <w:rsid w:val="00BC5AE3"/>
    <w:rsid w:val="00BC5BAD"/>
    <w:rsid w:val="00BC692A"/>
    <w:rsid w:val="00BC76C5"/>
    <w:rsid w:val="00BC7F94"/>
    <w:rsid w:val="00BD036E"/>
    <w:rsid w:val="00BD0B37"/>
    <w:rsid w:val="00BD0F07"/>
    <w:rsid w:val="00BD1039"/>
    <w:rsid w:val="00BD10B7"/>
    <w:rsid w:val="00BD138A"/>
    <w:rsid w:val="00BD164A"/>
    <w:rsid w:val="00BD1742"/>
    <w:rsid w:val="00BD1BD1"/>
    <w:rsid w:val="00BD1BDD"/>
    <w:rsid w:val="00BD1D7D"/>
    <w:rsid w:val="00BD1E27"/>
    <w:rsid w:val="00BD2B4D"/>
    <w:rsid w:val="00BD2F08"/>
    <w:rsid w:val="00BD2FB9"/>
    <w:rsid w:val="00BD31C2"/>
    <w:rsid w:val="00BD3683"/>
    <w:rsid w:val="00BD4310"/>
    <w:rsid w:val="00BD450A"/>
    <w:rsid w:val="00BD4717"/>
    <w:rsid w:val="00BD48EA"/>
    <w:rsid w:val="00BD4BA8"/>
    <w:rsid w:val="00BD52FD"/>
    <w:rsid w:val="00BD5624"/>
    <w:rsid w:val="00BD62E6"/>
    <w:rsid w:val="00BD6B0E"/>
    <w:rsid w:val="00BD734D"/>
    <w:rsid w:val="00BD749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17"/>
    <w:rsid w:val="00BE472D"/>
    <w:rsid w:val="00BE4C03"/>
    <w:rsid w:val="00BE4D64"/>
    <w:rsid w:val="00BE5B55"/>
    <w:rsid w:val="00BE6218"/>
    <w:rsid w:val="00BE774C"/>
    <w:rsid w:val="00BE7F4D"/>
    <w:rsid w:val="00BF01AC"/>
    <w:rsid w:val="00BF03C0"/>
    <w:rsid w:val="00BF0EBF"/>
    <w:rsid w:val="00BF1534"/>
    <w:rsid w:val="00BF2021"/>
    <w:rsid w:val="00BF21D4"/>
    <w:rsid w:val="00BF2CAB"/>
    <w:rsid w:val="00BF2DDC"/>
    <w:rsid w:val="00BF3118"/>
    <w:rsid w:val="00BF32DE"/>
    <w:rsid w:val="00BF3E4B"/>
    <w:rsid w:val="00BF4A15"/>
    <w:rsid w:val="00BF4B53"/>
    <w:rsid w:val="00BF4E0E"/>
    <w:rsid w:val="00BF4E27"/>
    <w:rsid w:val="00BF4F7C"/>
    <w:rsid w:val="00BF537B"/>
    <w:rsid w:val="00BF58DC"/>
    <w:rsid w:val="00BF5901"/>
    <w:rsid w:val="00BF626A"/>
    <w:rsid w:val="00BF6644"/>
    <w:rsid w:val="00BF688E"/>
    <w:rsid w:val="00BF6D77"/>
    <w:rsid w:val="00BF739A"/>
    <w:rsid w:val="00BF7EF5"/>
    <w:rsid w:val="00C00BF6"/>
    <w:rsid w:val="00C00D16"/>
    <w:rsid w:val="00C016EE"/>
    <w:rsid w:val="00C01C1C"/>
    <w:rsid w:val="00C0234A"/>
    <w:rsid w:val="00C0247B"/>
    <w:rsid w:val="00C0378E"/>
    <w:rsid w:val="00C04314"/>
    <w:rsid w:val="00C04BD0"/>
    <w:rsid w:val="00C05730"/>
    <w:rsid w:val="00C05AF4"/>
    <w:rsid w:val="00C05AFD"/>
    <w:rsid w:val="00C05DDE"/>
    <w:rsid w:val="00C063BB"/>
    <w:rsid w:val="00C0661C"/>
    <w:rsid w:val="00C0675F"/>
    <w:rsid w:val="00C0702A"/>
    <w:rsid w:val="00C0724C"/>
    <w:rsid w:val="00C07C11"/>
    <w:rsid w:val="00C07E10"/>
    <w:rsid w:val="00C10015"/>
    <w:rsid w:val="00C107B5"/>
    <w:rsid w:val="00C1110A"/>
    <w:rsid w:val="00C11689"/>
    <w:rsid w:val="00C12414"/>
    <w:rsid w:val="00C1256E"/>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8C4"/>
    <w:rsid w:val="00C20B6C"/>
    <w:rsid w:val="00C20B86"/>
    <w:rsid w:val="00C21145"/>
    <w:rsid w:val="00C215ED"/>
    <w:rsid w:val="00C22350"/>
    <w:rsid w:val="00C22FBD"/>
    <w:rsid w:val="00C23615"/>
    <w:rsid w:val="00C2397E"/>
    <w:rsid w:val="00C23A83"/>
    <w:rsid w:val="00C24381"/>
    <w:rsid w:val="00C24801"/>
    <w:rsid w:val="00C24C2E"/>
    <w:rsid w:val="00C24C7A"/>
    <w:rsid w:val="00C24FFB"/>
    <w:rsid w:val="00C25500"/>
    <w:rsid w:val="00C25A3D"/>
    <w:rsid w:val="00C25BD2"/>
    <w:rsid w:val="00C25CFF"/>
    <w:rsid w:val="00C25EA6"/>
    <w:rsid w:val="00C26164"/>
    <w:rsid w:val="00C261C1"/>
    <w:rsid w:val="00C26574"/>
    <w:rsid w:val="00C26DBF"/>
    <w:rsid w:val="00C27199"/>
    <w:rsid w:val="00C27204"/>
    <w:rsid w:val="00C276D4"/>
    <w:rsid w:val="00C27731"/>
    <w:rsid w:val="00C304E9"/>
    <w:rsid w:val="00C30B0B"/>
    <w:rsid w:val="00C30ED5"/>
    <w:rsid w:val="00C31320"/>
    <w:rsid w:val="00C316B4"/>
    <w:rsid w:val="00C328D3"/>
    <w:rsid w:val="00C332D4"/>
    <w:rsid w:val="00C33399"/>
    <w:rsid w:val="00C33A66"/>
    <w:rsid w:val="00C33E51"/>
    <w:rsid w:val="00C34C45"/>
    <w:rsid w:val="00C34C47"/>
    <w:rsid w:val="00C34FCE"/>
    <w:rsid w:val="00C35207"/>
    <w:rsid w:val="00C35411"/>
    <w:rsid w:val="00C35EED"/>
    <w:rsid w:val="00C3661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A9E"/>
    <w:rsid w:val="00C4602B"/>
    <w:rsid w:val="00C46564"/>
    <w:rsid w:val="00C466F3"/>
    <w:rsid w:val="00C46BFA"/>
    <w:rsid w:val="00C46DDF"/>
    <w:rsid w:val="00C500A1"/>
    <w:rsid w:val="00C50A02"/>
    <w:rsid w:val="00C51149"/>
    <w:rsid w:val="00C5117E"/>
    <w:rsid w:val="00C512D1"/>
    <w:rsid w:val="00C51856"/>
    <w:rsid w:val="00C51B04"/>
    <w:rsid w:val="00C51DB5"/>
    <w:rsid w:val="00C52576"/>
    <w:rsid w:val="00C53CE9"/>
    <w:rsid w:val="00C545C5"/>
    <w:rsid w:val="00C54FC1"/>
    <w:rsid w:val="00C5531B"/>
    <w:rsid w:val="00C55375"/>
    <w:rsid w:val="00C5570F"/>
    <w:rsid w:val="00C55F63"/>
    <w:rsid w:val="00C563C5"/>
    <w:rsid w:val="00C56C98"/>
    <w:rsid w:val="00C56DE1"/>
    <w:rsid w:val="00C56DEE"/>
    <w:rsid w:val="00C57120"/>
    <w:rsid w:val="00C571D5"/>
    <w:rsid w:val="00C57393"/>
    <w:rsid w:val="00C575D4"/>
    <w:rsid w:val="00C61223"/>
    <w:rsid w:val="00C61246"/>
    <w:rsid w:val="00C618A8"/>
    <w:rsid w:val="00C61A78"/>
    <w:rsid w:val="00C61CBD"/>
    <w:rsid w:val="00C62483"/>
    <w:rsid w:val="00C629F3"/>
    <w:rsid w:val="00C62B88"/>
    <w:rsid w:val="00C62CD3"/>
    <w:rsid w:val="00C634F9"/>
    <w:rsid w:val="00C63CDE"/>
    <w:rsid w:val="00C64147"/>
    <w:rsid w:val="00C643ED"/>
    <w:rsid w:val="00C64534"/>
    <w:rsid w:val="00C64D93"/>
    <w:rsid w:val="00C64F49"/>
    <w:rsid w:val="00C64F71"/>
    <w:rsid w:val="00C650E3"/>
    <w:rsid w:val="00C65200"/>
    <w:rsid w:val="00C6522D"/>
    <w:rsid w:val="00C65898"/>
    <w:rsid w:val="00C65BD3"/>
    <w:rsid w:val="00C664FB"/>
    <w:rsid w:val="00C665DE"/>
    <w:rsid w:val="00C66695"/>
    <w:rsid w:val="00C667C3"/>
    <w:rsid w:val="00C6728B"/>
    <w:rsid w:val="00C70718"/>
    <w:rsid w:val="00C70B25"/>
    <w:rsid w:val="00C70CC2"/>
    <w:rsid w:val="00C71528"/>
    <w:rsid w:val="00C717E4"/>
    <w:rsid w:val="00C7191B"/>
    <w:rsid w:val="00C71F09"/>
    <w:rsid w:val="00C71FA3"/>
    <w:rsid w:val="00C72588"/>
    <w:rsid w:val="00C727B9"/>
    <w:rsid w:val="00C72C1D"/>
    <w:rsid w:val="00C72F44"/>
    <w:rsid w:val="00C72F67"/>
    <w:rsid w:val="00C73670"/>
    <w:rsid w:val="00C737D1"/>
    <w:rsid w:val="00C738A0"/>
    <w:rsid w:val="00C73DE0"/>
    <w:rsid w:val="00C73E9F"/>
    <w:rsid w:val="00C74609"/>
    <w:rsid w:val="00C749AB"/>
    <w:rsid w:val="00C74DCF"/>
    <w:rsid w:val="00C75A8F"/>
    <w:rsid w:val="00C76129"/>
    <w:rsid w:val="00C76C0C"/>
    <w:rsid w:val="00C76FFC"/>
    <w:rsid w:val="00C774E0"/>
    <w:rsid w:val="00C776BA"/>
    <w:rsid w:val="00C7791E"/>
    <w:rsid w:val="00C81716"/>
    <w:rsid w:val="00C832CB"/>
    <w:rsid w:val="00C83885"/>
    <w:rsid w:val="00C84085"/>
    <w:rsid w:val="00C852DC"/>
    <w:rsid w:val="00C854A8"/>
    <w:rsid w:val="00C85677"/>
    <w:rsid w:val="00C85E17"/>
    <w:rsid w:val="00C85FD7"/>
    <w:rsid w:val="00C8660B"/>
    <w:rsid w:val="00C868A7"/>
    <w:rsid w:val="00C868CE"/>
    <w:rsid w:val="00C86ABA"/>
    <w:rsid w:val="00C86BF7"/>
    <w:rsid w:val="00C87164"/>
    <w:rsid w:val="00C8740D"/>
    <w:rsid w:val="00C8786A"/>
    <w:rsid w:val="00C87BBA"/>
    <w:rsid w:val="00C87BD0"/>
    <w:rsid w:val="00C905E5"/>
    <w:rsid w:val="00C90754"/>
    <w:rsid w:val="00C90B95"/>
    <w:rsid w:val="00C90BC4"/>
    <w:rsid w:val="00C90C33"/>
    <w:rsid w:val="00C90CA9"/>
    <w:rsid w:val="00C91802"/>
    <w:rsid w:val="00C91FB9"/>
    <w:rsid w:val="00C927C3"/>
    <w:rsid w:val="00C92B72"/>
    <w:rsid w:val="00C92E41"/>
    <w:rsid w:val="00C92F62"/>
    <w:rsid w:val="00C93097"/>
    <w:rsid w:val="00C93B40"/>
    <w:rsid w:val="00C93DB5"/>
    <w:rsid w:val="00C94133"/>
    <w:rsid w:val="00C94CB9"/>
    <w:rsid w:val="00C95853"/>
    <w:rsid w:val="00C95C2F"/>
    <w:rsid w:val="00C95F87"/>
    <w:rsid w:val="00C96035"/>
    <w:rsid w:val="00C968EF"/>
    <w:rsid w:val="00C972CE"/>
    <w:rsid w:val="00CA0492"/>
    <w:rsid w:val="00CA05B0"/>
    <w:rsid w:val="00CA0632"/>
    <w:rsid w:val="00CA0A04"/>
    <w:rsid w:val="00CA2512"/>
    <w:rsid w:val="00CA2528"/>
    <w:rsid w:val="00CA3CAB"/>
    <w:rsid w:val="00CA3FC0"/>
    <w:rsid w:val="00CA5685"/>
    <w:rsid w:val="00CA6A2E"/>
    <w:rsid w:val="00CA6B56"/>
    <w:rsid w:val="00CA77C6"/>
    <w:rsid w:val="00CA7D3E"/>
    <w:rsid w:val="00CB0317"/>
    <w:rsid w:val="00CB0662"/>
    <w:rsid w:val="00CB0A82"/>
    <w:rsid w:val="00CB0F2F"/>
    <w:rsid w:val="00CB1556"/>
    <w:rsid w:val="00CB210B"/>
    <w:rsid w:val="00CB2913"/>
    <w:rsid w:val="00CB3218"/>
    <w:rsid w:val="00CB3970"/>
    <w:rsid w:val="00CB42B9"/>
    <w:rsid w:val="00CB4550"/>
    <w:rsid w:val="00CB4F39"/>
    <w:rsid w:val="00CB523A"/>
    <w:rsid w:val="00CB52A4"/>
    <w:rsid w:val="00CB537C"/>
    <w:rsid w:val="00CB5A26"/>
    <w:rsid w:val="00CB645B"/>
    <w:rsid w:val="00CB6A93"/>
    <w:rsid w:val="00CB6C79"/>
    <w:rsid w:val="00CB70D3"/>
    <w:rsid w:val="00CB77C3"/>
    <w:rsid w:val="00CB7E9C"/>
    <w:rsid w:val="00CC0072"/>
    <w:rsid w:val="00CC018D"/>
    <w:rsid w:val="00CC027A"/>
    <w:rsid w:val="00CC0915"/>
    <w:rsid w:val="00CC1398"/>
    <w:rsid w:val="00CC1AF5"/>
    <w:rsid w:val="00CC1B74"/>
    <w:rsid w:val="00CC245E"/>
    <w:rsid w:val="00CC291E"/>
    <w:rsid w:val="00CC2D03"/>
    <w:rsid w:val="00CC2D7D"/>
    <w:rsid w:val="00CC2EB0"/>
    <w:rsid w:val="00CC3BDC"/>
    <w:rsid w:val="00CC4701"/>
    <w:rsid w:val="00CC56B4"/>
    <w:rsid w:val="00CC5C82"/>
    <w:rsid w:val="00CC5F95"/>
    <w:rsid w:val="00CC642A"/>
    <w:rsid w:val="00CC6872"/>
    <w:rsid w:val="00CC6AC7"/>
    <w:rsid w:val="00CC6D73"/>
    <w:rsid w:val="00CC733D"/>
    <w:rsid w:val="00CC7617"/>
    <w:rsid w:val="00CC796B"/>
    <w:rsid w:val="00CC7A80"/>
    <w:rsid w:val="00CC7E0D"/>
    <w:rsid w:val="00CC7E97"/>
    <w:rsid w:val="00CD00EB"/>
    <w:rsid w:val="00CD1255"/>
    <w:rsid w:val="00CD1484"/>
    <w:rsid w:val="00CD1892"/>
    <w:rsid w:val="00CD1C01"/>
    <w:rsid w:val="00CD1D00"/>
    <w:rsid w:val="00CD2009"/>
    <w:rsid w:val="00CD27AC"/>
    <w:rsid w:val="00CD2A82"/>
    <w:rsid w:val="00CD3B66"/>
    <w:rsid w:val="00CD3CAB"/>
    <w:rsid w:val="00CD40D3"/>
    <w:rsid w:val="00CD44FF"/>
    <w:rsid w:val="00CD46A7"/>
    <w:rsid w:val="00CD47BC"/>
    <w:rsid w:val="00CD4A21"/>
    <w:rsid w:val="00CD4E50"/>
    <w:rsid w:val="00CD57CB"/>
    <w:rsid w:val="00CD614B"/>
    <w:rsid w:val="00CD64E1"/>
    <w:rsid w:val="00CD66BA"/>
    <w:rsid w:val="00CD699D"/>
    <w:rsid w:val="00CD6BA3"/>
    <w:rsid w:val="00CD70DB"/>
    <w:rsid w:val="00CD7544"/>
    <w:rsid w:val="00CD78D4"/>
    <w:rsid w:val="00CE00CF"/>
    <w:rsid w:val="00CE0697"/>
    <w:rsid w:val="00CE1421"/>
    <w:rsid w:val="00CE14CB"/>
    <w:rsid w:val="00CE2E2E"/>
    <w:rsid w:val="00CE3A51"/>
    <w:rsid w:val="00CE41F9"/>
    <w:rsid w:val="00CE44A1"/>
    <w:rsid w:val="00CE4B2C"/>
    <w:rsid w:val="00CE59F6"/>
    <w:rsid w:val="00CE66CD"/>
    <w:rsid w:val="00CE6A96"/>
    <w:rsid w:val="00CE6BA9"/>
    <w:rsid w:val="00CE71C3"/>
    <w:rsid w:val="00CE7271"/>
    <w:rsid w:val="00CE727A"/>
    <w:rsid w:val="00CE756F"/>
    <w:rsid w:val="00CE7BEE"/>
    <w:rsid w:val="00CE7EB8"/>
    <w:rsid w:val="00CF029C"/>
    <w:rsid w:val="00CF0AF0"/>
    <w:rsid w:val="00CF157E"/>
    <w:rsid w:val="00CF1631"/>
    <w:rsid w:val="00CF1834"/>
    <w:rsid w:val="00CF1AAA"/>
    <w:rsid w:val="00CF1EC2"/>
    <w:rsid w:val="00CF2ACF"/>
    <w:rsid w:val="00CF2D4C"/>
    <w:rsid w:val="00CF345B"/>
    <w:rsid w:val="00CF475F"/>
    <w:rsid w:val="00CF5008"/>
    <w:rsid w:val="00CF5069"/>
    <w:rsid w:val="00CF5A38"/>
    <w:rsid w:val="00CF5E34"/>
    <w:rsid w:val="00CF6707"/>
    <w:rsid w:val="00CF7101"/>
    <w:rsid w:val="00CF7327"/>
    <w:rsid w:val="00CF7385"/>
    <w:rsid w:val="00CF7539"/>
    <w:rsid w:val="00CF75C6"/>
    <w:rsid w:val="00CF7B77"/>
    <w:rsid w:val="00CF7DF5"/>
    <w:rsid w:val="00D001D2"/>
    <w:rsid w:val="00D003AF"/>
    <w:rsid w:val="00D0091F"/>
    <w:rsid w:val="00D02A80"/>
    <w:rsid w:val="00D0352D"/>
    <w:rsid w:val="00D04F01"/>
    <w:rsid w:val="00D04F8B"/>
    <w:rsid w:val="00D051F3"/>
    <w:rsid w:val="00D054EF"/>
    <w:rsid w:val="00D05637"/>
    <w:rsid w:val="00D05BA9"/>
    <w:rsid w:val="00D05CF2"/>
    <w:rsid w:val="00D05EB1"/>
    <w:rsid w:val="00D064CB"/>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82"/>
    <w:rsid w:val="00D158EF"/>
    <w:rsid w:val="00D15AE3"/>
    <w:rsid w:val="00D160C4"/>
    <w:rsid w:val="00D165D8"/>
    <w:rsid w:val="00D16DCB"/>
    <w:rsid w:val="00D1724E"/>
    <w:rsid w:val="00D17C26"/>
    <w:rsid w:val="00D17E08"/>
    <w:rsid w:val="00D17FBE"/>
    <w:rsid w:val="00D206F6"/>
    <w:rsid w:val="00D20FD1"/>
    <w:rsid w:val="00D2115C"/>
    <w:rsid w:val="00D214D4"/>
    <w:rsid w:val="00D21AAA"/>
    <w:rsid w:val="00D21E6F"/>
    <w:rsid w:val="00D2218A"/>
    <w:rsid w:val="00D22444"/>
    <w:rsid w:val="00D22B13"/>
    <w:rsid w:val="00D2371E"/>
    <w:rsid w:val="00D237E0"/>
    <w:rsid w:val="00D23A17"/>
    <w:rsid w:val="00D2416C"/>
    <w:rsid w:val="00D24D4E"/>
    <w:rsid w:val="00D25676"/>
    <w:rsid w:val="00D2579F"/>
    <w:rsid w:val="00D2580E"/>
    <w:rsid w:val="00D25BA4"/>
    <w:rsid w:val="00D264E4"/>
    <w:rsid w:val="00D265A7"/>
    <w:rsid w:val="00D2690C"/>
    <w:rsid w:val="00D26A8F"/>
    <w:rsid w:val="00D27129"/>
    <w:rsid w:val="00D279E7"/>
    <w:rsid w:val="00D27F75"/>
    <w:rsid w:val="00D303F6"/>
    <w:rsid w:val="00D3046D"/>
    <w:rsid w:val="00D30497"/>
    <w:rsid w:val="00D30C4D"/>
    <w:rsid w:val="00D30D15"/>
    <w:rsid w:val="00D30F5F"/>
    <w:rsid w:val="00D31243"/>
    <w:rsid w:val="00D316D9"/>
    <w:rsid w:val="00D31B07"/>
    <w:rsid w:val="00D31B9D"/>
    <w:rsid w:val="00D31DC2"/>
    <w:rsid w:val="00D3272E"/>
    <w:rsid w:val="00D32FA0"/>
    <w:rsid w:val="00D33112"/>
    <w:rsid w:val="00D331CB"/>
    <w:rsid w:val="00D3497A"/>
    <w:rsid w:val="00D34DC2"/>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6"/>
    <w:rsid w:val="00D43DEF"/>
    <w:rsid w:val="00D44259"/>
    <w:rsid w:val="00D45C61"/>
    <w:rsid w:val="00D45DDC"/>
    <w:rsid w:val="00D4603D"/>
    <w:rsid w:val="00D462C4"/>
    <w:rsid w:val="00D46CE1"/>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C89"/>
    <w:rsid w:val="00D56F99"/>
    <w:rsid w:val="00D5743F"/>
    <w:rsid w:val="00D57932"/>
    <w:rsid w:val="00D57F1F"/>
    <w:rsid w:val="00D60065"/>
    <w:rsid w:val="00D60270"/>
    <w:rsid w:val="00D605C2"/>
    <w:rsid w:val="00D60733"/>
    <w:rsid w:val="00D608B2"/>
    <w:rsid w:val="00D60C60"/>
    <w:rsid w:val="00D61E1D"/>
    <w:rsid w:val="00D629A4"/>
    <w:rsid w:val="00D62A55"/>
    <w:rsid w:val="00D62BDF"/>
    <w:rsid w:val="00D62EEE"/>
    <w:rsid w:val="00D64F1C"/>
    <w:rsid w:val="00D6570C"/>
    <w:rsid w:val="00D659EA"/>
    <w:rsid w:val="00D65A89"/>
    <w:rsid w:val="00D65E85"/>
    <w:rsid w:val="00D6611C"/>
    <w:rsid w:val="00D67077"/>
    <w:rsid w:val="00D671C7"/>
    <w:rsid w:val="00D675B0"/>
    <w:rsid w:val="00D675DE"/>
    <w:rsid w:val="00D678BB"/>
    <w:rsid w:val="00D67D81"/>
    <w:rsid w:val="00D67EB4"/>
    <w:rsid w:val="00D70170"/>
    <w:rsid w:val="00D702E8"/>
    <w:rsid w:val="00D70552"/>
    <w:rsid w:val="00D70D42"/>
    <w:rsid w:val="00D71285"/>
    <w:rsid w:val="00D71ABC"/>
    <w:rsid w:val="00D721C5"/>
    <w:rsid w:val="00D72454"/>
    <w:rsid w:val="00D72687"/>
    <w:rsid w:val="00D729A7"/>
    <w:rsid w:val="00D72A5B"/>
    <w:rsid w:val="00D73991"/>
    <w:rsid w:val="00D73B4C"/>
    <w:rsid w:val="00D73CD4"/>
    <w:rsid w:val="00D73F06"/>
    <w:rsid w:val="00D740B2"/>
    <w:rsid w:val="00D74247"/>
    <w:rsid w:val="00D743F1"/>
    <w:rsid w:val="00D744CF"/>
    <w:rsid w:val="00D7456E"/>
    <w:rsid w:val="00D74AAA"/>
    <w:rsid w:val="00D751CC"/>
    <w:rsid w:val="00D753A9"/>
    <w:rsid w:val="00D755F7"/>
    <w:rsid w:val="00D75DDB"/>
    <w:rsid w:val="00D75E4B"/>
    <w:rsid w:val="00D774F4"/>
    <w:rsid w:val="00D77687"/>
    <w:rsid w:val="00D77AF6"/>
    <w:rsid w:val="00D77FDF"/>
    <w:rsid w:val="00D804C5"/>
    <w:rsid w:val="00D815E6"/>
    <w:rsid w:val="00D81A28"/>
    <w:rsid w:val="00D81BDE"/>
    <w:rsid w:val="00D8201D"/>
    <w:rsid w:val="00D82B00"/>
    <w:rsid w:val="00D82B04"/>
    <w:rsid w:val="00D82BE4"/>
    <w:rsid w:val="00D82E05"/>
    <w:rsid w:val="00D83462"/>
    <w:rsid w:val="00D83C0D"/>
    <w:rsid w:val="00D83C80"/>
    <w:rsid w:val="00D83F5B"/>
    <w:rsid w:val="00D84879"/>
    <w:rsid w:val="00D84AAD"/>
    <w:rsid w:val="00D85FDE"/>
    <w:rsid w:val="00D8665E"/>
    <w:rsid w:val="00D869C1"/>
    <w:rsid w:val="00D86EC6"/>
    <w:rsid w:val="00D87329"/>
    <w:rsid w:val="00D87418"/>
    <w:rsid w:val="00D87A39"/>
    <w:rsid w:val="00D87C77"/>
    <w:rsid w:val="00D87FE6"/>
    <w:rsid w:val="00D90ACA"/>
    <w:rsid w:val="00D90BC3"/>
    <w:rsid w:val="00D90C93"/>
    <w:rsid w:val="00D90DB9"/>
    <w:rsid w:val="00D91001"/>
    <w:rsid w:val="00D910FF"/>
    <w:rsid w:val="00D91337"/>
    <w:rsid w:val="00D914BD"/>
    <w:rsid w:val="00D914FF"/>
    <w:rsid w:val="00D915C9"/>
    <w:rsid w:val="00D918DA"/>
    <w:rsid w:val="00D9198F"/>
    <w:rsid w:val="00D92078"/>
    <w:rsid w:val="00D9223F"/>
    <w:rsid w:val="00D926F0"/>
    <w:rsid w:val="00D92A87"/>
    <w:rsid w:val="00D9384E"/>
    <w:rsid w:val="00D93AEE"/>
    <w:rsid w:val="00D9413E"/>
    <w:rsid w:val="00D94819"/>
    <w:rsid w:val="00D94C8D"/>
    <w:rsid w:val="00D9537A"/>
    <w:rsid w:val="00D95F88"/>
    <w:rsid w:val="00D96698"/>
    <w:rsid w:val="00D96876"/>
    <w:rsid w:val="00D96940"/>
    <w:rsid w:val="00D96B12"/>
    <w:rsid w:val="00D96B91"/>
    <w:rsid w:val="00D96F59"/>
    <w:rsid w:val="00D9722A"/>
    <w:rsid w:val="00DA0175"/>
    <w:rsid w:val="00DA099C"/>
    <w:rsid w:val="00DA0F18"/>
    <w:rsid w:val="00DA2125"/>
    <w:rsid w:val="00DA21EC"/>
    <w:rsid w:val="00DA24DE"/>
    <w:rsid w:val="00DA270C"/>
    <w:rsid w:val="00DA281F"/>
    <w:rsid w:val="00DA30B7"/>
    <w:rsid w:val="00DA36F9"/>
    <w:rsid w:val="00DA3C5B"/>
    <w:rsid w:val="00DA3D23"/>
    <w:rsid w:val="00DA4A61"/>
    <w:rsid w:val="00DA5AFE"/>
    <w:rsid w:val="00DA61AB"/>
    <w:rsid w:val="00DA61CD"/>
    <w:rsid w:val="00DA6EE2"/>
    <w:rsid w:val="00DA718A"/>
    <w:rsid w:val="00DA78CF"/>
    <w:rsid w:val="00DA78D5"/>
    <w:rsid w:val="00DA7A89"/>
    <w:rsid w:val="00DA7BF4"/>
    <w:rsid w:val="00DB052F"/>
    <w:rsid w:val="00DB0FD6"/>
    <w:rsid w:val="00DB14D3"/>
    <w:rsid w:val="00DB154B"/>
    <w:rsid w:val="00DB16AE"/>
    <w:rsid w:val="00DB1BDC"/>
    <w:rsid w:val="00DB3490"/>
    <w:rsid w:val="00DB3593"/>
    <w:rsid w:val="00DB362A"/>
    <w:rsid w:val="00DB4064"/>
    <w:rsid w:val="00DB440B"/>
    <w:rsid w:val="00DB4426"/>
    <w:rsid w:val="00DB4522"/>
    <w:rsid w:val="00DB4B40"/>
    <w:rsid w:val="00DB4F12"/>
    <w:rsid w:val="00DB4F21"/>
    <w:rsid w:val="00DB4F42"/>
    <w:rsid w:val="00DB540C"/>
    <w:rsid w:val="00DB6F96"/>
    <w:rsid w:val="00DB71B9"/>
    <w:rsid w:val="00DB7662"/>
    <w:rsid w:val="00DB7B62"/>
    <w:rsid w:val="00DB7E46"/>
    <w:rsid w:val="00DC0271"/>
    <w:rsid w:val="00DC0BBA"/>
    <w:rsid w:val="00DC1395"/>
    <w:rsid w:val="00DC2834"/>
    <w:rsid w:val="00DC32FC"/>
    <w:rsid w:val="00DC3D89"/>
    <w:rsid w:val="00DC42E9"/>
    <w:rsid w:val="00DC4567"/>
    <w:rsid w:val="00DC45B1"/>
    <w:rsid w:val="00DC48A8"/>
    <w:rsid w:val="00DC4D6C"/>
    <w:rsid w:val="00DC4F47"/>
    <w:rsid w:val="00DC5059"/>
    <w:rsid w:val="00DC54A7"/>
    <w:rsid w:val="00DC5860"/>
    <w:rsid w:val="00DC5BD0"/>
    <w:rsid w:val="00DC5BE2"/>
    <w:rsid w:val="00DC6284"/>
    <w:rsid w:val="00DC628E"/>
    <w:rsid w:val="00DC6723"/>
    <w:rsid w:val="00DC6747"/>
    <w:rsid w:val="00DC689C"/>
    <w:rsid w:val="00DC6AF3"/>
    <w:rsid w:val="00DC7608"/>
    <w:rsid w:val="00DC761E"/>
    <w:rsid w:val="00DC7B3B"/>
    <w:rsid w:val="00DC7CFC"/>
    <w:rsid w:val="00DC7DF1"/>
    <w:rsid w:val="00DD09F2"/>
    <w:rsid w:val="00DD0DEE"/>
    <w:rsid w:val="00DD1205"/>
    <w:rsid w:val="00DD1633"/>
    <w:rsid w:val="00DD17A0"/>
    <w:rsid w:val="00DD1B97"/>
    <w:rsid w:val="00DD259F"/>
    <w:rsid w:val="00DD2831"/>
    <w:rsid w:val="00DD2A6D"/>
    <w:rsid w:val="00DD2E17"/>
    <w:rsid w:val="00DD42DE"/>
    <w:rsid w:val="00DD4309"/>
    <w:rsid w:val="00DD4344"/>
    <w:rsid w:val="00DD4357"/>
    <w:rsid w:val="00DD4DDD"/>
    <w:rsid w:val="00DD5303"/>
    <w:rsid w:val="00DD573B"/>
    <w:rsid w:val="00DD57E7"/>
    <w:rsid w:val="00DD5A1E"/>
    <w:rsid w:val="00DD5B8C"/>
    <w:rsid w:val="00DD5DFA"/>
    <w:rsid w:val="00DD5E91"/>
    <w:rsid w:val="00DD6CE2"/>
    <w:rsid w:val="00DD6F39"/>
    <w:rsid w:val="00DD720D"/>
    <w:rsid w:val="00DE0229"/>
    <w:rsid w:val="00DE04E0"/>
    <w:rsid w:val="00DE0C46"/>
    <w:rsid w:val="00DE12F1"/>
    <w:rsid w:val="00DE1A9D"/>
    <w:rsid w:val="00DE1CB1"/>
    <w:rsid w:val="00DE2073"/>
    <w:rsid w:val="00DE28C9"/>
    <w:rsid w:val="00DE2926"/>
    <w:rsid w:val="00DE30AC"/>
    <w:rsid w:val="00DE38D1"/>
    <w:rsid w:val="00DE3AD2"/>
    <w:rsid w:val="00DE4106"/>
    <w:rsid w:val="00DE466B"/>
    <w:rsid w:val="00DE48F4"/>
    <w:rsid w:val="00DE5563"/>
    <w:rsid w:val="00DE5C19"/>
    <w:rsid w:val="00DE5D48"/>
    <w:rsid w:val="00DE6130"/>
    <w:rsid w:val="00DE6A1D"/>
    <w:rsid w:val="00DE6E4D"/>
    <w:rsid w:val="00DE7498"/>
    <w:rsid w:val="00DE75EF"/>
    <w:rsid w:val="00DE7611"/>
    <w:rsid w:val="00DE7D19"/>
    <w:rsid w:val="00DF00D6"/>
    <w:rsid w:val="00DF0505"/>
    <w:rsid w:val="00DF05A0"/>
    <w:rsid w:val="00DF1162"/>
    <w:rsid w:val="00DF1BA8"/>
    <w:rsid w:val="00DF1F63"/>
    <w:rsid w:val="00DF248E"/>
    <w:rsid w:val="00DF28F2"/>
    <w:rsid w:val="00DF2BFF"/>
    <w:rsid w:val="00DF3016"/>
    <w:rsid w:val="00DF3498"/>
    <w:rsid w:val="00DF3798"/>
    <w:rsid w:val="00DF42A6"/>
    <w:rsid w:val="00DF4FF1"/>
    <w:rsid w:val="00DF56A3"/>
    <w:rsid w:val="00DF5B33"/>
    <w:rsid w:val="00DF6144"/>
    <w:rsid w:val="00DF6ACD"/>
    <w:rsid w:val="00DF6FD2"/>
    <w:rsid w:val="00DF72EF"/>
    <w:rsid w:val="00DF743D"/>
    <w:rsid w:val="00DF7724"/>
    <w:rsid w:val="00E000D8"/>
    <w:rsid w:val="00E00C1E"/>
    <w:rsid w:val="00E00F5F"/>
    <w:rsid w:val="00E010E6"/>
    <w:rsid w:val="00E01377"/>
    <w:rsid w:val="00E014E7"/>
    <w:rsid w:val="00E0150F"/>
    <w:rsid w:val="00E0232F"/>
    <w:rsid w:val="00E026A9"/>
    <w:rsid w:val="00E0356F"/>
    <w:rsid w:val="00E03B42"/>
    <w:rsid w:val="00E03C10"/>
    <w:rsid w:val="00E0479F"/>
    <w:rsid w:val="00E04816"/>
    <w:rsid w:val="00E04982"/>
    <w:rsid w:val="00E04D6A"/>
    <w:rsid w:val="00E05741"/>
    <w:rsid w:val="00E0579D"/>
    <w:rsid w:val="00E058DB"/>
    <w:rsid w:val="00E05950"/>
    <w:rsid w:val="00E05CD4"/>
    <w:rsid w:val="00E05DE8"/>
    <w:rsid w:val="00E06100"/>
    <w:rsid w:val="00E0614E"/>
    <w:rsid w:val="00E06B40"/>
    <w:rsid w:val="00E06E97"/>
    <w:rsid w:val="00E07B8F"/>
    <w:rsid w:val="00E10712"/>
    <w:rsid w:val="00E10DD1"/>
    <w:rsid w:val="00E1224C"/>
    <w:rsid w:val="00E1254C"/>
    <w:rsid w:val="00E12BDF"/>
    <w:rsid w:val="00E13326"/>
    <w:rsid w:val="00E13D07"/>
    <w:rsid w:val="00E14356"/>
    <w:rsid w:val="00E14961"/>
    <w:rsid w:val="00E14B91"/>
    <w:rsid w:val="00E14D76"/>
    <w:rsid w:val="00E15183"/>
    <w:rsid w:val="00E15D6C"/>
    <w:rsid w:val="00E161CE"/>
    <w:rsid w:val="00E167CE"/>
    <w:rsid w:val="00E1720B"/>
    <w:rsid w:val="00E203DE"/>
    <w:rsid w:val="00E20CE7"/>
    <w:rsid w:val="00E215C4"/>
    <w:rsid w:val="00E217B1"/>
    <w:rsid w:val="00E222FA"/>
    <w:rsid w:val="00E22700"/>
    <w:rsid w:val="00E229CE"/>
    <w:rsid w:val="00E22B4A"/>
    <w:rsid w:val="00E2449B"/>
    <w:rsid w:val="00E24A62"/>
    <w:rsid w:val="00E24F52"/>
    <w:rsid w:val="00E255CC"/>
    <w:rsid w:val="00E25636"/>
    <w:rsid w:val="00E25755"/>
    <w:rsid w:val="00E25F90"/>
    <w:rsid w:val="00E26001"/>
    <w:rsid w:val="00E266DD"/>
    <w:rsid w:val="00E26B3B"/>
    <w:rsid w:val="00E26D2E"/>
    <w:rsid w:val="00E26F7E"/>
    <w:rsid w:val="00E27235"/>
    <w:rsid w:val="00E279B2"/>
    <w:rsid w:val="00E303C0"/>
    <w:rsid w:val="00E3055B"/>
    <w:rsid w:val="00E30C8F"/>
    <w:rsid w:val="00E31687"/>
    <w:rsid w:val="00E31699"/>
    <w:rsid w:val="00E31761"/>
    <w:rsid w:val="00E31812"/>
    <w:rsid w:val="00E31889"/>
    <w:rsid w:val="00E31CE7"/>
    <w:rsid w:val="00E32F10"/>
    <w:rsid w:val="00E333D5"/>
    <w:rsid w:val="00E3394F"/>
    <w:rsid w:val="00E33A0B"/>
    <w:rsid w:val="00E34A2F"/>
    <w:rsid w:val="00E35901"/>
    <w:rsid w:val="00E35A45"/>
    <w:rsid w:val="00E35F7F"/>
    <w:rsid w:val="00E36392"/>
    <w:rsid w:val="00E36B32"/>
    <w:rsid w:val="00E37254"/>
    <w:rsid w:val="00E37A6F"/>
    <w:rsid w:val="00E37A9C"/>
    <w:rsid w:val="00E40222"/>
    <w:rsid w:val="00E40406"/>
    <w:rsid w:val="00E4082B"/>
    <w:rsid w:val="00E40835"/>
    <w:rsid w:val="00E408EC"/>
    <w:rsid w:val="00E409B5"/>
    <w:rsid w:val="00E40BCB"/>
    <w:rsid w:val="00E40F8A"/>
    <w:rsid w:val="00E40FD7"/>
    <w:rsid w:val="00E4165D"/>
    <w:rsid w:val="00E4208F"/>
    <w:rsid w:val="00E4282A"/>
    <w:rsid w:val="00E42E94"/>
    <w:rsid w:val="00E42F27"/>
    <w:rsid w:val="00E43006"/>
    <w:rsid w:val="00E4312A"/>
    <w:rsid w:val="00E4331B"/>
    <w:rsid w:val="00E43551"/>
    <w:rsid w:val="00E437FA"/>
    <w:rsid w:val="00E449B5"/>
    <w:rsid w:val="00E449CF"/>
    <w:rsid w:val="00E44E4D"/>
    <w:rsid w:val="00E45A2C"/>
    <w:rsid w:val="00E46A6B"/>
    <w:rsid w:val="00E46A9C"/>
    <w:rsid w:val="00E470E2"/>
    <w:rsid w:val="00E47DB1"/>
    <w:rsid w:val="00E50BDD"/>
    <w:rsid w:val="00E510CF"/>
    <w:rsid w:val="00E513D7"/>
    <w:rsid w:val="00E519FE"/>
    <w:rsid w:val="00E5206C"/>
    <w:rsid w:val="00E52AAB"/>
    <w:rsid w:val="00E53556"/>
    <w:rsid w:val="00E5448E"/>
    <w:rsid w:val="00E547D6"/>
    <w:rsid w:val="00E54E0D"/>
    <w:rsid w:val="00E55247"/>
    <w:rsid w:val="00E558E5"/>
    <w:rsid w:val="00E55B3C"/>
    <w:rsid w:val="00E5647B"/>
    <w:rsid w:val="00E56795"/>
    <w:rsid w:val="00E57932"/>
    <w:rsid w:val="00E60466"/>
    <w:rsid w:val="00E606C4"/>
    <w:rsid w:val="00E60811"/>
    <w:rsid w:val="00E60AB8"/>
    <w:rsid w:val="00E60DF7"/>
    <w:rsid w:val="00E6103E"/>
    <w:rsid w:val="00E6185F"/>
    <w:rsid w:val="00E61D32"/>
    <w:rsid w:val="00E625D9"/>
    <w:rsid w:val="00E63C60"/>
    <w:rsid w:val="00E63D2E"/>
    <w:rsid w:val="00E64050"/>
    <w:rsid w:val="00E64B7B"/>
    <w:rsid w:val="00E6514D"/>
    <w:rsid w:val="00E65161"/>
    <w:rsid w:val="00E651DE"/>
    <w:rsid w:val="00E652C9"/>
    <w:rsid w:val="00E6593B"/>
    <w:rsid w:val="00E65D74"/>
    <w:rsid w:val="00E66E11"/>
    <w:rsid w:val="00E672C6"/>
    <w:rsid w:val="00E67366"/>
    <w:rsid w:val="00E70192"/>
    <w:rsid w:val="00E70963"/>
    <w:rsid w:val="00E70C55"/>
    <w:rsid w:val="00E70E34"/>
    <w:rsid w:val="00E71809"/>
    <w:rsid w:val="00E71D1E"/>
    <w:rsid w:val="00E726F2"/>
    <w:rsid w:val="00E728E2"/>
    <w:rsid w:val="00E738FA"/>
    <w:rsid w:val="00E739B6"/>
    <w:rsid w:val="00E73E2F"/>
    <w:rsid w:val="00E74A2B"/>
    <w:rsid w:val="00E75667"/>
    <w:rsid w:val="00E756D3"/>
    <w:rsid w:val="00E75985"/>
    <w:rsid w:val="00E75A5A"/>
    <w:rsid w:val="00E75D84"/>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B8A"/>
    <w:rsid w:val="00E83C4F"/>
    <w:rsid w:val="00E84212"/>
    <w:rsid w:val="00E84C04"/>
    <w:rsid w:val="00E84F72"/>
    <w:rsid w:val="00E850B7"/>
    <w:rsid w:val="00E85516"/>
    <w:rsid w:val="00E856A2"/>
    <w:rsid w:val="00E8572B"/>
    <w:rsid w:val="00E8575B"/>
    <w:rsid w:val="00E85929"/>
    <w:rsid w:val="00E85AD2"/>
    <w:rsid w:val="00E87A37"/>
    <w:rsid w:val="00E87CF7"/>
    <w:rsid w:val="00E9036E"/>
    <w:rsid w:val="00E9078A"/>
    <w:rsid w:val="00E912FD"/>
    <w:rsid w:val="00E913EF"/>
    <w:rsid w:val="00E91B26"/>
    <w:rsid w:val="00E92C6E"/>
    <w:rsid w:val="00E92D0B"/>
    <w:rsid w:val="00E92FFF"/>
    <w:rsid w:val="00E93195"/>
    <w:rsid w:val="00E93637"/>
    <w:rsid w:val="00E936A1"/>
    <w:rsid w:val="00E9391C"/>
    <w:rsid w:val="00E93D05"/>
    <w:rsid w:val="00E93D99"/>
    <w:rsid w:val="00E94525"/>
    <w:rsid w:val="00E946AB"/>
    <w:rsid w:val="00E951D8"/>
    <w:rsid w:val="00E95C2A"/>
    <w:rsid w:val="00E95E3D"/>
    <w:rsid w:val="00E961CB"/>
    <w:rsid w:val="00E963BC"/>
    <w:rsid w:val="00E96505"/>
    <w:rsid w:val="00E966A6"/>
    <w:rsid w:val="00E96E91"/>
    <w:rsid w:val="00E9751D"/>
    <w:rsid w:val="00E97DC6"/>
    <w:rsid w:val="00E97DF6"/>
    <w:rsid w:val="00E97F7A"/>
    <w:rsid w:val="00EA0010"/>
    <w:rsid w:val="00EA0143"/>
    <w:rsid w:val="00EA040F"/>
    <w:rsid w:val="00EA089B"/>
    <w:rsid w:val="00EA0AD2"/>
    <w:rsid w:val="00EA0E49"/>
    <w:rsid w:val="00EA109E"/>
    <w:rsid w:val="00EA1113"/>
    <w:rsid w:val="00EA1782"/>
    <w:rsid w:val="00EA1ACC"/>
    <w:rsid w:val="00EA1B7F"/>
    <w:rsid w:val="00EA275C"/>
    <w:rsid w:val="00EA2E21"/>
    <w:rsid w:val="00EA2EAA"/>
    <w:rsid w:val="00EA380C"/>
    <w:rsid w:val="00EA5F3B"/>
    <w:rsid w:val="00EA60B1"/>
    <w:rsid w:val="00EA613D"/>
    <w:rsid w:val="00EA6744"/>
    <w:rsid w:val="00EA7308"/>
    <w:rsid w:val="00EA7474"/>
    <w:rsid w:val="00EA74D4"/>
    <w:rsid w:val="00EA7D2D"/>
    <w:rsid w:val="00EB0674"/>
    <w:rsid w:val="00EB0831"/>
    <w:rsid w:val="00EB089C"/>
    <w:rsid w:val="00EB0AA8"/>
    <w:rsid w:val="00EB0B65"/>
    <w:rsid w:val="00EB0C65"/>
    <w:rsid w:val="00EB1624"/>
    <w:rsid w:val="00EB169F"/>
    <w:rsid w:val="00EB2635"/>
    <w:rsid w:val="00EB2961"/>
    <w:rsid w:val="00EB2E1A"/>
    <w:rsid w:val="00EB2F8A"/>
    <w:rsid w:val="00EB304D"/>
    <w:rsid w:val="00EB3268"/>
    <w:rsid w:val="00EB3298"/>
    <w:rsid w:val="00EB3939"/>
    <w:rsid w:val="00EB3CE6"/>
    <w:rsid w:val="00EB3E92"/>
    <w:rsid w:val="00EB4D4E"/>
    <w:rsid w:val="00EB53C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D3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9D"/>
    <w:rsid w:val="00ED3692"/>
    <w:rsid w:val="00ED4A77"/>
    <w:rsid w:val="00ED4B6E"/>
    <w:rsid w:val="00ED4DA6"/>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29B"/>
    <w:rsid w:val="00EE499F"/>
    <w:rsid w:val="00EE56E2"/>
    <w:rsid w:val="00EE5D5F"/>
    <w:rsid w:val="00EE5FCD"/>
    <w:rsid w:val="00EE63BF"/>
    <w:rsid w:val="00EE6D45"/>
    <w:rsid w:val="00EE6E89"/>
    <w:rsid w:val="00EF0D4B"/>
    <w:rsid w:val="00EF0FE6"/>
    <w:rsid w:val="00EF1130"/>
    <w:rsid w:val="00EF11E0"/>
    <w:rsid w:val="00EF1432"/>
    <w:rsid w:val="00EF1511"/>
    <w:rsid w:val="00EF1F01"/>
    <w:rsid w:val="00EF2C39"/>
    <w:rsid w:val="00EF2C5F"/>
    <w:rsid w:val="00EF3811"/>
    <w:rsid w:val="00EF3AC4"/>
    <w:rsid w:val="00EF3FF9"/>
    <w:rsid w:val="00EF41AF"/>
    <w:rsid w:val="00EF47BA"/>
    <w:rsid w:val="00EF4DB4"/>
    <w:rsid w:val="00EF5234"/>
    <w:rsid w:val="00EF55E9"/>
    <w:rsid w:val="00EF5B41"/>
    <w:rsid w:val="00EF611C"/>
    <w:rsid w:val="00EF625F"/>
    <w:rsid w:val="00EF62C0"/>
    <w:rsid w:val="00EF66B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F52"/>
    <w:rsid w:val="00F06340"/>
    <w:rsid w:val="00F0665D"/>
    <w:rsid w:val="00F06D42"/>
    <w:rsid w:val="00F07134"/>
    <w:rsid w:val="00F0724D"/>
    <w:rsid w:val="00F07355"/>
    <w:rsid w:val="00F07378"/>
    <w:rsid w:val="00F106A2"/>
    <w:rsid w:val="00F10A1F"/>
    <w:rsid w:val="00F10B81"/>
    <w:rsid w:val="00F10BC9"/>
    <w:rsid w:val="00F10D3C"/>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6A"/>
    <w:rsid w:val="00F20C9E"/>
    <w:rsid w:val="00F213D8"/>
    <w:rsid w:val="00F21A5D"/>
    <w:rsid w:val="00F21C13"/>
    <w:rsid w:val="00F22362"/>
    <w:rsid w:val="00F22796"/>
    <w:rsid w:val="00F2296A"/>
    <w:rsid w:val="00F234A4"/>
    <w:rsid w:val="00F2363A"/>
    <w:rsid w:val="00F238F7"/>
    <w:rsid w:val="00F23BA0"/>
    <w:rsid w:val="00F2420C"/>
    <w:rsid w:val="00F24BC2"/>
    <w:rsid w:val="00F24C28"/>
    <w:rsid w:val="00F25277"/>
    <w:rsid w:val="00F254C4"/>
    <w:rsid w:val="00F25641"/>
    <w:rsid w:val="00F256D8"/>
    <w:rsid w:val="00F25824"/>
    <w:rsid w:val="00F25E8C"/>
    <w:rsid w:val="00F26065"/>
    <w:rsid w:val="00F266E3"/>
    <w:rsid w:val="00F2689C"/>
    <w:rsid w:val="00F271C4"/>
    <w:rsid w:val="00F27E44"/>
    <w:rsid w:val="00F30313"/>
    <w:rsid w:val="00F303BC"/>
    <w:rsid w:val="00F30472"/>
    <w:rsid w:val="00F31052"/>
    <w:rsid w:val="00F313E8"/>
    <w:rsid w:val="00F318A1"/>
    <w:rsid w:val="00F31CF5"/>
    <w:rsid w:val="00F3265C"/>
    <w:rsid w:val="00F32C4A"/>
    <w:rsid w:val="00F33262"/>
    <w:rsid w:val="00F33958"/>
    <w:rsid w:val="00F343EE"/>
    <w:rsid w:val="00F353F4"/>
    <w:rsid w:val="00F35412"/>
    <w:rsid w:val="00F35494"/>
    <w:rsid w:val="00F35607"/>
    <w:rsid w:val="00F357A0"/>
    <w:rsid w:val="00F359AB"/>
    <w:rsid w:val="00F35DBA"/>
    <w:rsid w:val="00F35E72"/>
    <w:rsid w:val="00F3619D"/>
    <w:rsid w:val="00F36DDE"/>
    <w:rsid w:val="00F3722A"/>
    <w:rsid w:val="00F37366"/>
    <w:rsid w:val="00F37C99"/>
    <w:rsid w:val="00F37FCC"/>
    <w:rsid w:val="00F419B8"/>
    <w:rsid w:val="00F41C0F"/>
    <w:rsid w:val="00F42856"/>
    <w:rsid w:val="00F42BF8"/>
    <w:rsid w:val="00F42ED7"/>
    <w:rsid w:val="00F43777"/>
    <w:rsid w:val="00F4482B"/>
    <w:rsid w:val="00F44F02"/>
    <w:rsid w:val="00F45039"/>
    <w:rsid w:val="00F45041"/>
    <w:rsid w:val="00F4526B"/>
    <w:rsid w:val="00F45298"/>
    <w:rsid w:val="00F45417"/>
    <w:rsid w:val="00F45F64"/>
    <w:rsid w:val="00F462DF"/>
    <w:rsid w:val="00F46534"/>
    <w:rsid w:val="00F4662D"/>
    <w:rsid w:val="00F467BA"/>
    <w:rsid w:val="00F467C1"/>
    <w:rsid w:val="00F4689E"/>
    <w:rsid w:val="00F468AC"/>
    <w:rsid w:val="00F4696F"/>
    <w:rsid w:val="00F46A5F"/>
    <w:rsid w:val="00F46BB0"/>
    <w:rsid w:val="00F46C9A"/>
    <w:rsid w:val="00F47316"/>
    <w:rsid w:val="00F47507"/>
    <w:rsid w:val="00F47A01"/>
    <w:rsid w:val="00F47CEE"/>
    <w:rsid w:val="00F5040A"/>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EC2"/>
    <w:rsid w:val="00F56F7E"/>
    <w:rsid w:val="00F56FEF"/>
    <w:rsid w:val="00F57521"/>
    <w:rsid w:val="00F57859"/>
    <w:rsid w:val="00F579EF"/>
    <w:rsid w:val="00F60938"/>
    <w:rsid w:val="00F60982"/>
    <w:rsid w:val="00F60C7E"/>
    <w:rsid w:val="00F60E0A"/>
    <w:rsid w:val="00F61207"/>
    <w:rsid w:val="00F61606"/>
    <w:rsid w:val="00F61918"/>
    <w:rsid w:val="00F620E4"/>
    <w:rsid w:val="00F62151"/>
    <w:rsid w:val="00F623E3"/>
    <w:rsid w:val="00F62CA8"/>
    <w:rsid w:val="00F62F92"/>
    <w:rsid w:val="00F630B4"/>
    <w:rsid w:val="00F635EF"/>
    <w:rsid w:val="00F63BF4"/>
    <w:rsid w:val="00F63C55"/>
    <w:rsid w:val="00F63C60"/>
    <w:rsid w:val="00F64991"/>
    <w:rsid w:val="00F65693"/>
    <w:rsid w:val="00F65A63"/>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2840"/>
    <w:rsid w:val="00F72F74"/>
    <w:rsid w:val="00F73BB0"/>
    <w:rsid w:val="00F74103"/>
    <w:rsid w:val="00F7410A"/>
    <w:rsid w:val="00F745A4"/>
    <w:rsid w:val="00F74C0C"/>
    <w:rsid w:val="00F74E0A"/>
    <w:rsid w:val="00F758E1"/>
    <w:rsid w:val="00F75BB5"/>
    <w:rsid w:val="00F75FD5"/>
    <w:rsid w:val="00F7604C"/>
    <w:rsid w:val="00F763B6"/>
    <w:rsid w:val="00F76677"/>
    <w:rsid w:val="00F768CF"/>
    <w:rsid w:val="00F773A9"/>
    <w:rsid w:val="00F77C09"/>
    <w:rsid w:val="00F8056E"/>
    <w:rsid w:val="00F805B7"/>
    <w:rsid w:val="00F810C1"/>
    <w:rsid w:val="00F81623"/>
    <w:rsid w:val="00F81D25"/>
    <w:rsid w:val="00F8245C"/>
    <w:rsid w:val="00F82928"/>
    <w:rsid w:val="00F829B9"/>
    <w:rsid w:val="00F83045"/>
    <w:rsid w:val="00F83615"/>
    <w:rsid w:val="00F83EC7"/>
    <w:rsid w:val="00F84086"/>
    <w:rsid w:val="00F84112"/>
    <w:rsid w:val="00F8421D"/>
    <w:rsid w:val="00F8438A"/>
    <w:rsid w:val="00F85188"/>
    <w:rsid w:val="00F85329"/>
    <w:rsid w:val="00F85683"/>
    <w:rsid w:val="00F857A0"/>
    <w:rsid w:val="00F85841"/>
    <w:rsid w:val="00F85ADA"/>
    <w:rsid w:val="00F86079"/>
    <w:rsid w:val="00F8610A"/>
    <w:rsid w:val="00F864F6"/>
    <w:rsid w:val="00F87282"/>
    <w:rsid w:val="00F878CD"/>
    <w:rsid w:val="00F87905"/>
    <w:rsid w:val="00F87A66"/>
    <w:rsid w:val="00F87A80"/>
    <w:rsid w:val="00F90C1F"/>
    <w:rsid w:val="00F912D9"/>
    <w:rsid w:val="00F91A44"/>
    <w:rsid w:val="00F91BFA"/>
    <w:rsid w:val="00F91F8F"/>
    <w:rsid w:val="00F9217B"/>
    <w:rsid w:val="00F956C3"/>
    <w:rsid w:val="00F9581C"/>
    <w:rsid w:val="00F97A34"/>
    <w:rsid w:val="00F97E4A"/>
    <w:rsid w:val="00F97EA1"/>
    <w:rsid w:val="00FA003A"/>
    <w:rsid w:val="00FA05C8"/>
    <w:rsid w:val="00FA0678"/>
    <w:rsid w:val="00FA0936"/>
    <w:rsid w:val="00FA0DB6"/>
    <w:rsid w:val="00FA23F7"/>
    <w:rsid w:val="00FA27EB"/>
    <w:rsid w:val="00FA2A29"/>
    <w:rsid w:val="00FA2C82"/>
    <w:rsid w:val="00FA35B6"/>
    <w:rsid w:val="00FA3EBC"/>
    <w:rsid w:val="00FA423C"/>
    <w:rsid w:val="00FA44D0"/>
    <w:rsid w:val="00FA4590"/>
    <w:rsid w:val="00FA49F7"/>
    <w:rsid w:val="00FA4A07"/>
    <w:rsid w:val="00FA53EA"/>
    <w:rsid w:val="00FA55A2"/>
    <w:rsid w:val="00FA672F"/>
    <w:rsid w:val="00FA67C8"/>
    <w:rsid w:val="00FA7472"/>
    <w:rsid w:val="00FA775E"/>
    <w:rsid w:val="00FA7792"/>
    <w:rsid w:val="00FA7AA8"/>
    <w:rsid w:val="00FA7F1D"/>
    <w:rsid w:val="00FB011C"/>
    <w:rsid w:val="00FB0D60"/>
    <w:rsid w:val="00FB18FD"/>
    <w:rsid w:val="00FB2BF5"/>
    <w:rsid w:val="00FB2F8E"/>
    <w:rsid w:val="00FB30BE"/>
    <w:rsid w:val="00FB30C3"/>
    <w:rsid w:val="00FB3693"/>
    <w:rsid w:val="00FB39B0"/>
    <w:rsid w:val="00FB5138"/>
    <w:rsid w:val="00FB547F"/>
    <w:rsid w:val="00FB56D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35C"/>
    <w:rsid w:val="00FC444A"/>
    <w:rsid w:val="00FC453D"/>
    <w:rsid w:val="00FC4A89"/>
    <w:rsid w:val="00FC619B"/>
    <w:rsid w:val="00FC665F"/>
    <w:rsid w:val="00FC68E8"/>
    <w:rsid w:val="00FC6C35"/>
    <w:rsid w:val="00FC6D59"/>
    <w:rsid w:val="00FC7561"/>
    <w:rsid w:val="00FC78CB"/>
    <w:rsid w:val="00FC78F5"/>
    <w:rsid w:val="00FC7ACA"/>
    <w:rsid w:val="00FC7AD2"/>
    <w:rsid w:val="00FC7C08"/>
    <w:rsid w:val="00FD10B3"/>
    <w:rsid w:val="00FD115D"/>
    <w:rsid w:val="00FD11C3"/>
    <w:rsid w:val="00FD154E"/>
    <w:rsid w:val="00FD24D7"/>
    <w:rsid w:val="00FD28B0"/>
    <w:rsid w:val="00FD2996"/>
    <w:rsid w:val="00FD29CE"/>
    <w:rsid w:val="00FD3AE2"/>
    <w:rsid w:val="00FD3E41"/>
    <w:rsid w:val="00FD3EFA"/>
    <w:rsid w:val="00FD400A"/>
    <w:rsid w:val="00FD54A8"/>
    <w:rsid w:val="00FD564D"/>
    <w:rsid w:val="00FD5AE4"/>
    <w:rsid w:val="00FD5F25"/>
    <w:rsid w:val="00FD60BE"/>
    <w:rsid w:val="00FD674B"/>
    <w:rsid w:val="00FD6894"/>
    <w:rsid w:val="00FD6AF0"/>
    <w:rsid w:val="00FD6BBB"/>
    <w:rsid w:val="00FD704D"/>
    <w:rsid w:val="00FD7249"/>
    <w:rsid w:val="00FD74EF"/>
    <w:rsid w:val="00FD79B8"/>
    <w:rsid w:val="00FD79F6"/>
    <w:rsid w:val="00FE033F"/>
    <w:rsid w:val="00FE07A8"/>
    <w:rsid w:val="00FE0AD1"/>
    <w:rsid w:val="00FE0CC0"/>
    <w:rsid w:val="00FE1852"/>
    <w:rsid w:val="00FE1963"/>
    <w:rsid w:val="00FE1981"/>
    <w:rsid w:val="00FE1BF1"/>
    <w:rsid w:val="00FE1C21"/>
    <w:rsid w:val="00FE332A"/>
    <w:rsid w:val="00FE33DB"/>
    <w:rsid w:val="00FE33F5"/>
    <w:rsid w:val="00FE352A"/>
    <w:rsid w:val="00FE37DD"/>
    <w:rsid w:val="00FE3C31"/>
    <w:rsid w:val="00FE3F01"/>
    <w:rsid w:val="00FE4015"/>
    <w:rsid w:val="00FE44F5"/>
    <w:rsid w:val="00FE4783"/>
    <w:rsid w:val="00FE480D"/>
    <w:rsid w:val="00FE4A0F"/>
    <w:rsid w:val="00FE4ACC"/>
    <w:rsid w:val="00FE4F80"/>
    <w:rsid w:val="00FE570E"/>
    <w:rsid w:val="00FE594D"/>
    <w:rsid w:val="00FE6870"/>
    <w:rsid w:val="00FE713E"/>
    <w:rsid w:val="00FE7877"/>
    <w:rsid w:val="00FE7DD1"/>
    <w:rsid w:val="00FF0B4F"/>
    <w:rsid w:val="00FF0F58"/>
    <w:rsid w:val="00FF150B"/>
    <w:rsid w:val="00FF183C"/>
    <w:rsid w:val="00FF1A06"/>
    <w:rsid w:val="00FF1AD3"/>
    <w:rsid w:val="00FF1B46"/>
    <w:rsid w:val="00FF219D"/>
    <w:rsid w:val="00FF2A7B"/>
    <w:rsid w:val="00FF2E8A"/>
    <w:rsid w:val="00FF3D2B"/>
    <w:rsid w:val="00FF427E"/>
    <w:rsid w:val="00FF49B4"/>
    <w:rsid w:val="00FF49D6"/>
    <w:rsid w:val="00FF49F4"/>
    <w:rsid w:val="00FF5781"/>
    <w:rsid w:val="00FF5897"/>
    <w:rsid w:val="00FF5C6A"/>
    <w:rsid w:val="00FF651D"/>
    <w:rsid w:val="00FF6843"/>
    <w:rsid w:val="00FF6C25"/>
    <w:rsid w:val="010651D9"/>
    <w:rsid w:val="010D2991"/>
    <w:rsid w:val="011F6449"/>
    <w:rsid w:val="01236AFB"/>
    <w:rsid w:val="019F7441"/>
    <w:rsid w:val="01B12EDC"/>
    <w:rsid w:val="01B37585"/>
    <w:rsid w:val="01D55165"/>
    <w:rsid w:val="01DF6BF8"/>
    <w:rsid w:val="01EC2C57"/>
    <w:rsid w:val="0202596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5C68"/>
    <w:rsid w:val="048B0EE3"/>
    <w:rsid w:val="048F763B"/>
    <w:rsid w:val="049F330E"/>
    <w:rsid w:val="04AA775C"/>
    <w:rsid w:val="04AF1889"/>
    <w:rsid w:val="04F66F48"/>
    <w:rsid w:val="05251E14"/>
    <w:rsid w:val="05A16594"/>
    <w:rsid w:val="05A7762D"/>
    <w:rsid w:val="060E5941"/>
    <w:rsid w:val="06100207"/>
    <w:rsid w:val="06110FAF"/>
    <w:rsid w:val="062F2CAA"/>
    <w:rsid w:val="06493CA7"/>
    <w:rsid w:val="065A6178"/>
    <w:rsid w:val="06642AFE"/>
    <w:rsid w:val="066F1CF3"/>
    <w:rsid w:val="06930BB8"/>
    <w:rsid w:val="06B234A2"/>
    <w:rsid w:val="06BE0C23"/>
    <w:rsid w:val="07245D42"/>
    <w:rsid w:val="07264C62"/>
    <w:rsid w:val="0779354C"/>
    <w:rsid w:val="08061376"/>
    <w:rsid w:val="08163E65"/>
    <w:rsid w:val="08452D77"/>
    <w:rsid w:val="0861033C"/>
    <w:rsid w:val="086401F8"/>
    <w:rsid w:val="08646E76"/>
    <w:rsid w:val="08751CAA"/>
    <w:rsid w:val="087E4C40"/>
    <w:rsid w:val="08D66AD6"/>
    <w:rsid w:val="08DA33A3"/>
    <w:rsid w:val="08E80F13"/>
    <w:rsid w:val="092E1A8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16DFC"/>
    <w:rsid w:val="0AA374A5"/>
    <w:rsid w:val="0AAB7649"/>
    <w:rsid w:val="0ABC5606"/>
    <w:rsid w:val="0AF90439"/>
    <w:rsid w:val="0B0A0458"/>
    <w:rsid w:val="0B30404E"/>
    <w:rsid w:val="0B487915"/>
    <w:rsid w:val="0B4C6C14"/>
    <w:rsid w:val="0B5F1DB6"/>
    <w:rsid w:val="0B631A88"/>
    <w:rsid w:val="0B683D45"/>
    <w:rsid w:val="0B722E34"/>
    <w:rsid w:val="0B7F3F11"/>
    <w:rsid w:val="0B884417"/>
    <w:rsid w:val="0BF507B6"/>
    <w:rsid w:val="0BF6188C"/>
    <w:rsid w:val="0BF73C91"/>
    <w:rsid w:val="0C170175"/>
    <w:rsid w:val="0C571A41"/>
    <w:rsid w:val="0C5C1171"/>
    <w:rsid w:val="0C5E1CBC"/>
    <w:rsid w:val="0C615B50"/>
    <w:rsid w:val="0C8445DA"/>
    <w:rsid w:val="0C87121B"/>
    <w:rsid w:val="0CC007F7"/>
    <w:rsid w:val="0CF673BD"/>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4958DC"/>
    <w:rsid w:val="0F515DF7"/>
    <w:rsid w:val="0F53605E"/>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B199F"/>
    <w:rsid w:val="11266F33"/>
    <w:rsid w:val="118963A1"/>
    <w:rsid w:val="11C6522A"/>
    <w:rsid w:val="11E104CC"/>
    <w:rsid w:val="11E20309"/>
    <w:rsid w:val="12255233"/>
    <w:rsid w:val="12530213"/>
    <w:rsid w:val="127723A9"/>
    <w:rsid w:val="12862074"/>
    <w:rsid w:val="12883966"/>
    <w:rsid w:val="129E45B4"/>
    <w:rsid w:val="12CE31C1"/>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862F9"/>
    <w:rsid w:val="15762120"/>
    <w:rsid w:val="15B6173D"/>
    <w:rsid w:val="16A456DC"/>
    <w:rsid w:val="16A8729C"/>
    <w:rsid w:val="16B33777"/>
    <w:rsid w:val="16BC70A7"/>
    <w:rsid w:val="16C6339E"/>
    <w:rsid w:val="172F2D79"/>
    <w:rsid w:val="17557BEF"/>
    <w:rsid w:val="17750F77"/>
    <w:rsid w:val="17D349C1"/>
    <w:rsid w:val="17FF73F0"/>
    <w:rsid w:val="18286B86"/>
    <w:rsid w:val="1830729E"/>
    <w:rsid w:val="1870062C"/>
    <w:rsid w:val="18817102"/>
    <w:rsid w:val="18830A15"/>
    <w:rsid w:val="18852B28"/>
    <w:rsid w:val="188B5321"/>
    <w:rsid w:val="19722C67"/>
    <w:rsid w:val="19932372"/>
    <w:rsid w:val="19A20DD5"/>
    <w:rsid w:val="19AE03F1"/>
    <w:rsid w:val="19DE01EC"/>
    <w:rsid w:val="1A071A03"/>
    <w:rsid w:val="1A1F16AE"/>
    <w:rsid w:val="1A3B5C77"/>
    <w:rsid w:val="1A984BAD"/>
    <w:rsid w:val="1AB8220E"/>
    <w:rsid w:val="1AE4166C"/>
    <w:rsid w:val="1AF06CFB"/>
    <w:rsid w:val="1AF11B8D"/>
    <w:rsid w:val="1B11359C"/>
    <w:rsid w:val="1B2A271F"/>
    <w:rsid w:val="1B530544"/>
    <w:rsid w:val="1B677821"/>
    <w:rsid w:val="1B713184"/>
    <w:rsid w:val="1BA209CF"/>
    <w:rsid w:val="1BB4777D"/>
    <w:rsid w:val="1BD75AB8"/>
    <w:rsid w:val="1C0459C2"/>
    <w:rsid w:val="1C1B3B4A"/>
    <w:rsid w:val="1C88086E"/>
    <w:rsid w:val="1CA81A08"/>
    <w:rsid w:val="1D266CE1"/>
    <w:rsid w:val="1D3963AF"/>
    <w:rsid w:val="1D6A673C"/>
    <w:rsid w:val="1D9247AE"/>
    <w:rsid w:val="1DB567EC"/>
    <w:rsid w:val="1DF51A98"/>
    <w:rsid w:val="1E307AA3"/>
    <w:rsid w:val="1E3D060F"/>
    <w:rsid w:val="1E3F7D2E"/>
    <w:rsid w:val="1E4134E4"/>
    <w:rsid w:val="1E5062B3"/>
    <w:rsid w:val="1E523514"/>
    <w:rsid w:val="1E714A66"/>
    <w:rsid w:val="1E802593"/>
    <w:rsid w:val="1EA703CC"/>
    <w:rsid w:val="1EB7330C"/>
    <w:rsid w:val="1F0A0FF3"/>
    <w:rsid w:val="1F5771FF"/>
    <w:rsid w:val="1F87003E"/>
    <w:rsid w:val="1FE868A9"/>
    <w:rsid w:val="20034907"/>
    <w:rsid w:val="20173E4B"/>
    <w:rsid w:val="20433693"/>
    <w:rsid w:val="204E48BC"/>
    <w:rsid w:val="208921B3"/>
    <w:rsid w:val="20973DEB"/>
    <w:rsid w:val="20B26522"/>
    <w:rsid w:val="20B44310"/>
    <w:rsid w:val="211116EB"/>
    <w:rsid w:val="214D3572"/>
    <w:rsid w:val="216133FC"/>
    <w:rsid w:val="21D56769"/>
    <w:rsid w:val="21E52EF3"/>
    <w:rsid w:val="21FB5D7B"/>
    <w:rsid w:val="220B1C3D"/>
    <w:rsid w:val="221D1D20"/>
    <w:rsid w:val="22334A87"/>
    <w:rsid w:val="22A42BBD"/>
    <w:rsid w:val="22BE6801"/>
    <w:rsid w:val="233500BF"/>
    <w:rsid w:val="23377FF7"/>
    <w:rsid w:val="234D3200"/>
    <w:rsid w:val="236B425F"/>
    <w:rsid w:val="236D1AE9"/>
    <w:rsid w:val="23836192"/>
    <w:rsid w:val="23901F29"/>
    <w:rsid w:val="239C0061"/>
    <w:rsid w:val="23B908A4"/>
    <w:rsid w:val="23E95BEF"/>
    <w:rsid w:val="23FD0064"/>
    <w:rsid w:val="245375B0"/>
    <w:rsid w:val="24642C0A"/>
    <w:rsid w:val="249B17F7"/>
    <w:rsid w:val="24B22173"/>
    <w:rsid w:val="24B95AD9"/>
    <w:rsid w:val="24BE24DA"/>
    <w:rsid w:val="24CF5825"/>
    <w:rsid w:val="24D663E6"/>
    <w:rsid w:val="24D77F2B"/>
    <w:rsid w:val="24F33E9A"/>
    <w:rsid w:val="251C31E3"/>
    <w:rsid w:val="258B00E2"/>
    <w:rsid w:val="25A917A6"/>
    <w:rsid w:val="25BE27CC"/>
    <w:rsid w:val="25F74A5C"/>
    <w:rsid w:val="2628662C"/>
    <w:rsid w:val="262A7858"/>
    <w:rsid w:val="262D45DE"/>
    <w:rsid w:val="26A53EF9"/>
    <w:rsid w:val="26A94201"/>
    <w:rsid w:val="26AC274F"/>
    <w:rsid w:val="27044A29"/>
    <w:rsid w:val="271D34C8"/>
    <w:rsid w:val="276142BF"/>
    <w:rsid w:val="27783712"/>
    <w:rsid w:val="27907362"/>
    <w:rsid w:val="27A73950"/>
    <w:rsid w:val="28333E1D"/>
    <w:rsid w:val="28454BD6"/>
    <w:rsid w:val="28455253"/>
    <w:rsid w:val="28551971"/>
    <w:rsid w:val="285B1C53"/>
    <w:rsid w:val="286D2667"/>
    <w:rsid w:val="289F7086"/>
    <w:rsid w:val="28C32028"/>
    <w:rsid w:val="28CC490F"/>
    <w:rsid w:val="28DE40AA"/>
    <w:rsid w:val="29345E77"/>
    <w:rsid w:val="294C65AD"/>
    <w:rsid w:val="29806583"/>
    <w:rsid w:val="298B3C4C"/>
    <w:rsid w:val="29AD2CCD"/>
    <w:rsid w:val="29EC34A5"/>
    <w:rsid w:val="29F26D24"/>
    <w:rsid w:val="2A15033F"/>
    <w:rsid w:val="2A1662C1"/>
    <w:rsid w:val="2A1C7367"/>
    <w:rsid w:val="2A2815FA"/>
    <w:rsid w:val="2A4E45E1"/>
    <w:rsid w:val="2A504498"/>
    <w:rsid w:val="2A6D6092"/>
    <w:rsid w:val="2A7D76B4"/>
    <w:rsid w:val="2ACE0CCA"/>
    <w:rsid w:val="2B2629E5"/>
    <w:rsid w:val="2B437463"/>
    <w:rsid w:val="2B7807EE"/>
    <w:rsid w:val="2B8B3764"/>
    <w:rsid w:val="2BBF00EC"/>
    <w:rsid w:val="2BC37CFD"/>
    <w:rsid w:val="2BD5237F"/>
    <w:rsid w:val="2BDF1F09"/>
    <w:rsid w:val="2BE536CE"/>
    <w:rsid w:val="2BE758D9"/>
    <w:rsid w:val="2C09049E"/>
    <w:rsid w:val="2C0A653C"/>
    <w:rsid w:val="2C191F85"/>
    <w:rsid w:val="2C6748DC"/>
    <w:rsid w:val="2C9A62E3"/>
    <w:rsid w:val="2CE82D6F"/>
    <w:rsid w:val="2D343236"/>
    <w:rsid w:val="2DC8E022"/>
    <w:rsid w:val="2DD15014"/>
    <w:rsid w:val="2DF72DE4"/>
    <w:rsid w:val="2E0220AF"/>
    <w:rsid w:val="2E4B082A"/>
    <w:rsid w:val="2E5D4E86"/>
    <w:rsid w:val="2E5D790B"/>
    <w:rsid w:val="2E9A3C18"/>
    <w:rsid w:val="2EBB0FEE"/>
    <w:rsid w:val="2EC63002"/>
    <w:rsid w:val="2F0A6B38"/>
    <w:rsid w:val="2F1E646B"/>
    <w:rsid w:val="2F946CCB"/>
    <w:rsid w:val="2FCE6F45"/>
    <w:rsid w:val="2FD25781"/>
    <w:rsid w:val="2FFD7934"/>
    <w:rsid w:val="30733ACD"/>
    <w:rsid w:val="30895216"/>
    <w:rsid w:val="308C3862"/>
    <w:rsid w:val="309379D8"/>
    <w:rsid w:val="30A270F7"/>
    <w:rsid w:val="30DF1478"/>
    <w:rsid w:val="30EC586F"/>
    <w:rsid w:val="31066D6A"/>
    <w:rsid w:val="319C6071"/>
    <w:rsid w:val="31AC537E"/>
    <w:rsid w:val="31D5367B"/>
    <w:rsid w:val="31E3679B"/>
    <w:rsid w:val="31E732FD"/>
    <w:rsid w:val="31F33E31"/>
    <w:rsid w:val="32517576"/>
    <w:rsid w:val="32A83FF7"/>
    <w:rsid w:val="32BE5C2C"/>
    <w:rsid w:val="32FB6478"/>
    <w:rsid w:val="33263B3F"/>
    <w:rsid w:val="336963EB"/>
    <w:rsid w:val="33816EEB"/>
    <w:rsid w:val="33EB55CD"/>
    <w:rsid w:val="33EC4C02"/>
    <w:rsid w:val="340D2360"/>
    <w:rsid w:val="3410665D"/>
    <w:rsid w:val="34211214"/>
    <w:rsid w:val="342E63AB"/>
    <w:rsid w:val="343520A9"/>
    <w:rsid w:val="34627162"/>
    <w:rsid w:val="34950E68"/>
    <w:rsid w:val="34986E94"/>
    <w:rsid w:val="34AF62C9"/>
    <w:rsid w:val="34CB4388"/>
    <w:rsid w:val="34D3006E"/>
    <w:rsid w:val="34FA6E12"/>
    <w:rsid w:val="358D5588"/>
    <w:rsid w:val="363A3B40"/>
    <w:rsid w:val="365302AE"/>
    <w:rsid w:val="36607A0A"/>
    <w:rsid w:val="366E227C"/>
    <w:rsid w:val="366F2E0D"/>
    <w:rsid w:val="367B6A5C"/>
    <w:rsid w:val="36A74ADA"/>
    <w:rsid w:val="36AD60D5"/>
    <w:rsid w:val="36B224F9"/>
    <w:rsid w:val="36EC0CC9"/>
    <w:rsid w:val="373F410B"/>
    <w:rsid w:val="37920DA3"/>
    <w:rsid w:val="37EE7094"/>
    <w:rsid w:val="37F92C99"/>
    <w:rsid w:val="38296C89"/>
    <w:rsid w:val="383002EB"/>
    <w:rsid w:val="38586797"/>
    <w:rsid w:val="38BC0149"/>
    <w:rsid w:val="38D87D1C"/>
    <w:rsid w:val="38DA1307"/>
    <w:rsid w:val="39636459"/>
    <w:rsid w:val="396B7F6C"/>
    <w:rsid w:val="3976752B"/>
    <w:rsid w:val="39B417A9"/>
    <w:rsid w:val="39BF1980"/>
    <w:rsid w:val="39FC5695"/>
    <w:rsid w:val="3A006D8E"/>
    <w:rsid w:val="3A2B7D1D"/>
    <w:rsid w:val="3A3651E5"/>
    <w:rsid w:val="3A741703"/>
    <w:rsid w:val="3A744481"/>
    <w:rsid w:val="3A8C7BEF"/>
    <w:rsid w:val="3A906246"/>
    <w:rsid w:val="3B2349B7"/>
    <w:rsid w:val="3B2B751A"/>
    <w:rsid w:val="3B616CFF"/>
    <w:rsid w:val="3B6259F6"/>
    <w:rsid w:val="3B6C7456"/>
    <w:rsid w:val="3B976654"/>
    <w:rsid w:val="3BBEE7F0"/>
    <w:rsid w:val="3BC01EFC"/>
    <w:rsid w:val="3BCA786A"/>
    <w:rsid w:val="3BD31E2F"/>
    <w:rsid w:val="3BF15831"/>
    <w:rsid w:val="3C105946"/>
    <w:rsid w:val="3C471448"/>
    <w:rsid w:val="3C5F759A"/>
    <w:rsid w:val="3C6C525A"/>
    <w:rsid w:val="3CBB5DCB"/>
    <w:rsid w:val="3CCE23CB"/>
    <w:rsid w:val="3CD100F4"/>
    <w:rsid w:val="3CD17D17"/>
    <w:rsid w:val="3D3C7F39"/>
    <w:rsid w:val="3D440F09"/>
    <w:rsid w:val="3D4504A0"/>
    <w:rsid w:val="3D67B1D9"/>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336EB"/>
    <w:rsid w:val="3F6363FE"/>
    <w:rsid w:val="3F756B8F"/>
    <w:rsid w:val="3F95482B"/>
    <w:rsid w:val="3FBFFE11"/>
    <w:rsid w:val="3FF7FBE4"/>
    <w:rsid w:val="4019356B"/>
    <w:rsid w:val="40592157"/>
    <w:rsid w:val="406E1CAE"/>
    <w:rsid w:val="40A0133A"/>
    <w:rsid w:val="40C31A53"/>
    <w:rsid w:val="40ED4AFA"/>
    <w:rsid w:val="40FF545D"/>
    <w:rsid w:val="410067C8"/>
    <w:rsid w:val="413E78FA"/>
    <w:rsid w:val="418F0D2A"/>
    <w:rsid w:val="41D01505"/>
    <w:rsid w:val="41E433F4"/>
    <w:rsid w:val="42474939"/>
    <w:rsid w:val="424C3C57"/>
    <w:rsid w:val="42613FF3"/>
    <w:rsid w:val="42660D96"/>
    <w:rsid w:val="428667D2"/>
    <w:rsid w:val="429F6EF8"/>
    <w:rsid w:val="42CD1CE0"/>
    <w:rsid w:val="42D326B7"/>
    <w:rsid w:val="42E1381E"/>
    <w:rsid w:val="42ED6459"/>
    <w:rsid w:val="42FE58DD"/>
    <w:rsid w:val="43174B3D"/>
    <w:rsid w:val="434B790E"/>
    <w:rsid w:val="4360274F"/>
    <w:rsid w:val="43977AB6"/>
    <w:rsid w:val="43A3342B"/>
    <w:rsid w:val="43BA3820"/>
    <w:rsid w:val="43C77C27"/>
    <w:rsid w:val="43DE09EE"/>
    <w:rsid w:val="44002FAD"/>
    <w:rsid w:val="44066811"/>
    <w:rsid w:val="445F0B62"/>
    <w:rsid w:val="4462171E"/>
    <w:rsid w:val="449101DD"/>
    <w:rsid w:val="44DE1391"/>
    <w:rsid w:val="451B225C"/>
    <w:rsid w:val="452410C9"/>
    <w:rsid w:val="45317DFB"/>
    <w:rsid w:val="456D3CE4"/>
    <w:rsid w:val="4579042C"/>
    <w:rsid w:val="457F0571"/>
    <w:rsid w:val="45851176"/>
    <w:rsid w:val="45C63B94"/>
    <w:rsid w:val="460E7DA5"/>
    <w:rsid w:val="464222BD"/>
    <w:rsid w:val="46422483"/>
    <w:rsid w:val="4659254A"/>
    <w:rsid w:val="465B0637"/>
    <w:rsid w:val="465E3F0D"/>
    <w:rsid w:val="466A16E6"/>
    <w:rsid w:val="46893F2B"/>
    <w:rsid w:val="46C4686E"/>
    <w:rsid w:val="477B778F"/>
    <w:rsid w:val="478203EC"/>
    <w:rsid w:val="47B025FA"/>
    <w:rsid w:val="47C14C76"/>
    <w:rsid w:val="4809698F"/>
    <w:rsid w:val="4811697D"/>
    <w:rsid w:val="487A3E25"/>
    <w:rsid w:val="488B5503"/>
    <w:rsid w:val="48937E21"/>
    <w:rsid w:val="489A0361"/>
    <w:rsid w:val="48B94FF3"/>
    <w:rsid w:val="48BC481F"/>
    <w:rsid w:val="48C91E9C"/>
    <w:rsid w:val="48E37AAB"/>
    <w:rsid w:val="48FD4B4C"/>
    <w:rsid w:val="490A68E0"/>
    <w:rsid w:val="491055FE"/>
    <w:rsid w:val="494B4C51"/>
    <w:rsid w:val="495F5B3E"/>
    <w:rsid w:val="496F77D7"/>
    <w:rsid w:val="497654FD"/>
    <w:rsid w:val="4983261A"/>
    <w:rsid w:val="4994413B"/>
    <w:rsid w:val="49B64211"/>
    <w:rsid w:val="49F6167F"/>
    <w:rsid w:val="4A064FA0"/>
    <w:rsid w:val="4A16615C"/>
    <w:rsid w:val="4A4424D7"/>
    <w:rsid w:val="4AB82D0F"/>
    <w:rsid w:val="4AEB7664"/>
    <w:rsid w:val="4AFD7C19"/>
    <w:rsid w:val="4B0567D1"/>
    <w:rsid w:val="4B236AAE"/>
    <w:rsid w:val="4B632DA9"/>
    <w:rsid w:val="4B707271"/>
    <w:rsid w:val="4B836777"/>
    <w:rsid w:val="4B9739F7"/>
    <w:rsid w:val="4BC7459F"/>
    <w:rsid w:val="4BE7742C"/>
    <w:rsid w:val="4BEE2503"/>
    <w:rsid w:val="4C245A30"/>
    <w:rsid w:val="4CA455B7"/>
    <w:rsid w:val="4CB6685F"/>
    <w:rsid w:val="4CC367FE"/>
    <w:rsid w:val="4D073E57"/>
    <w:rsid w:val="4D077F3C"/>
    <w:rsid w:val="4D0B7988"/>
    <w:rsid w:val="4D123355"/>
    <w:rsid w:val="4D2A3B31"/>
    <w:rsid w:val="4D312C52"/>
    <w:rsid w:val="4D905305"/>
    <w:rsid w:val="4D964A72"/>
    <w:rsid w:val="4D9C1254"/>
    <w:rsid w:val="4DE131FF"/>
    <w:rsid w:val="4E615B84"/>
    <w:rsid w:val="4E793892"/>
    <w:rsid w:val="4E800872"/>
    <w:rsid w:val="4EC569ED"/>
    <w:rsid w:val="4EC959E7"/>
    <w:rsid w:val="4ED50EA1"/>
    <w:rsid w:val="4EEC050C"/>
    <w:rsid w:val="4F104EC3"/>
    <w:rsid w:val="4F47354A"/>
    <w:rsid w:val="4F911C54"/>
    <w:rsid w:val="4FE625E0"/>
    <w:rsid w:val="50084580"/>
    <w:rsid w:val="500B1F29"/>
    <w:rsid w:val="5021480F"/>
    <w:rsid w:val="50962ECB"/>
    <w:rsid w:val="50A42E38"/>
    <w:rsid w:val="50A4577F"/>
    <w:rsid w:val="50B73D1F"/>
    <w:rsid w:val="50BD5BC9"/>
    <w:rsid w:val="50C11EEE"/>
    <w:rsid w:val="50E97CFC"/>
    <w:rsid w:val="50FA4028"/>
    <w:rsid w:val="510D65B7"/>
    <w:rsid w:val="511157AB"/>
    <w:rsid w:val="5142540C"/>
    <w:rsid w:val="5177735F"/>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74B50"/>
    <w:rsid w:val="54013861"/>
    <w:rsid w:val="54487265"/>
    <w:rsid w:val="544D6070"/>
    <w:rsid w:val="54605E1E"/>
    <w:rsid w:val="54B3506A"/>
    <w:rsid w:val="54CA0D16"/>
    <w:rsid w:val="54DD4057"/>
    <w:rsid w:val="54E7490F"/>
    <w:rsid w:val="550764A4"/>
    <w:rsid w:val="550B2BF6"/>
    <w:rsid w:val="55214EB5"/>
    <w:rsid w:val="55364EFD"/>
    <w:rsid w:val="55534144"/>
    <w:rsid w:val="555D4828"/>
    <w:rsid w:val="557A4C8B"/>
    <w:rsid w:val="558931E1"/>
    <w:rsid w:val="55923347"/>
    <w:rsid w:val="55925180"/>
    <w:rsid w:val="55983B1B"/>
    <w:rsid w:val="55A8376B"/>
    <w:rsid w:val="55DC29B6"/>
    <w:rsid w:val="55DD4241"/>
    <w:rsid w:val="56535401"/>
    <w:rsid w:val="566B6D1E"/>
    <w:rsid w:val="56A96530"/>
    <w:rsid w:val="56E71853"/>
    <w:rsid w:val="57032A2C"/>
    <w:rsid w:val="570F5219"/>
    <w:rsid w:val="575D12B5"/>
    <w:rsid w:val="57610A87"/>
    <w:rsid w:val="577B1140"/>
    <w:rsid w:val="577B7F21"/>
    <w:rsid w:val="577F181B"/>
    <w:rsid w:val="577FE0ED"/>
    <w:rsid w:val="57921984"/>
    <w:rsid w:val="579737F0"/>
    <w:rsid w:val="57A95129"/>
    <w:rsid w:val="57AB7B30"/>
    <w:rsid w:val="57AF5251"/>
    <w:rsid w:val="57B26373"/>
    <w:rsid w:val="57B63F04"/>
    <w:rsid w:val="57CD20C2"/>
    <w:rsid w:val="57D675AB"/>
    <w:rsid w:val="57D95FDD"/>
    <w:rsid w:val="57E66F6F"/>
    <w:rsid w:val="58917D2F"/>
    <w:rsid w:val="5894085C"/>
    <w:rsid w:val="58AE4F0C"/>
    <w:rsid w:val="58B85899"/>
    <w:rsid w:val="58D97E3F"/>
    <w:rsid w:val="58E363A9"/>
    <w:rsid w:val="59170D31"/>
    <w:rsid w:val="595E1678"/>
    <w:rsid w:val="596D5BD4"/>
    <w:rsid w:val="597E3DD8"/>
    <w:rsid w:val="59C13683"/>
    <w:rsid w:val="59F80043"/>
    <w:rsid w:val="5A09252F"/>
    <w:rsid w:val="5A0B2778"/>
    <w:rsid w:val="5A2A7C7B"/>
    <w:rsid w:val="5A3E2560"/>
    <w:rsid w:val="5A5D3B6E"/>
    <w:rsid w:val="5A637A76"/>
    <w:rsid w:val="5A6D33BA"/>
    <w:rsid w:val="5A792B1F"/>
    <w:rsid w:val="5A874767"/>
    <w:rsid w:val="5AAD6F28"/>
    <w:rsid w:val="5AD63A24"/>
    <w:rsid w:val="5B2E1A1D"/>
    <w:rsid w:val="5B7E3EDC"/>
    <w:rsid w:val="5B843A1C"/>
    <w:rsid w:val="5B873E3F"/>
    <w:rsid w:val="5BD1436C"/>
    <w:rsid w:val="5C02690E"/>
    <w:rsid w:val="5C196DA7"/>
    <w:rsid w:val="5C2A048C"/>
    <w:rsid w:val="5C80234E"/>
    <w:rsid w:val="5C8A680C"/>
    <w:rsid w:val="5D0C4701"/>
    <w:rsid w:val="5D0F0395"/>
    <w:rsid w:val="5D1230C5"/>
    <w:rsid w:val="5D221076"/>
    <w:rsid w:val="5D2E2AD0"/>
    <w:rsid w:val="5D397964"/>
    <w:rsid w:val="5D5A391C"/>
    <w:rsid w:val="5D5F10C0"/>
    <w:rsid w:val="5D891B7B"/>
    <w:rsid w:val="5DAD38EE"/>
    <w:rsid w:val="5E006862"/>
    <w:rsid w:val="5E0207B9"/>
    <w:rsid w:val="5E030FF6"/>
    <w:rsid w:val="5E1834A1"/>
    <w:rsid w:val="5E261785"/>
    <w:rsid w:val="5E4A7017"/>
    <w:rsid w:val="5E552BBA"/>
    <w:rsid w:val="5E611C10"/>
    <w:rsid w:val="5EFC7377"/>
    <w:rsid w:val="5EFF2CA6"/>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C6A35"/>
    <w:rsid w:val="624F3E49"/>
    <w:rsid w:val="62632286"/>
    <w:rsid w:val="62885958"/>
    <w:rsid w:val="62F12A2A"/>
    <w:rsid w:val="62F40B65"/>
    <w:rsid w:val="62FC2CFE"/>
    <w:rsid w:val="63024505"/>
    <w:rsid w:val="6354586C"/>
    <w:rsid w:val="635B1DB5"/>
    <w:rsid w:val="63711FED"/>
    <w:rsid w:val="63880DDC"/>
    <w:rsid w:val="638D750D"/>
    <w:rsid w:val="63AC6CC0"/>
    <w:rsid w:val="63B609B6"/>
    <w:rsid w:val="64055776"/>
    <w:rsid w:val="64240056"/>
    <w:rsid w:val="642751DF"/>
    <w:rsid w:val="643E143A"/>
    <w:rsid w:val="648B6EEF"/>
    <w:rsid w:val="64C158BF"/>
    <w:rsid w:val="64CE2EAA"/>
    <w:rsid w:val="65053D6A"/>
    <w:rsid w:val="653C3090"/>
    <w:rsid w:val="65744634"/>
    <w:rsid w:val="65854376"/>
    <w:rsid w:val="658767BE"/>
    <w:rsid w:val="65892531"/>
    <w:rsid w:val="65CA293B"/>
    <w:rsid w:val="66195831"/>
    <w:rsid w:val="662E75B1"/>
    <w:rsid w:val="662F710B"/>
    <w:rsid w:val="66342C2E"/>
    <w:rsid w:val="663E784C"/>
    <w:rsid w:val="668B6A45"/>
    <w:rsid w:val="668F4233"/>
    <w:rsid w:val="672F3F24"/>
    <w:rsid w:val="673E055F"/>
    <w:rsid w:val="67551CE3"/>
    <w:rsid w:val="67A22552"/>
    <w:rsid w:val="67B22DCC"/>
    <w:rsid w:val="67BE71AA"/>
    <w:rsid w:val="67D90273"/>
    <w:rsid w:val="67DE5875"/>
    <w:rsid w:val="67E55852"/>
    <w:rsid w:val="67EB1AB4"/>
    <w:rsid w:val="67EE3DB1"/>
    <w:rsid w:val="67F58F01"/>
    <w:rsid w:val="67FA1285"/>
    <w:rsid w:val="685228CA"/>
    <w:rsid w:val="68551F4F"/>
    <w:rsid w:val="687C10C9"/>
    <w:rsid w:val="68840C16"/>
    <w:rsid w:val="68876EFB"/>
    <w:rsid w:val="68884654"/>
    <w:rsid w:val="689F444F"/>
    <w:rsid w:val="68B96DBB"/>
    <w:rsid w:val="68CA2805"/>
    <w:rsid w:val="68E937A3"/>
    <w:rsid w:val="68EB0086"/>
    <w:rsid w:val="690A41D9"/>
    <w:rsid w:val="693E15D3"/>
    <w:rsid w:val="69627681"/>
    <w:rsid w:val="6977531D"/>
    <w:rsid w:val="69CC2BFF"/>
    <w:rsid w:val="69FD55B8"/>
    <w:rsid w:val="6A0B1C62"/>
    <w:rsid w:val="6A2406C8"/>
    <w:rsid w:val="6A4441E0"/>
    <w:rsid w:val="6A505BEF"/>
    <w:rsid w:val="6A8412C2"/>
    <w:rsid w:val="6AD9F682"/>
    <w:rsid w:val="6ADE0BD1"/>
    <w:rsid w:val="6AE96859"/>
    <w:rsid w:val="6B142AD9"/>
    <w:rsid w:val="6B147746"/>
    <w:rsid w:val="6B24787C"/>
    <w:rsid w:val="6B573233"/>
    <w:rsid w:val="6B5B6274"/>
    <w:rsid w:val="6B6E2C9C"/>
    <w:rsid w:val="6B935D53"/>
    <w:rsid w:val="6BEBD28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D66C2"/>
    <w:rsid w:val="6E8335BD"/>
    <w:rsid w:val="6E8E12EF"/>
    <w:rsid w:val="6E972936"/>
    <w:rsid w:val="6ED446C5"/>
    <w:rsid w:val="6F2A7D94"/>
    <w:rsid w:val="6F365C3D"/>
    <w:rsid w:val="6F8331F1"/>
    <w:rsid w:val="6F9D73F9"/>
    <w:rsid w:val="6FAE1A09"/>
    <w:rsid w:val="6FD75BF8"/>
    <w:rsid w:val="707723D0"/>
    <w:rsid w:val="70F5661B"/>
    <w:rsid w:val="71360107"/>
    <w:rsid w:val="713B688E"/>
    <w:rsid w:val="71D43752"/>
    <w:rsid w:val="71F1796A"/>
    <w:rsid w:val="72154626"/>
    <w:rsid w:val="722258DC"/>
    <w:rsid w:val="72262B5D"/>
    <w:rsid w:val="72283FF7"/>
    <w:rsid w:val="722E7212"/>
    <w:rsid w:val="723A0474"/>
    <w:rsid w:val="725923E4"/>
    <w:rsid w:val="72864BF7"/>
    <w:rsid w:val="728C5DC3"/>
    <w:rsid w:val="729023FC"/>
    <w:rsid w:val="73C0646E"/>
    <w:rsid w:val="742222F5"/>
    <w:rsid w:val="74476126"/>
    <w:rsid w:val="74706664"/>
    <w:rsid w:val="747F3682"/>
    <w:rsid w:val="749C4185"/>
    <w:rsid w:val="75067759"/>
    <w:rsid w:val="752E6DCD"/>
    <w:rsid w:val="7551380D"/>
    <w:rsid w:val="75600BE5"/>
    <w:rsid w:val="7564475C"/>
    <w:rsid w:val="756A22C6"/>
    <w:rsid w:val="7583797F"/>
    <w:rsid w:val="75D20F1D"/>
    <w:rsid w:val="75DA2C18"/>
    <w:rsid w:val="75F54412"/>
    <w:rsid w:val="75FF6AB4"/>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7B105"/>
    <w:rsid w:val="78344A7C"/>
    <w:rsid w:val="78534F43"/>
    <w:rsid w:val="78775729"/>
    <w:rsid w:val="78902FBA"/>
    <w:rsid w:val="78A42DB0"/>
    <w:rsid w:val="78A656AB"/>
    <w:rsid w:val="78AE26DA"/>
    <w:rsid w:val="78B2245C"/>
    <w:rsid w:val="78E172CC"/>
    <w:rsid w:val="78EA1D1F"/>
    <w:rsid w:val="7904172F"/>
    <w:rsid w:val="790F7E27"/>
    <w:rsid w:val="791A69E7"/>
    <w:rsid w:val="792A231A"/>
    <w:rsid w:val="79316829"/>
    <w:rsid w:val="797E66A9"/>
    <w:rsid w:val="79A97383"/>
    <w:rsid w:val="79E27E8B"/>
    <w:rsid w:val="79F76D98"/>
    <w:rsid w:val="79F850CE"/>
    <w:rsid w:val="79FD443C"/>
    <w:rsid w:val="7A1D1975"/>
    <w:rsid w:val="7A3E5150"/>
    <w:rsid w:val="7A4670D6"/>
    <w:rsid w:val="7A534B63"/>
    <w:rsid w:val="7A615382"/>
    <w:rsid w:val="7A67303B"/>
    <w:rsid w:val="7AAB1D04"/>
    <w:rsid w:val="7AAF1560"/>
    <w:rsid w:val="7ABA4368"/>
    <w:rsid w:val="7AD05746"/>
    <w:rsid w:val="7B257FFD"/>
    <w:rsid w:val="7B343476"/>
    <w:rsid w:val="7B5A2978"/>
    <w:rsid w:val="7B5A7E4C"/>
    <w:rsid w:val="7B667AF9"/>
    <w:rsid w:val="7B7468F8"/>
    <w:rsid w:val="7B911309"/>
    <w:rsid w:val="7BEE0103"/>
    <w:rsid w:val="7C0A0FE4"/>
    <w:rsid w:val="7C254906"/>
    <w:rsid w:val="7C590818"/>
    <w:rsid w:val="7C7C10F6"/>
    <w:rsid w:val="7C853BEA"/>
    <w:rsid w:val="7C881368"/>
    <w:rsid w:val="7CE27788"/>
    <w:rsid w:val="7D0C32F1"/>
    <w:rsid w:val="7D0F408D"/>
    <w:rsid w:val="7D3F6BF9"/>
    <w:rsid w:val="7D491C6C"/>
    <w:rsid w:val="7D5429C0"/>
    <w:rsid w:val="7D6E6D43"/>
    <w:rsid w:val="7DB57A34"/>
    <w:rsid w:val="7DE60973"/>
    <w:rsid w:val="7DEF0916"/>
    <w:rsid w:val="7E1E5218"/>
    <w:rsid w:val="7E480746"/>
    <w:rsid w:val="7E6A07B7"/>
    <w:rsid w:val="7E9A4E1F"/>
    <w:rsid w:val="7EA7723A"/>
    <w:rsid w:val="7EF56FBB"/>
    <w:rsid w:val="7EF7152C"/>
    <w:rsid w:val="7EFF167C"/>
    <w:rsid w:val="7F0768EB"/>
    <w:rsid w:val="7F143BEC"/>
    <w:rsid w:val="7F4A4CB9"/>
    <w:rsid w:val="7F715AF2"/>
    <w:rsid w:val="7F7D0FA6"/>
    <w:rsid w:val="7F886E69"/>
    <w:rsid w:val="7FBF0504"/>
    <w:rsid w:val="7FF43DE1"/>
    <w:rsid w:val="A7EF7B11"/>
    <w:rsid w:val="A7FF18CA"/>
    <w:rsid w:val="B37FFD45"/>
    <w:rsid w:val="B7FA3098"/>
    <w:rsid w:val="BB7FA927"/>
    <w:rsid w:val="C3B749F9"/>
    <w:rsid w:val="D49D3BF1"/>
    <w:rsid w:val="EDC7265A"/>
    <w:rsid w:val="EFC75B07"/>
    <w:rsid w:val="F5FFD31F"/>
    <w:rsid w:val="FEFFB8F9"/>
    <w:rsid w:val="FF4F40A6"/>
    <w:rsid w:val="FF8F6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nhideWhenUsed="0" w:uiPriority="99" w:semiHidden="0" w:name="index 5"/>
    <w:lsdException w:qFormat="1" w:uiPriority="99" w:semiHidden="0" w:name="index 6"/>
    <w:lsdException w:qFormat="1" w:uiPriority="99" w:semiHidden="0" w:name="index 7"/>
    <w:lsdException w:qFormat="1"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iPriority="99"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99" w:semiHidden="0" w:name="List 3"/>
    <w:lsdException w:qFormat="1" w:uiPriority="99" w:semiHidden="0" w:name="List 4"/>
    <w:lsdException w:qFormat="1" w:unhideWhenUsed="0" w:uiPriority="99" w:semiHidden="0" w:name="List 5"/>
    <w:lsdException w:qFormat="1" w:unhideWhenUsed="0" w:uiPriority="99" w:semiHidden="0" w:name="List Bullet 2"/>
    <w:lsdException w:qFormat="1" w:uiPriority="99" w:semiHidden="0" w:name="List Bullet 3"/>
    <w:lsdException w:qFormat="1" w:uiPriority="0" w:semiHidden="0" w:name="List Bullet 4"/>
    <w:lsdException w:qFormat="1"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iPriority="99" w:semiHidden="0" w:name="Closing"/>
    <w:lsdException w:qFormat="1" w:unhideWhenUsed="0"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nhideWhenUsed="0"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3"/>
    <w:qFormat/>
    <w:uiPriority w:val="9"/>
    <w:pPr>
      <w:keepNext/>
      <w:keepLines/>
      <w:tabs>
        <w:tab w:val="left" w:pos="432"/>
      </w:tabs>
      <w:snapToGrid w:val="0"/>
      <w:spacing w:line="360" w:lineRule="auto"/>
      <w:outlineLvl w:val="0"/>
    </w:pPr>
    <w:rPr>
      <w:b/>
      <w:bCs/>
      <w:kern w:val="44"/>
      <w:sz w:val="36"/>
      <w:szCs w:val="44"/>
    </w:rPr>
  </w:style>
  <w:style w:type="paragraph" w:styleId="5">
    <w:name w:val="heading 2"/>
    <w:basedOn w:val="4"/>
    <w:next w:val="1"/>
    <w:link w:val="1101"/>
    <w:qFormat/>
    <w:uiPriority w:val="0"/>
    <w:pPr>
      <w:jc w:val="left"/>
      <w:outlineLvl w:val="1"/>
    </w:pPr>
    <w:rPr>
      <w:rFonts w:ascii="仿宋_GB2312" w:hAnsi="仿宋_GB2312"/>
      <w:sz w:val="28"/>
      <w:szCs w:val="32"/>
      <w:lang w:val="zh-CN"/>
    </w:rPr>
  </w:style>
  <w:style w:type="paragraph" w:styleId="6">
    <w:name w:val="heading 3"/>
    <w:basedOn w:val="1"/>
    <w:next w:val="1"/>
    <w:link w:val="1100"/>
    <w:qFormat/>
    <w:uiPriority w:val="0"/>
    <w:pPr>
      <w:keepNext/>
      <w:keepLines/>
      <w:tabs>
        <w:tab w:val="left" w:pos="900"/>
      </w:tabs>
      <w:snapToGrid w:val="0"/>
      <w:spacing w:line="360" w:lineRule="auto"/>
      <w:outlineLvl w:val="2"/>
    </w:pPr>
    <w:rPr>
      <w:b/>
      <w:bCs/>
      <w:sz w:val="24"/>
      <w:szCs w:val="32"/>
    </w:rPr>
  </w:style>
  <w:style w:type="paragraph" w:styleId="7">
    <w:name w:val="heading 4"/>
    <w:basedOn w:val="1"/>
    <w:next w:val="1"/>
    <w:link w:val="75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756"/>
    <w:qFormat/>
    <w:uiPriority w:val="0"/>
    <w:pPr>
      <w:keepNext/>
      <w:keepLines/>
      <w:tabs>
        <w:tab w:val="left" w:pos="1008"/>
      </w:tabs>
      <w:snapToGrid w:val="0"/>
      <w:spacing w:line="360" w:lineRule="auto"/>
      <w:outlineLvl w:val="4"/>
    </w:pPr>
    <w:rPr>
      <w:b/>
      <w:bCs/>
      <w:sz w:val="28"/>
      <w:szCs w:val="28"/>
    </w:rPr>
  </w:style>
  <w:style w:type="paragraph" w:styleId="9">
    <w:name w:val="heading 6"/>
    <w:basedOn w:val="1"/>
    <w:next w:val="1"/>
    <w:link w:val="757"/>
    <w:qFormat/>
    <w:uiPriority w:val="0"/>
    <w:pPr>
      <w:keepNext/>
      <w:keepLines/>
      <w:tabs>
        <w:tab w:val="left" w:pos="1152"/>
      </w:tabs>
      <w:snapToGrid w:val="0"/>
      <w:spacing w:line="360" w:lineRule="auto"/>
      <w:outlineLvl w:val="5"/>
    </w:pPr>
    <w:rPr>
      <w:rFonts w:ascii="Arial" w:hAnsi="Arial" w:eastAsia="黑体"/>
      <w:b/>
      <w:bCs/>
      <w:sz w:val="24"/>
    </w:rPr>
  </w:style>
  <w:style w:type="paragraph" w:styleId="10">
    <w:name w:val="heading 7"/>
    <w:basedOn w:val="1"/>
    <w:next w:val="1"/>
    <w:link w:val="758"/>
    <w:qFormat/>
    <w:uiPriority w:val="0"/>
    <w:pPr>
      <w:keepNext/>
      <w:keepLines/>
      <w:tabs>
        <w:tab w:val="left" w:pos="1296"/>
      </w:tabs>
      <w:snapToGrid w:val="0"/>
      <w:spacing w:line="360" w:lineRule="auto"/>
      <w:outlineLvl w:val="6"/>
    </w:pPr>
    <w:rPr>
      <w:b/>
      <w:bCs/>
      <w:sz w:val="28"/>
    </w:rPr>
  </w:style>
  <w:style w:type="paragraph" w:styleId="11">
    <w:name w:val="heading 8"/>
    <w:basedOn w:val="1"/>
    <w:next w:val="1"/>
    <w:link w:val="7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6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95">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67"/>
    <w:qFormat/>
    <w:uiPriority w:val="0"/>
    <w:pPr>
      <w:spacing w:line="480" w:lineRule="exact"/>
      <w:ind w:firstLine="480" w:firstLineChars="200"/>
    </w:pPr>
    <w:rPr>
      <w:rFonts w:ascii="宋体" w:hAnsi="宋体"/>
      <w:sz w:val="24"/>
    </w:rPr>
  </w:style>
  <w:style w:type="paragraph" w:styleId="3">
    <w:name w:val="macro"/>
    <w:link w:val="111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adjustRightInd/>
      <w:spacing w:line="360" w:lineRule="auto"/>
      <w:ind w:left="100" w:leftChars="400" w:hanging="200" w:hangingChars="200"/>
      <w:contextualSpacing/>
    </w:pPr>
    <w:rPr>
      <w:rFonts w:ascii="Calibri" w:hAnsi="Calibri"/>
      <w:sz w:val="28"/>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6">
    <w:name w:val="table of authorities"/>
    <w:basedOn w:val="1"/>
    <w:next w:val="1"/>
    <w:unhideWhenUsed/>
    <w:qFormat/>
    <w:uiPriority w:val="99"/>
    <w:pPr>
      <w:adjustRightInd/>
      <w:spacing w:line="360" w:lineRule="auto"/>
      <w:ind w:left="420" w:leftChars="200"/>
    </w:pPr>
    <w:rPr>
      <w:rFonts w:ascii="Calibri" w:hAnsi="Calibri"/>
      <w:sz w:val="28"/>
      <w:szCs w:val="20"/>
    </w:rPr>
  </w:style>
  <w:style w:type="paragraph" w:styleId="17">
    <w:name w:val="Note Heading"/>
    <w:basedOn w:val="1"/>
    <w:next w:val="1"/>
    <w:link w:val="1120"/>
    <w:unhideWhenUsed/>
    <w:qFormat/>
    <w:uiPriority w:val="99"/>
    <w:pPr>
      <w:adjustRightInd/>
      <w:spacing w:line="360" w:lineRule="auto"/>
      <w:jc w:val="center"/>
    </w:pPr>
    <w:rPr>
      <w:rFonts w:ascii="Calibri" w:hAnsi="Calibri"/>
      <w:sz w:val="28"/>
      <w:szCs w:val="20"/>
    </w:rPr>
  </w:style>
  <w:style w:type="paragraph" w:styleId="18">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index 8"/>
    <w:basedOn w:val="1"/>
    <w:next w:val="1"/>
    <w:unhideWhenUsed/>
    <w:qFormat/>
    <w:uiPriority w:val="99"/>
    <w:pPr>
      <w:adjustRightInd/>
      <w:spacing w:line="360" w:lineRule="auto"/>
      <w:ind w:left="1400" w:leftChars="1400"/>
    </w:pPr>
    <w:rPr>
      <w:rFonts w:ascii="Calibri" w:hAnsi="Calibri"/>
      <w:sz w:val="28"/>
      <w:szCs w:val="20"/>
    </w:rPr>
  </w:style>
  <w:style w:type="paragraph" w:styleId="20">
    <w:name w:val="E-mail Signature"/>
    <w:basedOn w:val="1"/>
    <w:link w:val="1121"/>
    <w:unhideWhenUsed/>
    <w:qFormat/>
    <w:uiPriority w:val="99"/>
    <w:pPr>
      <w:adjustRightInd/>
      <w:spacing w:line="360" w:lineRule="auto"/>
    </w:pPr>
    <w:rPr>
      <w:rFonts w:ascii="Calibri" w:hAnsi="Calibri"/>
      <w:sz w:val="28"/>
      <w:szCs w:val="20"/>
    </w:rPr>
  </w:style>
  <w:style w:type="paragraph" w:styleId="21">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22">
    <w:name w:val="Normal Indent"/>
    <w:basedOn w:val="1"/>
    <w:link w:val="754"/>
    <w:qFormat/>
    <w:uiPriority w:val="99"/>
    <w:pPr>
      <w:widowControl/>
      <w:snapToGrid w:val="0"/>
      <w:spacing w:line="480" w:lineRule="exact"/>
      <w:ind w:firstLine="567"/>
    </w:pPr>
    <w:rPr>
      <w:rFonts w:ascii="宋体"/>
      <w:snapToGrid w:val="0"/>
      <w:color w:val="000000"/>
      <w:kern w:val="28"/>
      <w:sz w:val="28"/>
      <w:szCs w:val="20"/>
    </w:rPr>
  </w:style>
  <w:style w:type="paragraph" w:styleId="23">
    <w:name w:val="caption"/>
    <w:basedOn w:val="1"/>
    <w:next w:val="1"/>
    <w:link w:val="761"/>
    <w:qFormat/>
    <w:uiPriority w:val="35"/>
    <w:rPr>
      <w:b/>
      <w:sz w:val="28"/>
      <w:szCs w:val="20"/>
    </w:rPr>
  </w:style>
  <w:style w:type="paragraph" w:styleId="24">
    <w:name w:val="index 5"/>
    <w:basedOn w:val="1"/>
    <w:next w:val="1"/>
    <w:qFormat/>
    <w:uiPriority w:val="99"/>
    <w:pPr>
      <w:adjustRightInd/>
      <w:ind w:left="800" w:leftChars="800" w:firstLine="200" w:firstLineChars="200"/>
    </w:pPr>
  </w:style>
  <w:style w:type="paragraph" w:styleId="25">
    <w:name w:val="List Bullet"/>
    <w:basedOn w:val="1"/>
    <w:qFormat/>
    <w:uiPriority w:val="99"/>
    <w:pPr>
      <w:numPr>
        <w:ilvl w:val="0"/>
        <w:numId w:val="1"/>
      </w:numPr>
      <w:tabs>
        <w:tab w:val="left" w:pos="360"/>
      </w:tabs>
      <w:adjustRightInd/>
      <w:spacing w:line="360" w:lineRule="auto"/>
    </w:pPr>
    <w:rPr>
      <w:kern w:val="0"/>
      <w:sz w:val="24"/>
      <w:szCs w:val="20"/>
    </w:rPr>
  </w:style>
  <w:style w:type="paragraph" w:styleId="26">
    <w:name w:val="envelope address"/>
    <w:basedOn w:val="1"/>
    <w:unhideWhenUsed/>
    <w:qFormat/>
    <w:uiPriority w:val="99"/>
    <w:pPr>
      <w:framePr w:w="7920" w:h="1980" w:hRule="exact" w:hSpace="180" w:wrap="around" w:vAnchor="margin" w:hAnchor="page" w:xAlign="center" w:yAlign="bottom"/>
      <w:adjustRightInd/>
      <w:snapToGrid w:val="0"/>
      <w:spacing w:line="360" w:lineRule="auto"/>
      <w:ind w:left="100" w:leftChars="1400"/>
    </w:pPr>
    <w:rPr>
      <w:rFonts w:ascii="等线 Light" w:hAnsi="等线 Light" w:eastAsia="等线 Light"/>
      <w:sz w:val="24"/>
    </w:rPr>
  </w:style>
  <w:style w:type="paragraph" w:styleId="27">
    <w:name w:val="Document Map"/>
    <w:basedOn w:val="1"/>
    <w:link w:val="762"/>
    <w:qFormat/>
    <w:uiPriority w:val="0"/>
    <w:pPr>
      <w:shd w:val="clear" w:color="auto" w:fill="000080"/>
    </w:pPr>
  </w:style>
  <w:style w:type="paragraph" w:styleId="28">
    <w:name w:val="toa heading"/>
    <w:basedOn w:val="1"/>
    <w:next w:val="1"/>
    <w:unhideWhenUsed/>
    <w:qFormat/>
    <w:uiPriority w:val="99"/>
    <w:pPr>
      <w:adjustRightInd/>
      <w:spacing w:before="120" w:line="360" w:lineRule="auto"/>
    </w:pPr>
    <w:rPr>
      <w:rFonts w:ascii="等线 Light" w:hAnsi="等线 Light" w:eastAsia="等线 Light"/>
      <w:sz w:val="24"/>
    </w:rPr>
  </w:style>
  <w:style w:type="paragraph" w:styleId="29">
    <w:name w:val="annotation text"/>
    <w:basedOn w:val="1"/>
    <w:link w:val="763"/>
    <w:qFormat/>
    <w:uiPriority w:val="99"/>
    <w:pPr>
      <w:jc w:val="left"/>
    </w:pPr>
  </w:style>
  <w:style w:type="paragraph" w:styleId="30">
    <w:name w:val="index 6"/>
    <w:basedOn w:val="1"/>
    <w:next w:val="1"/>
    <w:unhideWhenUsed/>
    <w:qFormat/>
    <w:uiPriority w:val="99"/>
    <w:pPr>
      <w:adjustRightInd/>
      <w:spacing w:line="360" w:lineRule="auto"/>
      <w:ind w:left="1000" w:leftChars="1000"/>
    </w:pPr>
    <w:rPr>
      <w:rFonts w:ascii="Calibri" w:hAnsi="Calibri"/>
      <w:sz w:val="28"/>
      <w:szCs w:val="20"/>
    </w:rPr>
  </w:style>
  <w:style w:type="paragraph" w:styleId="31">
    <w:name w:val="Salutation"/>
    <w:basedOn w:val="1"/>
    <w:next w:val="1"/>
    <w:link w:val="764"/>
    <w:qFormat/>
    <w:uiPriority w:val="99"/>
    <w:rPr>
      <w:rFonts w:ascii="仿宋_GB2312" w:eastAsia="仿宋_GB2312"/>
      <w:sz w:val="28"/>
      <w:szCs w:val="20"/>
    </w:rPr>
  </w:style>
  <w:style w:type="paragraph" w:styleId="32">
    <w:name w:val="Body Text 3"/>
    <w:basedOn w:val="1"/>
    <w:link w:val="765"/>
    <w:qFormat/>
    <w:uiPriority w:val="99"/>
    <w:pPr>
      <w:jc w:val="center"/>
    </w:pPr>
    <w:rPr>
      <w:szCs w:val="20"/>
    </w:rPr>
  </w:style>
  <w:style w:type="paragraph" w:styleId="33">
    <w:name w:val="Closing"/>
    <w:basedOn w:val="1"/>
    <w:link w:val="1122"/>
    <w:unhideWhenUsed/>
    <w:qFormat/>
    <w:uiPriority w:val="99"/>
    <w:pPr>
      <w:adjustRightInd/>
      <w:spacing w:line="360" w:lineRule="auto"/>
      <w:ind w:left="100" w:leftChars="2100"/>
    </w:pPr>
    <w:rPr>
      <w:rFonts w:ascii="Calibri" w:hAnsi="Calibri"/>
      <w:sz w:val="28"/>
      <w:szCs w:val="20"/>
    </w:rPr>
  </w:style>
  <w:style w:type="paragraph" w:styleId="34">
    <w:name w:val="List Bullet 3"/>
    <w:basedOn w:val="1"/>
    <w:unhideWhenUsed/>
    <w:qFormat/>
    <w:uiPriority w:val="99"/>
    <w:pPr>
      <w:snapToGrid w:val="0"/>
      <w:spacing w:line="360" w:lineRule="auto"/>
      <w:ind w:left="360" w:right="238" w:hanging="360"/>
      <w:contextualSpacing/>
    </w:pPr>
    <w:rPr>
      <w:sz w:val="24"/>
    </w:rPr>
  </w:style>
  <w:style w:type="paragraph" w:styleId="35">
    <w:name w:val="Body Text"/>
    <w:basedOn w:val="1"/>
    <w:link w:val="766"/>
    <w:qFormat/>
    <w:uiPriority w:val="0"/>
    <w:pPr>
      <w:autoSpaceDE w:val="0"/>
      <w:autoSpaceDN w:val="0"/>
      <w:spacing w:line="360" w:lineRule="auto"/>
    </w:pPr>
    <w:rPr>
      <w:rFonts w:ascii="宋体" w:hAnsi="Arial" w:cs="Arial"/>
      <w:snapToGrid w:val="0"/>
      <w:sz w:val="24"/>
      <w:szCs w:val="21"/>
      <w:lang w:val="zh-CN"/>
    </w:rPr>
  </w:style>
  <w:style w:type="paragraph" w:styleId="3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99"/>
    <w:pPr>
      <w:adjustRightInd/>
      <w:spacing w:line="360" w:lineRule="auto"/>
      <w:ind w:left="100" w:leftChars="200" w:hanging="200" w:hangingChars="200"/>
    </w:pPr>
    <w:rPr>
      <w:rFonts w:eastAsia="微软雅黑"/>
    </w:rPr>
  </w:style>
  <w:style w:type="paragraph" w:styleId="38">
    <w:name w:val="List Continue"/>
    <w:basedOn w:val="1"/>
    <w:unhideWhenUsed/>
    <w:qFormat/>
    <w:uiPriority w:val="99"/>
    <w:pPr>
      <w:adjustRightInd/>
      <w:spacing w:after="120" w:line="360" w:lineRule="auto"/>
      <w:ind w:left="420" w:leftChars="200"/>
      <w:contextualSpacing/>
    </w:pPr>
    <w:rPr>
      <w:rFonts w:ascii="Calibri" w:hAnsi="Calibri"/>
      <w:sz w:val="28"/>
      <w:szCs w:val="20"/>
    </w:rPr>
  </w:style>
  <w:style w:type="paragraph" w:styleId="3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40">
    <w:name w:val="List Bullet 2"/>
    <w:basedOn w:val="1"/>
    <w:qFormat/>
    <w:uiPriority w:val="99"/>
    <w:pPr>
      <w:autoSpaceDE w:val="0"/>
      <w:autoSpaceDN w:val="0"/>
      <w:ind w:left="420"/>
      <w:jc w:val="left"/>
    </w:pPr>
    <w:rPr>
      <w:rFonts w:ascii="宋体" w:hAnsi="宋体"/>
      <w:color w:val="000000"/>
      <w:kern w:val="0"/>
      <w:sz w:val="24"/>
      <w:szCs w:val="20"/>
    </w:rPr>
  </w:style>
  <w:style w:type="paragraph" w:styleId="41">
    <w:name w:val="HTML Address"/>
    <w:basedOn w:val="1"/>
    <w:link w:val="768"/>
    <w:qFormat/>
    <w:uiPriority w:val="99"/>
    <w:pPr>
      <w:widowControl/>
      <w:adjustRightInd/>
      <w:ind w:firstLine="200" w:firstLineChars="200"/>
      <w:jc w:val="left"/>
    </w:pPr>
    <w:rPr>
      <w:rFonts w:ascii="宋体" w:hAnsi="宋体"/>
      <w:i/>
      <w:iCs/>
      <w:kern w:val="0"/>
      <w:sz w:val="24"/>
    </w:rPr>
  </w:style>
  <w:style w:type="paragraph" w:styleId="42">
    <w:name w:val="index 4"/>
    <w:basedOn w:val="1"/>
    <w:next w:val="1"/>
    <w:unhideWhenUsed/>
    <w:qFormat/>
    <w:uiPriority w:val="99"/>
    <w:pPr>
      <w:adjustRightInd/>
      <w:spacing w:line="360" w:lineRule="auto"/>
      <w:ind w:left="600" w:leftChars="600"/>
    </w:pPr>
    <w:rPr>
      <w:rFonts w:ascii="Calibri" w:hAnsi="Calibri"/>
      <w:sz w:val="28"/>
      <w:szCs w:val="20"/>
    </w:rPr>
  </w:style>
  <w:style w:type="paragraph" w:styleId="43">
    <w:name w:val="toc 5"/>
    <w:basedOn w:val="1"/>
    <w:next w:val="1"/>
    <w:qFormat/>
    <w:uiPriority w:val="39"/>
    <w:pPr>
      <w:ind w:left="1680" w:leftChars="800"/>
    </w:pPr>
  </w:style>
  <w:style w:type="paragraph" w:styleId="4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45">
    <w:name w:val="Plain Text"/>
    <w:basedOn w:val="1"/>
    <w:link w:val="769"/>
    <w:qFormat/>
    <w:uiPriority w:val="0"/>
    <w:rPr>
      <w:rFonts w:ascii="宋体" w:hAnsi="Courier New" w:cs="Arial"/>
      <w:snapToGrid w:val="0"/>
      <w:szCs w:val="21"/>
    </w:rPr>
  </w:style>
  <w:style w:type="paragraph" w:styleId="46">
    <w:name w:val="List Bullet 5"/>
    <w:basedOn w:val="1"/>
    <w:unhideWhenUsed/>
    <w:qFormat/>
    <w:uiPriority w:val="99"/>
    <w:pPr>
      <w:numPr>
        <w:ilvl w:val="0"/>
        <w:numId w:val="2"/>
      </w:numPr>
      <w:tabs>
        <w:tab w:val="left" w:pos="2040"/>
        <w:tab w:val="clear" w:pos="780"/>
      </w:tabs>
      <w:adjustRightInd/>
      <w:spacing w:line="360" w:lineRule="auto"/>
      <w:ind w:left="2040" w:leftChars="800"/>
      <w:contextualSpacing/>
    </w:pPr>
    <w:rPr>
      <w:rFonts w:ascii="Calibri" w:hAnsi="Calibri"/>
      <w:sz w:val="28"/>
      <w:szCs w:val="20"/>
    </w:rPr>
  </w:style>
  <w:style w:type="paragraph" w:styleId="47">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48">
    <w:name w:val="toc 8"/>
    <w:basedOn w:val="1"/>
    <w:next w:val="1"/>
    <w:qFormat/>
    <w:uiPriority w:val="39"/>
    <w:pPr>
      <w:ind w:left="2940" w:leftChars="1400"/>
    </w:pPr>
  </w:style>
  <w:style w:type="paragraph" w:styleId="49">
    <w:name w:val="index 3"/>
    <w:basedOn w:val="1"/>
    <w:next w:val="1"/>
    <w:unhideWhenUsed/>
    <w:qFormat/>
    <w:uiPriority w:val="99"/>
    <w:pPr>
      <w:adjustRightInd/>
      <w:spacing w:line="360" w:lineRule="auto"/>
      <w:ind w:left="400" w:leftChars="400"/>
    </w:pPr>
    <w:rPr>
      <w:rFonts w:ascii="Calibri" w:hAnsi="Calibri"/>
      <w:sz w:val="28"/>
      <w:szCs w:val="20"/>
    </w:rPr>
  </w:style>
  <w:style w:type="paragraph" w:styleId="50">
    <w:name w:val="Date"/>
    <w:basedOn w:val="1"/>
    <w:next w:val="1"/>
    <w:link w:val="770"/>
    <w:qFormat/>
    <w:uiPriority w:val="99"/>
    <w:pPr>
      <w:ind w:left="100" w:leftChars="2500"/>
    </w:pPr>
    <w:rPr>
      <w:rFonts w:ascii="宋体"/>
      <w:sz w:val="24"/>
      <w:szCs w:val="21"/>
      <w:lang w:val="zh-CN"/>
    </w:rPr>
  </w:style>
  <w:style w:type="paragraph" w:styleId="51">
    <w:name w:val="Body Text Indent 2"/>
    <w:basedOn w:val="1"/>
    <w:link w:val="771"/>
    <w:qFormat/>
    <w:uiPriority w:val="99"/>
    <w:pPr>
      <w:spacing w:line="360" w:lineRule="auto"/>
      <w:ind w:firstLine="601"/>
      <w:textAlignment w:val="baseline"/>
    </w:pPr>
    <w:rPr>
      <w:rFonts w:ascii="宋体"/>
      <w:kern w:val="0"/>
      <w:sz w:val="28"/>
      <w:szCs w:val="20"/>
    </w:rPr>
  </w:style>
  <w:style w:type="paragraph" w:styleId="52">
    <w:name w:val="endnote text"/>
    <w:basedOn w:val="1"/>
    <w:link w:val="772"/>
    <w:qFormat/>
    <w:uiPriority w:val="99"/>
    <w:rPr>
      <w:lang w:val="zh-CN"/>
    </w:rPr>
  </w:style>
  <w:style w:type="paragraph" w:styleId="53">
    <w:name w:val="List Continue 5"/>
    <w:basedOn w:val="1"/>
    <w:unhideWhenUsed/>
    <w:qFormat/>
    <w:uiPriority w:val="99"/>
    <w:pPr>
      <w:adjustRightInd/>
      <w:spacing w:after="120" w:line="360" w:lineRule="auto"/>
      <w:ind w:left="2100" w:leftChars="1000"/>
      <w:contextualSpacing/>
    </w:pPr>
    <w:rPr>
      <w:rFonts w:ascii="Calibri" w:hAnsi="Calibri"/>
      <w:sz w:val="28"/>
      <w:szCs w:val="20"/>
    </w:rPr>
  </w:style>
  <w:style w:type="paragraph" w:styleId="54">
    <w:name w:val="Balloon Text"/>
    <w:basedOn w:val="1"/>
    <w:link w:val="773"/>
    <w:qFormat/>
    <w:uiPriority w:val="0"/>
    <w:rPr>
      <w:sz w:val="18"/>
      <w:szCs w:val="18"/>
    </w:rPr>
  </w:style>
  <w:style w:type="paragraph" w:styleId="55">
    <w:name w:val="footer"/>
    <w:basedOn w:val="1"/>
    <w:link w:val="774"/>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99"/>
    <w:pPr>
      <w:adjustRightInd/>
      <w:snapToGrid w:val="0"/>
      <w:spacing w:line="360" w:lineRule="auto"/>
    </w:pPr>
    <w:rPr>
      <w:rFonts w:ascii="等线 Light" w:hAnsi="等线 Light" w:eastAsia="等线 Light"/>
      <w:sz w:val="28"/>
      <w:szCs w:val="20"/>
    </w:rPr>
  </w:style>
  <w:style w:type="paragraph" w:styleId="57">
    <w:name w:val="header"/>
    <w:basedOn w:val="1"/>
    <w:link w:val="775"/>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776"/>
    <w:qFormat/>
    <w:uiPriority w:val="99"/>
    <w:pPr>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style>
  <w:style w:type="paragraph" w:styleId="60">
    <w:name w:val="List Continue 4"/>
    <w:basedOn w:val="1"/>
    <w:qFormat/>
    <w:uiPriority w:val="99"/>
    <w:pPr>
      <w:spacing w:after="120"/>
      <w:ind w:left="1680" w:leftChars="800"/>
      <w:contextualSpacing/>
    </w:pPr>
  </w:style>
  <w:style w:type="paragraph" w:styleId="61">
    <w:name w:val="toc 4"/>
    <w:basedOn w:val="1"/>
    <w:next w:val="1"/>
    <w:qFormat/>
    <w:uiPriority w:val="39"/>
    <w:pPr>
      <w:ind w:left="1260" w:leftChars="600"/>
    </w:pPr>
  </w:style>
  <w:style w:type="paragraph" w:styleId="62">
    <w:name w:val="index heading"/>
    <w:basedOn w:val="1"/>
    <w:next w:val="63"/>
    <w:qFormat/>
    <w:uiPriority w:val="99"/>
    <w:pPr>
      <w:adjustRightInd/>
      <w:ind w:firstLine="200" w:firstLineChars="200"/>
    </w:pPr>
  </w:style>
  <w:style w:type="paragraph" w:styleId="63">
    <w:name w:val="index 1"/>
    <w:basedOn w:val="1"/>
    <w:next w:val="1"/>
    <w:qFormat/>
    <w:uiPriority w:val="99"/>
    <w:pPr>
      <w:adjustRightInd/>
      <w:spacing w:line="360" w:lineRule="auto"/>
      <w:ind w:firstLine="200" w:firstLineChars="200"/>
      <w:jc w:val="center"/>
    </w:pPr>
    <w:rPr>
      <w:sz w:val="24"/>
      <w:szCs w:val="20"/>
    </w:rPr>
  </w:style>
  <w:style w:type="paragraph" w:styleId="64">
    <w:name w:val="Subtitle"/>
    <w:link w:val="777"/>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5">
    <w:name w:val="List Number 5"/>
    <w:basedOn w:val="1"/>
    <w:qFormat/>
    <w:uiPriority w:val="99"/>
    <w:pPr>
      <w:tabs>
        <w:tab w:val="left" w:pos="902"/>
      </w:tabs>
      <w:adjustRightInd/>
      <w:spacing w:line="400" w:lineRule="exact"/>
      <w:ind w:left="902" w:hanging="420"/>
    </w:pPr>
    <w:rPr>
      <w:sz w:val="24"/>
      <w:szCs w:val="20"/>
    </w:rPr>
  </w:style>
  <w:style w:type="paragraph" w:styleId="66">
    <w:name w:val="List"/>
    <w:basedOn w:val="1"/>
    <w:qFormat/>
    <w:uiPriority w:val="99"/>
    <w:pPr>
      <w:ind w:left="200" w:hanging="200" w:hangingChars="200"/>
    </w:pPr>
  </w:style>
  <w:style w:type="paragraph" w:styleId="67">
    <w:name w:val="footnote text"/>
    <w:basedOn w:val="22"/>
    <w:link w:val="778"/>
    <w:qFormat/>
    <w:uiPriority w:val="0"/>
    <w:pPr>
      <w:adjustRightInd/>
      <w:snapToGrid/>
      <w:spacing w:before="60" w:after="60" w:line="300" w:lineRule="exact"/>
      <w:ind w:firstLine="0"/>
    </w:pPr>
    <w:rPr>
      <w:rFonts w:ascii="Calibri"/>
      <w:color w:val="0000FF"/>
      <w:kern w:val="0"/>
      <w:sz w:val="21"/>
    </w:rPr>
  </w:style>
  <w:style w:type="paragraph" w:styleId="68">
    <w:name w:val="toc 6"/>
    <w:basedOn w:val="1"/>
    <w:next w:val="1"/>
    <w:qFormat/>
    <w:uiPriority w:val="39"/>
    <w:pPr>
      <w:ind w:left="2100" w:leftChars="1000"/>
    </w:pPr>
  </w:style>
  <w:style w:type="paragraph" w:styleId="69">
    <w:name w:val="List 5"/>
    <w:basedOn w:val="1"/>
    <w:qFormat/>
    <w:uiPriority w:val="99"/>
    <w:pPr>
      <w:adjustRightInd/>
      <w:ind w:left="100" w:leftChars="800" w:hanging="200" w:hangingChars="200"/>
    </w:pPr>
  </w:style>
  <w:style w:type="paragraph" w:styleId="70">
    <w:name w:val="Body Text Indent 3"/>
    <w:basedOn w:val="1"/>
    <w:link w:val="779"/>
    <w:qFormat/>
    <w:uiPriority w:val="99"/>
    <w:pPr>
      <w:spacing w:line="360" w:lineRule="auto"/>
      <w:ind w:firstLine="420"/>
    </w:pPr>
    <w:rPr>
      <w:sz w:val="24"/>
      <w:szCs w:val="20"/>
    </w:rPr>
  </w:style>
  <w:style w:type="paragraph" w:styleId="71">
    <w:name w:val="index 7"/>
    <w:basedOn w:val="1"/>
    <w:next w:val="1"/>
    <w:unhideWhenUsed/>
    <w:qFormat/>
    <w:uiPriority w:val="99"/>
    <w:pPr>
      <w:adjustRightInd/>
      <w:spacing w:line="360" w:lineRule="auto"/>
      <w:ind w:left="1200" w:leftChars="1200"/>
    </w:pPr>
    <w:rPr>
      <w:rFonts w:ascii="Calibri" w:hAnsi="Calibri"/>
      <w:sz w:val="28"/>
      <w:szCs w:val="20"/>
    </w:rPr>
  </w:style>
  <w:style w:type="paragraph" w:styleId="72">
    <w:name w:val="index 9"/>
    <w:basedOn w:val="1"/>
    <w:next w:val="1"/>
    <w:qFormat/>
    <w:uiPriority w:val="99"/>
    <w:pPr>
      <w:widowControl/>
      <w:adjustRightInd/>
      <w:spacing w:line="360" w:lineRule="auto"/>
      <w:ind w:left="1600" w:leftChars="1600" w:firstLine="560" w:firstLineChars="200"/>
      <w:jc w:val="left"/>
    </w:pPr>
    <w:rPr>
      <w:rFonts w:ascii="Calibri" w:hAnsi="Calibri" w:cs="Arial"/>
      <w:bCs/>
      <w:kern w:val="0"/>
      <w:sz w:val="24"/>
      <w:szCs w:val="28"/>
      <w:lang w:bidi="en-US"/>
    </w:rPr>
  </w:style>
  <w:style w:type="paragraph" w:styleId="73">
    <w:name w:val="table of figures"/>
    <w:basedOn w:val="1"/>
    <w:next w:val="1"/>
    <w:qFormat/>
    <w:uiPriority w:val="99"/>
    <w:pPr>
      <w:adjustRightInd/>
      <w:spacing w:line="360" w:lineRule="auto"/>
      <w:ind w:left="200" w:hanging="200" w:hangingChars="200"/>
    </w:pPr>
    <w:rPr>
      <w:rFonts w:ascii="宋体" w:hAnsi="宋体" w:cs="宋体"/>
      <w:szCs w:val="21"/>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3360" w:leftChars="1600"/>
    </w:pPr>
  </w:style>
  <w:style w:type="paragraph" w:styleId="76">
    <w:name w:val="Body Text 2"/>
    <w:basedOn w:val="1"/>
    <w:link w:val="780"/>
    <w:qFormat/>
    <w:uiPriority w:val="99"/>
    <w:pPr>
      <w:spacing w:after="120" w:line="480" w:lineRule="auto"/>
    </w:pPr>
  </w:style>
  <w:style w:type="paragraph" w:styleId="77">
    <w:name w:val="List 4"/>
    <w:basedOn w:val="1"/>
    <w:unhideWhenUsed/>
    <w:qFormat/>
    <w:uiPriority w:val="99"/>
    <w:pPr>
      <w:adjustRightInd/>
      <w:spacing w:line="360" w:lineRule="auto"/>
      <w:ind w:left="100" w:leftChars="600" w:hanging="200" w:hangingChars="200"/>
      <w:contextualSpacing/>
    </w:pPr>
    <w:rPr>
      <w:rFonts w:ascii="Calibri" w:hAnsi="Calibri"/>
      <w:sz w:val="28"/>
      <w:szCs w:val="20"/>
    </w:rPr>
  </w:style>
  <w:style w:type="paragraph" w:styleId="78">
    <w:name w:val="List Continue 2"/>
    <w:basedOn w:val="1"/>
    <w:unhideWhenUsed/>
    <w:qFormat/>
    <w:uiPriority w:val="99"/>
    <w:pPr>
      <w:adjustRightInd/>
      <w:spacing w:after="120" w:line="360" w:lineRule="auto"/>
      <w:ind w:left="840" w:leftChars="400"/>
      <w:contextualSpacing/>
    </w:pPr>
    <w:rPr>
      <w:rFonts w:ascii="Calibri" w:hAnsi="Calibri"/>
      <w:sz w:val="28"/>
      <w:szCs w:val="20"/>
    </w:rPr>
  </w:style>
  <w:style w:type="paragraph" w:styleId="79">
    <w:name w:val="Message Header"/>
    <w:basedOn w:val="1"/>
    <w:link w:val="1123"/>
    <w:unhideWhenUsed/>
    <w:qFormat/>
    <w:uiPriority w:val="99"/>
    <w:pPr>
      <w:numPr>
        <w:ilvl w:val="0"/>
        <w:numId w:val="3"/>
      </w:numPr>
      <w:pBdr>
        <w:top w:val="single" w:color="auto" w:sz="6" w:space="1"/>
        <w:left w:val="single" w:color="auto" w:sz="6" w:space="1"/>
        <w:bottom w:val="single" w:color="auto" w:sz="6" w:space="1"/>
        <w:right w:val="single" w:color="auto" w:sz="6" w:space="1"/>
      </w:pBdr>
      <w:shd w:val="pct20" w:color="auto" w:fill="auto"/>
      <w:adjustRightInd/>
      <w:spacing w:line="360" w:lineRule="auto"/>
      <w:ind w:left="1080" w:leftChars="500" w:hanging="1080" w:hangingChars="500"/>
    </w:pPr>
    <w:rPr>
      <w:rFonts w:ascii="等线 Light" w:hAnsi="等线 Light" w:eastAsia="等线 Light"/>
      <w:sz w:val="24"/>
    </w:rPr>
  </w:style>
  <w:style w:type="paragraph" w:styleId="80">
    <w:name w:val="HTML Preformatted"/>
    <w:basedOn w:val="1"/>
    <w:link w:val="7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1">
    <w:name w:val="Normal (Web)"/>
    <w:basedOn w:val="1"/>
    <w:link w:val="1133"/>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unhideWhenUsed/>
    <w:qFormat/>
    <w:uiPriority w:val="99"/>
    <w:pPr>
      <w:adjustRightInd/>
      <w:spacing w:after="120" w:line="360" w:lineRule="auto"/>
      <w:ind w:left="1260" w:leftChars="600"/>
      <w:contextualSpacing/>
    </w:pPr>
    <w:rPr>
      <w:rFonts w:ascii="Calibri" w:hAnsi="Calibri"/>
      <w:sz w:val="28"/>
      <w:szCs w:val="20"/>
    </w:rPr>
  </w:style>
  <w:style w:type="paragraph" w:styleId="83">
    <w:name w:val="index 2"/>
    <w:basedOn w:val="1"/>
    <w:next w:val="1"/>
    <w:unhideWhenUsed/>
    <w:qFormat/>
    <w:uiPriority w:val="99"/>
    <w:pPr>
      <w:adjustRightInd/>
      <w:spacing w:line="360" w:lineRule="auto"/>
      <w:ind w:left="200" w:leftChars="200"/>
    </w:pPr>
    <w:rPr>
      <w:rFonts w:ascii="Calibri" w:hAnsi="Calibri"/>
      <w:sz w:val="28"/>
      <w:szCs w:val="20"/>
    </w:rPr>
  </w:style>
  <w:style w:type="paragraph" w:styleId="84">
    <w:name w:val="Title"/>
    <w:basedOn w:val="1"/>
    <w:link w:val="782"/>
    <w:qFormat/>
    <w:uiPriority w:val="0"/>
    <w:pPr>
      <w:widowControl/>
      <w:overflowPunct w:val="0"/>
      <w:autoSpaceDE w:val="0"/>
      <w:autoSpaceDN w:val="0"/>
      <w:jc w:val="center"/>
      <w:textAlignment w:val="baseline"/>
    </w:pPr>
    <w:rPr>
      <w:b/>
      <w:kern w:val="0"/>
      <w:sz w:val="24"/>
      <w:szCs w:val="20"/>
    </w:rPr>
  </w:style>
  <w:style w:type="paragraph" w:styleId="85">
    <w:name w:val="annotation subject"/>
    <w:basedOn w:val="29"/>
    <w:next w:val="29"/>
    <w:link w:val="783"/>
    <w:qFormat/>
    <w:uiPriority w:val="0"/>
    <w:rPr>
      <w:b/>
      <w:bCs/>
    </w:rPr>
  </w:style>
  <w:style w:type="paragraph" w:styleId="86">
    <w:name w:val="Body Text First Indent"/>
    <w:basedOn w:val="35"/>
    <w:link w:val="784"/>
    <w:qFormat/>
    <w:uiPriority w:val="0"/>
    <w:pPr>
      <w:ind w:firstLine="420"/>
    </w:pPr>
    <w:rPr>
      <w:rFonts w:hAnsi="Calibri" w:cs="Times New Roman"/>
      <w:szCs w:val="20"/>
    </w:rPr>
  </w:style>
  <w:style w:type="paragraph" w:styleId="87">
    <w:name w:val="Body Text First Indent 2"/>
    <w:basedOn w:val="2"/>
    <w:link w:val="785"/>
    <w:qFormat/>
    <w:uiPriority w:val="0"/>
    <w:pPr>
      <w:adjustRightInd/>
      <w:spacing w:after="120" w:line="240" w:lineRule="auto"/>
      <w:ind w:left="420" w:leftChars="200" w:firstLine="210"/>
    </w:pPr>
    <w:rPr>
      <w:sz w:val="21"/>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6">
    <w:name w:val="Strong"/>
    <w:qFormat/>
    <w:uiPriority w:val="0"/>
    <w:rPr>
      <w:b/>
      <w:bCs/>
    </w:rPr>
  </w:style>
  <w:style w:type="character" w:styleId="97">
    <w:name w:val="endnote reference"/>
    <w:qFormat/>
    <w:uiPriority w:val="0"/>
    <w:rPr>
      <w:vertAlign w:val="superscript"/>
    </w:rPr>
  </w:style>
  <w:style w:type="character" w:styleId="98">
    <w:name w:val="page number"/>
    <w:qFormat/>
    <w:uiPriority w:val="0"/>
    <w:rPr>
      <w:rFonts w:ascii="Arial" w:hAnsi="Arial" w:eastAsia="黑体" w:cs="Arial"/>
      <w:snapToGrid w:val="0"/>
      <w:kern w:val="0"/>
      <w:szCs w:val="21"/>
    </w:rPr>
  </w:style>
  <w:style w:type="character" w:styleId="99">
    <w:name w:val="FollowedHyperlink"/>
    <w:qFormat/>
    <w:uiPriority w:val="99"/>
    <w:rPr>
      <w:rFonts w:ascii="Arial" w:hAnsi="Arial" w:eastAsia="黑体" w:cs="Arial"/>
      <w:snapToGrid w:val="0"/>
      <w:color w:val="000000"/>
      <w:kern w:val="0"/>
      <w:sz w:val="18"/>
      <w:szCs w:val="18"/>
      <w:u w:val="none"/>
    </w:rPr>
  </w:style>
  <w:style w:type="character" w:styleId="100">
    <w:name w:val="Emphasis"/>
    <w:qFormat/>
    <w:uiPriority w:val="20"/>
    <w:rPr>
      <w:color w:val="CC0033"/>
    </w:rPr>
  </w:style>
  <w:style w:type="character" w:styleId="101">
    <w:name w:val="line number"/>
    <w:qFormat/>
    <w:uiPriority w:val="0"/>
    <w:rPr>
      <w:rFonts w:ascii="Arial" w:hAnsi="Arial" w:eastAsia="黑体" w:cs="Arial"/>
      <w:snapToGrid w:val="0"/>
      <w:kern w:val="0"/>
      <w:szCs w:val="21"/>
    </w:rPr>
  </w:style>
  <w:style w:type="character" w:styleId="102">
    <w:name w:val="Hyperlink"/>
    <w:qFormat/>
    <w:uiPriority w:val="99"/>
    <w:rPr>
      <w:rFonts w:ascii="Arial" w:hAnsi="Arial" w:eastAsia="黑体" w:cs="Arial"/>
      <w:snapToGrid w:val="0"/>
      <w:color w:val="000000"/>
      <w:kern w:val="0"/>
      <w:sz w:val="18"/>
      <w:szCs w:val="18"/>
      <w:u w:val="none"/>
    </w:rPr>
  </w:style>
  <w:style w:type="character" w:styleId="103">
    <w:name w:val="HTML Code"/>
    <w:qFormat/>
    <w:uiPriority w:val="0"/>
    <w:rPr>
      <w:rFonts w:ascii="黑体" w:hAnsi="Courier New" w:eastAsia="黑体" w:cs="楷体_GB2312"/>
      <w:sz w:val="20"/>
      <w:szCs w:val="20"/>
    </w:rPr>
  </w:style>
  <w:style w:type="character" w:styleId="104">
    <w:name w:val="annotation reference"/>
    <w:qFormat/>
    <w:uiPriority w:val="99"/>
    <w:rPr>
      <w:sz w:val="21"/>
      <w:szCs w:val="21"/>
    </w:rPr>
  </w:style>
  <w:style w:type="paragraph" w:customStyle="1" w:styleId="105">
    <w:name w:val="Default"/>
    <w:link w:val="78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表格非标题文字"/>
    <w:link w:val="78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7">
    <w:name w:val="*正文"/>
    <w:basedOn w:val="1"/>
    <w:link w:val="788"/>
    <w:qFormat/>
    <w:uiPriority w:val="0"/>
    <w:pPr>
      <w:spacing w:line="360" w:lineRule="auto"/>
      <w:ind w:firstLine="420"/>
    </w:pPr>
    <w:rPr>
      <w:rFonts w:ascii="仿宋" w:hAnsi="仿宋" w:eastAsia="仿宋"/>
      <w:sz w:val="24"/>
    </w:rPr>
  </w:style>
  <w:style w:type="paragraph" w:customStyle="1" w:styleId="108">
    <w:name w:val="U_正文"/>
    <w:basedOn w:val="1"/>
    <w:link w:val="796"/>
    <w:qFormat/>
    <w:uiPriority w:val="0"/>
    <w:pPr>
      <w:adjustRightInd/>
      <w:spacing w:beforeLines="20" w:afterLines="20" w:line="300" w:lineRule="auto"/>
      <w:ind w:firstLine="200" w:firstLineChars="200"/>
    </w:pPr>
    <w:rPr>
      <w:kern w:val="0"/>
      <w:sz w:val="24"/>
    </w:rPr>
  </w:style>
  <w:style w:type="paragraph" w:customStyle="1" w:styleId="109">
    <w:name w:val="哈哈正文"/>
    <w:basedOn w:val="1"/>
    <w:link w:val="802"/>
    <w:qFormat/>
    <w:uiPriority w:val="0"/>
    <w:pPr>
      <w:adjustRightInd/>
      <w:spacing w:line="360" w:lineRule="auto"/>
      <w:ind w:firstLine="200" w:firstLineChars="200"/>
    </w:pPr>
    <w:rPr>
      <w:rFonts w:ascii="宋体" w:hAnsi="宋体"/>
      <w:sz w:val="24"/>
      <w:szCs w:val="20"/>
    </w:rPr>
  </w:style>
  <w:style w:type="paragraph" w:customStyle="1" w:styleId="110">
    <w:name w:val="5正文"/>
    <w:basedOn w:val="1"/>
    <w:link w:val="81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11">
    <w:name w:val="正文2"/>
    <w:basedOn w:val="1"/>
    <w:link w:val="826"/>
    <w:qFormat/>
    <w:uiPriority w:val="0"/>
    <w:pPr>
      <w:spacing w:before="156" w:line="360" w:lineRule="auto"/>
      <w:ind w:firstLine="510" w:firstLineChars="200"/>
    </w:pPr>
    <w:rPr>
      <w:sz w:val="24"/>
      <w:szCs w:val="20"/>
    </w:rPr>
  </w:style>
  <w:style w:type="paragraph" w:customStyle="1" w:styleId="112">
    <w:name w:val="无间隔1"/>
    <w:link w:val="833"/>
    <w:qFormat/>
    <w:uiPriority w:val="0"/>
    <w:rPr>
      <w:rFonts w:ascii="Times New Roman" w:hAnsi="Times New Roman" w:eastAsia="宋体" w:cs="Times New Roman"/>
      <w:sz w:val="22"/>
      <w:szCs w:val="22"/>
      <w:lang w:val="en-US" w:eastAsia="zh-CN" w:bidi="ar-SA"/>
    </w:rPr>
  </w:style>
  <w:style w:type="paragraph" w:customStyle="1" w:styleId="113">
    <w:name w:val="纯文本_0_0"/>
    <w:basedOn w:val="114"/>
    <w:link w:val="840"/>
    <w:qFormat/>
    <w:uiPriority w:val="0"/>
    <w:rPr>
      <w:rFonts w:ascii="宋体" w:hAnsi="Courier New"/>
      <w:szCs w:val="21"/>
    </w:rPr>
  </w:style>
  <w:style w:type="paragraph" w:customStyle="1" w:styleId="1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绿盟科技）"/>
    <w:link w:val="850"/>
    <w:qFormat/>
    <w:uiPriority w:val="0"/>
    <w:pPr>
      <w:spacing w:line="300" w:lineRule="auto"/>
    </w:pPr>
    <w:rPr>
      <w:rFonts w:ascii="Arial" w:hAnsi="Arial" w:eastAsia="宋体" w:cs="Times New Roman"/>
      <w:sz w:val="21"/>
      <w:szCs w:val="21"/>
      <w:lang w:val="en-US" w:eastAsia="zh-CN" w:bidi="ar-SA"/>
    </w:rPr>
  </w:style>
  <w:style w:type="paragraph" w:customStyle="1" w:styleId="116">
    <w:name w:val="表格名称"/>
    <w:basedOn w:val="5"/>
    <w:link w:val="859"/>
    <w:qFormat/>
    <w:uiPriority w:val="0"/>
    <w:pPr>
      <w:spacing w:before="240" w:after="240" w:line="240" w:lineRule="auto"/>
      <w:jc w:val="center"/>
    </w:pPr>
    <w:rPr>
      <w:rFonts w:ascii="Calibri" w:hAnsi="Calibri"/>
      <w:b w:val="0"/>
      <w:bCs w:val="0"/>
      <w:kern w:val="0"/>
      <w:szCs w:val="20"/>
    </w:rPr>
  </w:style>
  <w:style w:type="paragraph" w:customStyle="1" w:styleId="117">
    <w:name w:val="my正文"/>
    <w:basedOn w:val="1"/>
    <w:link w:val="876"/>
    <w:qFormat/>
    <w:uiPriority w:val="0"/>
    <w:pPr>
      <w:adjustRightInd/>
      <w:spacing w:line="360" w:lineRule="auto"/>
      <w:ind w:firstLine="480" w:firstLineChars="200"/>
    </w:pPr>
    <w:rPr>
      <w:rFonts w:ascii="Tahoma" w:hAnsi="Tahoma"/>
      <w:kern w:val="0"/>
      <w:sz w:val="24"/>
    </w:rPr>
  </w:style>
  <w:style w:type="paragraph" w:customStyle="1" w:styleId="118">
    <w:name w:val="3级"/>
    <w:basedOn w:val="119"/>
    <w:link w:val="881"/>
    <w:qFormat/>
    <w:uiPriority w:val="0"/>
    <w:pPr>
      <w:ind w:left="0" w:right="466" w:firstLine="288"/>
    </w:pPr>
    <w:rPr>
      <w:rFonts w:hAnsi="宋体"/>
    </w:rPr>
  </w:style>
  <w:style w:type="paragraph" w:customStyle="1" w:styleId="119">
    <w:name w:val="样式 标题 3h33rd level3BOD 0H3l3CTHeading 3 - oldLevel 3 He..."/>
    <w:basedOn w:val="6"/>
    <w:qFormat/>
    <w:uiPriority w:val="99"/>
    <w:pPr>
      <w:widowControl/>
      <w:tabs>
        <w:tab w:val="clear" w:pos="900"/>
      </w:tabs>
      <w:adjustRightInd/>
      <w:spacing w:before="240" w:after="240"/>
      <w:ind w:left="851" w:right="407" w:rightChars="194" w:hanging="851"/>
      <w:jc w:val="left"/>
    </w:pPr>
    <w:rPr>
      <w:rFonts w:ascii="宋体" w:hAnsi="Arial"/>
      <w:snapToGrid w:val="0"/>
      <w:kern w:val="0"/>
      <w:sz w:val="28"/>
      <w:szCs w:val="20"/>
    </w:rPr>
  </w:style>
  <w:style w:type="paragraph" w:customStyle="1" w:styleId="120">
    <w:name w:val="标题4-dyf"/>
    <w:basedOn w:val="7"/>
    <w:link w:val="90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21">
    <w:name w:val="冯"/>
    <w:basedOn w:val="1"/>
    <w:link w:val="902"/>
    <w:qFormat/>
    <w:uiPriority w:val="0"/>
    <w:pPr>
      <w:widowControl/>
      <w:adjustRightInd/>
      <w:spacing w:line="360" w:lineRule="auto"/>
      <w:ind w:firstLine="480" w:firstLineChars="200"/>
    </w:pPr>
    <w:rPr>
      <w:rFonts w:ascii="宋体" w:hAnsi="宋体"/>
      <w:color w:val="000000"/>
      <w:kern w:val="0"/>
      <w:sz w:val="24"/>
    </w:rPr>
  </w:style>
  <w:style w:type="paragraph" w:customStyle="1" w:styleId="122">
    <w:name w:val="正文样式"/>
    <w:basedOn w:val="1"/>
    <w:link w:val="918"/>
    <w:qFormat/>
    <w:uiPriority w:val="0"/>
    <w:pPr>
      <w:adjustRightInd/>
      <w:spacing w:line="360" w:lineRule="auto"/>
      <w:ind w:firstLine="480" w:firstLineChars="200"/>
    </w:pPr>
    <w:rPr>
      <w:kern w:val="0"/>
      <w:sz w:val="24"/>
    </w:rPr>
  </w:style>
  <w:style w:type="paragraph" w:customStyle="1" w:styleId="123">
    <w:name w:val="gf正文1"/>
    <w:basedOn w:val="1"/>
    <w:link w:val="92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4">
    <w:name w:val="列表1"/>
    <w:basedOn w:val="1"/>
    <w:next w:val="125"/>
    <w:link w:val="92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5">
    <w:name w:val="列表段落1"/>
    <w:basedOn w:val="1"/>
    <w:link w:val="928"/>
    <w:qFormat/>
    <w:uiPriority w:val="99"/>
    <w:pPr>
      <w:spacing w:line="360" w:lineRule="auto"/>
      <w:ind w:firstLine="200" w:firstLineChars="200"/>
    </w:pPr>
    <w:rPr>
      <w:rFonts w:eastAsia="楷体_GB2312" w:cs="Lucida Sans"/>
      <w:sz w:val="24"/>
    </w:rPr>
  </w:style>
  <w:style w:type="paragraph" w:customStyle="1" w:styleId="126">
    <w:name w:val="此正文"/>
    <w:basedOn w:val="1"/>
    <w:link w:val="949"/>
    <w:qFormat/>
    <w:uiPriority w:val="0"/>
    <w:pPr>
      <w:adjustRightInd/>
      <w:spacing w:line="360" w:lineRule="auto"/>
      <w:ind w:firstLine="200" w:firstLineChars="200"/>
    </w:pPr>
    <w:rPr>
      <w:sz w:val="24"/>
    </w:rPr>
  </w:style>
  <w:style w:type="paragraph" w:customStyle="1" w:styleId="127">
    <w:name w:val="样式 样式 标题 4h4H4Fab-4T5Ref Heading 1rh1Heading sqlsect 1.2.3.... +..."/>
    <w:basedOn w:val="128"/>
    <w:link w:val="965"/>
    <w:qFormat/>
    <w:uiPriority w:val="0"/>
    <w:pPr>
      <w:tabs>
        <w:tab w:val="left" w:pos="2356"/>
      </w:tabs>
    </w:pPr>
  </w:style>
  <w:style w:type="paragraph" w:customStyle="1" w:styleId="128">
    <w:name w:val="样式 标题 4h4H4Fab-4T5Ref Heading 1rh1Heading sqlsect 1.2.3...."/>
    <w:basedOn w:val="7"/>
    <w:link w:val="96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9">
    <w:name w:val="Item List"/>
    <w:link w:val="97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0">
    <w:name w:val="纯文本1"/>
    <w:basedOn w:val="1"/>
    <w:link w:val="976"/>
    <w:qFormat/>
    <w:uiPriority w:val="0"/>
    <w:pPr>
      <w:adjustRightInd/>
    </w:pPr>
    <w:rPr>
      <w:rFonts w:ascii="宋体" w:hAnsi="Courier New"/>
      <w:kern w:val="0"/>
      <w:sz w:val="20"/>
      <w:szCs w:val="20"/>
    </w:rPr>
  </w:style>
  <w:style w:type="paragraph" w:customStyle="1" w:styleId="131">
    <w:name w:val="正文说明"/>
    <w:basedOn w:val="1"/>
    <w:link w:val="985"/>
    <w:qFormat/>
    <w:uiPriority w:val="0"/>
    <w:pPr>
      <w:adjustRightInd/>
      <w:spacing w:line="360" w:lineRule="auto"/>
    </w:pPr>
    <w:rPr>
      <w:kern w:val="0"/>
      <w:sz w:val="24"/>
    </w:rPr>
  </w:style>
  <w:style w:type="paragraph" w:customStyle="1" w:styleId="132">
    <w:name w:val="Table Text"/>
    <w:basedOn w:val="1"/>
    <w:link w:val="991"/>
    <w:qFormat/>
    <w:uiPriority w:val="0"/>
    <w:pPr>
      <w:widowControl/>
      <w:spacing w:before="60" w:after="60"/>
      <w:jc w:val="left"/>
    </w:pPr>
    <w:rPr>
      <w:kern w:val="0"/>
      <w:sz w:val="24"/>
    </w:rPr>
  </w:style>
  <w:style w:type="paragraph" w:customStyle="1" w:styleId="133">
    <w:name w:val="公文正文"/>
    <w:basedOn w:val="1"/>
    <w:link w:val="1001"/>
    <w:qFormat/>
    <w:uiPriority w:val="0"/>
    <w:pPr>
      <w:adjustRightInd/>
      <w:spacing w:before="156" w:line="360" w:lineRule="auto"/>
      <w:ind w:firstLine="360" w:firstLineChars="200"/>
    </w:pPr>
    <w:rPr>
      <w:rFonts w:ascii="仿宋_GB2312" w:eastAsia="仿宋_GB2312"/>
      <w:sz w:val="24"/>
    </w:rPr>
  </w:style>
  <w:style w:type="paragraph" w:customStyle="1" w:styleId="134">
    <w:name w:val="正文（缩进2汉字）"/>
    <w:basedOn w:val="1"/>
    <w:link w:val="100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5">
    <w:name w:val="b11_01b"/>
    <w:basedOn w:val="1"/>
    <w:next w:val="1"/>
    <w:link w:val="102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6">
    <w:name w:val="段落"/>
    <w:basedOn w:val="1"/>
    <w:link w:val="1031"/>
    <w:qFormat/>
    <w:uiPriority w:val="0"/>
    <w:pPr>
      <w:adjustRightInd/>
      <w:spacing w:line="360" w:lineRule="auto"/>
      <w:ind w:firstLine="480" w:firstLineChars="200"/>
    </w:pPr>
    <w:rPr>
      <w:rFonts w:ascii="宋体" w:hAnsi="宋体"/>
      <w:kern w:val="0"/>
      <w:sz w:val="24"/>
      <w:szCs w:val="20"/>
    </w:rPr>
  </w:style>
  <w:style w:type="paragraph" w:customStyle="1" w:styleId="137">
    <w:name w:val="正文段"/>
    <w:basedOn w:val="1"/>
    <w:link w:val="1037"/>
    <w:qFormat/>
    <w:uiPriority w:val="0"/>
    <w:pPr>
      <w:widowControl/>
      <w:snapToGrid w:val="0"/>
      <w:spacing w:after="156" w:afterLines="50"/>
      <w:ind w:firstLine="200" w:firstLineChars="200"/>
    </w:pPr>
    <w:rPr>
      <w:kern w:val="0"/>
      <w:sz w:val="24"/>
      <w:szCs w:val="20"/>
    </w:rPr>
  </w:style>
  <w:style w:type="paragraph" w:customStyle="1" w:styleId="138">
    <w:name w:val="冯广丽"/>
    <w:basedOn w:val="1"/>
    <w:link w:val="1040"/>
    <w:qFormat/>
    <w:uiPriority w:val="0"/>
    <w:pPr>
      <w:adjustRightInd/>
      <w:spacing w:line="360" w:lineRule="auto"/>
      <w:ind w:firstLine="480" w:firstLineChars="200"/>
    </w:pPr>
    <w:rPr>
      <w:rFonts w:ascii="宋体" w:hAnsi="宋体"/>
      <w:sz w:val="24"/>
      <w:szCs w:val="22"/>
    </w:rPr>
  </w:style>
  <w:style w:type="paragraph" w:customStyle="1" w:styleId="139">
    <w:name w:val="编号，小四"/>
    <w:basedOn w:val="1"/>
    <w:link w:val="1046"/>
    <w:qFormat/>
    <w:uiPriority w:val="0"/>
    <w:pPr>
      <w:tabs>
        <w:tab w:val="left" w:pos="432"/>
      </w:tabs>
      <w:adjustRightInd/>
      <w:spacing w:line="360" w:lineRule="auto"/>
      <w:ind w:left="432" w:hanging="432"/>
    </w:pPr>
    <w:rPr>
      <w:rFonts w:ascii="Arial" w:hAnsi="Arial"/>
      <w:kern w:val="0"/>
      <w:sz w:val="24"/>
      <w:szCs w:val="20"/>
    </w:rPr>
  </w:style>
  <w:style w:type="paragraph" w:customStyle="1" w:styleId="140">
    <w:name w:val="仿宋正文"/>
    <w:basedOn w:val="1"/>
    <w:link w:val="1052"/>
    <w:qFormat/>
    <w:uiPriority w:val="0"/>
    <w:pPr>
      <w:adjustRightInd/>
      <w:spacing w:line="360" w:lineRule="auto"/>
      <w:ind w:firstLine="480" w:firstLineChars="200"/>
    </w:pPr>
    <w:rPr>
      <w:rFonts w:ascii="仿宋_GB2312" w:eastAsia="仿宋_GB2312"/>
      <w:sz w:val="24"/>
      <w:szCs w:val="20"/>
    </w:rPr>
  </w:style>
  <w:style w:type="paragraph" w:customStyle="1" w:styleId="141">
    <w:name w:val="样式 正文缩进 + 首行缩进:  2 字符"/>
    <w:basedOn w:val="22"/>
    <w:link w:val="106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4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9">
    <w:name w:val="标题4_自定义"/>
    <w:basedOn w:val="7"/>
    <w:qFormat/>
    <w:uiPriority w:val="0"/>
    <w:pPr>
      <w:adjustRightInd/>
      <w:spacing w:before="0" w:after="0" w:line="360" w:lineRule="auto"/>
    </w:pPr>
    <w:rPr>
      <w:rFonts w:ascii="Verdana" w:eastAsia="Verdana"/>
      <w:sz w:val="21"/>
      <w:lang w:val="en-US"/>
    </w:rPr>
  </w:style>
  <w:style w:type="paragraph" w:customStyle="1" w:styleId="150">
    <w:name w:val="正文 内标 序号标"/>
    <w:basedOn w:val="151"/>
    <w:qFormat/>
    <w:uiPriority w:val="0"/>
    <w:pPr>
      <w:tabs>
        <w:tab w:val="left" w:pos="0"/>
      </w:tabs>
      <w:adjustRightInd/>
      <w:spacing w:before="0"/>
      <w:ind w:firstLine="482"/>
    </w:pPr>
    <w:rPr>
      <w:rFonts w:ascii="微软雅黑" w:hAnsi="微软雅黑"/>
      <w:sz w:val="24"/>
      <w:szCs w:val="24"/>
    </w:rPr>
  </w:style>
  <w:style w:type="paragraph" w:customStyle="1" w:styleId="151">
    <w:name w:val="My正文"/>
    <w:basedOn w:val="1"/>
    <w:qFormat/>
    <w:uiPriority w:val="0"/>
    <w:pPr>
      <w:spacing w:before="120" w:line="360" w:lineRule="auto"/>
      <w:ind w:firstLine="567"/>
    </w:pPr>
    <w:rPr>
      <w:rFonts w:ascii="Arial" w:hAnsi="Arial"/>
      <w:sz w:val="20"/>
      <w:szCs w:val="20"/>
    </w:rPr>
  </w:style>
  <w:style w:type="paragraph" w:customStyle="1" w:styleId="1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
    <w:name w:val="修订2"/>
    <w:qFormat/>
    <w:uiPriority w:val="99"/>
    <w:rPr>
      <w:rFonts w:ascii="Times New Roman" w:hAnsi="Times New Roman" w:eastAsia="宋体" w:cs="Times New Roman"/>
      <w:kern w:val="2"/>
      <w:sz w:val="21"/>
      <w:lang w:val="en-US" w:eastAsia="zh-CN" w:bidi="ar-SA"/>
    </w:rPr>
  </w:style>
  <w:style w:type="paragraph" w:customStyle="1" w:styleId="1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文章标题"/>
    <w:next w:val="1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59">
    <w:name w:val="封面公司名"/>
    <w:qFormat/>
    <w:uiPriority w:val="0"/>
    <w:pPr>
      <w:jc w:val="center"/>
    </w:pPr>
    <w:rPr>
      <w:rFonts w:ascii="Arial" w:hAnsi="Arial" w:eastAsia="楷体_GB2312" w:cs="宋体"/>
      <w:bCs/>
      <w:kern w:val="2"/>
      <w:sz w:val="28"/>
      <w:lang w:val="en-US" w:eastAsia="zh-CN" w:bidi="ar-SA"/>
    </w:rPr>
  </w:style>
  <w:style w:type="paragraph" w:customStyle="1" w:styleId="160">
    <w:name w:val="Char1 Char Char Char5"/>
    <w:basedOn w:val="1"/>
    <w:qFormat/>
    <w:uiPriority w:val="0"/>
    <w:pPr>
      <w:adjustRightInd/>
      <w:ind w:firstLine="200" w:firstLineChars="200"/>
    </w:pPr>
    <w:rPr>
      <w:rFonts w:ascii="Tahoma" w:hAnsi="Tahoma"/>
      <w:sz w:val="24"/>
      <w:szCs w:val="20"/>
    </w:rPr>
  </w:style>
  <w:style w:type="paragraph" w:customStyle="1" w:styleId="1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3">
    <w:name w:val="Char Char Char Char Char Char Char Char"/>
    <w:basedOn w:val="1"/>
    <w:qFormat/>
    <w:uiPriority w:val="0"/>
    <w:pPr>
      <w:tabs>
        <w:tab w:val="left" w:pos="360"/>
      </w:tabs>
    </w:pPr>
    <w:rPr>
      <w:sz w:val="24"/>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1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7">
    <w:name w:val="样式3"/>
    <w:basedOn w:val="168"/>
    <w:qFormat/>
    <w:uiPriority w:val="0"/>
    <w:pPr>
      <w:tabs>
        <w:tab w:val="left" w:pos="2790"/>
        <w:tab w:val="left" w:pos="4230"/>
      </w:tabs>
      <w:ind w:firstLine="482" w:firstLineChars="200"/>
      <w:jc w:val="left"/>
    </w:pPr>
    <w:rPr>
      <w:rFonts w:hAnsi="仿宋_GB2312" w:eastAsia="宋体"/>
      <w:sz w:val="24"/>
    </w:rPr>
  </w:style>
  <w:style w:type="paragraph" w:customStyle="1" w:styleId="1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9">
    <w:name w:val="Char Char1 Char Char1 Char Char1"/>
    <w:basedOn w:val="1"/>
    <w:qFormat/>
    <w:uiPriority w:val="0"/>
    <w:pPr>
      <w:tabs>
        <w:tab w:val="left" w:pos="840"/>
      </w:tabs>
      <w:ind w:left="840" w:hanging="420"/>
    </w:pPr>
    <w:rPr>
      <w:rFonts w:ascii="Tahoma" w:hAnsi="Tahoma"/>
      <w:sz w:val="24"/>
    </w:rPr>
  </w:style>
  <w:style w:type="paragraph" w:customStyle="1" w:styleId="1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1">
    <w:name w:val="标书标题2"/>
    <w:basedOn w:val="5"/>
    <w:qFormat/>
    <w:uiPriority w:val="0"/>
    <w:pPr>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1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3">
    <w:name w:val="正文21"/>
    <w:basedOn w:val="1"/>
    <w:qFormat/>
    <w:uiPriority w:val="0"/>
    <w:pPr>
      <w:adjustRightInd/>
      <w:spacing w:before="156" w:line="360" w:lineRule="auto"/>
      <w:ind w:firstLine="510" w:firstLineChars="200"/>
    </w:pPr>
    <w:rPr>
      <w:sz w:val="24"/>
      <w:szCs w:val="20"/>
    </w:rPr>
  </w:style>
  <w:style w:type="paragraph" w:customStyle="1" w:styleId="174">
    <w:name w:val="Test2"/>
    <w:basedOn w:val="5"/>
    <w:qFormat/>
    <w:uiPriority w:val="0"/>
    <w:pPr>
      <w:widowControl/>
      <w:spacing w:before="360" w:after="360" w:line="240" w:lineRule="atLeast"/>
    </w:pPr>
    <w:rPr>
      <w:rFonts w:ascii="宋体" w:hAnsi="Arial"/>
      <w:snapToGrid w:val="0"/>
      <w:kern w:val="0"/>
      <w:lang w:val="en-US"/>
    </w:rPr>
  </w:style>
  <w:style w:type="paragraph" w:customStyle="1" w:styleId="1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6">
    <w:name w:val="Char1"/>
    <w:basedOn w:val="1"/>
    <w:qFormat/>
    <w:uiPriority w:val="0"/>
    <w:rPr>
      <w:rFonts w:ascii="仿宋_GB2312" w:eastAsia="仿宋_GB2312"/>
      <w:b/>
      <w:sz w:val="32"/>
      <w:szCs w:val="32"/>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1">
    <w:name w:val="6级标题"/>
    <w:basedOn w:val="182"/>
    <w:qFormat/>
    <w:uiPriority w:val="0"/>
    <w:pPr>
      <w:keepNext/>
      <w:tabs>
        <w:tab w:val="left" w:pos="360"/>
      </w:tabs>
      <w:spacing w:before="0" w:after="0"/>
      <w:outlineLvl w:val="5"/>
    </w:pPr>
  </w:style>
  <w:style w:type="paragraph" w:customStyle="1" w:styleId="182">
    <w:name w:val="5级标题"/>
    <w:basedOn w:val="18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83">
    <w:name w:val="4级标题"/>
    <w:basedOn w:val="1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4">
    <w:name w:val="样式 正文文本缩进 + 段前: 2 字符"/>
    <w:basedOn w:val="1"/>
    <w:qFormat/>
    <w:uiPriority w:val="0"/>
    <w:pPr>
      <w:adjustRightInd/>
      <w:ind w:left="420" w:leftChars="200"/>
      <w:jc w:val="left"/>
    </w:pPr>
    <w:rPr>
      <w:sz w:val="28"/>
      <w:szCs w:val="20"/>
      <w:lang w:eastAsia="zh-TW"/>
    </w:rPr>
  </w:style>
  <w:style w:type="paragraph" w:customStyle="1" w:styleId="185">
    <w:name w:val="Char2 Char Char"/>
    <w:basedOn w:val="1"/>
    <w:qFormat/>
    <w:uiPriority w:val="0"/>
    <w:pPr>
      <w:adjustRightInd/>
    </w:pPr>
    <w:rPr>
      <w:rFonts w:ascii="Tahoma" w:hAnsi="Tahoma"/>
      <w:sz w:val="24"/>
      <w:szCs w:val="20"/>
    </w:rPr>
  </w:style>
  <w:style w:type="paragraph" w:customStyle="1" w:styleId="186">
    <w:name w:val="_Style 11"/>
    <w:basedOn w:val="1"/>
    <w:qFormat/>
    <w:uiPriority w:val="34"/>
    <w:pPr>
      <w:adjustRightInd/>
      <w:ind w:firstLine="420" w:firstLineChars="200"/>
    </w:pPr>
    <w:rPr>
      <w:rFonts w:eastAsia="仿宋_GB2312"/>
      <w:sz w:val="28"/>
    </w:rPr>
  </w:style>
  <w:style w:type="paragraph" w:customStyle="1" w:styleId="1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8">
    <w:name w:val="Char Char Char"/>
    <w:basedOn w:val="1"/>
    <w:qFormat/>
    <w:uiPriority w:val="0"/>
    <w:rPr>
      <w:rFonts w:ascii="Tahoma" w:hAnsi="Tahoma"/>
      <w:sz w:val="24"/>
      <w:szCs w:val="20"/>
    </w:rPr>
  </w:style>
  <w:style w:type="paragraph" w:customStyle="1" w:styleId="18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1">
    <w:name w:val="无间隔2"/>
    <w:basedOn w:val="1"/>
    <w:link w:val="1068"/>
    <w:qFormat/>
    <w:uiPriority w:val="99"/>
    <w:rPr>
      <w:szCs w:val="22"/>
    </w:rPr>
  </w:style>
  <w:style w:type="paragraph" w:customStyle="1" w:styleId="1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3">
    <w:name w:val="Char Char Char Char Char Char Char Char Char Char Char Char1 Char1"/>
    <w:basedOn w:val="1"/>
    <w:qFormat/>
    <w:uiPriority w:val="6"/>
    <w:rPr>
      <w:rFonts w:ascii="Tahoma" w:hAnsi="Tahoma" w:cs="仿宋_GB2312"/>
      <w:sz w:val="24"/>
      <w:szCs w:val="20"/>
    </w:rPr>
  </w:style>
  <w:style w:type="paragraph" w:customStyle="1" w:styleId="1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7">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98">
    <w:name w:val="五级无标题条"/>
    <w:basedOn w:val="1"/>
    <w:qFormat/>
    <w:uiPriority w:val="0"/>
    <w:pPr>
      <w:adjustRightInd/>
    </w:pPr>
  </w:style>
  <w:style w:type="paragraph" w:customStyle="1" w:styleId="199">
    <w:name w:val="Char5"/>
    <w:basedOn w:val="1"/>
    <w:qFormat/>
    <w:uiPriority w:val="0"/>
    <w:rPr>
      <w:rFonts w:ascii="仿宋_GB2312" w:eastAsia="仿宋_GB2312"/>
      <w:b/>
      <w:sz w:val="32"/>
      <w:szCs w:val="32"/>
    </w:rPr>
  </w:style>
  <w:style w:type="paragraph" w:customStyle="1" w:styleId="200">
    <w:name w:val="TOC 标题1"/>
    <w:basedOn w:val="4"/>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1">
    <w:name w:val="彩色列表 - 强调文字颜色 12"/>
    <w:basedOn w:val="1"/>
    <w:qFormat/>
    <w:uiPriority w:val="0"/>
    <w:pPr>
      <w:adjustRightInd/>
      <w:ind w:firstLine="420" w:firstLineChars="200"/>
    </w:pPr>
    <w:rPr>
      <w:rFonts w:ascii="Calibri" w:hAnsi="Calibri"/>
      <w:szCs w:val="22"/>
    </w:rPr>
  </w:style>
  <w:style w:type="paragraph" w:customStyle="1" w:styleId="2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3">
    <w:name w:val="Char2"/>
    <w:basedOn w:val="1"/>
    <w:qFormat/>
    <w:uiPriority w:val="0"/>
    <w:rPr>
      <w:rFonts w:ascii="仿宋_GB2312" w:eastAsia="仿宋_GB2312"/>
      <w:b/>
      <w:sz w:val="32"/>
      <w:szCs w:val="32"/>
    </w:rPr>
  </w:style>
  <w:style w:type="paragraph" w:customStyle="1" w:styleId="204">
    <w:name w:val="数字标题3"/>
    <w:basedOn w:val="6"/>
    <w:next w:val="1"/>
    <w:qFormat/>
    <w:uiPriority w:val="0"/>
    <w:pPr>
      <w:spacing w:line="240" w:lineRule="auto"/>
    </w:pPr>
    <w:rPr>
      <w:sz w:val="28"/>
      <w:szCs w:val="28"/>
    </w:rPr>
  </w:style>
  <w:style w:type="paragraph" w:customStyle="1" w:styleId="205">
    <w:name w:val="FA正文"/>
    <w:basedOn w:val="1"/>
    <w:qFormat/>
    <w:uiPriority w:val="0"/>
    <w:pPr>
      <w:spacing w:line="360" w:lineRule="auto"/>
      <w:ind w:firstLine="480" w:firstLineChars="200"/>
    </w:pPr>
    <w:rPr>
      <w:rFonts w:hAnsi="宋体"/>
      <w:sz w:val="24"/>
      <w:szCs w:val="20"/>
    </w:rPr>
  </w:style>
  <w:style w:type="paragraph" w:customStyle="1" w:styleId="206">
    <w:name w:val="MM Topic 5"/>
    <w:basedOn w:val="8"/>
    <w:qFormat/>
    <w:uiPriority w:val="0"/>
    <w:pPr>
      <w:tabs>
        <w:tab w:val="left" w:pos="2520"/>
        <w:tab w:val="clear" w:pos="1008"/>
      </w:tabs>
      <w:adjustRightInd/>
      <w:ind w:left="2520" w:hanging="420"/>
    </w:pPr>
  </w:style>
  <w:style w:type="paragraph" w:customStyle="1" w:styleId="207">
    <w:name w:val="Char Char Char Char Char Char Char Char Char Char1"/>
    <w:basedOn w:val="1"/>
    <w:qFormat/>
    <w:uiPriority w:val="0"/>
    <w:rPr>
      <w:rFonts w:ascii="仿宋_GB2312" w:eastAsia="仿宋_GB2312"/>
      <w:b/>
      <w:sz w:val="32"/>
      <w:szCs w:val="32"/>
    </w:rPr>
  </w:style>
  <w:style w:type="paragraph" w:customStyle="1" w:styleId="2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9">
    <w:name w:val="修订1"/>
    <w:qFormat/>
    <w:uiPriority w:val="99"/>
    <w:rPr>
      <w:rFonts w:ascii="Times New Roman" w:hAnsi="Times New Roman" w:eastAsia="宋体" w:cs="Times New Roman"/>
      <w:color w:val="000000"/>
      <w:kern w:val="1"/>
      <w:sz w:val="21"/>
      <w:lang w:val="en-US" w:eastAsia="zh-CN" w:bidi="ar-SA"/>
    </w:rPr>
  </w:style>
  <w:style w:type="paragraph" w:customStyle="1" w:styleId="210">
    <w:name w:val="Char2 Char Char Char"/>
    <w:basedOn w:val="1"/>
    <w:qFormat/>
    <w:uiPriority w:val="0"/>
    <w:rPr>
      <w:rFonts w:ascii="仿宋_GB2312" w:eastAsia="仿宋_GB2312"/>
      <w:b/>
      <w:sz w:val="32"/>
      <w:szCs w:val="32"/>
    </w:rPr>
  </w:style>
  <w:style w:type="paragraph" w:customStyle="1" w:styleId="211">
    <w:name w:val="Char2 Char Char Char1"/>
    <w:basedOn w:val="1"/>
    <w:qFormat/>
    <w:uiPriority w:val="6"/>
    <w:rPr>
      <w:rFonts w:ascii="仿宋_GB2312" w:eastAsia="仿宋_GB2312"/>
      <w:b/>
      <w:sz w:val="32"/>
      <w:szCs w:val="32"/>
    </w:rPr>
  </w:style>
  <w:style w:type="paragraph" w:customStyle="1" w:styleId="212">
    <w:name w:val="默认段落样式"/>
    <w:basedOn w:val="111"/>
    <w:qFormat/>
    <w:uiPriority w:val="0"/>
    <w:pPr>
      <w:spacing w:before="0"/>
      <w:ind w:firstLine="480"/>
      <w:outlineLvl w:val="2"/>
    </w:pPr>
    <w:rPr>
      <w:rFonts w:ascii="仿宋_GB2312" w:hAnsi="宋体" w:eastAsia="仿宋_GB2312"/>
      <w:color w:val="000000"/>
      <w:szCs w:val="24"/>
    </w:rPr>
  </w:style>
  <w:style w:type="paragraph" w:customStyle="1" w:styleId="213">
    <w:name w:val="图中文字"/>
    <w:basedOn w:val="1"/>
    <w:qFormat/>
    <w:uiPriority w:val="0"/>
    <w:pPr>
      <w:snapToGrid w:val="0"/>
      <w:spacing w:line="0" w:lineRule="atLeast"/>
      <w:ind w:firstLine="200" w:firstLineChars="200"/>
      <w:jc w:val="center"/>
    </w:pPr>
    <w:rPr>
      <w:sz w:val="24"/>
      <w:szCs w:val="20"/>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MM Topic 3"/>
    <w:basedOn w:val="6"/>
    <w:qFormat/>
    <w:uiPriority w:val="0"/>
    <w:pPr>
      <w:tabs>
        <w:tab w:val="left" w:pos="1680"/>
        <w:tab w:val="clear" w:pos="900"/>
      </w:tabs>
      <w:adjustRightInd/>
      <w:ind w:left="1680" w:hanging="420"/>
    </w:p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18">
    <w:name w:val="表格（小）"/>
    <w:basedOn w:val="1"/>
    <w:qFormat/>
    <w:uiPriority w:val="0"/>
    <w:pPr>
      <w:adjustRightInd/>
      <w:snapToGrid w:val="0"/>
      <w:spacing w:line="300" w:lineRule="auto"/>
    </w:pPr>
    <w:rPr>
      <w:rFonts w:eastAsia="仿宋"/>
      <w:szCs w:val="21"/>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Char2 Char Char1"/>
    <w:basedOn w:val="1"/>
    <w:qFormat/>
    <w:uiPriority w:val="6"/>
    <w:pPr>
      <w:adjustRightInd/>
    </w:pPr>
    <w:rPr>
      <w:rFonts w:ascii="Tahoma" w:hAnsi="Tahoma"/>
      <w:sz w:val="24"/>
      <w:szCs w:val="20"/>
    </w:rPr>
  </w:style>
  <w:style w:type="paragraph" w:customStyle="1" w:styleId="221">
    <w:name w:val="列出段落5"/>
    <w:basedOn w:val="1"/>
    <w:qFormat/>
    <w:uiPriority w:val="0"/>
    <w:pPr>
      <w:spacing w:line="360" w:lineRule="auto"/>
      <w:ind w:firstLine="200" w:firstLineChars="200"/>
    </w:pPr>
    <w:rPr>
      <w:rFonts w:eastAsia="楷体_GB2312" w:cs="Lucida Sans"/>
      <w:sz w:val="24"/>
    </w:rPr>
  </w:style>
  <w:style w:type="paragraph" w:customStyle="1" w:styleId="2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3">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2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5">
    <w:name w:val="TOC 标题111"/>
    <w:basedOn w:val="4"/>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9">
    <w:name w:val="_Style 3"/>
    <w:basedOn w:val="1"/>
    <w:qFormat/>
    <w:uiPriority w:val="1"/>
    <w:pPr>
      <w:adjustRightInd/>
      <w:ind w:firstLine="420" w:firstLineChars="200"/>
    </w:pPr>
    <w:rPr>
      <w:rFonts w:eastAsia="仿宋_GB2312"/>
      <w:sz w:val="28"/>
    </w:rPr>
  </w:style>
  <w:style w:type="paragraph" w:customStyle="1" w:styleId="2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Bulleting First Indent 1"/>
    <w:basedOn w:val="8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32">
    <w:name w:val="左对齐表格文字"/>
    <w:basedOn w:val="1"/>
    <w:qFormat/>
    <w:uiPriority w:val="0"/>
    <w:pPr>
      <w:adjustRightInd/>
      <w:ind w:firstLine="200" w:firstLineChars="200"/>
      <w:jc w:val="right"/>
    </w:pPr>
  </w:style>
  <w:style w:type="paragraph" w:customStyle="1" w:styleId="233">
    <w:name w:val="Char Char11 Char Char Char Char Char Char Char Char Char"/>
    <w:basedOn w:val="1"/>
    <w:qFormat/>
    <w:uiPriority w:val="0"/>
    <w:pPr>
      <w:spacing w:line="360" w:lineRule="auto"/>
    </w:pPr>
    <w:rPr>
      <w:szCs w:val="20"/>
    </w:rPr>
  </w:style>
  <w:style w:type="paragraph" w:customStyle="1" w:styleId="234">
    <w:name w:val="正文1.25"/>
    <w:basedOn w:val="1"/>
    <w:qFormat/>
    <w:uiPriority w:val="0"/>
    <w:pPr>
      <w:adjustRightInd/>
      <w:spacing w:line="300" w:lineRule="auto"/>
      <w:ind w:firstLine="480" w:firstLineChars="200"/>
    </w:pPr>
    <w:rPr>
      <w:sz w:val="24"/>
      <w:szCs w:val="20"/>
    </w:rPr>
  </w:style>
  <w:style w:type="paragraph" w:customStyle="1" w:styleId="2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 Char Char Char1"/>
    <w:basedOn w:val="1"/>
    <w:qFormat/>
    <w:uiPriority w:val="6"/>
    <w:rPr>
      <w:rFonts w:ascii="仿宋_GB2312" w:eastAsia="仿宋_GB2312"/>
      <w:b/>
      <w:sz w:val="32"/>
      <w:szCs w:val="20"/>
    </w:rPr>
  </w:style>
  <w:style w:type="paragraph" w:customStyle="1" w:styleId="239">
    <w:name w:val="列出段落2"/>
    <w:basedOn w:val="1"/>
    <w:qFormat/>
    <w:uiPriority w:val="0"/>
    <w:pPr>
      <w:adjustRightInd/>
      <w:ind w:firstLine="420" w:firstLineChars="200"/>
    </w:pPr>
    <w:rPr>
      <w:rFonts w:ascii="宋体" w:hAnsi="宋体"/>
      <w:sz w:val="24"/>
    </w:rPr>
  </w:style>
  <w:style w:type="paragraph" w:customStyle="1" w:styleId="240">
    <w:name w:val="默认段落字体 Para Char Char Char Char Char Char Char"/>
    <w:basedOn w:val="1"/>
    <w:qFormat/>
    <w:uiPriority w:val="0"/>
    <w:rPr>
      <w:rFonts w:eastAsia="仿宋_GB2312"/>
      <w:sz w:val="28"/>
      <w:szCs w:val="20"/>
    </w:rPr>
  </w:style>
  <w:style w:type="paragraph" w:customStyle="1" w:styleId="2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2">
    <w:name w:val="样式 标题 4PIM 4H4h4bulletblbbH41H42H43H44H45H46H47H48...1"/>
    <w:basedOn w:val="7"/>
    <w:qFormat/>
    <w:uiPriority w:val="0"/>
    <w:pPr>
      <w:widowControl/>
      <w:jc w:val="left"/>
    </w:pPr>
    <w:rPr>
      <w:rFonts w:cs="宋体"/>
      <w:sz w:val="24"/>
      <w:szCs w:val="20"/>
    </w:rPr>
  </w:style>
  <w:style w:type="paragraph" w:customStyle="1" w:styleId="243">
    <w:name w:val="彩色列表 - 强调文字颜色 11"/>
    <w:basedOn w:val="1"/>
    <w:qFormat/>
    <w:uiPriority w:val="0"/>
    <w:pPr>
      <w:adjustRightInd/>
      <w:ind w:firstLine="420" w:firstLineChars="200"/>
    </w:pPr>
    <w:rPr>
      <w:rFonts w:ascii="Calibri" w:hAnsi="Calibri"/>
      <w:szCs w:val="22"/>
    </w:rPr>
  </w:style>
  <w:style w:type="paragraph" w:customStyle="1" w:styleId="24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7">
    <w:name w:val="Char Char Char1 Char1"/>
    <w:basedOn w:val="1"/>
    <w:qFormat/>
    <w:uiPriority w:val="6"/>
    <w:rPr>
      <w:szCs w:val="20"/>
    </w:rPr>
  </w:style>
  <w:style w:type="paragraph" w:customStyle="1" w:styleId="2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9">
    <w:name w:val="样式 标题 2 + 宋体 左侧:  1.76 厘米 首行缩进:  0 厘米"/>
    <w:basedOn w:val="5"/>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2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3">
    <w:name w:val="CM14"/>
    <w:basedOn w:val="105"/>
    <w:next w:val="105"/>
    <w:qFormat/>
    <w:uiPriority w:val="0"/>
    <w:pPr>
      <w:spacing w:after="68"/>
    </w:pPr>
    <w:rPr>
      <w:rFonts w:ascii="FHLHE E+ Futura Bk" w:eastAsia="FHLHE E+ Futura Bk" w:cs="Times New Roman"/>
      <w:color w:val="auto"/>
    </w:rPr>
  </w:style>
  <w:style w:type="paragraph" w:customStyle="1" w:styleId="2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7">
    <w:name w:val="正文文字 2"/>
    <w:basedOn w:val="105"/>
    <w:next w:val="105"/>
    <w:qFormat/>
    <w:uiPriority w:val="0"/>
    <w:rPr>
      <w:rFonts w:ascii="宋体" w:eastAsia="宋体" w:cs="Times New Roman"/>
      <w:color w:val="auto"/>
    </w:rPr>
  </w:style>
  <w:style w:type="paragraph" w:customStyle="1" w:styleId="25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9">
    <w:name w:val="Char Char1 Char"/>
    <w:basedOn w:val="1"/>
    <w:qFormat/>
    <w:uiPriority w:val="0"/>
    <w:rPr>
      <w:rFonts w:ascii="仿宋_GB2312" w:eastAsia="仿宋_GB2312"/>
      <w:b/>
      <w:sz w:val="32"/>
      <w:szCs w:val="32"/>
    </w:rPr>
  </w:style>
  <w:style w:type="paragraph" w:customStyle="1" w:styleId="2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62">
    <w:name w:val="Char Char111"/>
    <w:basedOn w:val="1"/>
    <w:qFormat/>
    <w:uiPriority w:val="0"/>
    <w:pPr>
      <w:spacing w:line="360" w:lineRule="auto"/>
    </w:pPr>
    <w:rPr>
      <w:szCs w:val="20"/>
    </w:rPr>
  </w:style>
  <w:style w:type="paragraph" w:customStyle="1" w:styleId="263">
    <w:name w:val="Char"/>
    <w:basedOn w:val="1"/>
    <w:qFormat/>
    <w:uiPriority w:val="0"/>
    <w:rPr>
      <w:rFonts w:ascii="仿宋_GB2312" w:eastAsia="仿宋_GB2312"/>
      <w:b/>
      <w:sz w:val="32"/>
      <w:szCs w:val="32"/>
    </w:rPr>
  </w:style>
  <w:style w:type="paragraph" w:customStyle="1" w:styleId="2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6">
    <w:name w:val="Char Char Char1 Char"/>
    <w:basedOn w:val="1"/>
    <w:qFormat/>
    <w:uiPriority w:val="0"/>
    <w:rPr>
      <w:szCs w:val="20"/>
    </w:rPr>
  </w:style>
  <w:style w:type="paragraph" w:customStyle="1" w:styleId="267">
    <w:name w:val="正文标准"/>
    <w:basedOn w:val="1"/>
    <w:qFormat/>
    <w:uiPriority w:val="0"/>
    <w:pPr>
      <w:adjustRightInd/>
      <w:spacing w:line="360" w:lineRule="auto"/>
      <w:ind w:firstLine="200" w:firstLineChars="200"/>
    </w:pPr>
    <w:rPr>
      <w:rFonts w:ascii="宋体" w:hAnsi="Calibri"/>
      <w:sz w:val="24"/>
    </w:rPr>
  </w:style>
  <w:style w:type="paragraph" w:customStyle="1" w:styleId="2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9">
    <w:name w:val="标准有序列表（L1）"/>
    <w:basedOn w:val="22"/>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80">
    <w:name w:val="Char Char Char Char Char Char Char Char Char Char"/>
    <w:basedOn w:val="1"/>
    <w:qFormat/>
    <w:uiPriority w:val="0"/>
    <w:rPr>
      <w:rFonts w:ascii="仿宋_GB2312" w:eastAsia="仿宋_GB2312"/>
      <w:b/>
      <w:sz w:val="32"/>
      <w:szCs w:val="32"/>
    </w:rPr>
  </w:style>
  <w:style w:type="paragraph" w:customStyle="1" w:styleId="2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2">
    <w:name w:val="_正文段落"/>
    <w:basedOn w:val="1"/>
    <w:qFormat/>
    <w:uiPriority w:val="0"/>
    <w:pPr>
      <w:adjustRightInd/>
      <w:ind w:firstLine="560"/>
    </w:pPr>
    <w:rPr>
      <w:rFonts w:ascii="仿宋_GB2312" w:hAnsi="仿宋" w:eastAsia="仿宋_GB2312"/>
      <w:kern w:val="0"/>
      <w:sz w:val="28"/>
      <w:szCs w:val="28"/>
    </w:rPr>
  </w:style>
  <w:style w:type="paragraph" w:customStyle="1" w:styleId="2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9">
    <w:name w:val="Char Char Char1 Char2"/>
    <w:basedOn w:val="1"/>
    <w:qFormat/>
    <w:uiPriority w:val="0"/>
    <w:rPr>
      <w:szCs w:val="20"/>
    </w:rPr>
  </w:style>
  <w:style w:type="paragraph" w:customStyle="1" w:styleId="2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1">
    <w:name w:val="默认段落字体 Para Char"/>
    <w:basedOn w:val="1"/>
    <w:qFormat/>
    <w:uiPriority w:val="0"/>
    <w:rPr>
      <w:rFonts w:ascii="Tahoma" w:hAnsi="Tahoma"/>
      <w:sz w:val="24"/>
      <w:szCs w:val="20"/>
    </w:rPr>
  </w:style>
  <w:style w:type="paragraph" w:customStyle="1" w:styleId="292">
    <w:name w:val="标题五"/>
    <w:basedOn w:val="1"/>
    <w:qFormat/>
    <w:uiPriority w:val="0"/>
    <w:pPr>
      <w:adjustRightInd/>
      <w:spacing w:before="156" w:beforeLines="50" w:line="360" w:lineRule="auto"/>
    </w:pPr>
    <w:rPr>
      <w:b/>
      <w:sz w:val="24"/>
    </w:rPr>
  </w:style>
  <w:style w:type="paragraph" w:customStyle="1" w:styleId="293">
    <w:name w:val="Char Char1101"/>
    <w:basedOn w:val="1"/>
    <w:qFormat/>
    <w:uiPriority w:val="0"/>
    <w:pPr>
      <w:spacing w:line="360" w:lineRule="auto"/>
    </w:pPr>
    <w:rPr>
      <w:rFonts w:ascii="Tahoma" w:hAnsi="Tahoma"/>
      <w:sz w:val="24"/>
      <w:szCs w:val="20"/>
    </w:rPr>
  </w:style>
  <w:style w:type="paragraph" w:customStyle="1" w:styleId="294">
    <w:name w:val="Char Char Char Char Char Char Char Char1"/>
    <w:basedOn w:val="1"/>
    <w:qFormat/>
    <w:uiPriority w:val="0"/>
    <w:pPr>
      <w:tabs>
        <w:tab w:val="left" w:pos="360"/>
      </w:tabs>
    </w:pPr>
    <w:rPr>
      <w:sz w:val="24"/>
      <w:szCs w:val="20"/>
    </w:rPr>
  </w:style>
  <w:style w:type="paragraph" w:customStyle="1" w:styleId="295">
    <w:name w:val="Char Char Char 字元 字元"/>
    <w:basedOn w:val="1"/>
    <w:qFormat/>
    <w:uiPriority w:val="0"/>
    <w:pPr>
      <w:adjustRightInd/>
      <w:spacing w:line="360" w:lineRule="auto"/>
      <w:ind w:firstLine="200" w:firstLineChars="200"/>
    </w:pPr>
    <w:rPr>
      <w:szCs w:val="20"/>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01">
    <w:name w:val="样式6"/>
    <w:basedOn w:val="45"/>
    <w:qFormat/>
    <w:uiPriority w:val="0"/>
    <w:pPr>
      <w:spacing w:line="460" w:lineRule="exact"/>
      <w:outlineLvl w:val="2"/>
    </w:pPr>
    <w:rPr>
      <w:rFonts w:ascii="仿宋_GB2312" w:hAnsi="宋体" w:eastAsia="仿宋_GB2312"/>
      <w:b/>
      <w:bCs/>
      <w:sz w:val="24"/>
      <w:szCs w:val="24"/>
    </w:rPr>
  </w:style>
  <w:style w:type="paragraph" w:customStyle="1" w:styleId="302">
    <w:name w:val="批注框文本 Char Char"/>
    <w:basedOn w:val="1"/>
    <w:qFormat/>
    <w:uiPriority w:val="0"/>
    <w:pPr>
      <w:adjustRightInd/>
    </w:pPr>
    <w:rPr>
      <w:sz w:val="18"/>
      <w:szCs w:val="20"/>
    </w:rPr>
  </w:style>
  <w:style w:type="paragraph" w:customStyle="1" w:styleId="3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307">
    <w:name w:val="索引 11"/>
    <w:basedOn w:val="1"/>
    <w:next w:val="1"/>
    <w:qFormat/>
    <w:uiPriority w:val="99"/>
    <w:pPr>
      <w:adjustRightInd/>
      <w:spacing w:line="360" w:lineRule="auto"/>
    </w:pPr>
    <w:rPr>
      <w:rFonts w:ascii="仿宋_GB2312" w:eastAsia="仿宋_GB2312"/>
      <w:sz w:val="24"/>
      <w:szCs w:val="20"/>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1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11">
    <w:name w:val="文档正文"/>
    <w:basedOn w:val="1"/>
    <w:qFormat/>
    <w:uiPriority w:val="0"/>
    <w:pPr>
      <w:spacing w:line="480" w:lineRule="atLeast"/>
      <w:ind w:firstLine="567"/>
      <w:textAlignment w:val="baseline"/>
    </w:pPr>
    <w:rPr>
      <w:kern w:val="0"/>
      <w:sz w:val="24"/>
      <w:szCs w:val="20"/>
    </w:rPr>
  </w:style>
  <w:style w:type="paragraph" w:customStyle="1" w:styleId="312">
    <w:name w:val="正文文字表格居中"/>
    <w:basedOn w:val="1"/>
    <w:next w:val="76"/>
    <w:qFormat/>
    <w:uiPriority w:val="0"/>
    <w:pPr>
      <w:snapToGrid w:val="0"/>
      <w:spacing w:line="360" w:lineRule="auto"/>
    </w:pPr>
    <w:rPr>
      <w:rFonts w:ascii="宋体"/>
      <w:b/>
      <w:sz w:val="24"/>
      <w:szCs w:val="20"/>
    </w:rPr>
  </w:style>
  <w:style w:type="paragraph" w:customStyle="1" w:styleId="31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1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5">
    <w:name w:val="Plain Text1"/>
    <w:basedOn w:val="1"/>
    <w:qFormat/>
    <w:uiPriority w:val="7"/>
    <w:pPr>
      <w:adjustRightInd/>
    </w:pPr>
    <w:rPr>
      <w:rFonts w:ascii="宋体" w:hAnsi="Courier New"/>
    </w:rPr>
  </w:style>
  <w:style w:type="paragraph" w:customStyle="1" w:styleId="316">
    <w:name w:val="Char3"/>
    <w:basedOn w:val="1"/>
    <w:qFormat/>
    <w:uiPriority w:val="0"/>
    <w:pPr>
      <w:adjustRightInd/>
    </w:pPr>
    <w:rPr>
      <w:rFonts w:ascii="仿宋_GB2312" w:eastAsia="仿宋_GB2312"/>
      <w:b/>
      <w:sz w:val="32"/>
      <w:szCs w:val="32"/>
    </w:rPr>
  </w:style>
  <w:style w:type="paragraph" w:customStyle="1" w:styleId="3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9">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20">
    <w:name w:val="List Paragraph1"/>
    <w:basedOn w:val="1"/>
    <w:qFormat/>
    <w:uiPriority w:val="34"/>
    <w:pPr>
      <w:spacing w:line="360" w:lineRule="auto"/>
      <w:ind w:firstLine="200" w:firstLineChars="200"/>
    </w:pPr>
    <w:rPr>
      <w:rFonts w:eastAsia="楷体_GB2312" w:cs="Lucida Sans"/>
      <w:sz w:val="24"/>
    </w:rPr>
  </w:style>
  <w:style w:type="paragraph" w:customStyle="1" w:styleId="321">
    <w:name w:val="样式 标题 3标题 3 Char第二层条h33Bold Headbh章标题1小标题level_3PIM 3..."/>
    <w:basedOn w:val="6"/>
    <w:qFormat/>
    <w:uiPriority w:val="0"/>
    <w:rPr>
      <w:rFonts w:ascii="黑体" w:hAnsi="宋体" w:eastAsia="黑体" w:cs="宋体"/>
      <w:b w:val="0"/>
      <w:bCs w:val="0"/>
      <w:color w:val="000000"/>
      <w:kern w:val="0"/>
      <w:sz w:val="28"/>
      <w:szCs w:val="20"/>
    </w:rPr>
  </w:style>
  <w:style w:type="paragraph" w:customStyle="1" w:styleId="3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4">
    <w:name w:val="Char3 Char Char Char"/>
    <w:basedOn w:val="1"/>
    <w:qFormat/>
    <w:uiPriority w:val="0"/>
    <w:pPr>
      <w:widowControl/>
      <w:adjustRightInd/>
      <w:spacing w:after="160" w:line="240" w:lineRule="exact"/>
      <w:jc w:val="left"/>
    </w:pPr>
    <w:rPr>
      <w:szCs w:val="20"/>
    </w:rPr>
  </w:style>
  <w:style w:type="paragraph" w:customStyle="1" w:styleId="325">
    <w:name w:val="表格标题2"/>
    <w:basedOn w:val="326"/>
    <w:qFormat/>
    <w:uiPriority w:val="0"/>
    <w:rPr>
      <w:b/>
    </w:rPr>
  </w:style>
  <w:style w:type="paragraph" w:customStyle="1" w:styleId="326">
    <w:name w:val="表格内文"/>
    <w:basedOn w:val="1"/>
    <w:qFormat/>
    <w:uiPriority w:val="0"/>
    <w:pPr>
      <w:adjustRightInd/>
      <w:spacing w:line="360" w:lineRule="auto"/>
    </w:pPr>
    <w:rPr>
      <w:rFonts w:ascii="宋体" w:hAnsi="宋体" w:cs="宋体"/>
      <w:color w:val="000000"/>
      <w:szCs w:val="20"/>
    </w:rPr>
  </w:style>
  <w:style w:type="paragraph" w:customStyle="1" w:styleId="327">
    <w:name w:val="Char Char Char Char Char Char Char Char Char Char2"/>
    <w:basedOn w:val="1"/>
    <w:qFormat/>
    <w:uiPriority w:val="0"/>
    <w:rPr>
      <w:rFonts w:ascii="仿宋_GB2312" w:eastAsia="仿宋_GB2312"/>
      <w:b/>
      <w:sz w:val="32"/>
      <w:szCs w:val="32"/>
    </w:rPr>
  </w:style>
  <w:style w:type="paragraph" w:customStyle="1" w:styleId="3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0">
    <w:name w:val="Char Char11 Char Char Char Char Char Char Char Char Char11"/>
    <w:basedOn w:val="1"/>
    <w:qFormat/>
    <w:uiPriority w:val="0"/>
    <w:pPr>
      <w:spacing w:line="360" w:lineRule="auto"/>
    </w:pPr>
    <w:rPr>
      <w:szCs w:val="20"/>
    </w:rPr>
  </w:style>
  <w:style w:type="paragraph" w:customStyle="1" w:styleId="3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3">
    <w:name w:val="MM Topic 1"/>
    <w:basedOn w:val="4"/>
    <w:qFormat/>
    <w:uiPriority w:val="0"/>
    <w:pPr>
      <w:tabs>
        <w:tab w:val="left" w:pos="840"/>
        <w:tab w:val="clear" w:pos="432"/>
      </w:tabs>
      <w:adjustRightInd/>
      <w:ind w:left="840" w:hanging="420"/>
    </w:pPr>
  </w:style>
  <w:style w:type="paragraph" w:customStyle="1" w:styleId="334">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35">
    <w:name w:val="文本正文 Char"/>
    <w:basedOn w:val="1"/>
    <w:qFormat/>
    <w:uiPriority w:val="0"/>
    <w:pPr>
      <w:spacing w:line="360" w:lineRule="auto"/>
      <w:ind w:firstLine="200" w:firstLineChars="200"/>
    </w:pPr>
    <w:rPr>
      <w:kern w:val="0"/>
      <w:sz w:val="24"/>
      <w:szCs w:val="20"/>
    </w:rPr>
  </w:style>
  <w:style w:type="paragraph" w:customStyle="1" w:styleId="336">
    <w:name w:val="表格"/>
    <w:basedOn w:val="1"/>
    <w:qFormat/>
    <w:uiPriority w:val="0"/>
    <w:pPr>
      <w:snapToGrid w:val="0"/>
      <w:ind w:firstLine="42" w:firstLineChars="21"/>
    </w:pPr>
    <w:rPr>
      <w:rFonts w:ascii="宋体" w:hAnsi="宋体"/>
      <w:kern w:val="0"/>
      <w:sz w:val="20"/>
      <w:szCs w:val="20"/>
    </w:rPr>
  </w:style>
  <w:style w:type="paragraph" w:customStyle="1" w:styleId="337">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3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40">
    <w:name w:val="表格项目符号 2"/>
    <w:basedOn w:val="4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41">
    <w:name w:val="EB_表格"/>
    <w:basedOn w:val="1"/>
    <w:qFormat/>
    <w:uiPriority w:val="0"/>
    <w:pPr>
      <w:adjustRightInd/>
      <w:spacing w:line="300" w:lineRule="auto"/>
      <w:jc w:val="center"/>
    </w:pPr>
  </w:style>
  <w:style w:type="paragraph" w:customStyle="1" w:styleId="342">
    <w:name w:val="_Style 6"/>
    <w:basedOn w:val="1"/>
    <w:qFormat/>
    <w:uiPriority w:val="34"/>
    <w:pPr>
      <w:adjustRightInd/>
      <w:ind w:firstLine="420" w:firstLineChars="200"/>
    </w:pPr>
    <w:rPr>
      <w:rFonts w:eastAsia="仿宋_GB2312"/>
      <w:sz w:val="28"/>
    </w:rPr>
  </w:style>
  <w:style w:type="paragraph" w:customStyle="1" w:styleId="34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4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7">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8">
    <w:name w:val="段"/>
    <w:link w:val="11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50">
    <w:name w:val="trademark"/>
    <w:qFormat/>
    <w:uiPriority w:val="0"/>
    <w:pPr>
      <w:spacing w:after="60"/>
    </w:pPr>
    <w:rPr>
      <w:rFonts w:ascii="Futura Bk" w:hAnsi="Futura Bk" w:eastAsia="宋体" w:cs="Times New Roman"/>
      <w:sz w:val="15"/>
      <w:lang w:val="en-US" w:eastAsia="en-US" w:bidi="ar-SA"/>
    </w:rPr>
  </w:style>
  <w:style w:type="paragraph" w:customStyle="1" w:styleId="35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52">
    <w:name w:val="Char Char1 Char Char Char Char Char Char1"/>
    <w:basedOn w:val="1"/>
    <w:qFormat/>
    <w:uiPriority w:val="0"/>
    <w:rPr>
      <w:rFonts w:ascii="仿宋_GB2312" w:eastAsia="仿宋_GB2312"/>
      <w:b/>
      <w:sz w:val="32"/>
      <w:szCs w:val="20"/>
    </w:rPr>
  </w:style>
  <w:style w:type="paragraph" w:customStyle="1" w:styleId="35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4">
    <w:name w:val="Char1 Char Char Char1"/>
    <w:basedOn w:val="1"/>
    <w:qFormat/>
    <w:uiPriority w:val="0"/>
    <w:pPr>
      <w:adjustRightInd/>
      <w:ind w:firstLine="200" w:firstLineChars="200"/>
    </w:pPr>
    <w:rPr>
      <w:rFonts w:ascii="Tahoma" w:hAnsi="Tahoma"/>
      <w:sz w:val="24"/>
      <w:szCs w:val="20"/>
    </w:rPr>
  </w:style>
  <w:style w:type="paragraph" w:customStyle="1" w:styleId="355">
    <w:name w:val="a1"/>
    <w:basedOn w:val="1"/>
    <w:qFormat/>
    <w:uiPriority w:val="0"/>
    <w:pPr>
      <w:widowControl/>
      <w:spacing w:line="300" w:lineRule="atLeast"/>
      <w:jc w:val="left"/>
    </w:pPr>
    <w:rPr>
      <w:rFonts w:ascii="宋体" w:hAnsi="宋体"/>
      <w:kern w:val="0"/>
      <w:sz w:val="18"/>
      <w:szCs w:val="20"/>
    </w:rPr>
  </w:style>
  <w:style w:type="paragraph" w:customStyle="1" w:styleId="356">
    <w:name w:val="样式7"/>
    <w:basedOn w:val="357"/>
    <w:next w:val="1"/>
    <w:qFormat/>
    <w:uiPriority w:val="0"/>
    <w:pPr>
      <w:spacing w:after="156" w:afterLines="50"/>
      <w:jc w:val="left"/>
      <w:outlineLvl w:val="3"/>
    </w:pPr>
    <w:rPr>
      <w:sz w:val="24"/>
      <w:szCs w:val="24"/>
    </w:rPr>
  </w:style>
  <w:style w:type="paragraph" w:customStyle="1" w:styleId="35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60">
    <w:name w:val="样式 样式2 + 左侧:  1 字符 右侧:  1 字符"/>
    <w:basedOn w:val="16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Char2 Char Char2"/>
    <w:basedOn w:val="1"/>
    <w:qFormat/>
    <w:uiPriority w:val="0"/>
    <w:pPr>
      <w:adjustRightInd/>
    </w:pPr>
    <w:rPr>
      <w:rFonts w:ascii="Tahoma" w:hAnsi="Tahoma"/>
      <w:sz w:val="24"/>
      <w:szCs w:val="20"/>
    </w:rPr>
  </w:style>
  <w:style w:type="paragraph" w:customStyle="1" w:styleId="3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三级条标题"/>
    <w:basedOn w:val="364"/>
    <w:next w:val="348"/>
    <w:qFormat/>
    <w:uiPriority w:val="0"/>
    <w:pPr>
      <w:tabs>
        <w:tab w:val="left" w:pos="1260"/>
        <w:tab w:val="left" w:pos="1680"/>
        <w:tab w:val="left" w:pos="2100"/>
        <w:tab w:val="left" w:pos="2520"/>
      </w:tabs>
      <w:ind w:left="2520"/>
      <w:outlineLvl w:val="4"/>
    </w:pPr>
  </w:style>
  <w:style w:type="paragraph" w:customStyle="1" w:styleId="364">
    <w:name w:val="二级条标题"/>
    <w:basedOn w:val="365"/>
    <w:next w:val="348"/>
    <w:qFormat/>
    <w:uiPriority w:val="0"/>
    <w:pPr>
      <w:tabs>
        <w:tab w:val="left" w:pos="1260"/>
        <w:tab w:val="left" w:pos="1680"/>
        <w:tab w:val="left" w:pos="2100"/>
      </w:tabs>
      <w:ind w:left="0"/>
      <w:outlineLvl w:val="3"/>
    </w:pPr>
  </w:style>
  <w:style w:type="paragraph" w:customStyle="1" w:styleId="365">
    <w:name w:val="一级条标题"/>
    <w:basedOn w:val="366"/>
    <w:next w:val="348"/>
    <w:link w:val="1103"/>
    <w:qFormat/>
    <w:uiPriority w:val="0"/>
    <w:pPr>
      <w:tabs>
        <w:tab w:val="left" w:pos="1260"/>
        <w:tab w:val="left" w:pos="1680"/>
      </w:tabs>
      <w:spacing w:before="0" w:beforeLines="0" w:after="0" w:afterLines="0"/>
      <w:ind w:left="1680"/>
      <w:outlineLvl w:val="2"/>
    </w:pPr>
  </w:style>
  <w:style w:type="paragraph" w:customStyle="1" w:styleId="366">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67">
    <w:name w:val="数字标题2"/>
    <w:basedOn w:val="5"/>
    <w:next w:val="1"/>
    <w:qFormat/>
    <w:uiPriority w:val="0"/>
    <w:pPr>
      <w:tabs>
        <w:tab w:val="left" w:pos="480"/>
        <w:tab w:val="clear" w:pos="432"/>
      </w:tabs>
      <w:ind w:left="480" w:hanging="480"/>
    </w:pPr>
    <w:rPr>
      <w:rFonts w:ascii="Times New Roman"/>
      <w:i/>
      <w:sz w:val="36"/>
      <w:szCs w:val="36"/>
      <w:lang w:val="en-US"/>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标题 1Level 1 HeadPIM 1Section Headh1l11Heading 0Datash..."/>
    <w:basedOn w:val="4"/>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7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1">
    <w:name w:val="样式 标题 1章节第一层h1H"/>
    <w:basedOn w:val="4"/>
    <w:qFormat/>
    <w:uiPriority w:val="0"/>
    <w:pPr>
      <w:autoSpaceDE w:val="0"/>
      <w:autoSpaceDN w:val="0"/>
      <w:spacing w:line="240" w:lineRule="auto"/>
      <w:jc w:val="left"/>
      <w:outlineLvl w:val="9"/>
    </w:pPr>
    <w:rPr>
      <w:kern w:val="0"/>
      <w:sz w:val="52"/>
      <w:szCs w:val="52"/>
      <w:lang w:val="zh-CN"/>
    </w:rPr>
  </w:style>
  <w:style w:type="paragraph" w:customStyle="1" w:styleId="37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73">
    <w:name w:val="正文 项目2"/>
    <w:basedOn w:val="374"/>
    <w:qFormat/>
    <w:uiPriority w:val="0"/>
    <w:pPr>
      <w:tabs>
        <w:tab w:val="left" w:pos="840"/>
      </w:tabs>
      <w:spacing w:after="0"/>
      <w:ind w:left="900"/>
    </w:p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Body Text 2*"/>
    <w:basedOn w:val="1"/>
    <w:qFormat/>
    <w:uiPriority w:val="6"/>
    <w:pPr>
      <w:widowControl/>
      <w:adjustRightInd/>
      <w:ind w:left="720" w:hanging="720"/>
    </w:pPr>
    <w:rPr>
      <w:color w:val="000000"/>
      <w:kern w:val="0"/>
      <w:sz w:val="24"/>
      <w:szCs w:val="20"/>
    </w:rPr>
  </w:style>
  <w:style w:type="paragraph" w:customStyle="1" w:styleId="376">
    <w:name w:val="表1"/>
    <w:basedOn w:val="1"/>
    <w:qFormat/>
    <w:uiPriority w:val="0"/>
    <w:pPr>
      <w:tabs>
        <w:tab w:val="left" w:pos="703"/>
      </w:tabs>
      <w:adjustRightInd/>
      <w:spacing w:line="360" w:lineRule="auto"/>
      <w:ind w:left="703"/>
      <w:jc w:val="center"/>
    </w:pPr>
  </w:style>
  <w:style w:type="paragraph" w:customStyle="1" w:styleId="37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80">
    <w:name w:val="2级标题"/>
    <w:basedOn w:val="381"/>
    <w:qFormat/>
    <w:uiPriority w:val="0"/>
    <w:pPr>
      <w:jc w:val="left"/>
      <w:outlineLvl w:val="1"/>
    </w:pPr>
    <w:rPr>
      <w:rFonts w:ascii="Times New Roman" w:hAnsi="Times New Roman" w:eastAsia="仿宋"/>
      <w:sz w:val="30"/>
    </w:rPr>
  </w:style>
  <w:style w:type="paragraph" w:customStyle="1" w:styleId="38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8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8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bullet"/>
    <w:basedOn w:val="1"/>
    <w:qFormat/>
    <w:uiPriority w:val="0"/>
    <w:pPr>
      <w:tabs>
        <w:tab w:val="left" w:pos="840"/>
      </w:tabs>
      <w:adjustRightInd/>
      <w:ind w:left="840" w:hanging="420"/>
    </w:pPr>
  </w:style>
  <w:style w:type="paragraph" w:customStyle="1" w:styleId="3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9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9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9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4">
    <w:name w:val="MM Topic 4"/>
    <w:basedOn w:val="7"/>
    <w:qFormat/>
    <w:uiPriority w:val="0"/>
    <w:pPr>
      <w:tabs>
        <w:tab w:val="left" w:pos="2100"/>
        <w:tab w:val="clear" w:pos="864"/>
      </w:tabs>
      <w:adjustRightInd/>
      <w:ind w:left="2100" w:hanging="420"/>
    </w:pPr>
    <w:rPr>
      <w:lang w:val="en-US"/>
    </w:rPr>
  </w:style>
  <w:style w:type="paragraph" w:customStyle="1" w:styleId="39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9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397">
    <w:name w:val="Char Char11 Char Char Char Char Char Char Char Char Char1"/>
    <w:basedOn w:val="1"/>
    <w:qFormat/>
    <w:uiPriority w:val="6"/>
    <w:pPr>
      <w:spacing w:line="360" w:lineRule="auto"/>
    </w:pPr>
    <w:rPr>
      <w:szCs w:val="20"/>
    </w:rPr>
  </w:style>
  <w:style w:type="paragraph" w:customStyle="1" w:styleId="39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00">
    <w:name w:val="body text bold"/>
    <w:basedOn w:val="3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0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0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7">
    <w:name w:val="单元格居中"/>
    <w:basedOn w:val="1"/>
    <w:qFormat/>
    <w:uiPriority w:val="0"/>
    <w:pPr>
      <w:adjustRightInd/>
      <w:spacing w:line="360" w:lineRule="auto"/>
      <w:jc w:val="center"/>
    </w:pPr>
    <w:rPr>
      <w:sz w:val="24"/>
    </w:rPr>
  </w:style>
  <w:style w:type="paragraph" w:customStyle="1" w:styleId="40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9">
    <w:name w:val="Char Char Char Char Char Char Char1"/>
    <w:basedOn w:val="1"/>
    <w:qFormat/>
    <w:uiPriority w:val="6"/>
    <w:rPr>
      <w:rFonts w:ascii="仿宋_GB2312" w:eastAsia="仿宋_GB2312"/>
      <w:b/>
      <w:sz w:val="32"/>
      <w:szCs w:val="32"/>
    </w:rPr>
  </w:style>
  <w:style w:type="paragraph" w:customStyle="1" w:styleId="41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12">
    <w:name w:val="Char3 Char Char Char11"/>
    <w:basedOn w:val="1"/>
    <w:qFormat/>
    <w:uiPriority w:val="0"/>
    <w:pPr>
      <w:widowControl/>
      <w:adjustRightInd/>
      <w:spacing w:after="160" w:line="240" w:lineRule="exact"/>
      <w:jc w:val="left"/>
    </w:pPr>
    <w:rPr>
      <w:szCs w:val="20"/>
    </w:rPr>
  </w:style>
  <w:style w:type="paragraph" w:customStyle="1" w:styleId="413">
    <w:name w:val="Char Char1121"/>
    <w:basedOn w:val="1"/>
    <w:qFormat/>
    <w:uiPriority w:val="0"/>
    <w:pPr>
      <w:spacing w:line="360" w:lineRule="auto"/>
    </w:pPr>
    <w:rPr>
      <w:szCs w:val="20"/>
    </w:rPr>
  </w:style>
  <w:style w:type="paragraph" w:customStyle="1" w:styleId="4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416">
    <w:name w:val="Normal0"/>
    <w:qFormat/>
    <w:uiPriority w:val="0"/>
    <w:rPr>
      <w:rFonts w:ascii="Times New Roman" w:hAnsi="Times New Roman" w:eastAsia="宋体" w:cs="Times New Roman"/>
      <w:lang w:val="en-US" w:eastAsia="en-US" w:bidi="ar-SA"/>
    </w:rPr>
  </w:style>
  <w:style w:type="paragraph" w:customStyle="1" w:styleId="417">
    <w:name w:val="带编号样式"/>
    <w:basedOn w:val="335"/>
    <w:qFormat/>
    <w:uiPriority w:val="0"/>
    <w:pPr>
      <w:tabs>
        <w:tab w:val="left" w:pos="840"/>
      </w:tabs>
      <w:snapToGrid w:val="0"/>
      <w:ind w:left="840" w:hanging="420" w:firstLineChars="0"/>
    </w:pPr>
    <w:rPr>
      <w:rFonts w:ascii="仿宋_GB2312" w:eastAsia="仿宋_GB2312"/>
      <w:color w:val="000000"/>
    </w:rPr>
  </w:style>
  <w:style w:type="paragraph" w:customStyle="1" w:styleId="41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0">
    <w:name w:val="封面"/>
    <w:basedOn w:val="1"/>
    <w:qFormat/>
    <w:uiPriority w:val="0"/>
    <w:pPr>
      <w:spacing w:line="360" w:lineRule="atLeast"/>
      <w:jc w:val="right"/>
      <w:textAlignment w:val="baseline"/>
    </w:pPr>
    <w:rPr>
      <w:rFonts w:ascii="Symbol" w:hAnsi="Symbol"/>
      <w:kern w:val="0"/>
      <w:szCs w:val="20"/>
    </w:rPr>
  </w:style>
  <w:style w:type="paragraph" w:customStyle="1" w:styleId="4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23">
    <w:name w:val="默认段落字体 Para Char Char Char1 Char"/>
    <w:basedOn w:val="1"/>
    <w:qFormat/>
    <w:uiPriority w:val="0"/>
    <w:pPr>
      <w:spacing w:line="240" w:lineRule="atLeast"/>
      <w:ind w:left="420" w:firstLine="420"/>
    </w:pPr>
    <w:rPr>
      <w:sz w:val="24"/>
    </w:rPr>
  </w:style>
  <w:style w:type="paragraph" w:customStyle="1" w:styleId="424">
    <w:name w:val="WW-正文文字缩进 2"/>
    <w:basedOn w:val="1"/>
    <w:qFormat/>
    <w:uiPriority w:val="0"/>
    <w:pPr>
      <w:suppressAutoHyphens/>
      <w:adjustRightInd/>
      <w:ind w:firstLine="420"/>
    </w:pPr>
    <w:rPr>
      <w:kern w:val="1"/>
      <w:szCs w:val="20"/>
    </w:rPr>
  </w:style>
  <w:style w:type="paragraph" w:customStyle="1" w:styleId="42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6">
    <w:name w:val="样式 标题 2 + 四号"/>
    <w:basedOn w:val="5"/>
    <w:qFormat/>
    <w:uiPriority w:val="0"/>
    <w:pPr>
      <w:spacing w:before="120" w:after="120"/>
      <w:jc w:val="both"/>
    </w:pPr>
    <w:rPr>
      <w:rFonts w:ascii="宋体" w:hAnsi="Arial"/>
      <w:lang w:val="en-US"/>
    </w:rPr>
  </w:style>
  <w:style w:type="paragraph" w:customStyle="1" w:styleId="427">
    <w:name w:val="有符号正文"/>
    <w:basedOn w:val="1"/>
    <w:qFormat/>
    <w:uiPriority w:val="0"/>
    <w:pPr>
      <w:adjustRightInd/>
      <w:spacing w:line="400" w:lineRule="exact"/>
      <w:ind w:firstLine="200" w:firstLineChars="200"/>
    </w:pPr>
    <w:rPr>
      <w:rFonts w:ascii="Arial" w:hAnsi="Arial"/>
    </w:rPr>
  </w:style>
  <w:style w:type="paragraph" w:customStyle="1" w:styleId="42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30">
    <w:name w:val="4"/>
    <w:basedOn w:val="1"/>
    <w:next w:val="51"/>
    <w:qFormat/>
    <w:uiPriority w:val="0"/>
    <w:pPr>
      <w:spacing w:after="120" w:line="480" w:lineRule="auto"/>
      <w:ind w:left="420" w:leftChars="200"/>
    </w:pPr>
    <w:rPr>
      <w:sz w:val="24"/>
      <w:szCs w:val="20"/>
    </w:rPr>
  </w:style>
  <w:style w:type="paragraph" w:customStyle="1" w:styleId="4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1"/>
    <w:basedOn w:val="1"/>
    <w:link w:val="1099"/>
    <w:qFormat/>
    <w:uiPriority w:val="0"/>
    <w:pPr>
      <w:widowControl/>
      <w:tabs>
        <w:tab w:val="left" w:pos="1212"/>
        <w:tab w:val="left" w:pos="3888"/>
      </w:tabs>
      <w:snapToGrid w:val="0"/>
      <w:spacing w:line="360" w:lineRule="auto"/>
      <w:jc w:val="left"/>
    </w:pPr>
    <w:rPr>
      <w:rFonts w:ascii="宋体" w:hAnsi="宋体"/>
      <w:b/>
      <w:kern w:val="0"/>
      <w:sz w:val="24"/>
      <w:szCs w:val="20"/>
    </w:rPr>
  </w:style>
  <w:style w:type="paragraph" w:customStyle="1" w:styleId="433">
    <w:name w:val="样式 标题 3H3 + 两端对齐"/>
    <w:basedOn w:val="6"/>
    <w:qFormat/>
    <w:uiPriority w:val="0"/>
    <w:pPr>
      <w:spacing w:line="240" w:lineRule="auto"/>
      <w:jc w:val="left"/>
    </w:pPr>
    <w:rPr>
      <w:rFonts w:cs="宋体"/>
      <w:sz w:val="21"/>
      <w:szCs w:val="20"/>
    </w:rPr>
  </w:style>
  <w:style w:type="paragraph" w:customStyle="1" w:styleId="4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9">
    <w:name w:val="Char Char1 Char Char Char"/>
    <w:basedOn w:val="1"/>
    <w:qFormat/>
    <w:uiPriority w:val="0"/>
    <w:rPr>
      <w:rFonts w:ascii="仿宋_GB2312" w:eastAsia="仿宋_GB2312"/>
      <w:b/>
      <w:sz w:val="32"/>
      <w:szCs w:val="20"/>
    </w:rPr>
  </w:style>
  <w:style w:type="paragraph" w:customStyle="1" w:styleId="4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2">
    <w:name w:val="Picture"/>
    <w:basedOn w:val="1"/>
    <w:next w:val="23"/>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43">
    <w:name w:val="Char Char1 Char Char Char2"/>
    <w:basedOn w:val="1"/>
    <w:qFormat/>
    <w:uiPriority w:val="0"/>
    <w:rPr>
      <w:rFonts w:ascii="仿宋_GB2312" w:eastAsia="仿宋_GB2312"/>
      <w:b/>
      <w:sz w:val="32"/>
      <w:szCs w:val="32"/>
    </w:rPr>
  </w:style>
  <w:style w:type="paragraph" w:customStyle="1" w:styleId="444">
    <w:name w:val="Char3 Char Char Char1"/>
    <w:basedOn w:val="1"/>
    <w:qFormat/>
    <w:uiPriority w:val="6"/>
    <w:pPr>
      <w:widowControl/>
      <w:adjustRightInd/>
      <w:spacing w:after="160" w:line="240" w:lineRule="exact"/>
      <w:jc w:val="left"/>
    </w:pPr>
    <w:rPr>
      <w:szCs w:val="20"/>
    </w:rPr>
  </w:style>
  <w:style w:type="paragraph" w:customStyle="1" w:styleId="445">
    <w:name w:val="Char1 Char Char Char21"/>
    <w:basedOn w:val="1"/>
    <w:qFormat/>
    <w:uiPriority w:val="0"/>
    <w:rPr>
      <w:rFonts w:ascii="Tahoma" w:hAnsi="Tahoma"/>
      <w:sz w:val="24"/>
      <w:szCs w:val="20"/>
    </w:rPr>
  </w:style>
  <w:style w:type="paragraph" w:customStyle="1" w:styleId="4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7">
    <w:name w:val="正文（标题三）"/>
    <w:basedOn w:val="1"/>
    <w:qFormat/>
    <w:uiPriority w:val="0"/>
    <w:pPr>
      <w:spacing w:line="360" w:lineRule="auto"/>
      <w:ind w:firstLine="200" w:firstLineChars="200"/>
    </w:pPr>
    <w:rPr>
      <w:sz w:val="24"/>
    </w:rPr>
  </w:style>
  <w:style w:type="paragraph" w:customStyle="1" w:styleId="448">
    <w:name w:val="样式 正1 + 首行缩进:  2 字符"/>
    <w:basedOn w:val="1"/>
    <w:link w:val="1102"/>
    <w:qFormat/>
    <w:uiPriority w:val="0"/>
    <w:pPr>
      <w:adjustRightInd/>
      <w:spacing w:line="360" w:lineRule="auto"/>
      <w:ind w:firstLine="480" w:firstLineChars="200"/>
    </w:pPr>
    <w:rPr>
      <w:rFonts w:ascii="仿宋_GB2312" w:eastAsia="仿宋_GB2312"/>
      <w:sz w:val="24"/>
    </w:rPr>
  </w:style>
  <w:style w:type="paragraph" w:customStyle="1" w:styleId="4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51">
    <w:name w:val="Default Text"/>
    <w:basedOn w:val="1"/>
    <w:link w:val="1146"/>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53">
    <w:name w:val="Char1 Char Char Char4"/>
    <w:basedOn w:val="1"/>
    <w:qFormat/>
    <w:uiPriority w:val="0"/>
    <w:pPr>
      <w:adjustRightInd/>
      <w:ind w:firstLine="200" w:firstLineChars="200"/>
    </w:pPr>
    <w:rPr>
      <w:rFonts w:ascii="Tahoma" w:hAnsi="Tahoma"/>
      <w:sz w:val="24"/>
      <w:szCs w:val="20"/>
    </w:rPr>
  </w:style>
  <w:style w:type="paragraph" w:customStyle="1" w:styleId="454">
    <w:name w:val="_标题2"/>
    <w:basedOn w:val="421"/>
    <w:next w:val="4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55">
    <w:name w:val="样式1 + (中宋体"/>
    <w:basedOn w:val="432"/>
    <w:qFormat/>
    <w:uiPriority w:val="0"/>
    <w:pPr>
      <w:widowControl w:val="0"/>
      <w:tabs>
        <w:tab w:val="left" w:pos="1200"/>
        <w:tab w:val="clear" w:pos="1212"/>
        <w:tab w:val="clear" w:pos="3888"/>
      </w:tabs>
      <w:adjustRightInd/>
      <w:snapToGrid/>
      <w:ind w:left="1200" w:hanging="360" w:firstLineChars="200"/>
      <w:jc w:val="both"/>
    </w:pPr>
    <w:rPr>
      <w:kern w:val="2"/>
      <w:szCs w:val="24"/>
    </w:rPr>
  </w:style>
  <w:style w:type="paragraph" w:customStyle="1" w:styleId="4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9">
    <w:name w:val="四号　首行缩进"/>
    <w:basedOn w:val="1"/>
    <w:qFormat/>
    <w:uiPriority w:val="0"/>
    <w:pPr>
      <w:adjustRightInd/>
      <w:spacing w:line="360" w:lineRule="auto"/>
    </w:pPr>
    <w:rPr>
      <w:rFonts w:ascii="宋体" w:hAnsi="宋体"/>
      <w:szCs w:val="20"/>
    </w:rPr>
  </w:style>
  <w:style w:type="paragraph" w:customStyle="1" w:styleId="4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1">
    <w:name w:val="Char Char Char Char Char Char Char Char Char Char Char1 Char"/>
    <w:basedOn w:val="1"/>
    <w:qFormat/>
    <w:uiPriority w:val="0"/>
    <w:pPr>
      <w:adjustRightInd/>
    </w:pPr>
    <w:rPr>
      <w:rFonts w:ascii="Tahoma" w:hAnsi="Tahoma"/>
      <w:sz w:val="24"/>
    </w:rPr>
  </w:style>
  <w:style w:type="paragraph" w:customStyle="1" w:styleId="462">
    <w:name w:val="Char Char Char Char11"/>
    <w:basedOn w:val="1"/>
    <w:qFormat/>
    <w:uiPriority w:val="0"/>
    <w:rPr>
      <w:rFonts w:ascii="Tahoma" w:hAnsi="Tahoma"/>
      <w:sz w:val="24"/>
      <w:szCs w:val="20"/>
    </w:rPr>
  </w:style>
  <w:style w:type="paragraph" w:customStyle="1" w:styleId="4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64">
    <w:name w:val="Char Char Char Char"/>
    <w:basedOn w:val="1"/>
    <w:qFormat/>
    <w:uiPriority w:val="0"/>
    <w:rPr>
      <w:rFonts w:ascii="Tahoma" w:hAnsi="Tahoma"/>
      <w:sz w:val="24"/>
      <w:szCs w:val="20"/>
    </w:rPr>
  </w:style>
  <w:style w:type="paragraph" w:customStyle="1" w:styleId="4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6">
    <w:name w:val="Char19"/>
    <w:basedOn w:val="1"/>
    <w:qFormat/>
    <w:uiPriority w:val="0"/>
    <w:pPr>
      <w:adjustRightInd/>
    </w:pPr>
    <w:rPr>
      <w:szCs w:val="20"/>
    </w:rPr>
  </w:style>
  <w:style w:type="paragraph" w:customStyle="1" w:styleId="4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69">
    <w:name w:val="_Style 5"/>
    <w:basedOn w:val="1"/>
    <w:qFormat/>
    <w:uiPriority w:val="34"/>
    <w:pPr>
      <w:adjustRightInd/>
      <w:ind w:firstLine="420" w:firstLineChars="200"/>
    </w:pPr>
    <w:rPr>
      <w:rFonts w:eastAsia="仿宋_GB2312"/>
      <w:sz w:val="28"/>
    </w:rPr>
  </w:style>
  <w:style w:type="paragraph" w:customStyle="1" w:styleId="4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3">
    <w:name w:val="标书表格字体格式"/>
    <w:next w:val="467"/>
    <w:qFormat/>
    <w:uiPriority w:val="0"/>
    <w:rPr>
      <w:rFonts w:ascii="Times New Roman" w:hAnsi="Times New Roman" w:eastAsia="宋体" w:cs="Times New Roman"/>
      <w:kern w:val="2"/>
      <w:sz w:val="21"/>
      <w:szCs w:val="24"/>
      <w:lang w:val="en-US" w:eastAsia="zh-CN" w:bidi="ar-SA"/>
    </w:rPr>
  </w:style>
  <w:style w:type="paragraph" w:customStyle="1" w:styleId="4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6">
    <w:name w:val="修订3"/>
    <w:qFormat/>
    <w:uiPriority w:val="99"/>
    <w:rPr>
      <w:rFonts w:ascii="Times New Roman" w:hAnsi="Times New Roman" w:eastAsia="宋体" w:cs="Times New Roman"/>
      <w:kern w:val="2"/>
      <w:sz w:val="21"/>
      <w:lang w:val="en-US" w:eastAsia="zh-CN" w:bidi="ar-SA"/>
    </w:rPr>
  </w:style>
  <w:style w:type="paragraph" w:customStyle="1" w:styleId="477">
    <w:name w:val="CSS1级正文 Char"/>
    <w:basedOn w:val="35"/>
    <w:qFormat/>
    <w:uiPriority w:val="0"/>
    <w:pPr>
      <w:snapToGrid w:val="0"/>
      <w:ind w:firstLine="480" w:firstLineChars="200"/>
    </w:pPr>
    <w:rPr>
      <w:rFonts w:ascii="Times New Roman"/>
      <w:szCs w:val="24"/>
      <w:lang w:val="en-US"/>
    </w:rPr>
  </w:style>
  <w:style w:type="paragraph" w:customStyle="1" w:styleId="4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9">
    <w:name w:val="表文字"/>
    <w:qFormat/>
    <w:uiPriority w:val="0"/>
    <w:rPr>
      <w:rFonts w:ascii="宋体" w:hAnsi="Times New Roman" w:eastAsia="宋体" w:cs="Times New Roman"/>
      <w:kern w:val="2"/>
      <w:lang w:val="en-US" w:eastAsia="zh-CN" w:bidi="ar-SA"/>
    </w:rPr>
  </w:style>
  <w:style w:type="paragraph" w:customStyle="1" w:styleId="480">
    <w:name w:val="MM Title"/>
    <w:basedOn w:val="84"/>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83">
    <w:name w:val="Char Char Char Char Char Char Char Char2"/>
    <w:basedOn w:val="1"/>
    <w:qFormat/>
    <w:uiPriority w:val="0"/>
    <w:pPr>
      <w:tabs>
        <w:tab w:val="left" w:pos="360"/>
      </w:tabs>
    </w:pPr>
    <w:rPr>
      <w:sz w:val="24"/>
      <w:szCs w:val="20"/>
    </w:rPr>
  </w:style>
  <w:style w:type="paragraph" w:customStyle="1" w:styleId="4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8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8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9">
    <w:name w:val="正文－恩普"/>
    <w:basedOn w:val="22"/>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2">
    <w:name w:val="p0"/>
    <w:basedOn w:val="1"/>
    <w:qFormat/>
    <w:uiPriority w:val="0"/>
    <w:pPr>
      <w:widowControl/>
      <w:adjustRightInd/>
    </w:pPr>
    <w:rPr>
      <w:kern w:val="0"/>
      <w:szCs w:val="21"/>
    </w:rPr>
  </w:style>
  <w:style w:type="paragraph" w:customStyle="1" w:styleId="493">
    <w:name w:val="Char6"/>
    <w:basedOn w:val="1"/>
    <w:qFormat/>
    <w:uiPriority w:val="0"/>
    <w:rPr>
      <w:rFonts w:ascii="仿宋_GB2312" w:eastAsia="仿宋_GB2312"/>
      <w:b/>
      <w:sz w:val="32"/>
      <w:szCs w:val="32"/>
    </w:rPr>
  </w:style>
  <w:style w:type="paragraph" w:customStyle="1" w:styleId="494">
    <w:name w:val="Char111"/>
    <w:basedOn w:val="1"/>
    <w:qFormat/>
    <w:uiPriority w:val="0"/>
    <w:rPr>
      <w:rFonts w:ascii="仿宋_GB2312" w:eastAsia="仿宋_GB2312"/>
      <w:b/>
      <w:sz w:val="32"/>
      <w:szCs w:val="32"/>
    </w:rPr>
  </w:style>
  <w:style w:type="paragraph" w:customStyle="1" w:styleId="495">
    <w:name w:val="标题3"/>
    <w:basedOn w:val="6"/>
    <w:next w:val="70"/>
    <w:qFormat/>
    <w:uiPriority w:val="0"/>
    <w:pPr>
      <w:tabs>
        <w:tab w:val="clear" w:pos="900"/>
      </w:tabs>
    </w:pPr>
    <w:rPr>
      <w:rFonts w:ascii="仿宋" w:hAnsi="仿宋" w:eastAsia="仿宋" w:cs="仿宋"/>
    </w:rPr>
  </w:style>
  <w:style w:type="paragraph" w:customStyle="1" w:styleId="4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8">
    <w:name w:val="Char1 Char Char Char2"/>
    <w:basedOn w:val="1"/>
    <w:qFormat/>
    <w:uiPriority w:val="0"/>
    <w:pPr>
      <w:adjustRightInd/>
      <w:ind w:firstLine="200" w:firstLineChars="200"/>
    </w:pPr>
    <w:rPr>
      <w:rFonts w:ascii="Tahoma" w:hAnsi="Tahoma"/>
      <w:sz w:val="24"/>
      <w:szCs w:val="20"/>
    </w:rPr>
  </w:style>
  <w:style w:type="paragraph" w:customStyle="1" w:styleId="4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jc w:val="center"/>
    </w:pPr>
    <w:rPr>
      <w:rFonts w:ascii="黑体" w:hAnsi="黑体" w:eastAsia="黑体" w:cs="Arial"/>
      <w:caps/>
      <w:color w:val="FFFFFF"/>
      <w:kern w:val="2"/>
      <w:sz w:val="30"/>
      <w:szCs w:val="20"/>
    </w:rPr>
  </w:style>
  <w:style w:type="paragraph" w:customStyle="1" w:styleId="501">
    <w:name w:val="Char Char Char Char Char Char Char2"/>
    <w:basedOn w:val="1"/>
    <w:qFormat/>
    <w:uiPriority w:val="0"/>
    <w:rPr>
      <w:rFonts w:ascii="仿宋_GB2312" w:eastAsia="仿宋_GB2312"/>
      <w:b/>
      <w:sz w:val="32"/>
      <w:szCs w:val="32"/>
    </w:rPr>
  </w:style>
  <w:style w:type="paragraph" w:customStyle="1" w:styleId="502">
    <w:name w:val="五级条标题"/>
    <w:basedOn w:val="503"/>
    <w:next w:val="348"/>
    <w:qFormat/>
    <w:uiPriority w:val="0"/>
    <w:pPr>
      <w:tabs>
        <w:tab w:val="left" w:pos="1260"/>
        <w:tab w:val="left" w:pos="1680"/>
        <w:tab w:val="left" w:pos="2100"/>
        <w:tab w:val="left" w:pos="2940"/>
        <w:tab w:val="left" w:pos="3360"/>
      </w:tabs>
      <w:ind w:left="3360"/>
      <w:outlineLvl w:val="6"/>
    </w:pPr>
  </w:style>
  <w:style w:type="paragraph" w:customStyle="1" w:styleId="503">
    <w:name w:val="四级条标题"/>
    <w:basedOn w:val="363"/>
    <w:next w:val="348"/>
    <w:qFormat/>
    <w:uiPriority w:val="0"/>
    <w:pPr>
      <w:tabs>
        <w:tab w:val="left" w:pos="2940"/>
        <w:tab w:val="clear" w:pos="2520"/>
      </w:tabs>
      <w:ind w:left="2940"/>
      <w:outlineLvl w:val="5"/>
    </w:pPr>
  </w:style>
  <w:style w:type="paragraph" w:customStyle="1" w:styleId="5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5">
    <w:name w:val="Char23"/>
    <w:basedOn w:val="1"/>
    <w:qFormat/>
    <w:uiPriority w:val="0"/>
    <w:rPr>
      <w:rFonts w:ascii="仿宋_GB2312" w:eastAsia="仿宋_GB2312"/>
      <w:b/>
      <w:sz w:val="32"/>
      <w:szCs w:val="32"/>
    </w:rPr>
  </w:style>
  <w:style w:type="paragraph" w:customStyle="1" w:styleId="5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8">
    <w:name w:val="首行缩进"/>
    <w:basedOn w:val="1"/>
    <w:qFormat/>
    <w:uiPriority w:val="99"/>
    <w:pPr>
      <w:spacing w:line="360" w:lineRule="auto"/>
      <w:ind w:firstLine="480" w:firstLineChars="200"/>
    </w:pPr>
    <w:rPr>
      <w:rFonts w:ascii="宋体"/>
      <w:sz w:val="24"/>
      <w:szCs w:val="20"/>
    </w:rPr>
  </w:style>
  <w:style w:type="paragraph" w:customStyle="1" w:styleId="5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10">
    <w:name w:val="单元格左对齐"/>
    <w:basedOn w:val="1"/>
    <w:qFormat/>
    <w:uiPriority w:val="0"/>
    <w:pPr>
      <w:adjustRightInd/>
      <w:spacing w:line="360" w:lineRule="auto"/>
    </w:pPr>
    <w:rPr>
      <w:sz w:val="24"/>
    </w:rPr>
  </w:style>
  <w:style w:type="paragraph" w:customStyle="1" w:styleId="511">
    <w:name w:val="正文主体"/>
    <w:basedOn w:val="332"/>
    <w:qFormat/>
    <w:uiPriority w:val="0"/>
  </w:style>
  <w:style w:type="paragraph" w:customStyle="1" w:styleId="5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15">
    <w:name w:val="正文（首行缩进2字符）"/>
    <w:basedOn w:val="1"/>
    <w:qFormat/>
    <w:uiPriority w:val="0"/>
    <w:pPr>
      <w:adjustRightInd/>
      <w:spacing w:line="360" w:lineRule="auto"/>
      <w:ind w:firstLine="480" w:firstLineChars="200"/>
    </w:pPr>
    <w:rPr>
      <w:sz w:val="24"/>
      <w:szCs w:val="20"/>
    </w:rPr>
  </w:style>
  <w:style w:type="paragraph" w:customStyle="1" w:styleId="516">
    <w:name w:val="P1"/>
    <w:basedOn w:val="1"/>
    <w:qFormat/>
    <w:uiPriority w:val="0"/>
    <w:pPr>
      <w:adjustRightInd/>
      <w:spacing w:line="288" w:lineRule="auto"/>
      <w:ind w:firstLine="425" w:firstLineChars="200"/>
    </w:pPr>
  </w:style>
  <w:style w:type="paragraph" w:customStyle="1" w:styleId="517">
    <w:name w:val="列表内容"/>
    <w:basedOn w:val="1"/>
    <w:next w:val="1"/>
    <w:qFormat/>
    <w:uiPriority w:val="0"/>
    <w:pPr>
      <w:widowControl/>
      <w:tabs>
        <w:tab w:val="left" w:pos="840"/>
      </w:tabs>
      <w:ind w:left="840" w:hanging="420"/>
      <w:jc w:val="left"/>
    </w:pPr>
    <w:rPr>
      <w:kern w:val="0"/>
      <w:sz w:val="18"/>
    </w:rPr>
  </w:style>
  <w:style w:type="paragraph" w:customStyle="1" w:styleId="518">
    <w:name w:val="Char Char11 Char Char Char1"/>
    <w:basedOn w:val="1"/>
    <w:qFormat/>
    <w:uiPriority w:val="6"/>
    <w:pPr>
      <w:spacing w:line="360" w:lineRule="auto"/>
    </w:pPr>
    <w:rPr>
      <w:szCs w:val="20"/>
    </w:rPr>
  </w:style>
  <w:style w:type="paragraph" w:customStyle="1" w:styleId="5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23">
    <w:name w:val="正文文字缩进2字"/>
    <w:basedOn w:val="35"/>
    <w:qFormat/>
    <w:uiPriority w:val="0"/>
    <w:pPr>
      <w:adjustRightInd/>
      <w:spacing w:before="60" w:after="60"/>
      <w:ind w:firstLine="200" w:firstLineChars="200"/>
    </w:pPr>
    <w:rPr>
      <w:rFonts w:ascii="Times New Roman"/>
      <w:szCs w:val="20"/>
      <w:lang w:val="en-US"/>
    </w:rPr>
  </w:style>
  <w:style w:type="paragraph" w:customStyle="1" w:styleId="524">
    <w:name w:val="默认段落字体 Para Char Char Char Char"/>
    <w:basedOn w:val="1"/>
    <w:qFormat/>
    <w:uiPriority w:val="0"/>
    <w:pPr>
      <w:spacing w:line="360" w:lineRule="auto"/>
    </w:pPr>
    <w:rPr>
      <w:szCs w:val="20"/>
    </w:rPr>
  </w:style>
  <w:style w:type="paragraph" w:customStyle="1" w:styleId="5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7">
    <w:name w:val="Char2 Char Char Char2"/>
    <w:basedOn w:val="1"/>
    <w:qFormat/>
    <w:uiPriority w:val="0"/>
    <w:rPr>
      <w:rFonts w:ascii="仿宋_GB2312" w:eastAsia="仿宋_GB2312"/>
      <w:b/>
      <w:sz w:val="32"/>
      <w:szCs w:val="32"/>
    </w:rPr>
  </w:style>
  <w:style w:type="paragraph" w:customStyle="1" w:styleId="5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30">
    <w:name w:val="正文 首行缩进:  2 字符 Char"/>
    <w:basedOn w:val="1"/>
    <w:qFormat/>
    <w:uiPriority w:val="0"/>
    <w:pPr>
      <w:adjustRightInd/>
      <w:spacing w:line="360" w:lineRule="auto"/>
      <w:ind w:firstLine="480"/>
    </w:pPr>
    <w:rPr>
      <w:rFonts w:cs="宋体"/>
      <w:sz w:val="24"/>
      <w:szCs w:val="20"/>
    </w:rPr>
  </w:style>
  <w:style w:type="paragraph" w:customStyle="1" w:styleId="531">
    <w:name w:val="Char Char4 Char Char"/>
    <w:basedOn w:val="1"/>
    <w:qFormat/>
    <w:uiPriority w:val="0"/>
    <w:pPr>
      <w:widowControl/>
      <w:adjustRightInd/>
      <w:spacing w:after="160" w:line="240" w:lineRule="exact"/>
      <w:jc w:val="left"/>
    </w:pPr>
  </w:style>
  <w:style w:type="paragraph" w:customStyle="1" w:styleId="5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3">
    <w:name w:val="Char Char11 Char Char Char2"/>
    <w:basedOn w:val="1"/>
    <w:qFormat/>
    <w:uiPriority w:val="0"/>
    <w:pPr>
      <w:spacing w:line="360" w:lineRule="auto"/>
    </w:pPr>
    <w:rPr>
      <w:szCs w:val="20"/>
    </w:rPr>
  </w:style>
  <w:style w:type="paragraph" w:customStyle="1" w:styleId="5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40">
    <w:name w:val="Char311"/>
    <w:basedOn w:val="1"/>
    <w:qFormat/>
    <w:uiPriority w:val="0"/>
    <w:pPr>
      <w:adjustRightInd/>
      <w:ind w:firstLine="200" w:firstLineChars="200"/>
    </w:pPr>
    <w:rPr>
      <w:rFonts w:ascii="Tahoma" w:hAnsi="Tahoma"/>
      <w:sz w:val="24"/>
      <w:szCs w:val="20"/>
    </w:rPr>
  </w:style>
  <w:style w:type="paragraph" w:customStyle="1" w:styleId="54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43">
    <w:name w:val="正文 内标"/>
    <w:basedOn w:val="458"/>
    <w:qFormat/>
    <w:uiPriority w:val="0"/>
    <w:pPr>
      <w:tabs>
        <w:tab w:val="left" w:pos="0"/>
      </w:tabs>
      <w:ind w:left="900" w:firstLine="0" w:firstLineChars="0"/>
    </w:pPr>
  </w:style>
  <w:style w:type="paragraph" w:customStyle="1" w:styleId="544">
    <w:name w:val="Bulleted List"/>
    <w:basedOn w:val="1"/>
    <w:qFormat/>
    <w:uiPriority w:val="0"/>
    <w:pPr>
      <w:tabs>
        <w:tab w:val="left" w:pos="1260"/>
      </w:tabs>
      <w:adjustRightInd/>
      <w:ind w:left="1260" w:hanging="420"/>
    </w:pPr>
  </w:style>
  <w:style w:type="paragraph" w:customStyle="1" w:styleId="545">
    <w:name w:val="样式 正文文本缩进 2 + 仿宋_GB2312 黑色 行距: 1.5 倍行距"/>
    <w:basedOn w:val="51"/>
    <w:qFormat/>
    <w:uiPriority w:val="0"/>
    <w:pPr>
      <w:adjustRightInd/>
      <w:ind w:firstLine="560" w:firstLineChars="200"/>
      <w:textAlignment w:val="auto"/>
    </w:pPr>
    <w:rPr>
      <w:rFonts w:hAnsi="宋体" w:cs="宋体"/>
      <w:color w:val="000000"/>
      <w:kern w:val="2"/>
      <w:sz w:val="24"/>
    </w:rPr>
  </w:style>
  <w:style w:type="paragraph" w:customStyle="1" w:styleId="546">
    <w:name w:val="样式 左侧:  0.85 厘米"/>
    <w:basedOn w:val="1"/>
    <w:qFormat/>
    <w:uiPriority w:val="2"/>
    <w:pPr>
      <w:adjustRightInd/>
      <w:spacing w:line="360" w:lineRule="auto"/>
    </w:pPr>
    <w:rPr>
      <w:rFonts w:cs="宋体"/>
      <w:sz w:val="24"/>
      <w:szCs w:val="20"/>
    </w:rPr>
  </w:style>
  <w:style w:type="paragraph" w:customStyle="1" w:styleId="547">
    <w:name w:val="Char Char Char Char Char Char Char Char Char Char Char Char1 Char"/>
    <w:basedOn w:val="1"/>
    <w:qFormat/>
    <w:uiPriority w:val="0"/>
    <w:rPr>
      <w:rFonts w:ascii="Tahoma" w:hAnsi="Tahoma" w:cs="仿宋_GB2312"/>
      <w:sz w:val="24"/>
      <w:szCs w:val="20"/>
    </w:rPr>
  </w:style>
  <w:style w:type="paragraph" w:customStyle="1" w:styleId="548">
    <w:name w:val="正文1"/>
    <w:basedOn w:val="44"/>
    <w:qFormat/>
    <w:uiPriority w:val="0"/>
    <w:pPr>
      <w:ind w:left="0" w:leftChars="0" w:firstLine="480" w:firstLineChars="200"/>
    </w:pPr>
    <w:rPr>
      <w:rFonts w:ascii="仿宋_GB2312" w:hAnsi="Courier New" w:eastAsia="仿宋_GB2312"/>
      <w:kern w:val="28"/>
      <w:sz w:val="24"/>
    </w:rPr>
  </w:style>
  <w:style w:type="paragraph" w:customStyle="1" w:styleId="5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52">
    <w:name w:val="Char Char1 Char Char Char Char Char Char"/>
    <w:basedOn w:val="1"/>
    <w:qFormat/>
    <w:uiPriority w:val="0"/>
    <w:rPr>
      <w:rFonts w:ascii="仿宋_GB2312" w:eastAsia="仿宋_GB2312"/>
      <w:b/>
      <w:sz w:val="32"/>
      <w:szCs w:val="20"/>
    </w:rPr>
  </w:style>
  <w:style w:type="paragraph" w:customStyle="1" w:styleId="5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54">
    <w:name w:val="Char Char1 Char Char Char Char Char Char2"/>
    <w:basedOn w:val="1"/>
    <w:qFormat/>
    <w:uiPriority w:val="0"/>
    <w:rPr>
      <w:rFonts w:ascii="仿宋_GB2312" w:eastAsia="仿宋_GB2312"/>
      <w:b/>
      <w:sz w:val="32"/>
      <w:szCs w:val="20"/>
    </w:rPr>
  </w:style>
  <w:style w:type="paragraph" w:customStyle="1" w:styleId="5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4">
    <w:name w:val="Char31"/>
    <w:basedOn w:val="1"/>
    <w:qFormat/>
    <w:uiPriority w:val="0"/>
    <w:pPr>
      <w:adjustRightInd/>
    </w:pPr>
    <w:rPr>
      <w:rFonts w:ascii="仿宋_GB2312" w:eastAsia="仿宋_GB2312"/>
      <w:b/>
      <w:sz w:val="32"/>
      <w:szCs w:val="32"/>
    </w:rPr>
  </w:style>
  <w:style w:type="paragraph" w:customStyle="1" w:styleId="565">
    <w:name w:val="样式 标题 3h33rd level3Heading 3 - oldH3l3CTheading 3Headin..."/>
    <w:basedOn w:val="6"/>
    <w:qFormat/>
    <w:uiPriority w:val="0"/>
    <w:pPr>
      <w:jc w:val="left"/>
    </w:pPr>
    <w:rPr>
      <w:rFonts w:eastAsia="黑体" w:cs="宋体"/>
      <w:sz w:val="28"/>
      <w:szCs w:val="20"/>
    </w:rPr>
  </w:style>
  <w:style w:type="paragraph" w:customStyle="1" w:styleId="5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8">
    <w:name w:val="Char Char1"/>
    <w:basedOn w:val="1"/>
    <w:qFormat/>
    <w:uiPriority w:val="0"/>
    <w:pPr>
      <w:widowControl/>
      <w:spacing w:after="160" w:line="240" w:lineRule="exact"/>
      <w:jc w:val="left"/>
    </w:pPr>
    <w:rPr>
      <w:rFonts w:eastAsia="仿宋_GB2312"/>
      <w:sz w:val="28"/>
    </w:rPr>
  </w:style>
  <w:style w:type="paragraph" w:customStyle="1" w:styleId="569">
    <w:name w:val="Char21"/>
    <w:basedOn w:val="1"/>
    <w:qFormat/>
    <w:uiPriority w:val="0"/>
    <w:pPr>
      <w:adjustRightInd/>
      <w:ind w:firstLine="200" w:firstLineChars="200"/>
    </w:pPr>
    <w:rPr>
      <w:rFonts w:ascii="仿宋_GB2312" w:eastAsia="仿宋_GB2312"/>
      <w:b/>
      <w:sz w:val="32"/>
      <w:szCs w:val="32"/>
    </w:rPr>
  </w:style>
  <w:style w:type="paragraph" w:customStyle="1" w:styleId="570">
    <w:name w:val="列表段落11"/>
    <w:basedOn w:val="1"/>
    <w:qFormat/>
    <w:uiPriority w:val="34"/>
    <w:pPr>
      <w:adjustRightInd/>
      <w:ind w:right="238" w:firstLine="420"/>
    </w:pPr>
    <w:rPr>
      <w:rFonts w:ascii="Calibri" w:hAnsi="Calibri"/>
      <w:sz w:val="24"/>
    </w:rPr>
  </w:style>
  <w:style w:type="paragraph" w:customStyle="1" w:styleId="571">
    <w:name w:val="Char Char110"/>
    <w:basedOn w:val="1"/>
    <w:qFormat/>
    <w:uiPriority w:val="6"/>
    <w:pPr>
      <w:spacing w:line="360" w:lineRule="auto"/>
    </w:pPr>
    <w:rPr>
      <w:rFonts w:ascii="Tahoma" w:hAnsi="Tahoma"/>
      <w:sz w:val="24"/>
      <w:szCs w:val="20"/>
    </w:rPr>
  </w:style>
  <w:style w:type="paragraph" w:customStyle="1" w:styleId="5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76">
    <w:name w:val="Char Char Char Char Char Char Char Char Char Char Char Char1 Char2"/>
    <w:basedOn w:val="1"/>
    <w:qFormat/>
    <w:uiPriority w:val="0"/>
    <w:rPr>
      <w:rFonts w:ascii="Tahoma" w:hAnsi="Tahoma" w:cs="仿宋_GB2312"/>
      <w:sz w:val="24"/>
      <w:szCs w:val="20"/>
    </w:rPr>
  </w:style>
  <w:style w:type="paragraph" w:customStyle="1" w:styleId="5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9">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81">
    <w:name w:val="_Style 12"/>
    <w:basedOn w:val="27"/>
    <w:qFormat/>
    <w:uiPriority w:val="0"/>
    <w:pPr>
      <w:snapToGrid w:val="0"/>
      <w:spacing w:line="360" w:lineRule="auto"/>
    </w:pPr>
  </w:style>
  <w:style w:type="paragraph" w:customStyle="1" w:styleId="5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4">
    <w:name w:val="_Style 94"/>
    <w:basedOn w:val="1"/>
    <w:next w:val="125"/>
    <w:qFormat/>
    <w:uiPriority w:val="34"/>
    <w:pPr>
      <w:adjustRightInd/>
      <w:spacing w:line="360" w:lineRule="auto"/>
      <w:ind w:firstLine="200" w:firstLineChars="200"/>
    </w:pPr>
    <w:rPr>
      <w:rFonts w:ascii="Calibri" w:hAnsi="Calibri"/>
      <w:sz w:val="28"/>
      <w:szCs w:val="20"/>
    </w:rPr>
  </w:style>
  <w:style w:type="paragraph" w:customStyle="1" w:styleId="5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8">
    <w:name w:val="3级标题"/>
    <w:basedOn w:val="380"/>
    <w:qFormat/>
    <w:uiPriority w:val="0"/>
    <w:pPr>
      <w:outlineLvl w:val="2"/>
    </w:pPr>
  </w:style>
  <w:style w:type="paragraph" w:customStyle="1" w:styleId="5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0">
    <w:name w:val="Char1 Char Char Char3"/>
    <w:basedOn w:val="1"/>
    <w:qFormat/>
    <w:uiPriority w:val="0"/>
    <w:pPr>
      <w:adjustRightInd/>
      <w:ind w:firstLine="200" w:firstLineChars="200"/>
    </w:pPr>
    <w:rPr>
      <w:rFonts w:ascii="Tahoma" w:hAnsi="Tahoma"/>
      <w:sz w:val="24"/>
      <w:szCs w:val="20"/>
    </w:rPr>
  </w:style>
  <w:style w:type="paragraph" w:customStyle="1" w:styleId="5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92">
    <w:name w:val="MM Empty"/>
    <w:basedOn w:val="1"/>
    <w:qFormat/>
    <w:uiPriority w:val="0"/>
    <w:pPr>
      <w:adjustRightInd/>
    </w:pPr>
  </w:style>
  <w:style w:type="paragraph" w:customStyle="1" w:styleId="593">
    <w:name w:val="Char24"/>
    <w:basedOn w:val="1"/>
    <w:qFormat/>
    <w:uiPriority w:val="0"/>
    <w:rPr>
      <w:rFonts w:ascii="仿宋_GB2312" w:eastAsia="仿宋_GB2312"/>
      <w:b/>
      <w:sz w:val="32"/>
      <w:szCs w:val="32"/>
    </w:rPr>
  </w:style>
  <w:style w:type="paragraph" w:customStyle="1" w:styleId="594">
    <w:name w:val="正文箭头"/>
    <w:basedOn w:val="246"/>
    <w:qFormat/>
    <w:uiPriority w:val="0"/>
  </w:style>
  <w:style w:type="paragraph" w:customStyle="1" w:styleId="595">
    <w:name w:val="U_编号2"/>
    <w:basedOn w:val="1"/>
    <w:qFormat/>
    <w:uiPriority w:val="0"/>
    <w:pPr>
      <w:tabs>
        <w:tab w:val="left" w:pos="785"/>
      </w:tabs>
      <w:adjustRightInd/>
      <w:spacing w:beforeLines="10" w:afterLines="10" w:line="300" w:lineRule="auto"/>
    </w:pPr>
    <w:rPr>
      <w:sz w:val="24"/>
    </w:rPr>
  </w:style>
  <w:style w:type="paragraph" w:customStyle="1" w:styleId="5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标书标题3"/>
    <w:basedOn w:val="6"/>
    <w:qFormat/>
    <w:uiPriority w:val="0"/>
    <w:pPr>
      <w:widowControl/>
      <w:spacing w:before="120" w:after="60" w:line="300" w:lineRule="auto"/>
      <w:jc w:val="left"/>
    </w:pPr>
    <w:rPr>
      <w:rFonts w:ascii="Arial Narrow" w:hAnsi="Arial Narrow" w:eastAsia="仿宋_GB2312"/>
      <w:b w:val="0"/>
      <w:bCs w:val="0"/>
      <w:color w:val="000000"/>
      <w:kern w:val="0"/>
      <w:sz w:val="28"/>
    </w:rPr>
  </w:style>
  <w:style w:type="paragraph" w:customStyle="1" w:styleId="599">
    <w:name w:val="TOC 标题11"/>
    <w:basedOn w:val="4"/>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600">
    <w:name w:val="_Style 1"/>
    <w:basedOn w:val="1"/>
    <w:qFormat/>
    <w:uiPriority w:val="34"/>
    <w:pPr>
      <w:adjustRightInd/>
      <w:ind w:firstLine="420" w:firstLineChars="200"/>
    </w:pPr>
    <w:rPr>
      <w:rFonts w:eastAsia="仿宋_GB2312"/>
      <w:sz w:val="28"/>
    </w:rPr>
  </w:style>
  <w:style w:type="paragraph" w:customStyle="1" w:styleId="601">
    <w:name w:val="表格 内容"/>
    <w:basedOn w:val="437"/>
    <w:qFormat/>
    <w:uiPriority w:val="0"/>
    <w:rPr>
      <w:b w:val="0"/>
      <w:sz w:val="20"/>
    </w:rPr>
  </w:style>
  <w:style w:type="paragraph" w:customStyle="1" w:styleId="602">
    <w:name w:val="正文首行缩进1"/>
    <w:basedOn w:val="3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4">
    <w:name w:val="数字标题5"/>
    <w:basedOn w:val="8"/>
    <w:next w:val="1"/>
    <w:qFormat/>
    <w:uiPriority w:val="0"/>
    <w:pPr>
      <w:tabs>
        <w:tab w:val="left" w:pos="1080"/>
        <w:tab w:val="clear" w:pos="1008"/>
      </w:tabs>
      <w:ind w:left="1080" w:hanging="1080"/>
    </w:pPr>
  </w:style>
  <w:style w:type="paragraph" w:customStyle="1" w:styleId="605">
    <w:name w:val="数字标题1"/>
    <w:basedOn w:val="4"/>
    <w:next w:val="1"/>
    <w:qFormat/>
    <w:uiPriority w:val="0"/>
    <w:pPr>
      <w:tabs>
        <w:tab w:val="left" w:pos="480"/>
        <w:tab w:val="clear" w:pos="432"/>
      </w:tabs>
      <w:ind w:left="480" w:hanging="480"/>
    </w:pPr>
  </w:style>
  <w:style w:type="paragraph" w:customStyle="1" w:styleId="6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12">
    <w:name w:val="0"/>
    <w:basedOn w:val="1"/>
    <w:qFormat/>
    <w:uiPriority w:val="0"/>
    <w:pPr>
      <w:widowControl/>
    </w:pPr>
    <w:rPr>
      <w:kern w:val="0"/>
      <w:sz w:val="24"/>
      <w:szCs w:val="20"/>
    </w:rPr>
  </w:style>
  <w:style w:type="paragraph" w:customStyle="1" w:styleId="613">
    <w:name w:val="Char Char113"/>
    <w:basedOn w:val="1"/>
    <w:qFormat/>
    <w:uiPriority w:val="0"/>
    <w:pPr>
      <w:widowControl/>
      <w:spacing w:after="160" w:line="240" w:lineRule="exact"/>
      <w:jc w:val="left"/>
    </w:pPr>
    <w:rPr>
      <w:rFonts w:eastAsia="仿宋_GB2312"/>
      <w:sz w:val="28"/>
    </w:rPr>
  </w:style>
  <w:style w:type="paragraph" w:customStyle="1" w:styleId="6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15">
    <w:name w:val="_Style 8"/>
    <w:basedOn w:val="1"/>
    <w:qFormat/>
    <w:uiPriority w:val="34"/>
    <w:pPr>
      <w:adjustRightInd/>
      <w:ind w:firstLine="420" w:firstLineChars="200"/>
    </w:pPr>
    <w:rPr>
      <w:rFonts w:eastAsia="仿宋_GB2312"/>
      <w:sz w:val="28"/>
    </w:rPr>
  </w:style>
  <w:style w:type="paragraph" w:customStyle="1" w:styleId="6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21">
    <w:name w:val="Char Char112"/>
    <w:basedOn w:val="1"/>
    <w:qFormat/>
    <w:uiPriority w:val="6"/>
    <w:pPr>
      <w:widowControl/>
      <w:spacing w:after="160" w:line="240" w:lineRule="exact"/>
      <w:jc w:val="left"/>
    </w:pPr>
    <w:rPr>
      <w:rFonts w:eastAsia="仿宋_GB2312"/>
      <w:sz w:val="28"/>
    </w:rPr>
  </w:style>
  <w:style w:type="paragraph" w:customStyle="1" w:styleId="622">
    <w:name w:val="正文 图"/>
    <w:basedOn w:val="151"/>
    <w:qFormat/>
    <w:uiPriority w:val="0"/>
    <w:pPr>
      <w:adjustRightInd/>
      <w:spacing w:before="0"/>
      <w:ind w:firstLine="0"/>
      <w:jc w:val="center"/>
    </w:pPr>
    <w:rPr>
      <w:rFonts w:ascii="微软雅黑" w:hAnsi="微软雅黑"/>
    </w:rPr>
  </w:style>
  <w:style w:type="paragraph" w:customStyle="1" w:styleId="6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25">
    <w:name w:val="Thf"/>
    <w:basedOn w:val="270"/>
    <w:qFormat/>
    <w:uiPriority w:val="0"/>
    <w:pPr>
      <w:ind w:left="0"/>
    </w:pPr>
  </w:style>
  <w:style w:type="paragraph" w:customStyle="1" w:styleId="6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8">
    <w:name w:val="注释"/>
    <w:basedOn w:val="1"/>
    <w:qFormat/>
    <w:uiPriority w:val="0"/>
    <w:pPr>
      <w:adjustRightInd/>
      <w:spacing w:line="360" w:lineRule="auto"/>
      <w:ind w:firstLine="480"/>
    </w:pPr>
    <w:rPr>
      <w:sz w:val="24"/>
    </w:rPr>
  </w:style>
  <w:style w:type="paragraph" w:customStyle="1" w:styleId="629">
    <w:name w:val="列出段落111"/>
    <w:basedOn w:val="1"/>
    <w:qFormat/>
    <w:uiPriority w:val="34"/>
    <w:pPr>
      <w:ind w:firstLine="420" w:firstLineChars="200"/>
    </w:pPr>
  </w:style>
  <w:style w:type="paragraph" w:customStyle="1" w:styleId="630">
    <w:name w:val="标准文本"/>
    <w:basedOn w:val="1"/>
    <w:link w:val="1073"/>
    <w:qFormat/>
    <w:uiPriority w:val="0"/>
    <w:pPr>
      <w:adjustRightInd/>
      <w:spacing w:line="360" w:lineRule="auto"/>
      <w:ind w:firstLine="480" w:firstLineChars="200"/>
    </w:pPr>
    <w:rPr>
      <w:rFonts w:cs="宋体"/>
      <w:sz w:val="24"/>
      <w:szCs w:val="20"/>
    </w:rPr>
  </w:style>
  <w:style w:type="paragraph" w:customStyle="1" w:styleId="631">
    <w:name w:val="_Style 947"/>
    <w:basedOn w:val="1"/>
    <w:next w:val="125"/>
    <w:qFormat/>
    <w:uiPriority w:val="34"/>
    <w:pPr>
      <w:adjustRightInd/>
      <w:ind w:firstLine="420" w:firstLineChars="200"/>
    </w:pPr>
  </w:style>
  <w:style w:type="paragraph" w:customStyle="1" w:styleId="63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33">
    <w:name w:val="纯文本2"/>
    <w:basedOn w:val="1"/>
    <w:qFormat/>
    <w:uiPriority w:val="0"/>
    <w:pPr>
      <w:adjustRightInd/>
      <w:snapToGrid w:val="0"/>
      <w:jc w:val="left"/>
    </w:pPr>
    <w:rPr>
      <w:rFonts w:ascii="Century Gothic" w:hAnsi="楷体_GB2312" w:eastAsia="Century Gothic"/>
      <w:szCs w:val="20"/>
    </w:rPr>
  </w:style>
  <w:style w:type="paragraph" w:customStyle="1" w:styleId="63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3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6">
    <w:name w:val="节"/>
    <w:basedOn w:val="5"/>
    <w:qFormat/>
    <w:uiPriority w:val="0"/>
    <w:pPr>
      <w:tabs>
        <w:tab w:val="clear" w:pos="432"/>
      </w:tabs>
      <w:spacing w:before="160" w:after="160" w:line="720" w:lineRule="exact"/>
      <w:jc w:val="center"/>
    </w:pPr>
    <w:rPr>
      <w:rFonts w:ascii="Arial" w:hAnsi="Arial" w:eastAsia="楷体"/>
      <w:b w:val="0"/>
      <w:color w:val="000000"/>
      <w:spacing w:val="14"/>
      <w:kern w:val="24"/>
      <w:szCs w:val="20"/>
      <w:lang w:val="en-US"/>
    </w:rPr>
  </w:style>
  <w:style w:type="paragraph" w:customStyle="1" w:styleId="637">
    <w:name w:val="Blockquote"/>
    <w:basedOn w:val="1"/>
    <w:qFormat/>
    <w:uiPriority w:val="0"/>
    <w:pPr>
      <w:autoSpaceDE w:val="0"/>
      <w:autoSpaceDN w:val="0"/>
      <w:spacing w:before="100" w:after="100"/>
      <w:ind w:left="360" w:right="360"/>
      <w:jc w:val="left"/>
    </w:pPr>
    <w:rPr>
      <w:kern w:val="0"/>
      <w:sz w:val="24"/>
      <w:szCs w:val="20"/>
    </w:rPr>
  </w:style>
  <w:style w:type="paragraph" w:customStyle="1" w:styleId="638">
    <w:name w:val="p1"/>
    <w:basedOn w:val="1"/>
    <w:qFormat/>
    <w:uiPriority w:val="0"/>
    <w:pPr>
      <w:widowControl/>
      <w:adjustRightInd/>
      <w:jc w:val="left"/>
    </w:pPr>
    <w:rPr>
      <w:rFonts w:ascii=".PingFang SC" w:eastAsia=".PingFang SC"/>
      <w:color w:val="454545"/>
      <w:kern w:val="0"/>
      <w:sz w:val="18"/>
      <w:szCs w:val="18"/>
    </w:rPr>
  </w:style>
  <w:style w:type="paragraph" w:customStyle="1" w:styleId="639">
    <w:name w:val="Table Paragraph"/>
    <w:basedOn w:val="1"/>
    <w:qFormat/>
    <w:uiPriority w:val="0"/>
    <w:pPr>
      <w:adjustRightInd/>
      <w:jc w:val="left"/>
    </w:pPr>
    <w:rPr>
      <w:rFonts w:ascii="Calibri" w:hAnsi="Calibri"/>
      <w:kern w:val="0"/>
      <w:sz w:val="22"/>
      <w:szCs w:val="22"/>
      <w:lang w:eastAsia="en-US"/>
    </w:rPr>
  </w:style>
  <w:style w:type="paragraph" w:customStyle="1" w:styleId="6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4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4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43">
    <w:name w:val="[Normal]"/>
    <w:qFormat/>
    <w:uiPriority w:val="0"/>
    <w:rPr>
      <w:rFonts w:ascii="宋体" w:hAnsi="宋体" w:eastAsia="宋体" w:cs="Times New Roman"/>
      <w:sz w:val="24"/>
      <w:szCs w:val="22"/>
      <w:lang w:val="zh-CN" w:eastAsia="zh-CN" w:bidi="ar-SA"/>
    </w:rPr>
  </w:style>
  <w:style w:type="paragraph" w:customStyle="1" w:styleId="644">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45">
    <w:name w:val="_正文"/>
    <w:basedOn w:val="1"/>
    <w:link w:val="1091"/>
    <w:qFormat/>
    <w:uiPriority w:val="0"/>
    <w:pPr>
      <w:tabs>
        <w:tab w:val="left" w:pos="840"/>
      </w:tabs>
      <w:adjustRightInd/>
      <w:spacing w:line="360" w:lineRule="auto"/>
      <w:ind w:firstLine="200" w:firstLineChars="200"/>
    </w:pPr>
    <w:rPr>
      <w:sz w:val="24"/>
    </w:rPr>
  </w:style>
  <w:style w:type="paragraph" w:customStyle="1" w:styleId="646">
    <w:name w:val="亚运 5级标题"/>
    <w:basedOn w:val="8"/>
    <w:link w:val="1092"/>
    <w:qFormat/>
    <w:uiPriority w:val="0"/>
    <w:pPr>
      <w:numPr>
        <w:ilvl w:val="4"/>
        <w:numId w:val="4"/>
      </w:numPr>
      <w:tabs>
        <w:tab w:val="left" w:pos="700"/>
        <w:tab w:val="left" w:pos="840"/>
        <w:tab w:val="clear" w:pos="1008"/>
      </w:tabs>
      <w:textAlignment w:val="baseline"/>
    </w:pPr>
    <w:rPr>
      <w:rFonts w:ascii="宋体" w:hAnsi="宋体"/>
      <w:color w:val="000000"/>
      <w:sz w:val="24"/>
    </w:rPr>
  </w:style>
  <w:style w:type="paragraph" w:customStyle="1" w:styleId="647">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48">
    <w:name w:val="修订5"/>
    <w:semiHidden/>
    <w:qFormat/>
    <w:uiPriority w:val="99"/>
    <w:rPr>
      <w:rFonts w:ascii="Times New Roman" w:hAnsi="Times New Roman" w:eastAsia="宋体" w:cs="Times New Roman"/>
      <w:kern w:val="2"/>
      <w:sz w:val="21"/>
      <w:szCs w:val="24"/>
      <w:lang w:val="en-US" w:eastAsia="zh-CN" w:bidi="ar-SA"/>
    </w:rPr>
  </w:style>
  <w:style w:type="paragraph" w:customStyle="1" w:styleId="649">
    <w:name w:val="正文缩"/>
    <w:basedOn w:val="1"/>
    <w:link w:val="1093"/>
    <w:qFormat/>
    <w:uiPriority w:val="0"/>
    <w:pPr>
      <w:adjustRightInd/>
      <w:spacing w:line="360" w:lineRule="auto"/>
      <w:ind w:firstLine="200" w:firstLineChars="200"/>
    </w:pPr>
    <w:rPr>
      <w:rFonts w:eastAsia="楷体_GB2312"/>
      <w:sz w:val="24"/>
    </w:rPr>
  </w:style>
  <w:style w:type="paragraph" w:customStyle="1" w:styleId="650">
    <w:name w:val="亚运3级标题"/>
    <w:basedOn w:val="1"/>
    <w:link w:val="1095"/>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paragraph" w:customStyle="1" w:styleId="651">
    <w:name w:val="亚运 4级标题"/>
    <w:basedOn w:val="7"/>
    <w:link w:val="1096"/>
    <w:qFormat/>
    <w:uiPriority w:val="0"/>
    <w:pPr>
      <w:tabs>
        <w:tab w:val="left" w:pos="840"/>
        <w:tab w:val="clear" w:pos="864"/>
      </w:tabs>
      <w:snapToGrid w:val="0"/>
      <w:spacing w:before="0" w:after="0" w:line="360" w:lineRule="auto"/>
      <w:ind w:left="0" w:firstLine="0"/>
      <w:textAlignment w:val="baseline"/>
    </w:pPr>
    <w:rPr>
      <w:rFonts w:ascii="黑体" w:hAnsi="黑体" w:eastAsia="仿宋"/>
      <w:b w:val="0"/>
      <w:color w:val="000000"/>
      <w:kern w:val="0"/>
      <w:sz w:val="30"/>
      <w:szCs w:val="30"/>
      <w:lang w:val="en-US"/>
    </w:rPr>
  </w:style>
  <w:style w:type="paragraph" w:customStyle="1" w:styleId="65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5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5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5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56">
    <w:name w:val="列表段落2"/>
    <w:basedOn w:val="1"/>
    <w:qFormat/>
    <w:uiPriority w:val="0"/>
    <w:pPr>
      <w:ind w:firstLine="420" w:firstLineChars="200"/>
    </w:pPr>
  </w:style>
  <w:style w:type="paragraph" w:customStyle="1" w:styleId="657">
    <w:name w:val="表格正文"/>
    <w:qFormat/>
    <w:uiPriority w:val="0"/>
    <w:pPr>
      <w:widowControl w:val="0"/>
      <w:adjustRightInd w:val="0"/>
      <w:snapToGrid w:val="0"/>
      <w:jc w:val="center"/>
      <w:textAlignment w:val="baseline"/>
    </w:pPr>
    <w:rPr>
      <w:rFonts w:ascii="宋体" w:hAnsi="Arial" w:eastAsia="宋体" w:cs="宋体"/>
      <w:szCs w:val="18"/>
      <w:lang w:val="en-US" w:eastAsia="zh-CN" w:bidi="ar-SA"/>
    </w:rPr>
  </w:style>
  <w:style w:type="paragraph" w:customStyle="1" w:styleId="658">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9">
    <w:name w:val="修订11"/>
    <w:hidden/>
    <w:qFormat/>
    <w:uiPriority w:val="0"/>
    <w:rPr>
      <w:rFonts w:ascii="Times New Roman" w:hAnsi="Times New Roman" w:eastAsia="宋体" w:cs="Times New Roman"/>
      <w:kern w:val="2"/>
      <w:sz w:val="21"/>
      <w:szCs w:val="24"/>
      <w:lang w:val="en-US" w:eastAsia="zh-CN" w:bidi="ar-SA"/>
    </w:rPr>
  </w:style>
  <w:style w:type="paragraph" w:customStyle="1" w:styleId="660">
    <w:name w:val="修订12"/>
    <w:hidden/>
    <w:semiHidden/>
    <w:qFormat/>
    <w:uiPriority w:val="99"/>
    <w:rPr>
      <w:rFonts w:ascii="Times New Roman" w:hAnsi="Times New Roman" w:eastAsia="宋体" w:cs="Times New Roman"/>
      <w:kern w:val="2"/>
      <w:sz w:val="21"/>
      <w:szCs w:val="24"/>
      <w:lang w:val="en-US" w:eastAsia="zh-CN" w:bidi="ar-SA"/>
    </w:rPr>
  </w:style>
  <w:style w:type="paragraph" w:customStyle="1" w:styleId="661">
    <w:name w:val="正文（上会）"/>
    <w:basedOn w:val="1"/>
    <w:link w:val="1107"/>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662">
    <w:name w:val="样式 宋体 小四 行距: 1.5 倍行距 首行缩进:  2 字符"/>
    <w:basedOn w:val="1"/>
    <w:qFormat/>
    <w:uiPriority w:val="0"/>
    <w:pPr>
      <w:adjustRightInd/>
      <w:spacing w:line="360" w:lineRule="auto"/>
      <w:ind w:firstLine="200" w:firstLineChars="200"/>
    </w:pPr>
    <w:rPr>
      <w:rFonts w:ascii="宋体" w:hAnsi="宋体" w:cs="宋体"/>
      <w:sz w:val="24"/>
    </w:rPr>
  </w:style>
  <w:style w:type="paragraph" w:customStyle="1" w:styleId="663">
    <w:name w:val="二级标题"/>
    <w:basedOn w:val="5"/>
    <w:link w:val="1111"/>
    <w:qFormat/>
    <w:uiPriority w:val="0"/>
    <w:pPr>
      <w:numPr>
        <w:ilvl w:val="1"/>
        <w:numId w:val="5"/>
      </w:numPr>
      <w:tabs>
        <w:tab w:val="clear" w:pos="432"/>
      </w:tabs>
      <w:adjustRightInd/>
      <w:snapToGrid/>
      <w:ind w:left="0"/>
    </w:pPr>
    <w:rPr>
      <w:rFonts w:ascii="Arial" w:hAnsi="Arial" w:cs="宋体"/>
      <w:kern w:val="2"/>
      <w:sz w:val="30"/>
      <w:lang w:val="en-US"/>
    </w:rPr>
  </w:style>
  <w:style w:type="paragraph" w:customStyle="1" w:styleId="664">
    <w:name w:val="四级标题"/>
    <w:basedOn w:val="7"/>
    <w:link w:val="1112"/>
    <w:qFormat/>
    <w:uiPriority w:val="0"/>
    <w:pPr>
      <w:numPr>
        <w:ilvl w:val="3"/>
        <w:numId w:val="5"/>
      </w:numPr>
      <w:tabs>
        <w:tab w:val="clear" w:pos="864"/>
      </w:tabs>
      <w:adjustRightInd/>
      <w:spacing w:before="0" w:after="0" w:line="360" w:lineRule="auto"/>
      <w:jc w:val="left"/>
    </w:pPr>
    <w:rPr>
      <w:rFonts w:eastAsia="宋体" w:cs="宋体"/>
      <w:lang w:val="en-US"/>
    </w:rPr>
  </w:style>
  <w:style w:type="paragraph" w:customStyle="1" w:styleId="665">
    <w:name w:val="五级标题"/>
    <w:basedOn w:val="8"/>
    <w:link w:val="1113"/>
    <w:qFormat/>
    <w:uiPriority w:val="0"/>
    <w:pPr>
      <w:numPr>
        <w:ilvl w:val="4"/>
        <w:numId w:val="5"/>
      </w:numPr>
      <w:tabs>
        <w:tab w:val="clear" w:pos="1008"/>
      </w:tabs>
      <w:adjustRightInd/>
      <w:snapToGrid/>
    </w:pPr>
    <w:rPr>
      <w:rFonts w:ascii="Arial" w:hAnsi="Arial" w:cs="宋体"/>
      <w:kern w:val="0"/>
    </w:rPr>
  </w:style>
  <w:style w:type="paragraph" w:customStyle="1" w:styleId="666">
    <w:name w:val="六级标题"/>
    <w:basedOn w:val="9"/>
    <w:link w:val="1114"/>
    <w:qFormat/>
    <w:uiPriority w:val="0"/>
    <w:pPr>
      <w:numPr>
        <w:ilvl w:val="5"/>
        <w:numId w:val="5"/>
      </w:numPr>
      <w:tabs>
        <w:tab w:val="clear" w:pos="1152"/>
      </w:tabs>
      <w:adjustRightInd/>
      <w:snapToGrid/>
    </w:pPr>
    <w:rPr>
      <w:rFonts w:eastAsia="宋体" w:cs="宋体"/>
      <w:sz w:val="28"/>
    </w:rPr>
  </w:style>
  <w:style w:type="paragraph" w:customStyle="1" w:styleId="667">
    <w:name w:val="七级标题"/>
    <w:basedOn w:val="10"/>
    <w:qFormat/>
    <w:uiPriority w:val="0"/>
    <w:pPr>
      <w:numPr>
        <w:ilvl w:val="6"/>
        <w:numId w:val="5"/>
      </w:numPr>
      <w:tabs>
        <w:tab w:val="clear" w:pos="1296"/>
      </w:tabs>
      <w:adjustRightInd/>
      <w:snapToGrid/>
    </w:pPr>
    <w:rPr>
      <w:rFonts w:ascii="Arial" w:hAnsi="Arial" w:cs="宋体"/>
      <w:kern w:val="0"/>
    </w:rPr>
  </w:style>
  <w:style w:type="paragraph" w:customStyle="1" w:styleId="668">
    <w:name w:val="八级标题"/>
    <w:basedOn w:val="11"/>
    <w:qFormat/>
    <w:uiPriority w:val="0"/>
    <w:pPr>
      <w:numPr>
        <w:ilvl w:val="7"/>
        <w:numId w:val="5"/>
      </w:numPr>
      <w:tabs>
        <w:tab w:val="clear" w:pos="1440"/>
      </w:tabs>
      <w:adjustRightInd/>
      <w:spacing w:before="0" w:after="0" w:line="360" w:lineRule="auto"/>
      <w:jc w:val="left"/>
    </w:pPr>
    <w:rPr>
      <w:rFonts w:eastAsia="宋体" w:cs="宋体"/>
      <w:b/>
      <w:kern w:val="0"/>
      <w:sz w:val="28"/>
    </w:rPr>
  </w:style>
  <w:style w:type="paragraph" w:customStyle="1" w:styleId="669">
    <w:name w:val="九级标题"/>
    <w:basedOn w:val="12"/>
    <w:qFormat/>
    <w:uiPriority w:val="0"/>
    <w:pPr>
      <w:numPr>
        <w:ilvl w:val="8"/>
        <w:numId w:val="5"/>
      </w:numPr>
      <w:tabs>
        <w:tab w:val="clear" w:pos="1584"/>
      </w:tabs>
      <w:adjustRightInd/>
      <w:spacing w:before="0" w:after="0" w:line="360" w:lineRule="auto"/>
    </w:pPr>
    <w:rPr>
      <w:rFonts w:eastAsia="宋体" w:cs="宋体"/>
      <w:b/>
      <w:kern w:val="0"/>
      <w:sz w:val="28"/>
    </w:rPr>
  </w:style>
  <w:style w:type="paragraph" w:customStyle="1" w:styleId="670">
    <w:name w:val="一级标题"/>
    <w:basedOn w:val="663"/>
    <w:qFormat/>
    <w:uiPriority w:val="0"/>
    <w:pPr>
      <w:numPr>
        <w:ilvl w:val="0"/>
      </w:numPr>
      <w:tabs>
        <w:tab w:val="left" w:pos="360"/>
      </w:tabs>
      <w:outlineLvl w:val="0"/>
    </w:pPr>
  </w:style>
  <w:style w:type="paragraph" w:customStyle="1" w:styleId="671">
    <w:name w:val="三级标题正式"/>
    <w:qFormat/>
    <w:uiPriority w:val="0"/>
    <w:pPr>
      <w:numPr>
        <w:ilvl w:val="2"/>
        <w:numId w:val="5"/>
      </w:numPr>
      <w:spacing w:line="360" w:lineRule="auto"/>
      <w:outlineLvl w:val="2"/>
    </w:pPr>
    <w:rPr>
      <w:rFonts w:ascii="Arial" w:hAnsi="Arial" w:eastAsia="宋体" w:cs="Times New Roman"/>
      <w:b/>
      <w:kern w:val="2"/>
      <w:sz w:val="28"/>
      <w:szCs w:val="24"/>
      <w:lang w:val="en-US" w:eastAsia="zh-CN" w:bidi="ar-SA"/>
    </w:rPr>
  </w:style>
  <w:style w:type="paragraph" w:customStyle="1" w:styleId="672">
    <w:name w:val="正文（缩进）"/>
    <w:basedOn w:val="1"/>
    <w:link w:val="1117"/>
    <w:qFormat/>
    <w:uiPriority w:val="0"/>
    <w:pPr>
      <w:widowControl/>
      <w:adjustRightInd/>
      <w:spacing w:line="360" w:lineRule="auto"/>
      <w:ind w:left="-34" w:leftChars="-14" w:firstLine="480" w:firstLineChars="200"/>
      <w:jc w:val="left"/>
    </w:pPr>
    <w:rPr>
      <w:rFonts w:ascii="宋体" w:hAnsi="宋体"/>
      <w:kern w:val="0"/>
      <w:sz w:val="24"/>
    </w:rPr>
  </w:style>
  <w:style w:type="paragraph" w:customStyle="1" w:styleId="673">
    <w:name w:val="编号1"/>
    <w:basedOn w:val="1"/>
    <w:next w:val="1"/>
    <w:link w:val="1131"/>
    <w:qFormat/>
    <w:uiPriority w:val="0"/>
    <w:pPr>
      <w:tabs>
        <w:tab w:val="left" w:pos="256"/>
      </w:tabs>
      <w:adjustRightInd/>
    </w:pPr>
    <w:rPr>
      <w:rFonts w:eastAsia="仿宋_GB2312"/>
      <w:sz w:val="28"/>
    </w:rPr>
  </w:style>
  <w:style w:type="paragraph" w:customStyle="1" w:styleId="674">
    <w:name w:val="正文ll"/>
    <w:basedOn w:val="1"/>
    <w:link w:val="1118"/>
    <w:qFormat/>
    <w:uiPriority w:val="0"/>
    <w:pPr>
      <w:adjustRightInd/>
      <w:spacing w:line="360" w:lineRule="auto"/>
      <w:ind w:firstLine="480" w:firstLineChars="200"/>
    </w:pPr>
    <w:rPr>
      <w:sz w:val="24"/>
    </w:rPr>
  </w:style>
  <w:style w:type="paragraph" w:customStyle="1" w:styleId="675">
    <w:name w:val="正文-段落"/>
    <w:link w:val="1124"/>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676">
    <w:name w:val="图片"/>
    <w:basedOn w:val="1"/>
    <w:link w:val="1127"/>
    <w:qFormat/>
    <w:uiPriority w:val="0"/>
    <w:pPr>
      <w:adjustRightInd/>
      <w:spacing w:line="360" w:lineRule="auto"/>
      <w:jc w:val="center"/>
    </w:pPr>
    <w:rPr>
      <w:rFonts w:ascii="仿宋" w:hAnsi="仿宋" w:eastAsia="仿宋"/>
      <w:sz w:val="28"/>
    </w:rPr>
  </w:style>
  <w:style w:type="paragraph" w:customStyle="1" w:styleId="677">
    <w:name w:val="正缩"/>
    <w:basedOn w:val="1"/>
    <w:link w:val="1128"/>
    <w:qFormat/>
    <w:uiPriority w:val="0"/>
    <w:pPr>
      <w:adjustRightInd/>
      <w:spacing w:line="360" w:lineRule="auto"/>
      <w:ind w:firstLine="480" w:firstLineChars="200"/>
    </w:pPr>
    <w:rPr>
      <w:rFonts w:ascii="宋体" w:hAnsi="宋体"/>
      <w:sz w:val="24"/>
    </w:rPr>
  </w:style>
  <w:style w:type="paragraph" w:customStyle="1" w:styleId="678">
    <w:name w:val="标题4级"/>
    <w:basedOn w:val="7"/>
    <w:link w:val="1129"/>
    <w:qFormat/>
    <w:uiPriority w:val="0"/>
    <w:pPr>
      <w:tabs>
        <w:tab w:val="left" w:pos="284"/>
        <w:tab w:val="left" w:pos="426"/>
        <w:tab w:val="left" w:pos="840"/>
        <w:tab w:val="clear" w:pos="864"/>
      </w:tabs>
      <w:adjustRightInd/>
      <w:spacing w:before="120" w:after="120"/>
      <w:ind w:left="284" w:hanging="284"/>
    </w:pPr>
    <w:rPr>
      <w:rFonts w:ascii="宋体" w:hAnsi="宋体" w:eastAsia="宋体" w:cs="宋体"/>
      <w:snapToGrid w:val="0"/>
    </w:rPr>
  </w:style>
  <w:style w:type="paragraph" w:customStyle="1" w:styleId="679">
    <w:name w:val="图片2"/>
    <w:basedOn w:val="1"/>
    <w:link w:val="1135"/>
    <w:qFormat/>
    <w:uiPriority w:val="0"/>
    <w:pPr>
      <w:widowControl/>
      <w:adjustRightInd/>
      <w:spacing w:line="360" w:lineRule="auto"/>
      <w:jc w:val="center"/>
    </w:pPr>
    <w:rPr>
      <w:rFonts w:eastAsia="仿宋"/>
      <w:kern w:val="0"/>
      <w:sz w:val="32"/>
      <w:shd w:val="clear" w:color="auto" w:fill="FFFFFF"/>
    </w:rPr>
  </w:style>
  <w:style w:type="paragraph" w:customStyle="1" w:styleId="680">
    <w:name w:val="中等深浅底纹 1 - 着色 11"/>
    <w:link w:val="1136"/>
    <w:qFormat/>
    <w:uiPriority w:val="1"/>
    <w:rPr>
      <w:rFonts w:ascii="Times New Roman" w:hAnsi="Times New Roman" w:eastAsia="宋体" w:cs="Times New Roman"/>
      <w:sz w:val="22"/>
      <w:szCs w:val="22"/>
      <w:lang w:val="en-US" w:eastAsia="zh-CN" w:bidi="ar-SA"/>
    </w:rPr>
  </w:style>
  <w:style w:type="paragraph" w:customStyle="1" w:styleId="681">
    <w:name w:val="题注1"/>
    <w:basedOn w:val="1"/>
    <w:next w:val="1"/>
    <w:link w:val="1138"/>
    <w:qFormat/>
    <w:uiPriority w:val="0"/>
    <w:pPr>
      <w:adjustRightInd/>
      <w:jc w:val="center"/>
    </w:pPr>
    <w:rPr>
      <w:rFonts w:ascii="Arial" w:hAnsi="Arial" w:eastAsia="黑体" w:cs="宋体"/>
      <w:szCs w:val="20"/>
    </w:rPr>
  </w:style>
  <w:style w:type="paragraph" w:customStyle="1" w:styleId="682">
    <w:name w:val="图表标题"/>
    <w:basedOn w:val="1"/>
    <w:link w:val="1139"/>
    <w:qFormat/>
    <w:uiPriority w:val="0"/>
    <w:pPr>
      <w:adjustRightInd/>
      <w:spacing w:line="360" w:lineRule="auto"/>
      <w:jc w:val="center"/>
    </w:pPr>
    <w:rPr>
      <w:rFonts w:ascii="黑体" w:hAnsi="黑体" w:eastAsia="黑体"/>
      <w:b/>
      <w:kern w:val="0"/>
      <w:sz w:val="20"/>
      <w:szCs w:val="21"/>
    </w:rPr>
  </w:style>
  <w:style w:type="paragraph" w:customStyle="1" w:styleId="683">
    <w:name w:val="编号2"/>
    <w:basedOn w:val="1"/>
    <w:next w:val="1"/>
    <w:link w:val="1140"/>
    <w:qFormat/>
    <w:uiPriority w:val="0"/>
    <w:pPr>
      <w:numPr>
        <w:ilvl w:val="0"/>
        <w:numId w:val="6"/>
      </w:numPr>
      <w:tabs>
        <w:tab w:val="left" w:pos="397"/>
      </w:tabs>
      <w:adjustRightInd/>
    </w:pPr>
    <w:rPr>
      <w:rFonts w:ascii="宋体" w:hAnsi="宋体" w:eastAsia="仿宋_GB2312" w:cs="宋体"/>
      <w:sz w:val="28"/>
    </w:rPr>
  </w:style>
  <w:style w:type="paragraph" w:customStyle="1" w:styleId="684">
    <w:name w:val="样式 正文文本缩进 + 左  0 字符"/>
    <w:basedOn w:val="2"/>
    <w:link w:val="1145"/>
    <w:qFormat/>
    <w:uiPriority w:val="0"/>
    <w:pPr>
      <w:adjustRightInd/>
      <w:spacing w:line="360" w:lineRule="auto"/>
      <w:ind w:firstLine="250" w:firstLineChars="250"/>
    </w:pPr>
    <w:rPr>
      <w:rFonts w:ascii="Times New Roman" w:hAnsi="Times New Roman"/>
      <w:kern w:val="0"/>
      <w:szCs w:val="20"/>
      <w:lang w:eastAsia="en-US"/>
    </w:rPr>
  </w:style>
  <w:style w:type="paragraph" w:customStyle="1" w:styleId="685">
    <w:name w:val="中等深浅网格 1 - 着色 21"/>
    <w:basedOn w:val="1"/>
    <w:qFormat/>
    <w:uiPriority w:val="0"/>
    <w:pPr>
      <w:adjustRightInd/>
      <w:ind w:firstLine="420" w:firstLineChars="200"/>
    </w:pPr>
    <w:rPr>
      <w:rFonts w:ascii="Calibri" w:hAnsi="Calibri" w:cs="宋体"/>
      <w:szCs w:val="22"/>
    </w:rPr>
  </w:style>
  <w:style w:type="paragraph" w:customStyle="1" w:styleId="686">
    <w:name w:val="A_表格正文（加黑）"/>
    <w:basedOn w:val="687"/>
    <w:qFormat/>
    <w:uiPriority w:val="0"/>
    <w:rPr>
      <w:b/>
      <w:color w:val="000000"/>
    </w:rPr>
  </w:style>
  <w:style w:type="paragraph" w:customStyle="1" w:styleId="687">
    <w:name w:val="A_表格正文（居中）"/>
    <w:basedOn w:val="1"/>
    <w:qFormat/>
    <w:uiPriority w:val="0"/>
    <w:pPr>
      <w:adjustRightInd/>
      <w:jc w:val="center"/>
    </w:pPr>
    <w:rPr>
      <w:rFonts w:eastAsia="仿宋"/>
      <w:kern w:val="0"/>
      <w:szCs w:val="20"/>
    </w:rPr>
  </w:style>
  <w:style w:type="paragraph" w:customStyle="1" w:styleId="688">
    <w:name w:val="Bullet List"/>
    <w:basedOn w:val="1"/>
    <w:next w:val="656"/>
    <w:qFormat/>
    <w:uiPriority w:val="34"/>
    <w:pPr>
      <w:adjustRightInd/>
      <w:spacing w:line="360" w:lineRule="auto"/>
      <w:ind w:firstLine="200" w:firstLineChars="200"/>
    </w:pPr>
    <w:rPr>
      <w:rFonts w:ascii="宋体" w:hAnsi="宋体"/>
      <w:sz w:val="24"/>
    </w:rPr>
  </w:style>
  <w:style w:type="paragraph" w:customStyle="1" w:styleId="689">
    <w:name w:val="可研－正文"/>
    <w:basedOn w:val="1"/>
    <w:qFormat/>
    <w:uiPriority w:val="0"/>
    <w:pPr>
      <w:numPr>
        <w:ilvl w:val="5"/>
        <w:numId w:val="7"/>
      </w:numPr>
      <w:tabs>
        <w:tab w:val="left" w:pos="570"/>
        <w:tab w:val="clear" w:pos="1344"/>
      </w:tabs>
      <w:autoSpaceDE w:val="0"/>
      <w:autoSpaceDN w:val="0"/>
      <w:adjustRightInd/>
      <w:spacing w:line="360" w:lineRule="auto"/>
      <w:ind w:left="0" w:firstLine="200" w:firstLineChars="200"/>
      <w:jc w:val="left"/>
    </w:pPr>
    <w:rPr>
      <w:rFonts w:ascii="仿宋" w:hAnsi="仿宋" w:eastAsia="仿宋" w:cs="宋体"/>
      <w:color w:val="000000"/>
      <w:kern w:val="0"/>
      <w:sz w:val="32"/>
      <w:szCs w:val="32"/>
      <w:lang w:val="zh-CN" w:bidi="zh-CN"/>
    </w:rPr>
  </w:style>
  <w:style w:type="paragraph" w:customStyle="1" w:styleId="690">
    <w:name w:val="插图居中"/>
    <w:next w:val="1"/>
    <w:qFormat/>
    <w:uiPriority w:val="0"/>
    <w:pPr>
      <w:spacing w:before="156" w:beforeLines="50" w:after="156"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691">
    <w:name w:val="图形位置"/>
    <w:basedOn w:val="1"/>
    <w:next w:val="1"/>
    <w:qFormat/>
    <w:uiPriority w:val="0"/>
    <w:pPr>
      <w:adjustRightInd/>
    </w:pPr>
    <w:rPr>
      <w:rFonts w:ascii="宋体" w:hAnsi="宋体" w:eastAsia="仿宋_GB2312" w:cs="宋体"/>
      <w:sz w:val="28"/>
    </w:rPr>
  </w:style>
  <w:style w:type="paragraph" w:customStyle="1" w:styleId="692">
    <w:name w:val="A_表格头"/>
    <w:basedOn w:val="1"/>
    <w:qFormat/>
    <w:uiPriority w:val="0"/>
    <w:pPr>
      <w:adjustRightInd/>
      <w:jc w:val="center"/>
    </w:pPr>
    <w:rPr>
      <w:rFonts w:eastAsia="黑体"/>
      <w:bCs/>
      <w:kern w:val="0"/>
      <w:szCs w:val="20"/>
    </w:rPr>
  </w:style>
  <w:style w:type="paragraph" w:customStyle="1" w:styleId="693">
    <w:name w:val="GP标题4"/>
    <w:basedOn w:val="1"/>
    <w:next w:val="1"/>
    <w:qFormat/>
    <w:uiPriority w:val="0"/>
    <w:pPr>
      <w:numPr>
        <w:ilvl w:val="3"/>
        <w:numId w:val="8"/>
      </w:numPr>
      <w:tabs>
        <w:tab w:val="left" w:pos="1123"/>
      </w:tabs>
      <w:adjustRightInd/>
      <w:spacing w:beforeLines="50" w:afterLines="50" w:line="360" w:lineRule="auto"/>
      <w:jc w:val="left"/>
      <w:outlineLvl w:val="3"/>
    </w:pPr>
    <w:rPr>
      <w:rFonts w:ascii="华文细黑" w:hAnsi="华文细黑" w:cs="宋体"/>
      <w:b/>
      <w:sz w:val="24"/>
      <w:szCs w:val="21"/>
    </w:rPr>
  </w:style>
  <w:style w:type="paragraph" w:customStyle="1" w:styleId="694">
    <w:name w:val="标题（6级）"/>
    <w:basedOn w:val="9"/>
    <w:qFormat/>
    <w:uiPriority w:val="0"/>
    <w:pPr>
      <w:numPr>
        <w:ilvl w:val="5"/>
        <w:numId w:val="9"/>
      </w:numPr>
      <w:tabs>
        <w:tab w:val="left" w:pos="840"/>
        <w:tab w:val="left" w:pos="2040"/>
        <w:tab w:val="clear" w:pos="1152"/>
      </w:tabs>
      <w:adjustRightInd/>
      <w:snapToGrid/>
      <w:spacing w:before="240" w:after="64" w:line="320" w:lineRule="auto"/>
    </w:pPr>
    <w:rPr>
      <w:rFonts w:ascii="Cambria" w:hAnsi="Cambria" w:eastAsia="宋体" w:cs="宋体"/>
    </w:rPr>
  </w:style>
  <w:style w:type="paragraph" w:customStyle="1" w:styleId="695">
    <w:name w:val="样式 样式 仿宋_GB2312 四号 + 首行缩进:  2 字符"/>
    <w:basedOn w:val="1"/>
    <w:qFormat/>
    <w:uiPriority w:val="0"/>
    <w:pPr>
      <w:numPr>
        <w:ilvl w:val="4"/>
        <w:numId w:val="7"/>
      </w:numPr>
      <w:tabs>
        <w:tab w:val="left" w:pos="570"/>
        <w:tab w:val="clear" w:pos="1202"/>
      </w:tabs>
      <w:adjustRightInd/>
      <w:spacing w:line="440" w:lineRule="exact"/>
      <w:ind w:left="0" w:firstLine="560" w:firstLineChars="200"/>
    </w:pPr>
    <w:rPr>
      <w:rFonts w:ascii="仿宋_GB2312" w:hAnsi="宋体" w:eastAsia="仿宋_GB2312" w:cs="宋体"/>
      <w:sz w:val="24"/>
      <w:szCs w:val="20"/>
    </w:rPr>
  </w:style>
  <w:style w:type="paragraph" w:customStyle="1" w:styleId="696">
    <w:name w:val="GP标题1"/>
    <w:basedOn w:val="1"/>
    <w:next w:val="1"/>
    <w:qFormat/>
    <w:uiPriority w:val="0"/>
    <w:pPr>
      <w:numPr>
        <w:ilvl w:val="0"/>
        <w:numId w:val="8"/>
      </w:numPr>
      <w:adjustRightInd/>
      <w:spacing w:before="100" w:beforeLines="100" w:after="100" w:afterLines="100" w:line="360" w:lineRule="auto"/>
      <w:jc w:val="left"/>
      <w:outlineLvl w:val="0"/>
    </w:pPr>
    <w:rPr>
      <w:rFonts w:ascii="黑体" w:hAnsi="黑体" w:cs="宋体"/>
      <w:b/>
      <w:sz w:val="44"/>
      <w:szCs w:val="21"/>
    </w:rPr>
  </w:style>
  <w:style w:type="paragraph" w:customStyle="1" w:styleId="697">
    <w:name w:val="我的表格文字"/>
    <w:basedOn w:val="1"/>
    <w:qFormat/>
    <w:uiPriority w:val="0"/>
    <w:pPr>
      <w:widowControl/>
      <w:autoSpaceDE w:val="0"/>
      <w:autoSpaceDN w:val="0"/>
      <w:adjustRightInd/>
      <w:jc w:val="left"/>
    </w:pPr>
    <w:rPr>
      <w:rFonts w:ascii="Arial" w:hAnsi="Arial" w:cs="Microsoft Sans Serif"/>
      <w:kern w:val="0"/>
      <w:sz w:val="24"/>
      <w:szCs w:val="18"/>
    </w:rPr>
  </w:style>
  <w:style w:type="paragraph" w:customStyle="1" w:styleId="698">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宋体" w:hAnsi="宋体" w:cs="宋体"/>
      <w:color w:val="000000"/>
      <w:kern w:val="0"/>
      <w:szCs w:val="21"/>
    </w:rPr>
  </w:style>
  <w:style w:type="paragraph" w:customStyle="1" w:styleId="699">
    <w:name w:val="GP标题3"/>
    <w:basedOn w:val="1"/>
    <w:next w:val="1"/>
    <w:qFormat/>
    <w:uiPriority w:val="0"/>
    <w:pPr>
      <w:adjustRightInd/>
      <w:spacing w:beforeLines="50" w:afterLines="50" w:line="360" w:lineRule="auto"/>
      <w:jc w:val="left"/>
      <w:outlineLvl w:val="2"/>
    </w:pPr>
    <w:rPr>
      <w:rFonts w:ascii="华文细黑" w:hAnsi="华文细黑" w:eastAsia="仿宋" w:cs="宋体"/>
      <w:b/>
      <w:sz w:val="32"/>
      <w:szCs w:val="21"/>
    </w:rPr>
  </w:style>
  <w:style w:type="paragraph" w:customStyle="1" w:styleId="700">
    <w:name w:val="正文（首行缩进两字） Char"/>
    <w:basedOn w:val="1"/>
    <w:next w:val="8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1">
    <w:name w:val="标题5级"/>
    <w:basedOn w:val="8"/>
    <w:qFormat/>
    <w:uiPriority w:val="0"/>
    <w:pPr>
      <w:numPr>
        <w:ilvl w:val="4"/>
        <w:numId w:val="9"/>
      </w:numPr>
      <w:tabs>
        <w:tab w:val="left" w:pos="840"/>
        <w:tab w:val="left" w:pos="2040"/>
        <w:tab w:val="clear" w:pos="1008"/>
      </w:tabs>
      <w:adjustRightInd/>
      <w:snapToGrid/>
      <w:spacing w:before="280" w:after="290" w:line="376" w:lineRule="auto"/>
    </w:pPr>
    <w:rPr>
      <w:rFonts w:ascii="Calibri" w:hAnsi="Calibri" w:cs="宋体"/>
    </w:rPr>
  </w:style>
  <w:style w:type="paragraph" w:customStyle="1" w:styleId="702">
    <w:name w:val="网格表 5 深色 - 着色 11"/>
    <w:basedOn w:val="4"/>
    <w:next w:val="1"/>
    <w:unhideWhenUsed/>
    <w:qFormat/>
    <w:uiPriority w:val="39"/>
    <w:pPr>
      <w:widowControl/>
      <w:tabs>
        <w:tab w:val="left" w:pos="840"/>
        <w:tab w:val="clear" w:pos="432"/>
      </w:tabs>
      <w:adjustRightInd/>
      <w:snapToGrid/>
      <w:spacing w:before="480" w:line="276" w:lineRule="auto"/>
      <w:ind w:left="431" w:hanging="431"/>
      <w:jc w:val="left"/>
      <w:outlineLvl w:val="9"/>
    </w:pPr>
    <w:rPr>
      <w:rFonts w:ascii="Cambria" w:hAnsi="Cambria" w:cs="宋体"/>
      <w:snapToGrid w:val="0"/>
      <w:color w:val="365F91"/>
      <w:kern w:val="0"/>
      <w:sz w:val="28"/>
      <w:szCs w:val="28"/>
    </w:rPr>
  </w:style>
  <w:style w:type="paragraph" w:customStyle="1" w:styleId="703">
    <w:name w:val="数据字典"/>
    <w:basedOn w:val="1"/>
    <w:qFormat/>
    <w:uiPriority w:val="0"/>
    <w:pPr>
      <w:spacing w:after="20" w:line="260" w:lineRule="exact"/>
      <w:ind w:firstLine="425"/>
      <w:jc w:val="center"/>
      <w:textAlignment w:val="baseline"/>
    </w:pPr>
    <w:rPr>
      <w:rFonts w:ascii="宋体" w:hAnsi="宋体" w:cs="宋体"/>
      <w:kern w:val="0"/>
      <w:sz w:val="18"/>
      <w:szCs w:val="20"/>
    </w:rPr>
  </w:style>
  <w:style w:type="paragraph" w:customStyle="1" w:styleId="70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05">
    <w:name w:val="彩色列表 - 着色 11"/>
    <w:basedOn w:val="1"/>
    <w:qFormat/>
    <w:uiPriority w:val="34"/>
    <w:pPr>
      <w:widowControl/>
      <w:adjustRightInd/>
      <w:ind w:firstLine="420" w:firstLineChars="200"/>
      <w:jc w:val="left"/>
    </w:pPr>
    <w:rPr>
      <w:rFonts w:ascii="Calibri" w:hAnsi="Calibri" w:eastAsia="等线"/>
      <w:kern w:val="0"/>
      <w:sz w:val="24"/>
    </w:rPr>
  </w:style>
  <w:style w:type="paragraph" w:customStyle="1" w:styleId="706">
    <w:name w:val="GP标题2"/>
    <w:basedOn w:val="1"/>
    <w:next w:val="1"/>
    <w:qFormat/>
    <w:uiPriority w:val="0"/>
    <w:pPr>
      <w:adjustRightInd/>
      <w:spacing w:beforeLines="50" w:afterLines="50" w:line="360" w:lineRule="auto"/>
      <w:jc w:val="left"/>
      <w:outlineLvl w:val="1"/>
    </w:pPr>
    <w:rPr>
      <w:rFonts w:ascii="华文细黑" w:hAnsi="华文细黑" w:cs="宋体"/>
      <w:b/>
      <w:sz w:val="32"/>
      <w:szCs w:val="21"/>
    </w:rPr>
  </w:style>
  <w:style w:type="paragraph" w:customStyle="1" w:styleId="707">
    <w:name w:val="GP标题5"/>
    <w:basedOn w:val="1"/>
    <w:next w:val="1"/>
    <w:qFormat/>
    <w:uiPriority w:val="0"/>
    <w:pPr>
      <w:adjustRightInd/>
      <w:spacing w:beforeLines="50" w:afterLines="50" w:line="360" w:lineRule="auto"/>
      <w:jc w:val="left"/>
      <w:outlineLvl w:val="4"/>
    </w:pPr>
    <w:rPr>
      <w:rFonts w:ascii="华文细黑" w:hAnsi="华文细黑" w:eastAsia="华文细黑" w:cs="宋体"/>
      <w:b/>
      <w:sz w:val="24"/>
      <w:szCs w:val="21"/>
    </w:rPr>
  </w:style>
  <w:style w:type="paragraph" w:customStyle="1" w:styleId="708">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adjustRightInd/>
      <w:spacing w:before="100" w:beforeAutospacing="1" w:after="100" w:afterAutospacing="1"/>
      <w:jc w:val="center"/>
    </w:pPr>
    <w:rPr>
      <w:rFonts w:ascii="宋体" w:hAnsi="宋体" w:cs="宋体"/>
      <w:color w:val="000000"/>
      <w:kern w:val="0"/>
      <w:szCs w:val="21"/>
    </w:rPr>
  </w:style>
  <w:style w:type="paragraph" w:customStyle="1" w:styleId="70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发布部门"/>
    <w:next w:val="3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11">
    <w:name w:val="一级无标题条"/>
    <w:basedOn w:val="1"/>
    <w:qFormat/>
    <w:uiPriority w:val="0"/>
    <w:pPr>
      <w:numPr>
        <w:ilvl w:val="6"/>
        <w:numId w:val="10"/>
      </w:numPr>
      <w:tabs>
        <w:tab w:val="left" w:pos="1200"/>
      </w:tabs>
      <w:adjustRightInd/>
      <w:spacing w:line="360" w:lineRule="auto"/>
    </w:pPr>
    <w:rPr>
      <w:rFonts w:ascii="宋体" w:hAnsi="宋体"/>
      <w:sz w:val="24"/>
    </w:rPr>
  </w:style>
  <w:style w:type="paragraph" w:customStyle="1" w:styleId="712">
    <w:name w:val="A_正文_黑"/>
    <w:basedOn w:val="1"/>
    <w:qFormat/>
    <w:uiPriority w:val="0"/>
    <w:pPr>
      <w:tabs>
        <w:tab w:val="left" w:pos="1547"/>
      </w:tabs>
      <w:adjustRightInd/>
      <w:spacing w:line="360" w:lineRule="auto"/>
      <w:ind w:firstLine="600" w:firstLineChars="200"/>
    </w:pPr>
    <w:rPr>
      <w:rFonts w:eastAsia="仿宋"/>
      <w:color w:val="000000"/>
      <w:sz w:val="30"/>
      <w:szCs w:val="22"/>
    </w:rPr>
  </w:style>
  <w:style w:type="paragraph" w:customStyle="1" w:styleId="713">
    <w:name w:val="A_正文_注释"/>
    <w:basedOn w:val="1"/>
    <w:qFormat/>
    <w:uiPriority w:val="0"/>
    <w:pPr>
      <w:tabs>
        <w:tab w:val="left" w:pos="1547"/>
      </w:tabs>
      <w:adjustRightInd/>
      <w:spacing w:line="360" w:lineRule="auto"/>
      <w:ind w:firstLine="600" w:firstLineChars="200"/>
    </w:pPr>
    <w:rPr>
      <w:rFonts w:eastAsia="仿宋"/>
      <w:color w:val="0070C0"/>
      <w:sz w:val="30"/>
      <w:szCs w:val="22"/>
    </w:rPr>
  </w:style>
  <w:style w:type="paragraph" w:customStyle="1" w:styleId="714">
    <w:name w:val="一级要点"/>
    <w:basedOn w:val="1"/>
    <w:qFormat/>
    <w:uiPriority w:val="0"/>
    <w:pPr>
      <w:widowControl/>
      <w:numPr>
        <w:ilvl w:val="0"/>
        <w:numId w:val="11"/>
      </w:numPr>
      <w:adjustRightInd/>
      <w:spacing w:line="360" w:lineRule="auto"/>
      <w:ind w:left="902" w:leftChars="200" w:firstLine="0"/>
    </w:pPr>
    <w:rPr>
      <w:rFonts w:ascii="Calibri" w:hAnsi="Calibri"/>
      <w:kern w:val="0"/>
      <w:sz w:val="28"/>
      <w:szCs w:val="28"/>
      <w:lang w:eastAsia="en-US" w:bidi="en-US"/>
    </w:rPr>
  </w:style>
  <w:style w:type="paragraph" w:customStyle="1" w:styleId="715">
    <w:name w:val="公文标题"/>
    <w:basedOn w:val="1"/>
    <w:qFormat/>
    <w:uiPriority w:val="0"/>
    <w:pPr>
      <w:adjustRightInd/>
      <w:jc w:val="center"/>
    </w:pPr>
    <w:rPr>
      <w:rFonts w:eastAsia="仿宋_GB2312"/>
      <w:sz w:val="44"/>
      <w:szCs w:val="20"/>
    </w:rPr>
  </w:style>
  <w:style w:type="paragraph" w:customStyle="1" w:styleId="716">
    <w:name w:val="标题5"/>
    <w:basedOn w:val="8"/>
    <w:qFormat/>
    <w:uiPriority w:val="0"/>
    <w:pPr>
      <w:numPr>
        <w:ilvl w:val="4"/>
        <w:numId w:val="12"/>
      </w:numPr>
      <w:tabs>
        <w:tab w:val="left" w:pos="840"/>
        <w:tab w:val="clear" w:pos="1008"/>
      </w:tabs>
      <w:snapToGrid/>
      <w:textAlignment w:val="baseline"/>
    </w:pPr>
    <w:rPr>
      <w:rFonts w:ascii="宋体" w:hAnsi="宋体" w:cs="宋体"/>
      <w:bCs w:val="0"/>
      <w:sz w:val="30"/>
      <w:szCs w:val="30"/>
    </w:rPr>
  </w:style>
  <w:style w:type="paragraph" w:customStyle="1" w:styleId="717">
    <w:name w:val="示例"/>
    <w:next w:val="348"/>
    <w:qFormat/>
    <w:uiPriority w:val="0"/>
    <w:pPr>
      <w:numPr>
        <w:ilvl w:val="4"/>
        <w:numId w:val="10"/>
      </w:numPr>
      <w:tabs>
        <w:tab w:val="left" w:pos="1200"/>
      </w:tabs>
      <w:jc w:val="both"/>
    </w:pPr>
    <w:rPr>
      <w:rFonts w:ascii="宋体" w:hAnsi="Times New Roman" w:eastAsia="宋体" w:cs="Times New Roman"/>
      <w:sz w:val="18"/>
      <w:lang w:val="en-US" w:eastAsia="zh-CN" w:bidi="ar-SA"/>
    </w:rPr>
  </w:style>
  <w:style w:type="paragraph" w:customStyle="1" w:styleId="718">
    <w:name w:val="条文脚注"/>
    <w:basedOn w:val="67"/>
    <w:qFormat/>
    <w:uiPriority w:val="0"/>
    <w:pPr>
      <w:widowControl w:val="0"/>
      <w:numPr>
        <w:ilvl w:val="5"/>
        <w:numId w:val="10"/>
      </w:numPr>
      <w:tabs>
        <w:tab w:val="left" w:pos="840"/>
        <w:tab w:val="left" w:pos="1200"/>
      </w:tabs>
      <w:snapToGrid w:val="0"/>
      <w:spacing w:before="0" w:after="0" w:line="360" w:lineRule="auto"/>
      <w:ind w:left="431" w:hanging="431"/>
    </w:pPr>
    <w:rPr>
      <w:rFonts w:ascii="宋体"/>
      <w:color w:val="auto"/>
      <w:kern w:val="2"/>
      <w:sz w:val="18"/>
      <w:szCs w:val="18"/>
    </w:rPr>
  </w:style>
  <w:style w:type="paragraph" w:customStyle="1" w:styleId="719">
    <w:name w:val="实施方案_通篇正文"/>
    <w:basedOn w:val="1"/>
    <w:qFormat/>
    <w:uiPriority w:val="0"/>
    <w:pPr>
      <w:widowControl/>
      <w:adjustRightInd/>
      <w:spacing w:before="160"/>
      <w:ind w:firstLine="200" w:firstLineChars="200"/>
      <w:jc w:val="left"/>
    </w:pPr>
    <w:rPr>
      <w:rFonts w:ascii="宋体" w:hAnsi="宋体" w:cs="宋体"/>
      <w:sz w:val="24"/>
      <w:szCs w:val="21"/>
    </w:rPr>
  </w:style>
  <w:style w:type="paragraph" w:customStyle="1" w:styleId="720">
    <w:name w:val="p15"/>
    <w:basedOn w:val="1"/>
    <w:qFormat/>
    <w:uiPriority w:val="0"/>
    <w:pPr>
      <w:widowControl/>
      <w:numPr>
        <w:ilvl w:val="0"/>
        <w:numId w:val="13"/>
      </w:numPr>
      <w:adjustRightInd/>
      <w:spacing w:line="360" w:lineRule="auto"/>
      <w:ind w:left="0" w:firstLine="200" w:firstLineChars="200"/>
    </w:pPr>
    <w:rPr>
      <w:rFonts w:cs="宋体"/>
      <w:kern w:val="0"/>
      <w:sz w:val="28"/>
    </w:rPr>
  </w:style>
  <w:style w:type="paragraph" w:customStyle="1" w:styleId="721">
    <w:name w:val="TOC 标题2"/>
    <w:basedOn w:val="4"/>
    <w:next w:val="1"/>
    <w:qFormat/>
    <w:uiPriority w:val="0"/>
    <w:pPr>
      <w:widowControl/>
      <w:tabs>
        <w:tab w:val="left" w:pos="0"/>
        <w:tab w:val="clear" w:pos="432"/>
      </w:tabs>
      <w:adjustRightInd/>
      <w:snapToGrid/>
      <w:spacing w:before="240" w:line="259" w:lineRule="auto"/>
      <w:jc w:val="left"/>
      <w:outlineLvl w:val="9"/>
    </w:pPr>
    <w:rPr>
      <w:rFonts w:ascii="Calibri Light" w:hAnsi="Calibri Light"/>
      <w:b w:val="0"/>
      <w:bCs w:val="0"/>
      <w:color w:val="2E74B5"/>
      <w:kern w:val="0"/>
      <w:sz w:val="32"/>
      <w:szCs w:val="32"/>
    </w:rPr>
  </w:style>
  <w:style w:type="paragraph" w:customStyle="1" w:styleId="722">
    <w:name w:val="xl95"/>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3">
    <w:name w:val="xl96"/>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4">
    <w:name w:val="xl97"/>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b/>
      <w:bCs/>
      <w:color w:val="000000"/>
      <w:kern w:val="0"/>
      <w:sz w:val="24"/>
    </w:rPr>
  </w:style>
  <w:style w:type="paragraph" w:customStyle="1" w:styleId="725">
    <w:name w:val="xl98"/>
    <w:basedOn w:val="1"/>
    <w:qFormat/>
    <w:uiPriority w:val="0"/>
    <w:pPr>
      <w:widowControl/>
      <w:pBdr>
        <w:top w:val="single" w:color="000000" w:sz="8" w:space="0"/>
        <w:lef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6">
    <w:name w:val="xl99"/>
    <w:basedOn w:val="1"/>
    <w:qFormat/>
    <w:uiPriority w:val="0"/>
    <w:pPr>
      <w:widowControl/>
      <w:pBdr>
        <w:top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7">
    <w:name w:val="xl100"/>
    <w:basedOn w:val="1"/>
    <w:qFormat/>
    <w:uiPriority w:val="0"/>
    <w:pPr>
      <w:widowControl/>
      <w:pBdr>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28">
    <w:name w:val="xl101"/>
    <w:basedOn w:val="1"/>
    <w:qFormat/>
    <w:uiPriority w:val="0"/>
    <w:pPr>
      <w:widowControl/>
      <w:pBdr>
        <w:top w:val="single" w:color="000000" w:sz="8" w:space="0"/>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29">
    <w:name w:val="xl102"/>
    <w:basedOn w:val="1"/>
    <w:qFormat/>
    <w:uiPriority w:val="0"/>
    <w:pPr>
      <w:widowControl/>
      <w:pBdr>
        <w:left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0">
    <w:name w:val="xl103"/>
    <w:basedOn w:val="1"/>
    <w:qFormat/>
    <w:uiPriority w:val="0"/>
    <w:pPr>
      <w:widowControl/>
      <w:pBdr>
        <w:left w:val="single" w:color="000000" w:sz="8" w:space="0"/>
        <w:bottom w:val="single" w:color="000000" w:sz="8" w:space="0"/>
        <w:right w:val="single" w:color="000000" w:sz="8" w:space="0"/>
      </w:pBdr>
      <w:shd w:val="clear" w:color="000000" w:fill="FFFFFF"/>
      <w:adjustRightInd/>
      <w:spacing w:before="100" w:beforeAutospacing="1" w:after="100" w:afterAutospacing="1"/>
      <w:jc w:val="left"/>
    </w:pPr>
    <w:rPr>
      <w:rFonts w:ascii="仿宋" w:hAnsi="仿宋" w:eastAsia="仿宋" w:cs="宋体"/>
      <w:color w:val="000000"/>
      <w:kern w:val="0"/>
      <w:sz w:val="24"/>
    </w:rPr>
  </w:style>
  <w:style w:type="paragraph" w:customStyle="1" w:styleId="731">
    <w:name w:val="xl104"/>
    <w:basedOn w:val="1"/>
    <w:qFormat/>
    <w:uiPriority w:val="0"/>
    <w:pPr>
      <w:widowControl/>
      <w:pBdr>
        <w:top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2">
    <w:name w:val="xl105"/>
    <w:basedOn w:val="1"/>
    <w:qFormat/>
    <w:uiPriority w:val="0"/>
    <w:pPr>
      <w:widowControl/>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3">
    <w:name w:val="xl106"/>
    <w:basedOn w:val="1"/>
    <w:qFormat/>
    <w:uiPriority w:val="0"/>
    <w:pPr>
      <w:widowControl/>
      <w:pBdr>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4">
    <w:name w:val="xl107"/>
    <w:basedOn w:val="1"/>
    <w:qFormat/>
    <w:uiPriority w:val="0"/>
    <w:pPr>
      <w:widowControl/>
      <w:pBdr>
        <w:top w:val="single" w:color="000000" w:sz="8" w:space="0"/>
        <w:left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5">
    <w:name w:val="xl108"/>
    <w:basedOn w:val="1"/>
    <w:qFormat/>
    <w:uiPriority w:val="0"/>
    <w:pPr>
      <w:widowControl/>
      <w:pBdr>
        <w:top w:val="single" w:color="000000" w:sz="8" w:space="0"/>
        <w:bottom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6">
    <w:name w:val="xl109"/>
    <w:basedOn w:val="1"/>
    <w:qFormat/>
    <w:uiPriority w:val="0"/>
    <w:pPr>
      <w:widowControl/>
      <w:pBdr>
        <w:top w:val="single" w:color="000000"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7">
    <w:name w:val="xl110"/>
    <w:basedOn w:val="1"/>
    <w:qFormat/>
    <w:uiPriority w:val="0"/>
    <w:pPr>
      <w:widowControl/>
      <w:pBdr>
        <w:top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8">
    <w:name w:val="xl111"/>
    <w:basedOn w:val="1"/>
    <w:qFormat/>
    <w:uiPriority w:val="0"/>
    <w:pPr>
      <w:widowControl/>
      <w:pBdr>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39">
    <w:name w:val="xl112"/>
    <w:basedOn w:val="1"/>
    <w:qFormat/>
    <w:uiPriority w:val="0"/>
    <w:pPr>
      <w:widowControl/>
      <w:pBdr>
        <w:top w:val="single" w:color="000000" w:sz="8" w:space="0"/>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0">
    <w:name w:val="xl113"/>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1">
    <w:name w:val="xl114"/>
    <w:basedOn w:val="1"/>
    <w:qFormat/>
    <w:uiPriority w:val="0"/>
    <w:pPr>
      <w:widowControl/>
      <w:pBdr>
        <w:left w:val="single" w:color="auto" w:sz="8" w:space="0"/>
        <w:bottom w:val="single" w:color="000000" w:sz="8" w:space="0"/>
        <w:right w:val="single" w:color="000000"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2">
    <w:name w:val="xl115"/>
    <w:basedOn w:val="1"/>
    <w:qFormat/>
    <w:uiPriority w:val="0"/>
    <w:pPr>
      <w:widowControl/>
      <w:pBdr>
        <w:bottom w:val="single" w:color="000000" w:sz="8" w:space="0"/>
        <w:right w:val="single" w:color="auto" w:sz="8"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743">
    <w:name w:val="TOC 标题3"/>
    <w:basedOn w:val="4"/>
    <w:next w:val="1"/>
    <w:unhideWhenUsed/>
    <w:qFormat/>
    <w:uiPriority w:val="39"/>
    <w:pPr>
      <w:tabs>
        <w:tab w:val="clear" w:pos="432"/>
      </w:tabs>
      <w:adjustRightInd/>
      <w:snapToGrid/>
      <w:spacing w:before="340" w:after="330" w:line="578" w:lineRule="auto"/>
      <w:outlineLvl w:val="9"/>
    </w:pPr>
    <w:rPr>
      <w:rFonts w:ascii="Calibri" w:hAnsi="Calibri"/>
      <w:sz w:val="44"/>
    </w:rPr>
  </w:style>
  <w:style w:type="paragraph" w:customStyle="1" w:styleId="744">
    <w:name w:val="明显引用1"/>
    <w:basedOn w:val="1"/>
    <w:next w:val="1"/>
    <w:link w:val="1151"/>
    <w:qFormat/>
    <w:uiPriority w:val="99"/>
    <w:pPr>
      <w:pBdr>
        <w:top w:val="single" w:color="4472C4" w:sz="4" w:space="10"/>
        <w:bottom w:val="single" w:color="4472C4" w:sz="4" w:space="10"/>
      </w:pBdr>
      <w:adjustRightInd/>
      <w:spacing w:before="360" w:after="360" w:line="360" w:lineRule="auto"/>
      <w:ind w:left="864" w:right="864"/>
      <w:jc w:val="center"/>
    </w:pPr>
    <w:rPr>
      <w:rFonts w:ascii="Calibri" w:hAnsi="Calibri"/>
      <w:i/>
      <w:iCs/>
      <w:color w:val="4472C4"/>
      <w:sz w:val="28"/>
      <w:szCs w:val="20"/>
    </w:rPr>
  </w:style>
  <w:style w:type="paragraph" w:customStyle="1" w:styleId="745">
    <w:name w:val="书目1"/>
    <w:basedOn w:val="1"/>
    <w:next w:val="1"/>
    <w:unhideWhenUsed/>
    <w:qFormat/>
    <w:uiPriority w:val="37"/>
    <w:pPr>
      <w:adjustRightInd/>
      <w:spacing w:line="360" w:lineRule="auto"/>
    </w:pPr>
    <w:rPr>
      <w:rFonts w:ascii="Calibri" w:hAnsi="Calibri"/>
      <w:sz w:val="28"/>
      <w:szCs w:val="20"/>
    </w:rPr>
  </w:style>
  <w:style w:type="paragraph" w:customStyle="1" w:styleId="746">
    <w:name w:val="无间隔3"/>
    <w:qFormat/>
    <w:uiPriority w:val="99"/>
    <w:pPr>
      <w:widowControl w:val="0"/>
      <w:jc w:val="both"/>
    </w:pPr>
    <w:rPr>
      <w:rFonts w:ascii="Calibri" w:hAnsi="Calibri" w:eastAsia="宋体" w:cs="Times New Roman"/>
      <w:kern w:val="2"/>
      <w:sz w:val="28"/>
      <w:lang w:val="en-US" w:eastAsia="zh-CN" w:bidi="ar-SA"/>
    </w:rPr>
  </w:style>
  <w:style w:type="paragraph" w:customStyle="1" w:styleId="747">
    <w:name w:val="引用1"/>
    <w:basedOn w:val="1"/>
    <w:next w:val="1"/>
    <w:link w:val="1152"/>
    <w:qFormat/>
    <w:uiPriority w:val="99"/>
    <w:pPr>
      <w:adjustRightInd/>
      <w:spacing w:before="200" w:after="160" w:line="360" w:lineRule="auto"/>
      <w:ind w:left="864" w:right="864"/>
      <w:jc w:val="center"/>
    </w:pPr>
    <w:rPr>
      <w:rFonts w:ascii="Calibri" w:hAnsi="Calibri"/>
      <w:i/>
      <w:iCs/>
      <w:color w:val="404040"/>
      <w:sz w:val="28"/>
      <w:szCs w:val="20"/>
    </w:rPr>
  </w:style>
  <w:style w:type="paragraph" w:customStyle="1" w:styleId="748">
    <w:name w:val="TOC 标题4"/>
    <w:basedOn w:val="4"/>
    <w:next w:val="1"/>
    <w:unhideWhenUsed/>
    <w:qFormat/>
    <w:uiPriority w:val="39"/>
    <w:pPr>
      <w:widowControl/>
      <w:tabs>
        <w:tab w:val="clear" w:pos="432"/>
      </w:tabs>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749">
    <w:name w:val="修订13"/>
    <w:hidden/>
    <w:unhideWhenUsed/>
    <w:qFormat/>
    <w:uiPriority w:val="99"/>
    <w:rPr>
      <w:rFonts w:ascii="宋体" w:hAnsi="宋体" w:eastAsia="宋体" w:cs="宋体"/>
      <w:sz w:val="24"/>
      <w:szCs w:val="24"/>
      <w:lang w:val="en-US" w:eastAsia="zh-CN" w:bidi="ar-SA"/>
    </w:rPr>
  </w:style>
  <w:style w:type="paragraph" w:customStyle="1" w:styleId="750">
    <w:name w:val="列表段落3"/>
    <w:basedOn w:val="1"/>
    <w:qFormat/>
    <w:uiPriority w:val="99"/>
    <w:pPr>
      <w:ind w:firstLine="420" w:firstLineChars="200"/>
    </w:pPr>
  </w:style>
  <w:style w:type="character" w:customStyle="1" w:styleId="751">
    <w:name w:val="标题 2 Char"/>
    <w:qFormat/>
    <w:uiPriority w:val="0"/>
    <w:rPr>
      <w:rFonts w:ascii="Arial" w:hAnsi="Arial" w:eastAsia="黑体"/>
      <w:b/>
      <w:kern w:val="2"/>
      <w:sz w:val="32"/>
      <w:lang w:val="en-US" w:eastAsia="zh-CN"/>
    </w:rPr>
  </w:style>
  <w:style w:type="character" w:customStyle="1" w:styleId="752">
    <w:name w:val="标题 3 字符"/>
    <w:qFormat/>
    <w:uiPriority w:val="9"/>
    <w:rPr>
      <w:b/>
      <w:bCs/>
      <w:kern w:val="2"/>
      <w:sz w:val="32"/>
      <w:szCs w:val="32"/>
    </w:rPr>
  </w:style>
  <w:style w:type="character" w:customStyle="1" w:styleId="753">
    <w:name w:val="标题 1 字符1"/>
    <w:link w:val="4"/>
    <w:qFormat/>
    <w:uiPriority w:val="9"/>
    <w:rPr>
      <w:rFonts w:eastAsia="宋体"/>
      <w:b/>
      <w:bCs/>
      <w:kern w:val="44"/>
      <w:sz w:val="36"/>
      <w:szCs w:val="44"/>
    </w:rPr>
  </w:style>
  <w:style w:type="character" w:customStyle="1" w:styleId="754">
    <w:name w:val="正文缩进 字符2"/>
    <w:link w:val="22"/>
    <w:qFormat/>
    <w:uiPriority w:val="0"/>
    <w:rPr>
      <w:rFonts w:ascii="宋体" w:eastAsia="宋体"/>
      <w:snapToGrid w:val="0"/>
      <w:color w:val="000000"/>
      <w:kern w:val="28"/>
      <w:sz w:val="28"/>
      <w:lang w:val="en-US" w:eastAsia="zh-CN" w:bidi="ar-SA"/>
    </w:rPr>
  </w:style>
  <w:style w:type="character" w:customStyle="1" w:styleId="755">
    <w:name w:val="标题 4 字符1"/>
    <w:link w:val="7"/>
    <w:qFormat/>
    <w:uiPriority w:val="0"/>
    <w:rPr>
      <w:rFonts w:ascii="Arial" w:hAnsi="Arial" w:eastAsia="黑体"/>
      <w:b/>
      <w:bCs/>
      <w:kern w:val="2"/>
      <w:sz w:val="28"/>
      <w:szCs w:val="28"/>
      <w:lang w:val="zh-CN"/>
    </w:rPr>
  </w:style>
  <w:style w:type="character" w:customStyle="1" w:styleId="756">
    <w:name w:val="标题 5 字符"/>
    <w:link w:val="8"/>
    <w:qFormat/>
    <w:uiPriority w:val="0"/>
    <w:rPr>
      <w:rFonts w:eastAsia="宋体"/>
      <w:b/>
      <w:bCs/>
      <w:kern w:val="2"/>
      <w:sz w:val="28"/>
      <w:szCs w:val="28"/>
    </w:rPr>
  </w:style>
  <w:style w:type="character" w:customStyle="1" w:styleId="757">
    <w:name w:val="标题 6 字符"/>
    <w:link w:val="9"/>
    <w:qFormat/>
    <w:uiPriority w:val="0"/>
    <w:rPr>
      <w:rFonts w:ascii="Arial" w:hAnsi="Arial" w:eastAsia="黑体"/>
      <w:b/>
      <w:bCs/>
      <w:kern w:val="2"/>
      <w:sz w:val="24"/>
      <w:szCs w:val="24"/>
    </w:rPr>
  </w:style>
  <w:style w:type="character" w:customStyle="1" w:styleId="758">
    <w:name w:val="标题 7 字符"/>
    <w:link w:val="10"/>
    <w:qFormat/>
    <w:uiPriority w:val="0"/>
    <w:rPr>
      <w:rFonts w:eastAsia="宋体"/>
      <w:b/>
      <w:bCs/>
      <w:kern w:val="2"/>
      <w:sz w:val="28"/>
      <w:szCs w:val="24"/>
    </w:rPr>
  </w:style>
  <w:style w:type="character" w:customStyle="1" w:styleId="759">
    <w:name w:val="标题 8 字符"/>
    <w:link w:val="11"/>
    <w:qFormat/>
    <w:uiPriority w:val="0"/>
    <w:rPr>
      <w:rFonts w:ascii="Arial" w:hAnsi="Arial" w:eastAsia="黑体"/>
      <w:kern w:val="2"/>
      <w:sz w:val="24"/>
      <w:szCs w:val="24"/>
    </w:rPr>
  </w:style>
  <w:style w:type="character" w:customStyle="1" w:styleId="760">
    <w:name w:val="标题 9 字符"/>
    <w:link w:val="12"/>
    <w:qFormat/>
    <w:uiPriority w:val="0"/>
    <w:rPr>
      <w:rFonts w:ascii="Arial" w:hAnsi="Arial" w:eastAsia="黑体"/>
      <w:kern w:val="2"/>
      <w:sz w:val="21"/>
      <w:szCs w:val="21"/>
    </w:rPr>
  </w:style>
  <w:style w:type="character" w:customStyle="1" w:styleId="761">
    <w:name w:val="题注 字符"/>
    <w:link w:val="23"/>
    <w:qFormat/>
    <w:uiPriority w:val="0"/>
    <w:rPr>
      <w:b/>
      <w:kern w:val="2"/>
      <w:sz w:val="28"/>
    </w:rPr>
  </w:style>
  <w:style w:type="character" w:customStyle="1" w:styleId="762">
    <w:name w:val="文档结构图 字符"/>
    <w:link w:val="27"/>
    <w:qFormat/>
    <w:uiPriority w:val="0"/>
    <w:rPr>
      <w:kern w:val="2"/>
      <w:sz w:val="21"/>
      <w:szCs w:val="24"/>
      <w:shd w:val="clear" w:color="auto" w:fill="000080"/>
    </w:rPr>
  </w:style>
  <w:style w:type="character" w:customStyle="1" w:styleId="763">
    <w:name w:val="批注文字 字符1"/>
    <w:link w:val="29"/>
    <w:qFormat/>
    <w:uiPriority w:val="99"/>
    <w:rPr>
      <w:kern w:val="2"/>
      <w:sz w:val="21"/>
      <w:szCs w:val="24"/>
    </w:rPr>
  </w:style>
  <w:style w:type="character" w:customStyle="1" w:styleId="764">
    <w:name w:val="称呼 字符"/>
    <w:link w:val="31"/>
    <w:qFormat/>
    <w:uiPriority w:val="99"/>
    <w:rPr>
      <w:rFonts w:ascii="仿宋_GB2312" w:eastAsia="仿宋_GB2312"/>
      <w:kern w:val="2"/>
      <w:sz w:val="28"/>
    </w:rPr>
  </w:style>
  <w:style w:type="character" w:customStyle="1" w:styleId="765">
    <w:name w:val="正文文本 3 字符"/>
    <w:link w:val="32"/>
    <w:qFormat/>
    <w:uiPriority w:val="99"/>
    <w:rPr>
      <w:kern w:val="2"/>
      <w:sz w:val="21"/>
    </w:rPr>
  </w:style>
  <w:style w:type="character" w:customStyle="1" w:styleId="766">
    <w:name w:val="正文文本 字符"/>
    <w:link w:val="35"/>
    <w:qFormat/>
    <w:uiPriority w:val="0"/>
    <w:rPr>
      <w:rFonts w:ascii="宋体" w:hAnsi="Arial" w:eastAsia="宋体" w:cs="Arial"/>
      <w:snapToGrid w:val="0"/>
      <w:kern w:val="2"/>
      <w:sz w:val="24"/>
      <w:szCs w:val="21"/>
      <w:lang w:val="zh-CN" w:eastAsia="zh-CN" w:bidi="ar-SA"/>
    </w:rPr>
  </w:style>
  <w:style w:type="character" w:customStyle="1" w:styleId="767">
    <w:name w:val="正文文本缩进 字符1"/>
    <w:link w:val="2"/>
    <w:qFormat/>
    <w:uiPriority w:val="0"/>
    <w:rPr>
      <w:rFonts w:ascii="宋体" w:hAnsi="宋体"/>
      <w:kern w:val="2"/>
      <w:sz w:val="24"/>
      <w:szCs w:val="24"/>
    </w:rPr>
  </w:style>
  <w:style w:type="character" w:customStyle="1" w:styleId="768">
    <w:name w:val="HTML 地址 字符"/>
    <w:link w:val="41"/>
    <w:qFormat/>
    <w:uiPriority w:val="99"/>
    <w:rPr>
      <w:rFonts w:ascii="宋体" w:hAnsi="宋体"/>
      <w:i/>
      <w:iCs/>
      <w:sz w:val="24"/>
      <w:szCs w:val="24"/>
    </w:rPr>
  </w:style>
  <w:style w:type="character" w:customStyle="1" w:styleId="769">
    <w:name w:val="纯文本 字符1"/>
    <w:link w:val="45"/>
    <w:qFormat/>
    <w:uiPriority w:val="0"/>
    <w:rPr>
      <w:rFonts w:ascii="宋体" w:hAnsi="Courier New" w:eastAsia="宋体" w:cs="Arial"/>
      <w:snapToGrid w:val="0"/>
      <w:kern w:val="2"/>
      <w:sz w:val="21"/>
      <w:szCs w:val="21"/>
      <w:lang w:val="en-US" w:eastAsia="zh-CN" w:bidi="ar-SA"/>
    </w:rPr>
  </w:style>
  <w:style w:type="character" w:customStyle="1" w:styleId="770">
    <w:name w:val="日期 字符"/>
    <w:link w:val="50"/>
    <w:qFormat/>
    <w:uiPriority w:val="99"/>
    <w:rPr>
      <w:rFonts w:ascii="宋体"/>
      <w:kern w:val="2"/>
      <w:sz w:val="24"/>
      <w:szCs w:val="21"/>
      <w:lang w:val="zh-CN"/>
    </w:rPr>
  </w:style>
  <w:style w:type="character" w:customStyle="1" w:styleId="771">
    <w:name w:val="正文文本缩进 2 字符"/>
    <w:link w:val="51"/>
    <w:qFormat/>
    <w:uiPriority w:val="99"/>
    <w:rPr>
      <w:rFonts w:ascii="宋体"/>
      <w:sz w:val="28"/>
    </w:rPr>
  </w:style>
  <w:style w:type="character" w:customStyle="1" w:styleId="772">
    <w:name w:val="尾注文本 字符"/>
    <w:link w:val="52"/>
    <w:qFormat/>
    <w:uiPriority w:val="99"/>
    <w:rPr>
      <w:kern w:val="2"/>
      <w:sz w:val="21"/>
      <w:szCs w:val="24"/>
      <w:lang w:val="zh-CN"/>
    </w:rPr>
  </w:style>
  <w:style w:type="character" w:customStyle="1" w:styleId="773">
    <w:name w:val="批注框文本 字符1"/>
    <w:link w:val="54"/>
    <w:qFormat/>
    <w:uiPriority w:val="99"/>
    <w:rPr>
      <w:kern w:val="2"/>
      <w:sz w:val="18"/>
      <w:szCs w:val="18"/>
    </w:rPr>
  </w:style>
  <w:style w:type="character" w:customStyle="1" w:styleId="774">
    <w:name w:val="页脚 字符2"/>
    <w:link w:val="55"/>
    <w:qFormat/>
    <w:locked/>
    <w:uiPriority w:val="99"/>
    <w:rPr>
      <w:kern w:val="2"/>
      <w:sz w:val="18"/>
      <w:szCs w:val="18"/>
    </w:rPr>
  </w:style>
  <w:style w:type="character" w:customStyle="1" w:styleId="775">
    <w:name w:val="页眉 字符2"/>
    <w:link w:val="57"/>
    <w:qFormat/>
    <w:uiPriority w:val="99"/>
    <w:rPr>
      <w:kern w:val="2"/>
      <w:sz w:val="18"/>
      <w:szCs w:val="18"/>
    </w:rPr>
  </w:style>
  <w:style w:type="character" w:customStyle="1" w:styleId="776">
    <w:name w:val="签名 字符"/>
    <w:link w:val="58"/>
    <w:qFormat/>
    <w:uiPriority w:val="99"/>
    <w:rPr>
      <w:rFonts w:eastAsia="仿宋_GB2312"/>
      <w:sz w:val="24"/>
    </w:rPr>
  </w:style>
  <w:style w:type="character" w:customStyle="1" w:styleId="777">
    <w:name w:val="副标题 字符"/>
    <w:link w:val="64"/>
    <w:qFormat/>
    <w:uiPriority w:val="11"/>
    <w:rPr>
      <w:rFonts w:ascii="Arial" w:hAnsi="Arial" w:eastAsia="隶书"/>
      <w:b/>
      <w:bCs/>
      <w:kern w:val="28"/>
      <w:sz w:val="44"/>
      <w:szCs w:val="32"/>
      <w:lang w:val="en-US" w:eastAsia="zh-CN" w:bidi="ar-SA"/>
    </w:rPr>
  </w:style>
  <w:style w:type="character" w:customStyle="1" w:styleId="778">
    <w:name w:val="脚注文本 字符"/>
    <w:link w:val="67"/>
    <w:qFormat/>
    <w:uiPriority w:val="0"/>
    <w:rPr>
      <w:color w:val="0000FF"/>
      <w:sz w:val="21"/>
    </w:rPr>
  </w:style>
  <w:style w:type="character" w:customStyle="1" w:styleId="779">
    <w:name w:val="正文文本缩进 3 字符"/>
    <w:link w:val="70"/>
    <w:qFormat/>
    <w:uiPriority w:val="99"/>
    <w:rPr>
      <w:kern w:val="2"/>
      <w:sz w:val="24"/>
    </w:rPr>
  </w:style>
  <w:style w:type="character" w:customStyle="1" w:styleId="780">
    <w:name w:val="正文文本 2 字符1"/>
    <w:link w:val="76"/>
    <w:qFormat/>
    <w:uiPriority w:val="0"/>
    <w:rPr>
      <w:kern w:val="2"/>
      <w:sz w:val="21"/>
      <w:szCs w:val="24"/>
    </w:rPr>
  </w:style>
  <w:style w:type="character" w:customStyle="1" w:styleId="781">
    <w:name w:val="HTML 预设格式 字符"/>
    <w:link w:val="80"/>
    <w:qFormat/>
    <w:uiPriority w:val="0"/>
    <w:rPr>
      <w:rFonts w:ascii="黑体" w:hAnsi="Courier New" w:eastAsia="黑体"/>
    </w:rPr>
  </w:style>
  <w:style w:type="character" w:customStyle="1" w:styleId="782">
    <w:name w:val="标题 字符"/>
    <w:link w:val="84"/>
    <w:qFormat/>
    <w:uiPriority w:val="0"/>
    <w:rPr>
      <w:b/>
      <w:sz w:val="24"/>
    </w:rPr>
  </w:style>
  <w:style w:type="character" w:customStyle="1" w:styleId="783">
    <w:name w:val="批注主题 字符"/>
    <w:link w:val="85"/>
    <w:qFormat/>
    <w:uiPriority w:val="0"/>
    <w:rPr>
      <w:b/>
      <w:bCs/>
      <w:kern w:val="2"/>
      <w:sz w:val="21"/>
      <w:szCs w:val="24"/>
    </w:rPr>
  </w:style>
  <w:style w:type="character" w:customStyle="1" w:styleId="784">
    <w:name w:val="正文文本首行缩进 字符"/>
    <w:link w:val="86"/>
    <w:qFormat/>
    <w:uiPriority w:val="0"/>
    <w:rPr>
      <w:rFonts w:ascii="宋体"/>
      <w:kern w:val="2"/>
      <w:sz w:val="24"/>
      <w:lang w:val="zh-CN"/>
    </w:rPr>
  </w:style>
  <w:style w:type="character" w:customStyle="1" w:styleId="785">
    <w:name w:val="正文文本首行缩进 2 字符"/>
    <w:link w:val="87"/>
    <w:qFormat/>
    <w:uiPriority w:val="0"/>
    <w:rPr>
      <w:rFonts w:ascii="宋体" w:hAnsi="宋体"/>
      <w:kern w:val="2"/>
      <w:sz w:val="21"/>
      <w:szCs w:val="24"/>
    </w:rPr>
  </w:style>
  <w:style w:type="character" w:customStyle="1" w:styleId="786">
    <w:name w:val="Default Char"/>
    <w:link w:val="105"/>
    <w:qFormat/>
    <w:uiPriority w:val="0"/>
    <w:rPr>
      <w:rFonts w:ascii="仿宋_GB2312" w:eastAsia="仿宋_GB2312" w:cs="仿宋_GB2312"/>
      <w:color w:val="000000"/>
      <w:sz w:val="24"/>
      <w:szCs w:val="24"/>
      <w:lang w:val="en-US" w:eastAsia="zh-CN" w:bidi="ar-SA"/>
    </w:rPr>
  </w:style>
  <w:style w:type="character" w:customStyle="1" w:styleId="787">
    <w:name w:val="表格非标题文字 Char"/>
    <w:link w:val="106"/>
    <w:qFormat/>
    <w:uiPriority w:val="0"/>
    <w:rPr>
      <w:rFonts w:ascii="Futura Bk" w:hAnsi="Futura Bk"/>
      <w:kern w:val="2"/>
      <w:sz w:val="18"/>
      <w:szCs w:val="21"/>
      <w:lang w:val="en-US" w:eastAsia="zh-CN" w:bidi="ar-SA"/>
    </w:rPr>
  </w:style>
  <w:style w:type="character" w:customStyle="1" w:styleId="788">
    <w:name w:val="*正文 Char"/>
    <w:link w:val="107"/>
    <w:qFormat/>
    <w:locked/>
    <w:uiPriority w:val="0"/>
    <w:rPr>
      <w:rFonts w:ascii="仿宋" w:hAnsi="仿宋" w:eastAsia="仿宋"/>
      <w:kern w:val="2"/>
      <w:sz w:val="24"/>
      <w:szCs w:val="24"/>
    </w:rPr>
  </w:style>
  <w:style w:type="character" w:customStyle="1" w:styleId="789">
    <w:name w:val="Char Char71"/>
    <w:semiHidden/>
    <w:qFormat/>
    <w:uiPriority w:val="0"/>
    <w:rPr>
      <w:rFonts w:eastAsia="宋体"/>
      <w:kern w:val="2"/>
      <w:sz w:val="21"/>
      <w:szCs w:val="24"/>
      <w:lang w:val="en-US" w:eastAsia="zh-CN" w:bidi="ar-SA"/>
    </w:rPr>
  </w:style>
  <w:style w:type="character" w:customStyle="1" w:styleId="790">
    <w:name w:val="Char Char6"/>
    <w:qFormat/>
    <w:uiPriority w:val="0"/>
    <w:rPr>
      <w:rFonts w:eastAsia="宋体"/>
      <w:kern w:val="2"/>
      <w:sz w:val="21"/>
      <w:szCs w:val="24"/>
      <w:lang w:val="en-US" w:eastAsia="zh-CN" w:bidi="ar-SA"/>
    </w:rPr>
  </w:style>
  <w:style w:type="character" w:customStyle="1" w:styleId="791">
    <w:name w:val="正文缩进 Char"/>
    <w:qFormat/>
    <w:uiPriority w:val="0"/>
    <w:rPr>
      <w:rFonts w:eastAsia="宋体"/>
      <w:kern w:val="2"/>
      <w:sz w:val="21"/>
      <w:lang w:val="en-US" w:eastAsia="zh-CN"/>
    </w:rPr>
  </w:style>
  <w:style w:type="character" w:customStyle="1" w:styleId="792">
    <w:name w:val="正文首行缩进 Char1"/>
    <w:qFormat/>
    <w:uiPriority w:val="0"/>
    <w:rPr>
      <w:rFonts w:ascii="宋体" w:hAnsi="Times New Roman" w:eastAsia="宋体" w:cs="Times New Roman"/>
      <w:snapToGrid w:val="0"/>
      <w:kern w:val="2"/>
      <w:sz w:val="24"/>
      <w:szCs w:val="21"/>
      <w:lang w:val="zh-CN"/>
    </w:rPr>
  </w:style>
  <w:style w:type="character" w:customStyle="1" w:styleId="793">
    <w:name w:val="Char Char28"/>
    <w:qFormat/>
    <w:uiPriority w:val="6"/>
    <w:rPr>
      <w:rFonts w:ascii="仿宋_GB2312" w:hAnsi="仿宋_GB2312" w:eastAsia="仿宋_GB2312"/>
      <w:kern w:val="1"/>
      <w:sz w:val="28"/>
    </w:rPr>
  </w:style>
  <w:style w:type="character" w:customStyle="1" w:styleId="7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795">
    <w:name w:val="Heading 1 Char"/>
    <w:qFormat/>
    <w:uiPriority w:val="6"/>
    <w:rPr>
      <w:rFonts w:ascii="Times New Roman" w:hAnsi="Times New Roman" w:eastAsia="黑体" w:cs="Times New Roman"/>
      <w:b/>
      <w:kern w:val="0"/>
      <w:sz w:val="24"/>
      <w:szCs w:val="24"/>
    </w:rPr>
  </w:style>
  <w:style w:type="character" w:customStyle="1" w:styleId="796">
    <w:name w:val="U_正文 Char"/>
    <w:link w:val="108"/>
    <w:qFormat/>
    <w:uiPriority w:val="0"/>
    <w:rPr>
      <w:sz w:val="24"/>
      <w:szCs w:val="24"/>
    </w:rPr>
  </w:style>
  <w:style w:type="character" w:customStyle="1" w:styleId="797">
    <w:name w:val="HTML 地址 Char1"/>
    <w:qFormat/>
    <w:uiPriority w:val="0"/>
    <w:rPr>
      <w:rFonts w:ascii="Times New Roman" w:hAnsi="Times New Roman" w:eastAsia="宋体" w:cs="Times New Roman"/>
      <w:i/>
      <w:iCs/>
      <w:szCs w:val="24"/>
    </w:rPr>
  </w:style>
  <w:style w:type="character" w:customStyle="1" w:styleId="798">
    <w:name w:val="Char Char51"/>
    <w:qFormat/>
    <w:uiPriority w:val="0"/>
    <w:rPr>
      <w:rFonts w:ascii="宋体" w:hAnsi="Courier New" w:eastAsia="宋体"/>
      <w:kern w:val="2"/>
      <w:sz w:val="21"/>
      <w:lang w:val="en-US" w:eastAsia="zh-CN"/>
    </w:rPr>
  </w:style>
  <w:style w:type="character" w:customStyle="1" w:styleId="799">
    <w:name w:val="表正文 Char"/>
    <w:qFormat/>
    <w:uiPriority w:val="0"/>
    <w:rPr>
      <w:rFonts w:ascii="宋体" w:eastAsia="宋体"/>
      <w:snapToGrid w:val="0"/>
      <w:color w:val="000000"/>
      <w:kern w:val="28"/>
      <w:sz w:val="28"/>
      <w:lang w:val="en-US" w:eastAsia="zh-CN" w:bidi="ar-SA"/>
    </w:rPr>
  </w:style>
  <w:style w:type="character" w:customStyle="1" w:styleId="800">
    <w:name w:val="Char Char34"/>
    <w:qFormat/>
    <w:uiPriority w:val="6"/>
    <w:rPr>
      <w:b/>
      <w:kern w:val="1"/>
      <w:sz w:val="28"/>
      <w:szCs w:val="28"/>
    </w:rPr>
  </w:style>
  <w:style w:type="character" w:customStyle="1" w:styleId="8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02">
    <w:name w:val="哈哈正文 Char"/>
    <w:link w:val="109"/>
    <w:qFormat/>
    <w:uiPriority w:val="0"/>
    <w:rPr>
      <w:rFonts w:ascii="宋体" w:hAnsi="宋体" w:eastAsia="宋体"/>
      <w:kern w:val="2"/>
      <w:sz w:val="24"/>
      <w:lang w:bidi="ar-SA"/>
    </w:rPr>
  </w:style>
  <w:style w:type="character" w:customStyle="1" w:styleId="803">
    <w:name w:val="未处理的提及1"/>
    <w:qFormat/>
    <w:uiPriority w:val="99"/>
    <w:rPr>
      <w:color w:val="808080"/>
      <w:shd w:val="clear" w:color="auto" w:fill="E6E6E6"/>
    </w:rPr>
  </w:style>
  <w:style w:type="character" w:customStyle="1" w:styleId="804">
    <w:name w:val="txt"/>
    <w:qFormat/>
    <w:uiPriority w:val="0"/>
    <w:rPr>
      <w:rFonts w:ascii="仿宋_GB2312" w:eastAsia="微软雅黑"/>
      <w:b/>
      <w:kern w:val="2"/>
      <w:sz w:val="32"/>
      <w:szCs w:val="32"/>
      <w:lang w:val="en-US" w:eastAsia="zh-CN" w:bidi="ar-SA"/>
    </w:rPr>
  </w:style>
  <w:style w:type="character" w:customStyle="1" w:styleId="805">
    <w:name w:val="二级标题 Char Char"/>
    <w:qFormat/>
    <w:uiPriority w:val="0"/>
    <w:rPr>
      <w:rFonts w:ascii="宋体" w:hAnsi="宋体" w:eastAsia="宋体"/>
      <w:b/>
      <w:snapToGrid w:val="0"/>
      <w:kern w:val="2"/>
      <w:sz w:val="24"/>
      <w:szCs w:val="24"/>
      <w:lang w:val="en-US" w:eastAsia="zh-CN" w:bidi="ar-SA"/>
    </w:rPr>
  </w:style>
  <w:style w:type="character" w:customStyle="1" w:styleId="806">
    <w:name w:val="Char Char32"/>
    <w:qFormat/>
    <w:uiPriority w:val="6"/>
    <w:rPr>
      <w:b/>
      <w:kern w:val="1"/>
      <w:sz w:val="24"/>
      <w:szCs w:val="24"/>
    </w:rPr>
  </w:style>
  <w:style w:type="character" w:customStyle="1" w:styleId="807">
    <w:name w:val="PI Char1"/>
    <w:qFormat/>
    <w:uiPriority w:val="0"/>
    <w:rPr>
      <w:rFonts w:ascii="宋体" w:hAnsi="宋体"/>
      <w:kern w:val="2"/>
      <w:sz w:val="24"/>
      <w:szCs w:val="24"/>
    </w:rPr>
  </w:style>
  <w:style w:type="character" w:customStyle="1" w:styleId="808">
    <w:name w:val="tw4winTerm"/>
    <w:qFormat/>
    <w:uiPriority w:val="0"/>
    <w:rPr>
      <w:color w:val="0000FF"/>
    </w:rPr>
  </w:style>
  <w:style w:type="character" w:customStyle="1" w:styleId="809">
    <w:name w:val="Footer Char"/>
    <w:qFormat/>
    <w:locked/>
    <w:uiPriority w:val="0"/>
    <w:rPr>
      <w:rFonts w:eastAsia="宋体"/>
      <w:kern w:val="2"/>
      <w:sz w:val="18"/>
      <w:lang w:val="en-US" w:eastAsia="zh-CN" w:bidi="ar-SA"/>
    </w:rPr>
  </w:style>
  <w:style w:type="character" w:customStyle="1" w:styleId="810">
    <w:name w:val="普通文字 Char Char1"/>
    <w:qFormat/>
    <w:uiPriority w:val="0"/>
    <w:rPr>
      <w:rFonts w:ascii="宋体" w:hAnsi="Courier New"/>
      <w:kern w:val="2"/>
      <w:sz w:val="21"/>
    </w:rPr>
  </w:style>
  <w:style w:type="character" w:customStyle="1" w:styleId="811">
    <w:name w:val="Char Char101"/>
    <w:qFormat/>
    <w:uiPriority w:val="6"/>
    <w:rPr>
      <w:rFonts w:ascii="宋体" w:hAnsi="宋体"/>
      <w:kern w:val="2"/>
      <w:sz w:val="21"/>
      <w:szCs w:val="24"/>
      <w:lang w:val="en-US" w:eastAsia="zh-CN"/>
    </w:rPr>
  </w:style>
  <w:style w:type="character" w:customStyle="1" w:styleId="812">
    <w:name w:val="标题 4 Char"/>
    <w:qFormat/>
    <w:uiPriority w:val="0"/>
    <w:rPr>
      <w:rFonts w:ascii="Arial" w:hAnsi="Arial" w:eastAsia="黑体"/>
      <w:b/>
      <w:kern w:val="2"/>
      <w:sz w:val="28"/>
    </w:rPr>
  </w:style>
  <w:style w:type="character" w:customStyle="1" w:styleId="813">
    <w:name w:val="链接"/>
    <w:qFormat/>
    <w:uiPriority w:val="0"/>
    <w:rPr>
      <w:color w:val="0000FF"/>
      <w:sz w:val="21"/>
      <w:szCs w:val="21"/>
      <w:u w:val="single"/>
    </w:rPr>
  </w:style>
  <w:style w:type="character" w:customStyle="1" w:styleId="814">
    <w:name w:val="h4 Char"/>
    <w:qFormat/>
    <w:uiPriority w:val="0"/>
    <w:rPr>
      <w:rFonts w:ascii="Arial" w:hAnsi="Arial" w:eastAsia="黑体"/>
      <w:b/>
      <w:bCs/>
      <w:kern w:val="2"/>
      <w:sz w:val="28"/>
      <w:szCs w:val="28"/>
      <w:lang w:val="zh-CN" w:eastAsia="zh-CN" w:bidi="ar-SA"/>
    </w:rPr>
  </w:style>
  <w:style w:type="character" w:customStyle="1" w:styleId="815">
    <w:name w:val="5正文 Char"/>
    <w:link w:val="110"/>
    <w:qFormat/>
    <w:uiPriority w:val="0"/>
    <w:rPr>
      <w:rFonts w:ascii="仿宋_GB2312" w:hAnsi="微软雅黑" w:eastAsia="仿宋_GB2312"/>
      <w:sz w:val="28"/>
      <w:szCs w:val="21"/>
    </w:rPr>
  </w:style>
  <w:style w:type="character" w:customStyle="1" w:styleId="816">
    <w:name w:val="样式6 Char"/>
    <w:qFormat/>
    <w:uiPriority w:val="0"/>
    <w:rPr>
      <w:rFonts w:ascii="仿宋_GB2312" w:hAnsi="宋体" w:eastAsia="仿宋_GB2312"/>
      <w:b/>
      <w:bCs/>
      <w:kern w:val="2"/>
      <w:sz w:val="24"/>
      <w:szCs w:val="24"/>
      <w:lang w:val="en-US" w:eastAsia="zh-CN" w:bidi="ar-SA"/>
    </w:rPr>
  </w:style>
  <w:style w:type="character" w:customStyle="1" w:styleId="817">
    <w:name w:val="Char Char14"/>
    <w:qFormat/>
    <w:uiPriority w:val="6"/>
    <w:rPr>
      <w:rFonts w:ascii="黑体" w:hAnsi="黑体" w:eastAsia="黑体"/>
    </w:rPr>
  </w:style>
  <w:style w:type="character" w:customStyle="1" w:styleId="818">
    <w:name w:val="Heading 2 Hidden Char"/>
    <w:qFormat/>
    <w:uiPriority w:val="0"/>
    <w:rPr>
      <w:rFonts w:ascii="仿宋_GB2312" w:eastAsia="仿宋_GB2312"/>
      <w:b/>
      <w:bCs/>
      <w:kern w:val="2"/>
      <w:sz w:val="24"/>
      <w:szCs w:val="24"/>
      <w:lang w:val="zh-CN" w:eastAsia="zh-CN" w:bidi="ar-SA"/>
    </w:rPr>
  </w:style>
  <w:style w:type="character" w:customStyle="1" w:styleId="819">
    <w:name w:val="font11"/>
    <w:qFormat/>
    <w:uiPriority w:val="0"/>
    <w:rPr>
      <w:rFonts w:hint="default" w:ascii="Times New Roman" w:hAnsi="Times New Roman" w:cs="Times New Roman"/>
      <w:color w:val="000000"/>
      <w:sz w:val="22"/>
      <w:szCs w:val="22"/>
      <w:u w:val="none"/>
    </w:rPr>
  </w:style>
  <w:style w:type="character" w:customStyle="1" w:styleId="820">
    <w:name w:val="表正文 Char1"/>
    <w:qFormat/>
    <w:uiPriority w:val="0"/>
    <w:rPr>
      <w:rFonts w:ascii="宋体" w:eastAsia="宋体"/>
      <w:snapToGrid w:val="0"/>
      <w:color w:val="000000"/>
      <w:kern w:val="28"/>
      <w:sz w:val="28"/>
    </w:rPr>
  </w:style>
  <w:style w:type="character" w:customStyle="1" w:styleId="821">
    <w:name w:val="blue1"/>
    <w:qFormat/>
    <w:uiPriority w:val="0"/>
    <w:rPr>
      <w:rFonts w:ascii="Arial" w:hAnsi="Arial" w:eastAsia="黑体" w:cs="Arial"/>
      <w:snapToGrid w:val="0"/>
      <w:kern w:val="0"/>
      <w:szCs w:val="21"/>
    </w:rPr>
  </w:style>
  <w:style w:type="character" w:customStyle="1" w:styleId="822">
    <w:name w:val="标书1 Char"/>
    <w:qFormat/>
    <w:uiPriority w:val="0"/>
    <w:rPr>
      <w:rFonts w:eastAsia="宋体"/>
      <w:b/>
      <w:bCs/>
      <w:kern w:val="44"/>
      <w:sz w:val="44"/>
      <w:szCs w:val="44"/>
      <w:lang w:val="en-US" w:eastAsia="zh-CN" w:bidi="ar-SA"/>
    </w:rPr>
  </w:style>
  <w:style w:type="character" w:customStyle="1" w:styleId="823">
    <w:name w:val="样式5 Char"/>
    <w:qFormat/>
    <w:uiPriority w:val="0"/>
    <w:rPr>
      <w:rFonts w:ascii="仿宋_GB2312" w:hAnsi="仿宋" w:eastAsia="仿宋_GB2312"/>
      <w:kern w:val="2"/>
      <w:sz w:val="24"/>
      <w:szCs w:val="24"/>
    </w:rPr>
  </w:style>
  <w:style w:type="character" w:customStyle="1" w:styleId="824">
    <w:name w:val="样式4 Char"/>
    <w:qFormat/>
    <w:uiPriority w:val="0"/>
    <w:rPr>
      <w:rFonts w:ascii="仿宋_GB2312" w:hAnsi="仿宋" w:eastAsia="仿宋_GB2312"/>
      <w:b/>
      <w:kern w:val="2"/>
      <w:sz w:val="32"/>
      <w:szCs w:val="32"/>
      <w:lang w:bidi="ar-SA"/>
    </w:rPr>
  </w:style>
  <w:style w:type="character" w:customStyle="1" w:styleId="825">
    <w:name w:val="插图说明 Char"/>
    <w:qFormat/>
    <w:uiPriority w:val="0"/>
    <w:rPr>
      <w:rFonts w:eastAsia="黑体"/>
      <w:sz w:val="24"/>
      <w:lang w:val="en-US" w:eastAsia="zh-CN"/>
    </w:rPr>
  </w:style>
  <w:style w:type="character" w:customStyle="1" w:styleId="826">
    <w:name w:val="正文2 Char Char"/>
    <w:link w:val="111"/>
    <w:qFormat/>
    <w:uiPriority w:val="0"/>
    <w:rPr>
      <w:rFonts w:eastAsia="宋体"/>
      <w:kern w:val="2"/>
      <w:sz w:val="24"/>
      <w:lang w:val="en-US" w:eastAsia="zh-CN" w:bidi="ar-SA"/>
    </w:rPr>
  </w:style>
  <w:style w:type="character" w:customStyle="1" w:styleId="827">
    <w:name w:val="Char Char24"/>
    <w:qFormat/>
    <w:uiPriority w:val="6"/>
    <w:rPr>
      <w:kern w:val="1"/>
      <w:sz w:val="21"/>
    </w:rPr>
  </w:style>
  <w:style w:type="character" w:customStyle="1" w:styleId="828">
    <w:name w:val="普通文字 Char1 Char"/>
    <w:qFormat/>
    <w:uiPriority w:val="0"/>
    <w:rPr>
      <w:rFonts w:ascii="宋体" w:hAnsi="Courier New" w:eastAsia="宋体"/>
      <w:kern w:val="2"/>
      <w:sz w:val="21"/>
      <w:szCs w:val="24"/>
      <w:lang w:val="en-US" w:eastAsia="zh-CN" w:bidi="ar-SA"/>
    </w:rPr>
  </w:style>
  <w:style w:type="character" w:customStyle="1" w:styleId="829">
    <w:name w:val="h3 Char1"/>
    <w:qFormat/>
    <w:uiPriority w:val="0"/>
    <w:rPr>
      <w:rFonts w:eastAsia="宋体"/>
      <w:b/>
      <w:bCs/>
      <w:kern w:val="2"/>
      <w:sz w:val="32"/>
      <w:szCs w:val="32"/>
      <w:lang w:bidi="ar-SA"/>
    </w:rPr>
  </w:style>
  <w:style w:type="character" w:customStyle="1" w:styleId="830">
    <w:name w:val="标题 Char1"/>
    <w:qFormat/>
    <w:uiPriority w:val="0"/>
    <w:rPr>
      <w:rFonts w:ascii="Cambria" w:hAnsi="Cambria" w:eastAsia="宋体" w:cs="Times New Roman"/>
      <w:b/>
      <w:bCs/>
      <w:sz w:val="32"/>
      <w:szCs w:val="32"/>
      <w:lang w:bidi="ar-SA"/>
    </w:rPr>
  </w:style>
  <w:style w:type="character" w:customStyle="1" w:styleId="831">
    <w:name w:val="gf正文1 Char"/>
    <w:qFormat/>
    <w:uiPriority w:val="0"/>
    <w:rPr>
      <w:rFonts w:ascii="宋体" w:hAnsi="宋体" w:eastAsia="宋体" w:cs="宋体"/>
      <w:kern w:val="2"/>
      <w:sz w:val="24"/>
      <w:szCs w:val="24"/>
      <w:lang w:val="en-US" w:eastAsia="zh-CN" w:bidi="ar-SA"/>
    </w:rPr>
  </w:style>
  <w:style w:type="character" w:customStyle="1" w:styleId="832">
    <w:name w:val="正文文本缩进 Char1"/>
    <w:qFormat/>
    <w:uiPriority w:val="0"/>
    <w:rPr>
      <w:rFonts w:ascii="Calibri" w:hAnsi="Calibri"/>
      <w:sz w:val="28"/>
    </w:rPr>
  </w:style>
  <w:style w:type="character" w:customStyle="1" w:styleId="833">
    <w:name w:val="No Spacing Char"/>
    <w:link w:val="112"/>
    <w:qFormat/>
    <w:uiPriority w:val="1"/>
    <w:rPr>
      <w:sz w:val="22"/>
      <w:szCs w:val="22"/>
      <w:lang w:val="en-US" w:eastAsia="zh-CN" w:bidi="ar-SA"/>
    </w:rPr>
  </w:style>
  <w:style w:type="character" w:customStyle="1" w:styleId="834">
    <w:name w:val="样式7 Char"/>
    <w:qFormat/>
    <w:uiPriority w:val="0"/>
    <w:rPr>
      <w:rFonts w:ascii="仿宋_GB2312" w:hAnsi="仿宋" w:eastAsia="仿宋_GB2312"/>
      <w:b/>
      <w:kern w:val="2"/>
      <w:sz w:val="24"/>
      <w:szCs w:val="24"/>
    </w:rPr>
  </w:style>
  <w:style w:type="character" w:customStyle="1" w:styleId="835">
    <w:name w:val="font12gray1"/>
    <w:qFormat/>
    <w:uiPriority w:val="0"/>
    <w:rPr>
      <w:rFonts w:ascii="仿宋_GB2312" w:eastAsia="微软雅黑"/>
      <w:b/>
      <w:spacing w:val="300"/>
      <w:kern w:val="2"/>
      <w:sz w:val="18"/>
      <w:szCs w:val="18"/>
      <w:lang w:val="en-US" w:eastAsia="zh-CN" w:bidi="ar-SA"/>
    </w:rPr>
  </w:style>
  <w:style w:type="character" w:customStyle="1" w:styleId="836">
    <w:name w:val="Char Char7"/>
    <w:semiHidden/>
    <w:qFormat/>
    <w:uiPriority w:val="0"/>
    <w:rPr>
      <w:rFonts w:eastAsia="宋体"/>
      <w:kern w:val="2"/>
      <w:sz w:val="21"/>
      <w:szCs w:val="24"/>
      <w:lang w:val="en-US" w:eastAsia="zh-CN" w:bidi="ar-SA"/>
    </w:rPr>
  </w:style>
  <w:style w:type="character" w:customStyle="1" w:styleId="837">
    <w:name w:val="表名 Char"/>
    <w:qFormat/>
    <w:uiPriority w:val="0"/>
    <w:rPr>
      <w:rFonts w:eastAsia="宋体"/>
      <w:b/>
      <w:bCs/>
      <w:kern w:val="2"/>
      <w:sz w:val="24"/>
      <w:szCs w:val="24"/>
      <w:lang w:val="en-US" w:eastAsia="zh-CN" w:bidi="ar-SA"/>
    </w:rPr>
  </w:style>
  <w:style w:type="character" w:customStyle="1" w:styleId="838">
    <w:name w:val="Document Map Char"/>
    <w:qFormat/>
    <w:locked/>
    <w:uiPriority w:val="0"/>
    <w:rPr>
      <w:rFonts w:eastAsia="宋体"/>
      <w:kern w:val="2"/>
      <w:sz w:val="21"/>
      <w:szCs w:val="24"/>
      <w:lang w:val="en-US" w:eastAsia="zh-CN" w:bidi="ar-SA"/>
    </w:rPr>
  </w:style>
  <w:style w:type="character" w:customStyle="1" w:styleId="839">
    <w:name w:val="font41"/>
    <w:qFormat/>
    <w:uiPriority w:val="0"/>
    <w:rPr>
      <w:rFonts w:hint="eastAsia" w:ascii="仿宋_GB2312" w:eastAsia="仿宋_GB2312" w:cs="仿宋_GB2312"/>
      <w:color w:val="000000"/>
      <w:sz w:val="22"/>
      <w:szCs w:val="22"/>
      <w:u w:val="none"/>
    </w:rPr>
  </w:style>
  <w:style w:type="character" w:customStyle="1" w:styleId="840">
    <w:name w:val="纯文本 Char_0"/>
    <w:link w:val="113"/>
    <w:qFormat/>
    <w:uiPriority w:val="0"/>
    <w:rPr>
      <w:rFonts w:ascii="宋体" w:hAnsi="Courier New"/>
      <w:kern w:val="2"/>
      <w:sz w:val="21"/>
      <w:szCs w:val="21"/>
      <w:lang w:val="en-US" w:eastAsia="zh-CN"/>
    </w:rPr>
  </w:style>
  <w:style w:type="character" w:customStyle="1" w:styleId="841">
    <w:name w:val="Balloon Text Char"/>
    <w:qFormat/>
    <w:locked/>
    <w:uiPriority w:val="0"/>
    <w:rPr>
      <w:rFonts w:eastAsia="宋体"/>
      <w:kern w:val="2"/>
      <w:sz w:val="18"/>
      <w:szCs w:val="18"/>
      <w:lang w:val="en-US" w:eastAsia="zh-CN" w:bidi="ar-SA"/>
    </w:rPr>
  </w:style>
  <w:style w:type="character" w:customStyle="1" w:styleId="842">
    <w:name w:val="正文 项目2 Char"/>
    <w:qFormat/>
    <w:uiPriority w:val="0"/>
    <w:rPr>
      <w:rFonts w:ascii="仿宋_GB2312" w:hAnsi="仿宋_GB2312" w:eastAsia="仿宋_GB2312"/>
      <w:kern w:val="2"/>
      <w:sz w:val="24"/>
      <w:lang w:bidi="ar-SA"/>
    </w:rPr>
  </w:style>
  <w:style w:type="character" w:customStyle="1" w:styleId="843">
    <w:name w:val="正文 项目 Char"/>
    <w:qFormat/>
    <w:uiPriority w:val="0"/>
    <w:rPr>
      <w:rFonts w:ascii="仿宋_GB2312" w:hAnsi="仿宋_GB2312" w:eastAsia="仿宋_GB2312"/>
      <w:kern w:val="2"/>
      <w:sz w:val="24"/>
      <w:lang w:bidi="ar-SA"/>
    </w:rPr>
  </w:style>
  <w:style w:type="character" w:customStyle="1" w:styleId="844">
    <w:name w:val="h Char Char1"/>
    <w:qFormat/>
    <w:uiPriority w:val="0"/>
    <w:rPr>
      <w:rFonts w:eastAsia="宋体"/>
      <w:kern w:val="2"/>
      <w:sz w:val="18"/>
      <w:szCs w:val="18"/>
      <w:lang w:val="en-US" w:eastAsia="zh-CN" w:bidi="ar-SA"/>
    </w:rPr>
  </w:style>
  <w:style w:type="character" w:customStyle="1" w:styleId="845">
    <w:name w:val="Char Char27"/>
    <w:qFormat/>
    <w:uiPriority w:val="6"/>
    <w:rPr>
      <w:rFonts w:ascii="宋体" w:hAnsi="宋体" w:eastAsia="宋体"/>
      <w:color w:val="000000"/>
      <w:kern w:val="1"/>
      <w:sz w:val="28"/>
      <w:lang w:val="en-US" w:eastAsia="zh-CN" w:bidi="ar-SA"/>
    </w:rPr>
  </w:style>
  <w:style w:type="character" w:customStyle="1" w:styleId="846">
    <w:name w:val="px14"/>
    <w:qFormat/>
    <w:uiPriority w:val="0"/>
    <w:rPr>
      <w:rFonts w:ascii="仿宋_GB2312" w:eastAsia="微软雅黑" w:cs="Times New Roman"/>
      <w:b/>
      <w:kern w:val="2"/>
      <w:sz w:val="32"/>
      <w:szCs w:val="32"/>
      <w:lang w:val="en-US" w:eastAsia="zh-CN" w:bidi="ar-SA"/>
    </w:rPr>
  </w:style>
  <w:style w:type="character" w:customStyle="1" w:styleId="847">
    <w:name w:val="HTML 预设格式 Char1"/>
    <w:qFormat/>
    <w:uiPriority w:val="0"/>
    <w:rPr>
      <w:rFonts w:ascii="Courier New" w:hAnsi="Courier New" w:eastAsia="宋体" w:cs="Courier New"/>
      <w:sz w:val="20"/>
      <w:szCs w:val="20"/>
    </w:rPr>
  </w:style>
  <w:style w:type="character" w:customStyle="1" w:styleId="848">
    <w:name w:val="普通文字 Char1"/>
    <w:qFormat/>
    <w:uiPriority w:val="0"/>
    <w:rPr>
      <w:rFonts w:ascii="宋体" w:hAnsi="Courier New" w:eastAsia="宋体"/>
      <w:kern w:val="2"/>
      <w:sz w:val="21"/>
      <w:lang w:val="en-US" w:eastAsia="zh-CN"/>
    </w:rPr>
  </w:style>
  <w:style w:type="character" w:customStyle="1" w:styleId="849">
    <w:name w:val="hei16b1"/>
    <w:qFormat/>
    <w:uiPriority w:val="0"/>
    <w:rPr>
      <w:rFonts w:hint="default" w:ascii="Arial" w:hAnsi="Arial" w:cs="Arial"/>
      <w:b/>
      <w:bCs/>
      <w:color w:val="000000"/>
      <w:sz w:val="24"/>
      <w:szCs w:val="24"/>
    </w:rPr>
  </w:style>
  <w:style w:type="character" w:customStyle="1" w:styleId="850">
    <w:name w:val="正文（绿盟科技） Char"/>
    <w:link w:val="115"/>
    <w:qFormat/>
    <w:uiPriority w:val="0"/>
    <w:rPr>
      <w:rFonts w:ascii="Arial" w:hAnsi="Arial"/>
      <w:sz w:val="21"/>
      <w:szCs w:val="21"/>
    </w:rPr>
  </w:style>
  <w:style w:type="character" w:customStyle="1" w:styleId="851">
    <w:name w:val="Char Char19"/>
    <w:qFormat/>
    <w:uiPriority w:val="6"/>
    <w:rPr>
      <w:rFonts w:ascii="宋体" w:hAnsi="宋体"/>
      <w:i/>
      <w:sz w:val="24"/>
      <w:szCs w:val="24"/>
    </w:rPr>
  </w:style>
  <w:style w:type="character" w:customStyle="1" w:styleId="852">
    <w:name w:val="页脚 Char"/>
    <w:qFormat/>
    <w:uiPriority w:val="0"/>
    <w:rPr>
      <w:rFonts w:eastAsia="仿宋_GB2312"/>
      <w:kern w:val="2"/>
      <w:sz w:val="18"/>
      <w:lang w:val="en-US" w:eastAsia="zh-CN"/>
    </w:rPr>
  </w:style>
  <w:style w:type="character" w:customStyle="1" w:styleId="853">
    <w:name w:val="批注主题 Char"/>
    <w:qFormat/>
    <w:uiPriority w:val="0"/>
    <w:rPr>
      <w:rFonts w:eastAsia="宋体"/>
      <w:b/>
      <w:bCs/>
      <w:kern w:val="2"/>
      <w:sz w:val="21"/>
      <w:szCs w:val="24"/>
      <w:lang w:val="en-US" w:eastAsia="zh-CN" w:bidi="ar-SA"/>
    </w:rPr>
  </w:style>
  <w:style w:type="character" w:customStyle="1" w:styleId="854">
    <w:name w:val="Comment Text Char"/>
    <w:qFormat/>
    <w:locked/>
    <w:uiPriority w:val="0"/>
    <w:rPr>
      <w:rFonts w:ascii="宋体" w:hAnsi="宋体" w:eastAsia="宋体"/>
      <w:kern w:val="2"/>
      <w:sz w:val="24"/>
      <w:lang w:val="en-US" w:eastAsia="zh-CN" w:bidi="ar-SA"/>
    </w:rPr>
  </w:style>
  <w:style w:type="character" w:customStyle="1" w:styleId="855">
    <w:name w:val="标题 2 字符"/>
    <w:qFormat/>
    <w:uiPriority w:val="0"/>
    <w:rPr>
      <w:rFonts w:ascii="仿宋_GB2312" w:hAnsi="Times New Roman" w:eastAsia="仿宋_GB2312" w:cs="Times New Roman"/>
      <w:b/>
      <w:kern w:val="2"/>
      <w:sz w:val="24"/>
      <w:lang w:val="zh-CN"/>
    </w:rPr>
  </w:style>
  <w:style w:type="character" w:customStyle="1" w:styleId="856">
    <w:name w:val="Char Char72"/>
    <w:qFormat/>
    <w:uiPriority w:val="0"/>
    <w:rPr>
      <w:rFonts w:eastAsia="宋体"/>
      <w:kern w:val="2"/>
      <w:sz w:val="21"/>
      <w:szCs w:val="24"/>
      <w:lang w:val="en-US" w:eastAsia="zh-CN" w:bidi="ar-SA"/>
    </w:rPr>
  </w:style>
  <w:style w:type="character" w:customStyle="1" w:styleId="857">
    <w:name w:val="正文文本缩进 Char2"/>
    <w:qFormat/>
    <w:uiPriority w:val="0"/>
    <w:rPr>
      <w:rFonts w:ascii="Times New Roman" w:hAnsi="Times New Roman" w:eastAsia="宋体" w:cs="Times New Roman"/>
      <w:snapToGrid w:val="0"/>
      <w:kern w:val="0"/>
      <w:szCs w:val="24"/>
    </w:rPr>
  </w:style>
  <w:style w:type="character" w:customStyle="1" w:styleId="858">
    <w:name w:val="样式2 Char"/>
    <w:qFormat/>
    <w:uiPriority w:val="0"/>
    <w:rPr>
      <w:rFonts w:ascii="仿宋_GB2312" w:hAnsi="仿宋" w:eastAsia="仿宋_GB2312" w:cs="仿宋_GB2312"/>
      <w:b/>
      <w:bCs/>
      <w:sz w:val="32"/>
      <w:szCs w:val="30"/>
      <w:lang w:val="zh-CN"/>
    </w:rPr>
  </w:style>
  <w:style w:type="character" w:customStyle="1" w:styleId="859">
    <w:name w:val="表格名称[858D7CFB-ED40-4347-BF05-701D383B685F]"/>
    <w:link w:val="116"/>
    <w:qFormat/>
    <w:uiPriority w:val="0"/>
    <w:rPr>
      <w:sz w:val="32"/>
    </w:rPr>
  </w:style>
  <w:style w:type="character" w:customStyle="1" w:styleId="860">
    <w:name w:val="Char Char4"/>
    <w:qFormat/>
    <w:uiPriority w:val="0"/>
    <w:rPr>
      <w:rFonts w:eastAsia="宋体"/>
      <w:b/>
      <w:sz w:val="24"/>
      <w:lang w:eastAsia="zh-CN" w:bidi="ar-SA"/>
    </w:rPr>
  </w:style>
  <w:style w:type="character" w:customStyle="1" w:styleId="861">
    <w:name w:val="c7 style3"/>
    <w:qFormat/>
    <w:uiPriority w:val="0"/>
  </w:style>
  <w:style w:type="character" w:customStyle="1" w:styleId="862">
    <w:name w:val="正文文本 3 Char1"/>
    <w:semiHidden/>
    <w:qFormat/>
    <w:uiPriority w:val="99"/>
    <w:rPr>
      <w:rFonts w:ascii="Times New Roman" w:hAnsi="Times New Roman" w:eastAsia="宋体" w:cs="Times New Roman"/>
      <w:sz w:val="16"/>
      <w:szCs w:val="16"/>
    </w:rPr>
  </w:style>
  <w:style w:type="character" w:customStyle="1" w:styleId="863">
    <w:name w:val="tw4winInternal"/>
    <w:qFormat/>
    <w:uiPriority w:val="0"/>
    <w:rPr>
      <w:rFonts w:ascii="Courier New" w:hAnsi="Courier New" w:cs="Courier New"/>
      <w:color w:val="FF0000"/>
      <w:lang w:val="en-US" w:eastAsia="zh-CN"/>
    </w:rPr>
  </w:style>
  <w:style w:type="character" w:customStyle="1" w:styleId="864">
    <w:name w:val="Char Char10"/>
    <w:semiHidden/>
    <w:qFormat/>
    <w:uiPriority w:val="0"/>
    <w:rPr>
      <w:rFonts w:ascii="宋体" w:hAnsi="宋体"/>
      <w:kern w:val="2"/>
      <w:sz w:val="21"/>
      <w:szCs w:val="24"/>
      <w:lang w:val="en-US" w:eastAsia="zh-CN"/>
    </w:rPr>
  </w:style>
  <w:style w:type="character" w:customStyle="1" w:styleId="865">
    <w:name w:val="shadow11"/>
    <w:qFormat/>
    <w:uiPriority w:val="0"/>
    <w:rPr>
      <w:color w:val="000000"/>
      <w:sz w:val="21"/>
    </w:rPr>
  </w:style>
  <w:style w:type="character" w:customStyle="1" w:styleId="866">
    <w:name w:val="正文非缩进 Char3"/>
    <w:qFormat/>
    <w:uiPriority w:val="0"/>
    <w:rPr>
      <w:rFonts w:ascii="宋体" w:eastAsia="宋体"/>
      <w:snapToGrid w:val="0"/>
      <w:color w:val="000000"/>
      <w:kern w:val="28"/>
      <w:sz w:val="28"/>
      <w:lang w:val="en-US" w:eastAsia="zh-CN" w:bidi="ar-SA"/>
    </w:rPr>
  </w:style>
  <w:style w:type="character" w:customStyle="1" w:styleId="867">
    <w:name w:val="Char Char"/>
    <w:qFormat/>
    <w:uiPriority w:val="0"/>
    <w:rPr>
      <w:rFonts w:ascii="宋体" w:hAnsi="Courier New" w:eastAsia="宋体"/>
      <w:kern w:val="2"/>
      <w:sz w:val="21"/>
      <w:lang w:val="en-US" w:eastAsia="zh-CN" w:bidi="ar-SA"/>
    </w:rPr>
  </w:style>
  <w:style w:type="character" w:customStyle="1" w:styleId="868">
    <w:name w:val="签名 Char1"/>
    <w:qFormat/>
    <w:uiPriority w:val="0"/>
    <w:rPr>
      <w:rFonts w:ascii="Times New Roman" w:hAnsi="Times New Roman" w:eastAsia="宋体" w:cs="Times New Roman"/>
      <w:szCs w:val="24"/>
    </w:rPr>
  </w:style>
  <w:style w:type="character" w:customStyle="1" w:styleId="869">
    <w:name w:val="Char Char18"/>
    <w:qFormat/>
    <w:uiPriority w:val="6"/>
    <w:rPr>
      <w:rFonts w:ascii="宋体" w:hAnsi="宋体"/>
      <w:sz w:val="28"/>
    </w:rPr>
  </w:style>
  <w:style w:type="character" w:customStyle="1" w:styleId="870">
    <w:name w:val="批注文字 Char"/>
    <w:qFormat/>
    <w:uiPriority w:val="99"/>
    <w:rPr>
      <w:kern w:val="2"/>
      <w:sz w:val="21"/>
      <w:szCs w:val="24"/>
    </w:rPr>
  </w:style>
  <w:style w:type="character" w:customStyle="1" w:styleId="871">
    <w:name w:val="Char Char22"/>
    <w:qFormat/>
    <w:uiPriority w:val="6"/>
    <w:rPr>
      <w:rFonts w:ascii="宋体" w:hAnsi="宋体"/>
      <w:kern w:val="1"/>
      <w:sz w:val="24"/>
      <w:szCs w:val="24"/>
    </w:rPr>
  </w:style>
  <w:style w:type="character" w:customStyle="1" w:styleId="872">
    <w:name w:val="pt141"/>
    <w:qFormat/>
    <w:uiPriority w:val="0"/>
    <w:rPr>
      <w:color w:val="330066"/>
      <w:sz w:val="22"/>
      <w:szCs w:val="22"/>
    </w:rPr>
  </w:style>
  <w:style w:type="character" w:customStyle="1" w:styleId="873">
    <w:name w:val="正文文本缩进 2 Char1"/>
    <w:semiHidden/>
    <w:qFormat/>
    <w:uiPriority w:val="99"/>
    <w:rPr>
      <w:rFonts w:ascii="Times New Roman" w:hAnsi="Times New Roman" w:eastAsia="宋体" w:cs="Times New Roman"/>
      <w:szCs w:val="24"/>
    </w:rPr>
  </w:style>
  <w:style w:type="character" w:customStyle="1" w:styleId="874">
    <w:name w:val="Char Char611"/>
    <w:qFormat/>
    <w:uiPriority w:val="0"/>
    <w:rPr>
      <w:rFonts w:eastAsia="宋体"/>
      <w:kern w:val="2"/>
      <w:sz w:val="21"/>
      <w:szCs w:val="24"/>
      <w:lang w:val="en-US" w:eastAsia="zh-CN" w:bidi="ar-SA"/>
    </w:rPr>
  </w:style>
  <w:style w:type="character" w:customStyle="1" w:styleId="875">
    <w:name w:val="highlight1"/>
    <w:qFormat/>
    <w:uiPriority w:val="0"/>
    <w:rPr>
      <w:rFonts w:ascii="仿宋_GB2312" w:eastAsia="微软雅黑"/>
      <w:b/>
      <w:kern w:val="2"/>
      <w:sz w:val="23"/>
      <w:szCs w:val="23"/>
      <w:lang w:val="en-US" w:eastAsia="zh-CN" w:bidi="ar-SA"/>
    </w:rPr>
  </w:style>
  <w:style w:type="character" w:customStyle="1" w:styleId="876">
    <w:name w:val="my正文 Char"/>
    <w:link w:val="117"/>
    <w:qFormat/>
    <w:locked/>
    <w:uiPriority w:val="0"/>
    <w:rPr>
      <w:rFonts w:ascii="Tahoma" w:hAnsi="Tahoma"/>
      <w:sz w:val="24"/>
      <w:szCs w:val="24"/>
    </w:rPr>
  </w:style>
  <w:style w:type="character" w:customStyle="1" w:styleId="877">
    <w:name w:val="Used by Word for text of Help footnotes Char Char1"/>
    <w:qFormat/>
    <w:uiPriority w:val="0"/>
    <w:rPr>
      <w:color w:val="0000FF"/>
      <w:sz w:val="21"/>
    </w:rPr>
  </w:style>
  <w:style w:type="character" w:customStyle="1" w:styleId="878">
    <w:name w:val="页眉 Char"/>
    <w:qFormat/>
    <w:uiPriority w:val="0"/>
    <w:rPr>
      <w:rFonts w:eastAsia="仿宋_GB2312"/>
      <w:kern w:val="2"/>
      <w:sz w:val="18"/>
      <w:lang w:val="en-US" w:eastAsia="zh-CN"/>
    </w:rPr>
  </w:style>
  <w:style w:type="character" w:customStyle="1" w:styleId="879">
    <w:name w:val="FA正文 Char Char"/>
    <w:qFormat/>
    <w:uiPriority w:val="0"/>
    <w:rPr>
      <w:rFonts w:hAnsi="宋体"/>
      <w:kern w:val="2"/>
      <w:sz w:val="24"/>
      <w:lang w:bidi="ar-SA"/>
    </w:rPr>
  </w:style>
  <w:style w:type="character" w:customStyle="1" w:styleId="880">
    <w:name w:val="纯文本 字符"/>
    <w:qFormat/>
    <w:uiPriority w:val="99"/>
    <w:rPr>
      <w:rFonts w:ascii="宋体" w:hAnsi="Courier New" w:eastAsia="宋体" w:cs="Arial"/>
      <w:snapToGrid w:val="0"/>
      <w:kern w:val="2"/>
      <w:sz w:val="21"/>
      <w:szCs w:val="21"/>
      <w:lang w:val="en-US" w:eastAsia="zh-CN" w:bidi="ar-SA"/>
    </w:rPr>
  </w:style>
  <w:style w:type="character" w:customStyle="1" w:styleId="881">
    <w:name w:val="3级 Char"/>
    <w:link w:val="118"/>
    <w:qFormat/>
    <w:uiPriority w:val="0"/>
    <w:rPr>
      <w:rFonts w:ascii="宋体" w:hAnsi="宋体"/>
      <w:b/>
      <w:bCs/>
      <w:sz w:val="28"/>
    </w:rPr>
  </w:style>
  <w:style w:type="character" w:customStyle="1" w:styleId="882">
    <w:name w:val="myp11"/>
    <w:qFormat/>
    <w:uiPriority w:val="0"/>
    <w:rPr>
      <w:rFonts w:ascii="仿宋_GB2312" w:eastAsia="微软雅黑"/>
      <w:b/>
      <w:kern w:val="2"/>
      <w:sz w:val="32"/>
      <w:szCs w:val="32"/>
      <w:lang w:val="en-US" w:eastAsia="zh-CN" w:bidi="ar-SA"/>
    </w:rPr>
  </w:style>
  <w:style w:type="character" w:customStyle="1" w:styleId="883">
    <w:name w:val="H6 Char"/>
    <w:qFormat/>
    <w:uiPriority w:val="0"/>
    <w:rPr>
      <w:rFonts w:ascii="Arial" w:hAnsi="Arial" w:eastAsia="黑体"/>
      <w:b/>
      <w:bCs/>
      <w:kern w:val="2"/>
      <w:sz w:val="24"/>
      <w:szCs w:val="24"/>
    </w:rPr>
  </w:style>
  <w:style w:type="character" w:customStyle="1" w:styleId="884">
    <w:name w:val="Char Char91"/>
    <w:qFormat/>
    <w:uiPriority w:val="0"/>
    <w:rPr>
      <w:rFonts w:eastAsia="宋体"/>
      <w:kern w:val="2"/>
      <w:sz w:val="18"/>
      <w:szCs w:val="18"/>
      <w:lang w:val="en-US" w:eastAsia="zh-CN" w:bidi="ar-SA"/>
    </w:rPr>
  </w:style>
  <w:style w:type="character" w:customStyle="1" w:styleId="885">
    <w:name w:val="副标题 Char1"/>
    <w:qFormat/>
    <w:uiPriority w:val="0"/>
    <w:rPr>
      <w:rFonts w:ascii="Cambria" w:hAnsi="Cambria" w:eastAsia="宋体" w:cs="Times New Roman"/>
      <w:b/>
      <w:bCs/>
      <w:snapToGrid w:val="0"/>
      <w:kern w:val="28"/>
      <w:sz w:val="32"/>
      <w:szCs w:val="32"/>
    </w:rPr>
  </w:style>
  <w:style w:type="character" w:customStyle="1" w:styleId="886">
    <w:name w:val="font61"/>
    <w:qFormat/>
    <w:uiPriority w:val="0"/>
    <w:rPr>
      <w:rFonts w:hint="eastAsia" w:ascii="仿宋" w:hAnsi="仿宋" w:eastAsia="仿宋" w:cs="仿宋"/>
      <w:color w:val="000000"/>
      <w:sz w:val="20"/>
      <w:szCs w:val="20"/>
      <w:u w:val="none"/>
    </w:rPr>
  </w:style>
  <w:style w:type="character" w:customStyle="1" w:styleId="88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888">
    <w:name w:val="Char Char211"/>
    <w:qFormat/>
    <w:uiPriority w:val="0"/>
    <w:rPr>
      <w:rFonts w:eastAsia="宋体"/>
      <w:b/>
      <w:bCs/>
      <w:kern w:val="2"/>
      <w:sz w:val="21"/>
      <w:szCs w:val="24"/>
      <w:lang w:val="en-US" w:eastAsia="zh-CN" w:bidi="ar-SA"/>
    </w:rPr>
  </w:style>
  <w:style w:type="character" w:customStyle="1" w:styleId="889">
    <w:name w:val="maywed421"/>
    <w:qFormat/>
    <w:uiPriority w:val="0"/>
    <w:rPr>
      <w:color w:val="366FB6"/>
      <w:u w:val="none"/>
    </w:rPr>
  </w:style>
  <w:style w:type="character" w:customStyle="1" w:styleId="890">
    <w:name w:val="正文文本缩进 Char"/>
    <w:qFormat/>
    <w:uiPriority w:val="0"/>
    <w:rPr>
      <w:rFonts w:ascii="宋体" w:hAnsi="宋体"/>
      <w:kern w:val="2"/>
      <w:sz w:val="24"/>
      <w:szCs w:val="24"/>
    </w:rPr>
  </w:style>
  <w:style w:type="character" w:customStyle="1" w:styleId="891">
    <w:name w:val="Char Char102"/>
    <w:semiHidden/>
    <w:qFormat/>
    <w:uiPriority w:val="0"/>
    <w:rPr>
      <w:rFonts w:ascii="宋体" w:hAnsi="宋体"/>
      <w:kern w:val="2"/>
      <w:sz w:val="21"/>
      <w:szCs w:val="24"/>
      <w:lang w:val="en-US" w:eastAsia="zh-CN"/>
    </w:rPr>
  </w:style>
  <w:style w:type="character" w:customStyle="1" w:styleId="892">
    <w:name w:val="页眉 Char1"/>
    <w:qFormat/>
    <w:uiPriority w:val="0"/>
    <w:rPr>
      <w:rFonts w:eastAsia="宋体"/>
      <w:kern w:val="2"/>
      <w:sz w:val="18"/>
      <w:szCs w:val="18"/>
      <w:lang w:val="en-US" w:eastAsia="zh-CN" w:bidi="ar-SA"/>
    </w:rPr>
  </w:style>
  <w:style w:type="character" w:customStyle="1" w:styleId="893">
    <w:name w:val="md"/>
    <w:qFormat/>
    <w:uiPriority w:val="0"/>
    <w:rPr>
      <w:rFonts w:ascii="Arial" w:hAnsi="Arial" w:eastAsia="黑体" w:cs="Arial"/>
      <w:snapToGrid w:val="0"/>
      <w:kern w:val="0"/>
      <w:szCs w:val="21"/>
    </w:rPr>
  </w:style>
  <w:style w:type="character" w:customStyle="1" w:styleId="894">
    <w:name w:val="big1"/>
    <w:qFormat/>
    <w:uiPriority w:val="0"/>
    <w:rPr>
      <w:rFonts w:hint="eastAsia" w:ascii="宋体" w:hAnsi="宋体" w:eastAsia="宋体"/>
      <w:color w:val="333333"/>
      <w:sz w:val="22"/>
      <w:szCs w:val="22"/>
    </w:rPr>
  </w:style>
  <w:style w:type="character" w:customStyle="1" w:styleId="895">
    <w:name w:val="Char Char311"/>
    <w:qFormat/>
    <w:uiPriority w:val="0"/>
    <w:rPr>
      <w:rFonts w:eastAsia="宋体"/>
      <w:kern w:val="2"/>
      <w:sz w:val="21"/>
      <w:szCs w:val="24"/>
      <w:lang w:val="en-US" w:eastAsia="zh-CN" w:bidi="ar-SA"/>
    </w:rPr>
  </w:style>
  <w:style w:type="character" w:customStyle="1" w:styleId="896">
    <w:name w:val="Char Char81"/>
    <w:qFormat/>
    <w:uiPriority w:val="6"/>
    <w:rPr>
      <w:rFonts w:eastAsia="宋体"/>
      <w:b/>
      <w:sz w:val="24"/>
      <w:lang w:eastAsia="zh-CN"/>
    </w:rPr>
  </w:style>
  <w:style w:type="character" w:customStyle="1" w:styleId="897">
    <w:name w:val="样式3 Char"/>
    <w:qFormat/>
    <w:uiPriority w:val="0"/>
    <w:rPr>
      <w:rFonts w:ascii="仿宋_GB2312" w:hAnsi="仿宋" w:eastAsia="仿宋_GB2312" w:cs="仿宋_GB2312"/>
      <w:sz w:val="32"/>
      <w:szCs w:val="30"/>
      <w:lang w:val="zh-CN"/>
    </w:rPr>
  </w:style>
  <w:style w:type="character" w:customStyle="1" w:styleId="898">
    <w:name w:val="正文首行缩进 2 Char1"/>
    <w:qFormat/>
    <w:uiPriority w:val="0"/>
    <w:rPr>
      <w:rFonts w:ascii="Times New Roman" w:hAnsi="Times New Roman" w:eastAsia="宋体" w:cs="Times New Roman"/>
      <w:kern w:val="2"/>
      <w:sz w:val="24"/>
      <w:szCs w:val="24"/>
    </w:rPr>
  </w:style>
  <w:style w:type="character" w:customStyle="1" w:styleId="899">
    <w:name w:val="副标题 Char2"/>
    <w:qFormat/>
    <w:uiPriority w:val="0"/>
    <w:rPr>
      <w:rFonts w:ascii="Cambria" w:hAnsi="Cambria" w:eastAsia="宋体" w:cs="Times New Roman"/>
      <w:b/>
      <w:bCs/>
      <w:snapToGrid w:val="0"/>
      <w:kern w:val="28"/>
      <w:sz w:val="32"/>
      <w:szCs w:val="32"/>
    </w:rPr>
  </w:style>
  <w:style w:type="character" w:customStyle="1" w:styleId="900">
    <w:name w:val="标题4-dyf Char"/>
    <w:link w:val="120"/>
    <w:qFormat/>
    <w:uiPriority w:val="0"/>
    <w:rPr>
      <w:rFonts w:ascii="Cambria" w:hAnsi="Cambria"/>
      <w:b/>
      <w:bCs/>
      <w:color w:val="000000"/>
      <w:kern w:val="2"/>
      <w:sz w:val="21"/>
      <w:szCs w:val="21"/>
    </w:rPr>
  </w:style>
  <w:style w:type="character" w:customStyle="1" w:styleId="901">
    <w:name w:val="dectext1"/>
    <w:qFormat/>
    <w:uiPriority w:val="0"/>
    <w:rPr>
      <w:rFonts w:ascii="宋体" w:hAnsi="宋体" w:eastAsia="宋体"/>
      <w:color w:val="333333"/>
      <w:sz w:val="21"/>
      <w:szCs w:val="21"/>
      <w:u w:val="none"/>
    </w:rPr>
  </w:style>
  <w:style w:type="character" w:customStyle="1" w:styleId="902">
    <w:name w:val="冯 Char"/>
    <w:link w:val="121"/>
    <w:qFormat/>
    <w:uiPriority w:val="0"/>
    <w:rPr>
      <w:rFonts w:ascii="宋体" w:hAnsi="宋体"/>
      <w:color w:val="000000"/>
      <w:sz w:val="24"/>
      <w:szCs w:val="24"/>
    </w:rPr>
  </w:style>
  <w:style w:type="character" w:customStyle="1" w:styleId="903">
    <w:name w:val="Header Char"/>
    <w:qFormat/>
    <w:locked/>
    <w:uiPriority w:val="0"/>
    <w:rPr>
      <w:rFonts w:eastAsia="宋体"/>
      <w:kern w:val="2"/>
      <w:sz w:val="18"/>
      <w:szCs w:val="18"/>
      <w:lang w:val="en-US" w:eastAsia="zh-CN" w:bidi="ar-SA"/>
    </w:rPr>
  </w:style>
  <w:style w:type="character" w:customStyle="1" w:styleId="904">
    <w:name w:val="Char Char12"/>
    <w:qFormat/>
    <w:uiPriority w:val="0"/>
    <w:rPr>
      <w:rFonts w:ascii="仿宋_GB2312" w:eastAsia="仿宋_GB2312"/>
      <w:b/>
      <w:bCs/>
      <w:kern w:val="2"/>
      <w:sz w:val="24"/>
      <w:szCs w:val="24"/>
      <w:lang w:val="zh-CN" w:eastAsia="zh-CN" w:bidi="ar-SA"/>
    </w:rPr>
  </w:style>
  <w:style w:type="character" w:customStyle="1" w:styleId="905">
    <w:name w:val="普通文字 Char3"/>
    <w:qFormat/>
    <w:uiPriority w:val="0"/>
    <w:rPr>
      <w:rFonts w:ascii="宋体" w:hAnsi="Courier New" w:eastAsia="宋体"/>
      <w:kern w:val="2"/>
      <w:sz w:val="21"/>
      <w:lang w:val="en-US" w:eastAsia="zh-CN" w:bidi="ar-SA"/>
    </w:rPr>
  </w:style>
  <w:style w:type="character" w:customStyle="1" w:styleId="906">
    <w:name w:val="公文正文 Char"/>
    <w:qFormat/>
    <w:uiPriority w:val="0"/>
    <w:rPr>
      <w:rFonts w:ascii="仿宋_GB2312" w:eastAsia="仿宋_GB2312"/>
      <w:kern w:val="2"/>
      <w:sz w:val="24"/>
      <w:szCs w:val="24"/>
      <w:lang w:val="en-US" w:eastAsia="zh-CN" w:bidi="ar-SA"/>
    </w:rPr>
  </w:style>
  <w:style w:type="character" w:customStyle="1" w:styleId="907">
    <w:name w:val="正文首行缩进 Char Char Char Char Char"/>
    <w:qFormat/>
    <w:uiPriority w:val="0"/>
    <w:rPr>
      <w:rFonts w:ascii="宋体"/>
      <w:kern w:val="2"/>
      <w:sz w:val="24"/>
      <w:lang w:val="zh-CN"/>
    </w:rPr>
  </w:style>
  <w:style w:type="character" w:customStyle="1" w:styleId="908">
    <w:name w:val="PI Char"/>
    <w:qFormat/>
    <w:uiPriority w:val="0"/>
    <w:rPr>
      <w:rFonts w:ascii="宋体" w:hAnsi="宋体" w:eastAsia="宋体"/>
      <w:kern w:val="2"/>
      <w:sz w:val="24"/>
      <w:szCs w:val="24"/>
      <w:lang w:val="en-US" w:eastAsia="zh-CN" w:bidi="ar-SA"/>
    </w:rPr>
  </w:style>
  <w:style w:type="character" w:customStyle="1" w:styleId="909">
    <w:name w:val="style91"/>
    <w:qFormat/>
    <w:uiPriority w:val="0"/>
    <w:rPr>
      <w:color w:val="333333"/>
    </w:rPr>
  </w:style>
  <w:style w:type="character" w:customStyle="1" w:styleId="910">
    <w:name w:val="列出段落 Char2"/>
    <w:qFormat/>
    <w:uiPriority w:val="34"/>
    <w:rPr>
      <w:rFonts w:ascii="Calibri" w:hAnsi="Calibri"/>
      <w:kern w:val="2"/>
      <w:sz w:val="28"/>
    </w:rPr>
  </w:style>
  <w:style w:type="character" w:customStyle="1" w:styleId="911">
    <w:name w:val="mdeck"/>
    <w:qFormat/>
    <w:uiPriority w:val="0"/>
    <w:rPr>
      <w:rFonts w:ascii="仿宋_GB2312" w:eastAsia="微软雅黑"/>
      <w:b/>
      <w:kern w:val="2"/>
      <w:sz w:val="32"/>
      <w:szCs w:val="32"/>
      <w:lang w:val="en-US" w:eastAsia="zh-CN" w:bidi="ar-SA"/>
    </w:rPr>
  </w:style>
  <w:style w:type="character" w:customStyle="1" w:styleId="912">
    <w:name w:val="unnamed11"/>
    <w:qFormat/>
    <w:uiPriority w:val="0"/>
    <w:rPr>
      <w:sz w:val="20"/>
      <w:szCs w:val="20"/>
    </w:rPr>
  </w:style>
  <w:style w:type="character" w:customStyle="1" w:styleId="913">
    <w:name w:val="正文文本 Char2"/>
    <w:semiHidden/>
    <w:qFormat/>
    <w:uiPriority w:val="99"/>
    <w:rPr>
      <w:rFonts w:ascii="Times New Roman" w:hAnsi="Times New Roman" w:eastAsia="宋体" w:cs="Times New Roman"/>
      <w:snapToGrid w:val="0"/>
      <w:kern w:val="0"/>
      <w:szCs w:val="24"/>
    </w:rPr>
  </w:style>
  <w:style w:type="character" w:customStyle="1" w:styleId="914">
    <w:name w:val="标书正文格式 Char"/>
    <w:qFormat/>
    <w:uiPriority w:val="0"/>
    <w:rPr>
      <w:rFonts w:eastAsia="楷体_GB2312"/>
      <w:kern w:val="2"/>
      <w:sz w:val="24"/>
      <w:szCs w:val="24"/>
      <w:lang w:bidi="ar-SA"/>
    </w:rPr>
  </w:style>
  <w:style w:type="character" w:customStyle="1" w:styleId="915">
    <w:name w:val="Char Char11"/>
    <w:qFormat/>
    <w:locked/>
    <w:uiPriority w:val="0"/>
    <w:rPr>
      <w:rFonts w:ascii="宋体" w:hAnsi="宋体" w:eastAsia="宋体"/>
      <w:b/>
      <w:kern w:val="2"/>
      <w:sz w:val="24"/>
      <w:szCs w:val="24"/>
      <w:lang w:val="en-US" w:eastAsia="zh-CN" w:bidi="ar-SA"/>
    </w:rPr>
  </w:style>
  <w:style w:type="character" w:customStyle="1" w:styleId="916">
    <w:name w:val="ca-131"/>
    <w:qFormat/>
    <w:uiPriority w:val="0"/>
    <w:rPr>
      <w:rFonts w:hint="eastAsia" w:ascii="仿宋_GB2312" w:eastAsia="仿宋_GB2312"/>
      <w:b/>
      <w:bCs/>
      <w:color w:val="000000"/>
      <w:spacing w:val="-20"/>
      <w:sz w:val="24"/>
      <w:szCs w:val="24"/>
    </w:rPr>
  </w:style>
  <w:style w:type="character" w:customStyle="1" w:styleId="917">
    <w:name w:val="tw4winMark"/>
    <w:qFormat/>
    <w:uiPriority w:val="0"/>
    <w:rPr>
      <w:rFonts w:ascii="Courier New" w:hAnsi="Courier New" w:cs="Courier New"/>
      <w:vanish/>
      <w:color w:val="800080"/>
      <w:sz w:val="24"/>
      <w:szCs w:val="24"/>
      <w:vertAlign w:val="subscript"/>
    </w:rPr>
  </w:style>
  <w:style w:type="character" w:customStyle="1" w:styleId="918">
    <w:name w:val="正文样式 Char"/>
    <w:link w:val="122"/>
    <w:qFormat/>
    <w:uiPriority w:val="0"/>
    <w:rPr>
      <w:rFonts w:ascii="Calibri" w:hAnsi="Calibri"/>
      <w:sz w:val="24"/>
      <w:szCs w:val="24"/>
    </w:rPr>
  </w:style>
  <w:style w:type="character" w:customStyle="1" w:styleId="919">
    <w:name w:val="表正文 Char3"/>
    <w:qFormat/>
    <w:uiPriority w:val="0"/>
    <w:rPr>
      <w:rFonts w:eastAsia="宋体"/>
    </w:rPr>
  </w:style>
  <w:style w:type="character" w:customStyle="1" w:styleId="920">
    <w:name w:val="H5 Char"/>
    <w:qFormat/>
    <w:uiPriority w:val="0"/>
    <w:rPr>
      <w:b/>
      <w:bCs/>
      <w:kern w:val="2"/>
      <w:sz w:val="28"/>
      <w:szCs w:val="28"/>
    </w:rPr>
  </w:style>
  <w:style w:type="character" w:customStyle="1" w:styleId="921">
    <w:name w:val="Char Char3"/>
    <w:qFormat/>
    <w:uiPriority w:val="0"/>
    <w:rPr>
      <w:rFonts w:eastAsia="宋体"/>
      <w:kern w:val="2"/>
      <w:sz w:val="21"/>
      <w:szCs w:val="24"/>
      <w:lang w:val="en-US" w:eastAsia="zh-CN" w:bidi="ar-SA"/>
    </w:rPr>
  </w:style>
  <w:style w:type="character" w:customStyle="1" w:styleId="922">
    <w:name w:val="正文 编号 Char"/>
    <w:qFormat/>
    <w:uiPriority w:val="0"/>
    <w:rPr>
      <w:rFonts w:ascii="仿宋_GB2312" w:hAnsi="仿宋_GB2312" w:eastAsia="仿宋_GB2312"/>
      <w:kern w:val="2"/>
      <w:sz w:val="24"/>
      <w:lang w:bidi="ar-SA"/>
    </w:rPr>
  </w:style>
  <w:style w:type="character" w:customStyle="1" w:styleId="923">
    <w:name w:val="question-title2"/>
    <w:qFormat/>
    <w:uiPriority w:val="6"/>
    <w:rPr>
      <w:rFonts w:ascii="Arial" w:hAnsi="Arial" w:eastAsia="黑体" w:cs="Arial"/>
      <w:snapToGrid w:val="0"/>
      <w:kern w:val="0"/>
      <w:szCs w:val="21"/>
    </w:rPr>
  </w:style>
  <w:style w:type="character" w:customStyle="1" w:styleId="924">
    <w:name w:val="gf正文1 Char Char"/>
    <w:link w:val="123"/>
    <w:qFormat/>
    <w:uiPriority w:val="0"/>
    <w:rPr>
      <w:rFonts w:ascii="宋体" w:hAnsi="宋体" w:cs="宋体"/>
      <w:kern w:val="2"/>
      <w:sz w:val="24"/>
      <w:szCs w:val="24"/>
    </w:rPr>
  </w:style>
  <w:style w:type="character" w:customStyle="1" w:styleId="925">
    <w:name w:val="Char Char15"/>
    <w:qFormat/>
    <w:uiPriority w:val="6"/>
    <w:rPr>
      <w:rFonts w:ascii="宋体" w:hAnsi="宋体"/>
      <w:kern w:val="1"/>
      <w:sz w:val="21"/>
    </w:rPr>
  </w:style>
  <w:style w:type="character" w:customStyle="1" w:styleId="926">
    <w:name w:val="正文缩进 Char3"/>
    <w:qFormat/>
    <w:uiPriority w:val="0"/>
    <w:rPr>
      <w:rFonts w:ascii="宋体" w:eastAsia="宋体"/>
      <w:snapToGrid w:val="0"/>
      <w:color w:val="000000"/>
      <w:kern w:val="28"/>
      <w:sz w:val="28"/>
      <w:lang w:val="en-US" w:eastAsia="zh-CN" w:bidi="ar-SA"/>
    </w:rPr>
  </w:style>
  <w:style w:type="character" w:customStyle="1" w:styleId="927">
    <w:name w:val="列出段落 Char1"/>
    <w:link w:val="124"/>
    <w:qFormat/>
    <w:uiPriority w:val="0"/>
    <w:rPr>
      <w:rFonts w:ascii="Calibri" w:hAnsi="Calibri"/>
      <w:sz w:val="24"/>
      <w:lang w:eastAsia="en-US"/>
    </w:rPr>
  </w:style>
  <w:style w:type="character" w:customStyle="1" w:styleId="928">
    <w:name w:val="列表段落 字符1"/>
    <w:link w:val="125"/>
    <w:qFormat/>
    <w:locked/>
    <w:uiPriority w:val="34"/>
    <w:rPr>
      <w:rFonts w:eastAsia="楷体_GB2312" w:cs="Lucida Sans"/>
      <w:kern w:val="2"/>
      <w:sz w:val="24"/>
      <w:szCs w:val="24"/>
    </w:rPr>
  </w:style>
  <w:style w:type="character" w:customStyle="1" w:styleId="929">
    <w:name w:val="Char Char8"/>
    <w:qFormat/>
    <w:uiPriority w:val="0"/>
    <w:rPr>
      <w:rFonts w:eastAsia="宋体"/>
      <w:b/>
      <w:sz w:val="24"/>
      <w:lang w:eastAsia="zh-CN"/>
    </w:rPr>
  </w:style>
  <w:style w:type="character" w:customStyle="1" w:styleId="930">
    <w:name w:val="Normal Indent Char Char"/>
    <w:qFormat/>
    <w:uiPriority w:val="0"/>
    <w:rPr>
      <w:rFonts w:eastAsia="宋体"/>
      <w:kern w:val="2"/>
      <w:sz w:val="21"/>
      <w:lang w:val="en-US" w:eastAsia="zh-CN" w:bidi="ar-SA"/>
    </w:rPr>
  </w:style>
  <w:style w:type="character" w:customStyle="1" w:styleId="931">
    <w:name w:val="列表段落 字符"/>
    <w:qFormat/>
    <w:uiPriority w:val="0"/>
  </w:style>
  <w:style w:type="character" w:customStyle="1" w:styleId="932">
    <w:name w:val="Ò³Ã¼ Char Char1"/>
    <w:qFormat/>
    <w:uiPriority w:val="0"/>
    <w:rPr>
      <w:rFonts w:eastAsia="宋体"/>
      <w:kern w:val="2"/>
      <w:sz w:val="18"/>
      <w:szCs w:val="18"/>
      <w:lang w:val="en-US" w:eastAsia="zh-CN" w:bidi="ar-SA"/>
    </w:rPr>
  </w:style>
  <w:style w:type="character" w:customStyle="1" w:styleId="933">
    <w:name w:val="方案正文 Char"/>
    <w:qFormat/>
    <w:uiPriority w:val="0"/>
    <w:rPr>
      <w:rFonts w:ascii="仿宋_GB2312" w:eastAsia="仿宋_GB2312"/>
      <w:b/>
      <w:color w:val="000000"/>
      <w:kern w:val="2"/>
      <w:sz w:val="24"/>
      <w:lang w:val="en-US" w:eastAsia="zh-CN" w:bidi="ar-SA"/>
    </w:rPr>
  </w:style>
  <w:style w:type="character" w:customStyle="1" w:styleId="934">
    <w:name w:val="Char Char30"/>
    <w:qFormat/>
    <w:uiPriority w:val="6"/>
    <w:rPr>
      <w:rFonts w:ascii="Arial" w:hAnsi="Arial" w:eastAsia="黑体"/>
      <w:kern w:val="1"/>
      <w:sz w:val="21"/>
      <w:szCs w:val="21"/>
    </w:rPr>
  </w:style>
  <w:style w:type="character" w:customStyle="1" w:styleId="935">
    <w:name w:val="font01"/>
    <w:qFormat/>
    <w:uiPriority w:val="0"/>
    <w:rPr>
      <w:rFonts w:hint="eastAsia" w:ascii="微软雅黑" w:hAnsi="微软雅黑" w:eastAsia="微软雅黑" w:cs="微软雅黑"/>
      <w:color w:val="000000"/>
      <w:sz w:val="20"/>
      <w:szCs w:val="20"/>
      <w:u w:val="none"/>
    </w:rPr>
  </w:style>
  <w:style w:type="character" w:customStyle="1" w:styleId="936">
    <w:name w:val="Char Char20"/>
    <w:qFormat/>
    <w:uiPriority w:val="6"/>
    <w:rPr>
      <w:kern w:val="1"/>
      <w:sz w:val="24"/>
    </w:rPr>
  </w:style>
  <w:style w:type="character" w:customStyle="1" w:styleId="937">
    <w:name w:val="tw4winExternal"/>
    <w:qFormat/>
    <w:uiPriority w:val="0"/>
    <w:rPr>
      <w:rFonts w:ascii="Courier New" w:hAnsi="Courier New" w:cs="Courier New"/>
      <w:color w:val="808080"/>
      <w:lang w:val="en-US" w:eastAsia="zh-CN"/>
    </w:rPr>
  </w:style>
  <w:style w:type="character" w:customStyle="1" w:styleId="938">
    <w:name w:val="标题 4 Char1"/>
    <w:qFormat/>
    <w:uiPriority w:val="9"/>
    <w:rPr>
      <w:rFonts w:ascii="Cambria" w:hAnsi="Cambria" w:eastAsia="宋体" w:cs="Times New Roman"/>
      <w:b/>
      <w:bCs/>
      <w:kern w:val="2"/>
      <w:sz w:val="28"/>
      <w:szCs w:val="28"/>
    </w:rPr>
  </w:style>
  <w:style w:type="character" w:customStyle="1" w:styleId="939">
    <w:name w:val="批注文字 Char2"/>
    <w:qFormat/>
    <w:uiPriority w:val="99"/>
    <w:rPr>
      <w:rFonts w:ascii="Times New Roman" w:hAnsi="Times New Roman" w:eastAsia="宋体" w:cs="Times New Roman"/>
      <w:snapToGrid w:val="0"/>
      <w:kern w:val="0"/>
      <w:szCs w:val="24"/>
    </w:rPr>
  </w:style>
  <w:style w:type="character" w:customStyle="1" w:styleId="940">
    <w:name w:val="正文文本 2 Char"/>
    <w:qFormat/>
    <w:uiPriority w:val="0"/>
    <w:rPr>
      <w:rFonts w:eastAsia="宋体"/>
      <w:kern w:val="2"/>
      <w:sz w:val="21"/>
      <w:szCs w:val="24"/>
      <w:lang w:val="en-US" w:eastAsia="zh-CN" w:bidi="ar-SA"/>
    </w:rPr>
  </w:style>
  <w:style w:type="character" w:customStyle="1" w:styleId="941">
    <w:name w:val="Ò³Ã¼ Char Char"/>
    <w:qFormat/>
    <w:uiPriority w:val="0"/>
    <w:rPr>
      <w:rFonts w:eastAsia="宋体"/>
      <w:kern w:val="2"/>
      <w:sz w:val="18"/>
      <w:lang w:val="en-US" w:eastAsia="zh-CN" w:bidi="ar-SA"/>
    </w:rPr>
  </w:style>
  <w:style w:type="character" w:customStyle="1" w:styleId="942">
    <w:name w:val="message1"/>
    <w:qFormat/>
    <w:uiPriority w:val="0"/>
    <w:rPr>
      <w:rFonts w:hint="default" w:ascii="Tahoma" w:hAnsi="Tahoma" w:cs="Tahoma"/>
      <w:sz w:val="18"/>
      <w:szCs w:val="18"/>
    </w:rPr>
  </w:style>
  <w:style w:type="character" w:customStyle="1" w:styleId="943">
    <w:name w:val="Char Char23"/>
    <w:qFormat/>
    <w:uiPriority w:val="6"/>
    <w:rPr>
      <w:color w:val="0000FF"/>
      <w:sz w:val="21"/>
    </w:rPr>
  </w:style>
  <w:style w:type="character" w:customStyle="1" w:styleId="944">
    <w:name w:val="批注框文本 字符"/>
    <w:qFormat/>
    <w:uiPriority w:val="0"/>
    <w:rPr>
      <w:rFonts w:ascii="Arial" w:hAnsi="Arial" w:eastAsia="黑体" w:cs="Arial"/>
      <w:snapToGrid w:val="0"/>
      <w:kern w:val="0"/>
      <w:sz w:val="18"/>
      <w:szCs w:val="18"/>
    </w:rPr>
  </w:style>
  <w:style w:type="character" w:customStyle="1" w:styleId="945">
    <w:name w:val="纯文本 Char2"/>
    <w:semiHidden/>
    <w:qFormat/>
    <w:uiPriority w:val="99"/>
    <w:rPr>
      <w:rFonts w:ascii="宋体" w:hAnsi="Courier New" w:eastAsia="宋体" w:cs="Courier New"/>
    </w:rPr>
  </w:style>
  <w:style w:type="character" w:customStyle="1" w:styleId="946">
    <w:name w:val="Char Char25"/>
    <w:qFormat/>
    <w:uiPriority w:val="6"/>
    <w:rPr>
      <w:rFonts w:ascii="宋体" w:hAnsi="宋体"/>
      <w:kern w:val="1"/>
      <w:sz w:val="24"/>
      <w:lang w:val="zh-CN"/>
    </w:rPr>
  </w:style>
  <w:style w:type="character" w:customStyle="1" w:styleId="947">
    <w:name w:val="Char Char411"/>
    <w:qFormat/>
    <w:uiPriority w:val="0"/>
    <w:rPr>
      <w:rFonts w:eastAsia="宋体"/>
      <w:b/>
      <w:sz w:val="24"/>
      <w:lang w:eastAsia="zh-CN" w:bidi="ar-SA"/>
    </w:rPr>
  </w:style>
  <w:style w:type="character" w:customStyle="1" w:styleId="948">
    <w:name w:val="Heading 7 Char"/>
    <w:qFormat/>
    <w:locked/>
    <w:uiPriority w:val="0"/>
    <w:rPr>
      <w:rFonts w:ascii="宋体" w:hAnsi="宋体" w:eastAsia="宋体"/>
      <w:b/>
      <w:bCs/>
      <w:kern w:val="2"/>
      <w:sz w:val="24"/>
      <w:szCs w:val="24"/>
      <w:lang w:val="en-US" w:eastAsia="zh-CN" w:bidi="ar-SA"/>
    </w:rPr>
  </w:style>
  <w:style w:type="character" w:customStyle="1" w:styleId="949">
    <w:name w:val="此正文 Char"/>
    <w:link w:val="126"/>
    <w:qFormat/>
    <w:uiPriority w:val="0"/>
    <w:rPr>
      <w:kern w:val="2"/>
      <w:sz w:val="24"/>
      <w:szCs w:val="24"/>
    </w:rPr>
  </w:style>
  <w:style w:type="character" w:customStyle="1" w:styleId="950">
    <w:name w:val="Char Char2"/>
    <w:qFormat/>
    <w:uiPriority w:val="0"/>
    <w:rPr>
      <w:rFonts w:eastAsia="宋体"/>
      <w:b/>
      <w:bCs/>
      <w:kern w:val="2"/>
      <w:sz w:val="21"/>
      <w:szCs w:val="24"/>
      <w:lang w:val="en-US" w:eastAsia="zh-CN" w:bidi="ar-SA"/>
    </w:rPr>
  </w:style>
  <w:style w:type="character" w:customStyle="1" w:styleId="951">
    <w:name w:val="Footer-Even Char1"/>
    <w:qFormat/>
    <w:uiPriority w:val="0"/>
    <w:rPr>
      <w:rFonts w:eastAsia="宋体"/>
      <w:kern w:val="2"/>
      <w:sz w:val="18"/>
      <w:szCs w:val="18"/>
      <w:lang w:val="en-US" w:eastAsia="zh-CN" w:bidi="ar-SA"/>
    </w:rPr>
  </w:style>
  <w:style w:type="character" w:customStyle="1" w:styleId="952">
    <w:name w:val="Char Char29"/>
    <w:qFormat/>
    <w:uiPriority w:val="6"/>
    <w:rPr>
      <w:rFonts w:ascii="Arial" w:hAnsi="Arial" w:eastAsia="微软雅黑"/>
      <w:b/>
      <w:kern w:val="1"/>
      <w:sz w:val="44"/>
      <w:szCs w:val="32"/>
      <w:lang w:val="en-US" w:eastAsia="zh-CN" w:bidi="ar-SA"/>
    </w:rPr>
  </w:style>
  <w:style w:type="character" w:customStyle="1" w:styleId="953">
    <w:name w:val="font81"/>
    <w:qFormat/>
    <w:uiPriority w:val="0"/>
    <w:rPr>
      <w:rFonts w:ascii="微软雅黑" w:hAnsi="微软雅黑" w:eastAsia="微软雅黑" w:cs="微软雅黑"/>
      <w:color w:val="000000"/>
      <w:sz w:val="20"/>
      <w:szCs w:val="20"/>
      <w:u w:val="none"/>
    </w:rPr>
  </w:style>
  <w:style w:type="character" w:customStyle="1" w:styleId="954">
    <w:name w:val="Char Char312"/>
    <w:qFormat/>
    <w:uiPriority w:val="0"/>
    <w:rPr>
      <w:rFonts w:ascii="Times New Roman" w:hAnsi="Times New Roman" w:eastAsia="宋体" w:cs="Times New Roman"/>
      <w:b/>
      <w:kern w:val="2"/>
      <w:sz w:val="32"/>
      <w:szCs w:val="24"/>
      <w:lang w:val="en-US" w:eastAsia="zh-CN" w:bidi="ar-SA"/>
    </w:rPr>
  </w:style>
  <w:style w:type="character" w:customStyle="1" w:styleId="955">
    <w:name w:val="t21"/>
    <w:qFormat/>
    <w:uiPriority w:val="0"/>
    <w:rPr>
      <w:rFonts w:ascii="仿宋_GB2312" w:eastAsia="微软雅黑"/>
      <w:b/>
      <w:kern w:val="2"/>
      <w:sz w:val="23"/>
      <w:szCs w:val="23"/>
      <w:lang w:val="en-US" w:eastAsia="zh-CN" w:bidi="ar-SA"/>
    </w:rPr>
  </w:style>
  <w:style w:type="character" w:customStyle="1" w:styleId="956">
    <w:name w:val="样式8 Char"/>
    <w:qFormat/>
    <w:uiPriority w:val="0"/>
    <w:rPr>
      <w:rFonts w:ascii="仿宋_GB2312" w:hAnsi="宋体" w:eastAsia="仿宋_GB2312"/>
      <w:b/>
      <w:bCs/>
      <w:kern w:val="2"/>
      <w:sz w:val="24"/>
      <w:szCs w:val="24"/>
    </w:rPr>
  </w:style>
  <w:style w:type="character" w:customStyle="1" w:styleId="957">
    <w:name w:val="表格 Char Char"/>
    <w:qFormat/>
    <w:uiPriority w:val="0"/>
    <w:rPr>
      <w:rFonts w:ascii="宋体" w:hAnsi="宋体" w:eastAsia="宋体"/>
      <w:lang w:bidi="ar-SA"/>
    </w:rPr>
  </w:style>
  <w:style w:type="character" w:customStyle="1" w:styleId="958">
    <w:name w:val="正文文本 字符1"/>
    <w:qFormat/>
    <w:uiPriority w:val="99"/>
    <w:rPr>
      <w:rFonts w:ascii="Calibri" w:hAnsi="Calibri" w:eastAsia="黑体" w:cs="Arial"/>
      <w:snapToGrid w:val="0"/>
      <w:kern w:val="2"/>
      <w:sz w:val="28"/>
      <w:szCs w:val="21"/>
    </w:rPr>
  </w:style>
  <w:style w:type="character" w:customStyle="1" w:styleId="959">
    <w:name w:val="标题 6 Char1"/>
    <w:qFormat/>
    <w:uiPriority w:val="0"/>
    <w:rPr>
      <w:rFonts w:ascii="Arial" w:hAnsi="Arial" w:eastAsia="黑体" w:cs="Times New Roman"/>
      <w:b/>
      <w:sz w:val="24"/>
      <w:szCs w:val="20"/>
      <w:lang w:bidi="ar-SA"/>
    </w:rPr>
  </w:style>
  <w:style w:type="character" w:customStyle="1" w:styleId="960">
    <w:name w:val="带编号样式 Char"/>
    <w:qFormat/>
    <w:uiPriority w:val="0"/>
    <w:rPr>
      <w:rFonts w:ascii="仿宋_GB2312" w:eastAsia="仿宋_GB2312"/>
      <w:color w:val="000000"/>
      <w:sz w:val="24"/>
      <w:lang w:bidi="ar-SA"/>
    </w:rPr>
  </w:style>
  <w:style w:type="character" w:customStyle="1" w:styleId="961">
    <w:name w:val="unnamed31"/>
    <w:qFormat/>
    <w:uiPriority w:val="0"/>
    <w:rPr>
      <w:rFonts w:ascii="Tahoma" w:hAnsi="Tahoma" w:eastAsia="宋体"/>
      <w:b/>
      <w:kern w:val="2"/>
      <w:sz w:val="24"/>
      <w:szCs w:val="32"/>
      <w:u w:val="none"/>
      <w:lang w:val="en-US" w:eastAsia="zh-CN" w:bidi="ar-SA"/>
    </w:rPr>
  </w:style>
  <w:style w:type="character" w:customStyle="1" w:styleId="962">
    <w:name w:val="正文首行缩进 Char Char Char Char Char Char1"/>
    <w:qFormat/>
    <w:uiPriority w:val="0"/>
    <w:rPr>
      <w:rFonts w:ascii="宋体" w:eastAsia="宋体"/>
      <w:kern w:val="2"/>
      <w:sz w:val="24"/>
      <w:szCs w:val="24"/>
      <w:lang w:val="zh-CN" w:bidi="ar-SA"/>
    </w:rPr>
  </w:style>
  <w:style w:type="character" w:customStyle="1" w:styleId="963">
    <w:name w:val="文本正文 Char Char"/>
    <w:qFormat/>
    <w:locked/>
    <w:uiPriority w:val="0"/>
    <w:rPr>
      <w:sz w:val="24"/>
      <w:lang w:bidi="ar-SA"/>
    </w:rPr>
  </w:style>
  <w:style w:type="character" w:customStyle="1" w:styleId="964">
    <w:name w:val="正文缩进 字符"/>
    <w:qFormat/>
    <w:uiPriority w:val="0"/>
    <w:rPr>
      <w:rFonts w:ascii="宋体" w:eastAsia="宋体"/>
      <w:snapToGrid w:val="0"/>
      <w:color w:val="000000"/>
      <w:kern w:val="28"/>
      <w:sz w:val="28"/>
      <w:lang w:val="en-US" w:eastAsia="zh-CN" w:bidi="ar-SA"/>
    </w:rPr>
  </w:style>
  <w:style w:type="character" w:customStyle="1" w:styleId="965">
    <w:name w:val="样式 样式 标题 4h4H4Fab-4T5Ref Heading 1rh1Heading sqlsect 1.2.3.... +... Char"/>
    <w:link w:val="127"/>
    <w:qFormat/>
    <w:uiPriority w:val="0"/>
    <w:rPr>
      <w:rFonts w:ascii="微软雅黑" w:hAnsi="微软雅黑" w:eastAsia="微软雅黑"/>
      <w:b/>
      <w:bCs/>
      <w:kern w:val="2"/>
      <w:sz w:val="24"/>
      <w:szCs w:val="28"/>
    </w:rPr>
  </w:style>
  <w:style w:type="character" w:customStyle="1" w:styleId="966">
    <w:name w:val="样式 标题 4h4H4Fab-4T5Ref Heading 1rh1Heading sqlsect 1.2.3.... Char"/>
    <w:link w:val="128"/>
    <w:qFormat/>
    <w:uiPriority w:val="0"/>
    <w:rPr>
      <w:rFonts w:ascii="微软雅黑" w:hAnsi="微软雅黑" w:eastAsia="微软雅黑"/>
      <w:b/>
      <w:bCs/>
      <w:kern w:val="2"/>
      <w:sz w:val="24"/>
      <w:szCs w:val="28"/>
    </w:rPr>
  </w:style>
  <w:style w:type="character" w:customStyle="1" w:styleId="967">
    <w:name w:val="正文非缩进 Char"/>
    <w:qFormat/>
    <w:uiPriority w:val="0"/>
    <w:rPr>
      <w:rFonts w:ascii="宋体" w:eastAsia="宋体"/>
      <w:snapToGrid w:val="0"/>
      <w:color w:val="000000"/>
      <w:kern w:val="28"/>
      <w:sz w:val="28"/>
      <w:lang w:val="en-US" w:eastAsia="zh-CN" w:bidi="ar-SA"/>
    </w:rPr>
  </w:style>
  <w:style w:type="character" w:customStyle="1" w:styleId="968">
    <w:name w:val="Char Char5"/>
    <w:qFormat/>
    <w:uiPriority w:val="0"/>
    <w:rPr>
      <w:rFonts w:ascii="宋体" w:hAnsi="Courier New" w:eastAsia="宋体"/>
      <w:kern w:val="2"/>
      <w:sz w:val="21"/>
      <w:lang w:val="en-US" w:eastAsia="zh-CN"/>
    </w:rPr>
  </w:style>
  <w:style w:type="character" w:customStyle="1" w:styleId="969">
    <w:name w:val="称呼 Char1"/>
    <w:qFormat/>
    <w:uiPriority w:val="0"/>
    <w:rPr>
      <w:rFonts w:ascii="Times New Roman" w:hAnsi="Times New Roman" w:eastAsia="宋体" w:cs="Times New Roman"/>
      <w:szCs w:val="24"/>
    </w:rPr>
  </w:style>
  <w:style w:type="character" w:customStyle="1" w:styleId="970">
    <w:name w:val="正文1 Char"/>
    <w:qFormat/>
    <w:uiPriority w:val="0"/>
    <w:rPr>
      <w:rFonts w:ascii="宋体" w:eastAsia="宋体"/>
      <w:snapToGrid w:val="0"/>
      <w:color w:val="000000"/>
      <w:kern w:val="28"/>
      <w:sz w:val="28"/>
      <w:lang w:val="en-US" w:eastAsia="zh-CN" w:bidi="ar-SA"/>
    </w:rPr>
  </w:style>
  <w:style w:type="character" w:customStyle="1" w:styleId="971">
    <w:name w:val="正文缩进 Char1"/>
    <w:qFormat/>
    <w:uiPriority w:val="0"/>
    <w:rPr>
      <w:rFonts w:ascii="宋体" w:eastAsia="宋体"/>
      <w:snapToGrid w:val="0"/>
      <w:color w:val="000000"/>
      <w:kern w:val="28"/>
      <w:sz w:val="28"/>
      <w:lang w:val="en-US" w:eastAsia="zh-CN" w:bidi="ar-SA"/>
    </w:rPr>
  </w:style>
  <w:style w:type="character" w:customStyle="1" w:styleId="972">
    <w:name w:val="font21"/>
    <w:qFormat/>
    <w:uiPriority w:val="0"/>
    <w:rPr>
      <w:rFonts w:hint="eastAsia" w:ascii="宋体" w:hAnsi="宋体" w:eastAsia="宋体"/>
      <w:kern w:val="2"/>
      <w:sz w:val="28"/>
      <w:szCs w:val="28"/>
      <w:lang w:val="en-US" w:eastAsia="zh-CN" w:bidi="ar-SA"/>
    </w:rPr>
  </w:style>
  <w:style w:type="character" w:customStyle="1" w:styleId="973">
    <w:name w:val="Char Char26"/>
    <w:qFormat/>
    <w:uiPriority w:val="6"/>
    <w:rPr>
      <w:kern w:val="1"/>
      <w:sz w:val="21"/>
      <w:szCs w:val="24"/>
    </w:rPr>
  </w:style>
  <w:style w:type="character" w:customStyle="1" w:styleId="974">
    <w:name w:val="Item List Char"/>
    <w:link w:val="129"/>
    <w:qFormat/>
    <w:uiPriority w:val="0"/>
    <w:rPr>
      <w:rFonts w:ascii="Arial"/>
      <w:bCs/>
      <w:sz w:val="21"/>
      <w:szCs w:val="21"/>
      <w:lang w:val="en-US" w:eastAsia="zh-CN" w:bidi="ar-SA"/>
    </w:rPr>
  </w:style>
  <w:style w:type="character" w:customStyle="1" w:styleId="975">
    <w:name w:val="批注框文本 Char1"/>
    <w:qFormat/>
    <w:uiPriority w:val="0"/>
    <w:rPr>
      <w:rFonts w:ascii="Times New Roman" w:hAnsi="Times New Roman" w:eastAsia="宋体" w:cs="Times New Roman"/>
      <w:sz w:val="18"/>
      <w:szCs w:val="18"/>
    </w:rPr>
  </w:style>
  <w:style w:type="character" w:customStyle="1" w:styleId="976">
    <w:name w:val="纯文本 Char1"/>
    <w:link w:val="130"/>
    <w:qFormat/>
    <w:uiPriority w:val="0"/>
    <w:rPr>
      <w:rFonts w:ascii="宋体" w:hAnsi="Courier New"/>
    </w:rPr>
  </w:style>
  <w:style w:type="character" w:customStyle="1" w:styleId="977">
    <w:name w:val="h3 Char"/>
    <w:qFormat/>
    <w:uiPriority w:val="0"/>
    <w:rPr>
      <w:rFonts w:eastAsia="宋体"/>
      <w:b/>
      <w:kern w:val="2"/>
      <w:sz w:val="32"/>
      <w:lang w:val="en-US" w:eastAsia="zh-CN" w:bidi="ar-SA"/>
    </w:rPr>
  </w:style>
  <w:style w:type="character" w:customStyle="1" w:styleId="978">
    <w:name w:val="dandyren_title1"/>
    <w:qFormat/>
    <w:uiPriority w:val="0"/>
    <w:rPr>
      <w:b/>
      <w:bCs/>
      <w:color w:val="FF6633"/>
      <w:sz w:val="18"/>
      <w:szCs w:val="18"/>
    </w:rPr>
  </w:style>
  <w:style w:type="character" w:customStyle="1" w:styleId="979">
    <w:name w:val="Char Char31"/>
    <w:qFormat/>
    <w:uiPriority w:val="6"/>
    <w:rPr>
      <w:rFonts w:ascii="Arial" w:hAnsi="Arial" w:eastAsia="黑体"/>
      <w:kern w:val="1"/>
      <w:sz w:val="24"/>
      <w:szCs w:val="24"/>
    </w:rPr>
  </w:style>
  <w:style w:type="character" w:customStyle="1" w:styleId="980">
    <w:name w:val="h Char1"/>
    <w:qFormat/>
    <w:uiPriority w:val="0"/>
    <w:rPr>
      <w:sz w:val="18"/>
      <w:szCs w:val="18"/>
    </w:rPr>
  </w:style>
  <w:style w:type="character" w:customStyle="1" w:styleId="981">
    <w:name w:val="solutionfonts"/>
    <w:qFormat/>
    <w:uiPriority w:val="0"/>
  </w:style>
  <w:style w:type="character" w:customStyle="1" w:styleId="982">
    <w:name w:val="首行缩进 Char"/>
    <w:qFormat/>
    <w:uiPriority w:val="0"/>
    <w:rPr>
      <w:rFonts w:ascii="宋体" w:eastAsia="宋体"/>
      <w:kern w:val="2"/>
      <w:sz w:val="24"/>
      <w:lang w:val="en-US" w:eastAsia="zh-CN" w:bidi="ar-SA"/>
    </w:rPr>
  </w:style>
  <w:style w:type="character" w:customStyle="1" w:styleId="983">
    <w:name w:val="Char Char52"/>
    <w:qFormat/>
    <w:uiPriority w:val="0"/>
    <w:rPr>
      <w:rFonts w:ascii="宋体" w:hAnsi="Courier New" w:eastAsia="宋体"/>
      <w:kern w:val="2"/>
      <w:sz w:val="21"/>
      <w:lang w:val="en-US" w:eastAsia="zh-CN"/>
    </w:rPr>
  </w:style>
  <w:style w:type="character" w:customStyle="1" w:styleId="984">
    <w:name w:val="font31"/>
    <w:qFormat/>
    <w:uiPriority w:val="0"/>
    <w:rPr>
      <w:rFonts w:hint="eastAsia" w:ascii="仿宋" w:hAnsi="仿宋" w:eastAsia="仿宋" w:cs="仿宋"/>
      <w:color w:val="000000"/>
      <w:sz w:val="20"/>
      <w:szCs w:val="20"/>
      <w:u w:val="none"/>
    </w:rPr>
  </w:style>
  <w:style w:type="character" w:customStyle="1" w:styleId="985">
    <w:name w:val="正文说明 Char"/>
    <w:link w:val="131"/>
    <w:qFormat/>
    <w:uiPriority w:val="0"/>
    <w:rPr>
      <w:sz w:val="24"/>
      <w:szCs w:val="24"/>
    </w:rPr>
  </w:style>
  <w:style w:type="character" w:customStyle="1" w:styleId="986">
    <w:name w:val="脚注文本 Char1"/>
    <w:qFormat/>
    <w:uiPriority w:val="0"/>
    <w:rPr>
      <w:rFonts w:ascii="Times New Roman" w:hAnsi="Times New Roman" w:eastAsia="宋体" w:cs="Times New Roman"/>
      <w:sz w:val="18"/>
      <w:szCs w:val="18"/>
    </w:rPr>
  </w:style>
  <w:style w:type="character" w:customStyle="1" w:styleId="987">
    <w:name w:val="Char Char1211"/>
    <w:qFormat/>
    <w:uiPriority w:val="0"/>
    <w:rPr>
      <w:rFonts w:ascii="仿宋_GB2312" w:eastAsia="仿宋_GB2312"/>
      <w:b/>
      <w:bCs/>
      <w:kern w:val="2"/>
      <w:sz w:val="24"/>
      <w:szCs w:val="24"/>
      <w:lang w:val="zh-CN" w:eastAsia="zh-CN" w:bidi="ar-SA"/>
    </w:rPr>
  </w:style>
  <w:style w:type="character" w:customStyle="1" w:styleId="988">
    <w:name w:val="标题 Char"/>
    <w:qFormat/>
    <w:uiPriority w:val="0"/>
    <w:rPr>
      <w:rFonts w:eastAsia="宋体"/>
      <w:b/>
      <w:sz w:val="24"/>
      <w:lang w:eastAsia="zh-CN" w:bidi="ar-SA"/>
    </w:rPr>
  </w:style>
  <w:style w:type="character" w:customStyle="1" w:styleId="989">
    <w:name w:val="Char Char35"/>
    <w:qFormat/>
    <w:uiPriority w:val="6"/>
    <w:rPr>
      <w:rFonts w:ascii="Arial" w:hAnsi="Arial" w:eastAsia="黑体"/>
      <w:b/>
      <w:kern w:val="1"/>
      <w:sz w:val="28"/>
      <w:szCs w:val="28"/>
      <w:lang w:val="zh-CN"/>
    </w:rPr>
  </w:style>
  <w:style w:type="character" w:customStyle="1" w:styleId="990">
    <w:name w:val="纯文本 Char Char Char"/>
    <w:qFormat/>
    <w:uiPriority w:val="0"/>
    <w:rPr>
      <w:rFonts w:ascii="宋体" w:hAnsi="Courier New" w:eastAsia="宋体"/>
      <w:kern w:val="2"/>
      <w:sz w:val="21"/>
      <w:lang w:val="en-US" w:eastAsia="zh-CN" w:bidi="ar-SA"/>
    </w:rPr>
  </w:style>
  <w:style w:type="character" w:customStyle="1" w:styleId="991">
    <w:name w:val="Table Text Char"/>
    <w:link w:val="132"/>
    <w:qFormat/>
    <w:uiPriority w:val="0"/>
    <w:rPr>
      <w:sz w:val="24"/>
      <w:szCs w:val="24"/>
    </w:rPr>
  </w:style>
  <w:style w:type="character" w:customStyle="1" w:styleId="992">
    <w:name w:val="正文1 Char1"/>
    <w:qFormat/>
    <w:uiPriority w:val="0"/>
    <w:rPr>
      <w:rFonts w:ascii="仿宋_GB2312" w:hAnsi="Courier New" w:eastAsia="仿宋_GB2312"/>
      <w:kern w:val="28"/>
      <w:sz w:val="24"/>
      <w:szCs w:val="24"/>
      <w:lang w:val="en-US" w:eastAsia="zh-CN"/>
    </w:rPr>
  </w:style>
  <w:style w:type="character" w:customStyle="1" w:styleId="993">
    <w:name w:val="页脚 Char1"/>
    <w:qFormat/>
    <w:uiPriority w:val="0"/>
    <w:rPr>
      <w:rFonts w:eastAsia="宋体"/>
      <w:kern w:val="2"/>
      <w:sz w:val="18"/>
      <w:szCs w:val="18"/>
      <w:lang w:val="en-US" w:eastAsia="zh-CN" w:bidi="ar-SA"/>
    </w:rPr>
  </w:style>
  <w:style w:type="character" w:customStyle="1" w:styleId="994">
    <w:name w:val="Bold"/>
    <w:qFormat/>
    <w:uiPriority w:val="0"/>
    <w:rPr>
      <w:rFonts w:ascii="Arial" w:hAnsi="Arial" w:eastAsia="黑体" w:cs="Times New Roman"/>
      <w:b/>
      <w:kern w:val="2"/>
      <w:sz w:val="32"/>
      <w:szCs w:val="32"/>
      <w:lang w:val="en-US" w:eastAsia="zh-CN" w:bidi="ar-SA"/>
    </w:rPr>
  </w:style>
  <w:style w:type="character" w:customStyle="1" w:styleId="995">
    <w:name w:val="hui3"/>
    <w:qFormat/>
    <w:uiPriority w:val="0"/>
    <w:rPr>
      <w:color w:val="333333"/>
    </w:rPr>
  </w:style>
  <w:style w:type="character" w:customStyle="1" w:styleId="996">
    <w:name w:val="Char Char17"/>
    <w:qFormat/>
    <w:uiPriority w:val="6"/>
    <w:rPr>
      <w:rFonts w:eastAsia="仿宋_GB2312"/>
      <w:sz w:val="24"/>
    </w:rPr>
  </w:style>
  <w:style w:type="character" w:customStyle="1" w:styleId="997">
    <w:name w:val="标题 4 字符"/>
    <w:qFormat/>
    <w:uiPriority w:val="0"/>
    <w:rPr>
      <w:rFonts w:ascii="等线 Light" w:hAnsi="等线 Light" w:eastAsia="等线 Light" w:cs="Times New Roman"/>
      <w:b/>
      <w:bCs/>
      <w:snapToGrid w:val="0"/>
      <w:kern w:val="0"/>
      <w:sz w:val="28"/>
      <w:szCs w:val="28"/>
    </w:rPr>
  </w:style>
  <w:style w:type="character" w:customStyle="1" w:styleId="998">
    <w:name w:val="Char Char37"/>
    <w:qFormat/>
    <w:uiPriority w:val="6"/>
    <w:rPr>
      <w:b/>
      <w:kern w:val="1"/>
      <w:sz w:val="44"/>
      <w:szCs w:val="44"/>
    </w:rPr>
  </w:style>
  <w:style w:type="character" w:customStyle="1" w:styleId="999">
    <w:name w:val="列出段落 Char"/>
    <w:qFormat/>
    <w:uiPriority w:val="0"/>
    <w:rPr>
      <w:rFonts w:eastAsia="楷体_GB2312" w:cs="Lucida Sans"/>
      <w:kern w:val="2"/>
      <w:sz w:val="24"/>
      <w:szCs w:val="24"/>
      <w:lang w:val="en-US" w:eastAsia="zh-CN" w:bidi="ar-SA"/>
    </w:rPr>
  </w:style>
  <w:style w:type="character" w:customStyle="1" w:styleId="1000">
    <w:name w:val="正文文本缩进 3 Char1"/>
    <w:semiHidden/>
    <w:qFormat/>
    <w:uiPriority w:val="99"/>
    <w:rPr>
      <w:rFonts w:ascii="Times New Roman" w:hAnsi="Times New Roman" w:eastAsia="宋体" w:cs="Times New Roman"/>
      <w:sz w:val="16"/>
      <w:szCs w:val="16"/>
    </w:rPr>
  </w:style>
  <w:style w:type="character" w:customStyle="1" w:styleId="1001">
    <w:name w:val="公文正文 Char Char"/>
    <w:link w:val="133"/>
    <w:qFormat/>
    <w:uiPriority w:val="0"/>
    <w:rPr>
      <w:rFonts w:ascii="仿宋_GB2312" w:eastAsia="仿宋_GB2312"/>
      <w:kern w:val="2"/>
      <w:sz w:val="24"/>
      <w:szCs w:val="24"/>
    </w:rPr>
  </w:style>
  <w:style w:type="character" w:customStyle="1" w:styleId="1002">
    <w:name w:val="Table Text Char1"/>
    <w:qFormat/>
    <w:uiPriority w:val="0"/>
    <w:rPr>
      <w:rFonts w:eastAsia="宋体"/>
      <w:sz w:val="24"/>
      <w:szCs w:val="24"/>
      <w:lang w:val="en-US" w:eastAsia="zh-CN" w:bidi="ar-SA"/>
    </w:rPr>
  </w:style>
  <w:style w:type="character" w:customStyle="1" w:styleId="1003">
    <w:name w:val="标题 1 Char Char"/>
    <w:qFormat/>
    <w:uiPriority w:val="0"/>
    <w:rPr>
      <w:rFonts w:hint="eastAsia" w:ascii="宋体" w:hAnsi="宋体" w:eastAsia="宋体"/>
      <w:b/>
      <w:spacing w:val="-2"/>
      <w:sz w:val="24"/>
      <w:lang w:val="en-US" w:eastAsia="zh-CN" w:bidi="ar-SA"/>
    </w:rPr>
  </w:style>
  <w:style w:type="character" w:customStyle="1" w:styleId="1004">
    <w:name w:val="正文（缩进2汉字） Char"/>
    <w:link w:val="134"/>
    <w:qFormat/>
    <w:uiPriority w:val="0"/>
    <w:rPr>
      <w:rFonts w:ascii="宋体"/>
    </w:rPr>
  </w:style>
  <w:style w:type="character" w:customStyle="1" w:styleId="1005">
    <w:name w:val="标书表格字体格式 Char"/>
    <w:qFormat/>
    <w:uiPriority w:val="0"/>
    <w:rPr>
      <w:kern w:val="2"/>
      <w:sz w:val="21"/>
      <w:szCs w:val="24"/>
      <w:lang w:bidi="ar-SA"/>
    </w:rPr>
  </w:style>
  <w:style w:type="character" w:customStyle="1" w:styleId="1006">
    <w:name w:val="tw4winError"/>
    <w:qFormat/>
    <w:uiPriority w:val="0"/>
    <w:rPr>
      <w:rFonts w:ascii="Courier New" w:hAnsi="Courier New" w:cs="Courier New"/>
      <w:color w:val="00FF00"/>
      <w:sz w:val="40"/>
      <w:szCs w:val="40"/>
    </w:rPr>
  </w:style>
  <w:style w:type="character" w:customStyle="1" w:styleId="1007">
    <w:name w:val="Body Text(ch) Char Char"/>
    <w:qFormat/>
    <w:uiPriority w:val="0"/>
    <w:rPr>
      <w:rFonts w:ascii="宋体"/>
      <w:kern w:val="2"/>
      <w:sz w:val="24"/>
      <w:szCs w:val="21"/>
      <w:lang w:val="zh-CN"/>
    </w:rPr>
  </w:style>
  <w:style w:type="character" w:customStyle="1" w:styleId="1008">
    <w:name w:val="正文首行缩进两字 Char"/>
    <w:qFormat/>
    <w:uiPriority w:val="0"/>
    <w:rPr>
      <w:sz w:val="24"/>
      <w:szCs w:val="24"/>
      <w:lang w:val="en-US" w:eastAsia="zh-CN" w:bidi="ar-SA"/>
    </w:rPr>
  </w:style>
  <w:style w:type="character" w:customStyle="1" w:styleId="1009">
    <w:name w:val="正文文本 Char"/>
    <w:qFormat/>
    <w:uiPriority w:val="0"/>
    <w:rPr>
      <w:rFonts w:eastAsia="宋体"/>
      <w:kern w:val="2"/>
      <w:sz w:val="24"/>
      <w:szCs w:val="24"/>
      <w:lang w:val="en-US" w:eastAsia="zh-CN" w:bidi="ar-SA"/>
    </w:rPr>
  </w:style>
  <w:style w:type="character" w:customStyle="1" w:styleId="1010">
    <w:name w:val="文档结构图 字符1"/>
    <w:qFormat/>
    <w:uiPriority w:val="99"/>
    <w:rPr>
      <w:rFonts w:ascii="宋体" w:hAnsi="Calibri" w:eastAsia="黑体" w:cs="Arial"/>
      <w:snapToGrid w:val="0"/>
      <w:kern w:val="2"/>
      <w:sz w:val="18"/>
      <w:szCs w:val="18"/>
    </w:rPr>
  </w:style>
  <w:style w:type="character" w:customStyle="1" w:styleId="1011">
    <w:name w:val="content"/>
    <w:qFormat/>
    <w:uiPriority w:val="0"/>
  </w:style>
  <w:style w:type="character" w:customStyle="1" w:styleId="1012">
    <w:name w:val="tw4winPopup"/>
    <w:qFormat/>
    <w:uiPriority w:val="0"/>
    <w:rPr>
      <w:rFonts w:ascii="Courier New" w:hAnsi="Courier New" w:cs="Courier New"/>
      <w:color w:val="008000"/>
      <w:lang w:val="en-US" w:eastAsia="zh-CN"/>
    </w:rPr>
  </w:style>
  <w:style w:type="character" w:customStyle="1" w:styleId="1013">
    <w:name w:val="param-name"/>
    <w:qFormat/>
    <w:uiPriority w:val="99"/>
    <w:rPr>
      <w:rFonts w:ascii="Arial" w:hAnsi="Arial" w:eastAsia="黑体" w:cs="Arial"/>
      <w:snapToGrid w:val="0"/>
      <w:kern w:val="0"/>
      <w:szCs w:val="21"/>
    </w:rPr>
  </w:style>
  <w:style w:type="character" w:customStyle="1" w:styleId="1014">
    <w:name w:val="标准正文格式 Char"/>
    <w:qFormat/>
    <w:uiPriority w:val="0"/>
    <w:rPr>
      <w:rFonts w:ascii="宋体" w:eastAsia="仿宋_GB2312" w:cs="宋体"/>
      <w:color w:val="000000"/>
      <w:sz w:val="24"/>
      <w:lang w:val="en-US" w:eastAsia="zh-CN" w:bidi="ar-SA"/>
    </w:rPr>
  </w:style>
  <w:style w:type="character" w:customStyle="1" w:styleId="1015">
    <w:name w:val="Char Char212"/>
    <w:qFormat/>
    <w:uiPriority w:val="0"/>
    <w:rPr>
      <w:rFonts w:eastAsia="宋体"/>
      <w:b/>
      <w:bCs/>
      <w:kern w:val="2"/>
      <w:sz w:val="21"/>
      <w:szCs w:val="24"/>
      <w:lang w:val="en-US" w:eastAsia="zh-CN" w:bidi="ar-SA"/>
    </w:rPr>
  </w:style>
  <w:style w:type="character" w:customStyle="1" w:styleId="1016">
    <w:name w:val="文档结构图 Char"/>
    <w:qFormat/>
    <w:uiPriority w:val="0"/>
    <w:rPr>
      <w:rFonts w:eastAsia="宋体"/>
      <w:kern w:val="2"/>
      <w:sz w:val="21"/>
      <w:szCs w:val="24"/>
      <w:lang w:val="en-US" w:eastAsia="zh-CN" w:bidi="ar-SA"/>
    </w:rPr>
  </w:style>
  <w:style w:type="character" w:customStyle="1" w:styleId="1017">
    <w:name w:val="zbggmain style9"/>
    <w:qFormat/>
    <w:uiPriority w:val="0"/>
  </w:style>
  <w:style w:type="character" w:customStyle="1" w:styleId="1018">
    <w:name w:val="Char Char16"/>
    <w:qFormat/>
    <w:uiPriority w:val="6"/>
    <w:rPr>
      <w:kern w:val="1"/>
      <w:sz w:val="18"/>
      <w:szCs w:val="18"/>
    </w:rPr>
  </w:style>
  <w:style w:type="character" w:customStyle="1" w:styleId="1019">
    <w:name w:val="font51"/>
    <w:qFormat/>
    <w:uiPriority w:val="0"/>
    <w:rPr>
      <w:rFonts w:hint="eastAsia" w:ascii="仿宋" w:hAnsi="仿宋" w:eastAsia="仿宋" w:cs="仿宋"/>
      <w:color w:val="000000"/>
      <w:sz w:val="20"/>
      <w:szCs w:val="20"/>
      <w:u w:val="none"/>
    </w:rPr>
  </w:style>
  <w:style w:type="character" w:customStyle="1" w:styleId="1020">
    <w:name w:val="Char Char82"/>
    <w:qFormat/>
    <w:uiPriority w:val="0"/>
    <w:rPr>
      <w:rFonts w:eastAsia="宋体"/>
      <w:b/>
      <w:sz w:val="24"/>
      <w:lang w:eastAsia="zh-CN"/>
    </w:rPr>
  </w:style>
  <w:style w:type="character" w:customStyle="1" w:styleId="1021">
    <w:name w:val="日期 Char1"/>
    <w:semiHidden/>
    <w:qFormat/>
    <w:uiPriority w:val="99"/>
    <w:rPr>
      <w:rFonts w:ascii="Times New Roman" w:hAnsi="Times New Roman" w:eastAsia="宋体" w:cs="Times New Roman"/>
      <w:szCs w:val="24"/>
    </w:rPr>
  </w:style>
  <w:style w:type="character" w:customStyle="1" w:styleId="1022">
    <w:name w:val="页眉 字符"/>
    <w:qFormat/>
    <w:uiPriority w:val="0"/>
    <w:rPr>
      <w:kern w:val="2"/>
      <w:sz w:val="18"/>
      <w:szCs w:val="18"/>
    </w:rPr>
  </w:style>
  <w:style w:type="character" w:customStyle="1" w:styleId="1023">
    <w:name w:val="Char Char33"/>
    <w:qFormat/>
    <w:uiPriority w:val="6"/>
    <w:rPr>
      <w:rFonts w:ascii="Arial" w:hAnsi="Arial" w:eastAsia="黑体"/>
      <w:b/>
      <w:kern w:val="1"/>
      <w:sz w:val="24"/>
      <w:szCs w:val="24"/>
    </w:rPr>
  </w:style>
  <w:style w:type="character" w:customStyle="1" w:styleId="1024">
    <w:name w:val="b11_01b Char"/>
    <w:link w:val="135"/>
    <w:qFormat/>
    <w:uiPriority w:val="0"/>
    <w:rPr>
      <w:rFonts w:ascii="Verdana" w:hAnsi="Verdana"/>
      <w:b/>
      <w:bCs/>
      <w:color w:val="4A82CA"/>
      <w:sz w:val="17"/>
      <w:szCs w:val="17"/>
    </w:rPr>
  </w:style>
  <w:style w:type="character" w:customStyle="1" w:styleId="1025">
    <w:name w:val="Char Char121"/>
    <w:qFormat/>
    <w:uiPriority w:val="6"/>
    <w:rPr>
      <w:rFonts w:ascii="仿宋_GB2312" w:eastAsia="仿宋_GB2312"/>
      <w:b/>
      <w:bCs/>
      <w:kern w:val="2"/>
      <w:sz w:val="24"/>
      <w:szCs w:val="24"/>
      <w:lang w:val="zh-CN" w:eastAsia="zh-CN" w:bidi="ar-SA"/>
    </w:rPr>
  </w:style>
  <w:style w:type="character" w:customStyle="1" w:styleId="1026">
    <w:name w:val="Footer-Even Char"/>
    <w:qFormat/>
    <w:uiPriority w:val="0"/>
    <w:rPr>
      <w:rFonts w:eastAsia="宋体"/>
      <w:kern w:val="2"/>
      <w:sz w:val="18"/>
      <w:lang w:val="en-US" w:eastAsia="zh-CN" w:bidi="ar-SA"/>
    </w:rPr>
  </w:style>
  <w:style w:type="character" w:customStyle="1" w:styleId="1027">
    <w:name w:val="Char Char36"/>
    <w:qFormat/>
    <w:uiPriority w:val="6"/>
    <w:rPr>
      <w:rFonts w:ascii="仿宋_GB2312" w:hAnsi="仿宋_GB2312" w:eastAsia="仿宋_GB2312" w:cs="Arial"/>
      <w:b/>
      <w:kern w:val="1"/>
      <w:sz w:val="32"/>
      <w:szCs w:val="32"/>
      <w:lang w:val="zh-CN" w:eastAsia="zh-CN" w:bidi="ar-SA"/>
    </w:rPr>
  </w:style>
  <w:style w:type="character" w:customStyle="1" w:styleId="1028">
    <w:name w:val="Char Char61"/>
    <w:qFormat/>
    <w:uiPriority w:val="6"/>
    <w:rPr>
      <w:rFonts w:eastAsia="宋体"/>
      <w:kern w:val="2"/>
      <w:sz w:val="21"/>
      <w:szCs w:val="24"/>
      <w:lang w:val="en-US" w:eastAsia="zh-CN" w:bidi="ar-SA"/>
    </w:rPr>
  </w:style>
  <w:style w:type="character" w:customStyle="1" w:styleId="1029">
    <w:name w:val="正文文字缩进 2 Char Char"/>
    <w:qFormat/>
    <w:uiPriority w:val="0"/>
    <w:rPr>
      <w:rFonts w:ascii="宋体"/>
      <w:sz w:val="28"/>
    </w:rPr>
  </w:style>
  <w:style w:type="character" w:customStyle="1" w:styleId="1030">
    <w:name w:val="f141"/>
    <w:qFormat/>
    <w:uiPriority w:val="0"/>
    <w:rPr>
      <w:rFonts w:ascii="Tahoma" w:hAnsi="Tahoma" w:eastAsia="宋体"/>
      <w:b/>
      <w:kern w:val="2"/>
      <w:sz w:val="21"/>
      <w:szCs w:val="21"/>
      <w:lang w:val="en-US" w:eastAsia="zh-CN" w:bidi="ar-SA"/>
    </w:rPr>
  </w:style>
  <w:style w:type="character" w:customStyle="1" w:styleId="1031">
    <w:name w:val="段落 Char Char"/>
    <w:link w:val="136"/>
    <w:qFormat/>
    <w:uiPriority w:val="0"/>
    <w:rPr>
      <w:rFonts w:ascii="宋体" w:hAnsi="宋体"/>
      <w:sz w:val="24"/>
    </w:rPr>
  </w:style>
  <w:style w:type="character" w:customStyle="1" w:styleId="1032">
    <w:name w:val="标题 3 Char2"/>
    <w:qFormat/>
    <w:uiPriority w:val="0"/>
    <w:rPr>
      <w:rFonts w:eastAsia="宋体"/>
      <w:b/>
      <w:bCs/>
      <w:kern w:val="2"/>
      <w:sz w:val="32"/>
      <w:szCs w:val="32"/>
      <w:lang w:val="en-US" w:eastAsia="zh-CN" w:bidi="ar-SA"/>
    </w:rPr>
  </w:style>
  <w:style w:type="character" w:customStyle="1" w:styleId="1033">
    <w:name w:val="apple-converted-space"/>
    <w:qFormat/>
    <w:uiPriority w:val="0"/>
  </w:style>
  <w:style w:type="character" w:customStyle="1" w:styleId="1034">
    <w:name w:val="Char Char9"/>
    <w:qFormat/>
    <w:uiPriority w:val="0"/>
    <w:rPr>
      <w:rFonts w:eastAsia="宋体"/>
      <w:kern w:val="2"/>
      <w:sz w:val="18"/>
      <w:szCs w:val="18"/>
      <w:lang w:val="en-US" w:eastAsia="zh-CN" w:bidi="ar-SA"/>
    </w:rPr>
  </w:style>
  <w:style w:type="character" w:customStyle="1" w:styleId="1035">
    <w:name w:val="Char Char41"/>
    <w:qFormat/>
    <w:uiPriority w:val="0"/>
    <w:rPr>
      <w:rFonts w:eastAsia="宋体"/>
      <w:b/>
      <w:sz w:val="24"/>
      <w:lang w:eastAsia="zh-CN" w:bidi="ar-SA"/>
    </w:rPr>
  </w:style>
  <w:style w:type="character" w:customStyle="1" w:styleId="1036">
    <w:name w:val="large1"/>
    <w:qFormat/>
    <w:uiPriority w:val="0"/>
    <w:rPr>
      <w:rFonts w:hint="eastAsia" w:ascii="宋体" w:hAnsi="宋体" w:eastAsia="宋体"/>
      <w:sz w:val="21"/>
      <w:szCs w:val="21"/>
    </w:rPr>
  </w:style>
  <w:style w:type="character" w:customStyle="1" w:styleId="1037">
    <w:name w:val="正文段 Char"/>
    <w:link w:val="137"/>
    <w:qFormat/>
    <w:uiPriority w:val="0"/>
    <w:rPr>
      <w:sz w:val="24"/>
    </w:rPr>
  </w:style>
  <w:style w:type="character" w:customStyle="1" w:styleId="1038">
    <w:name w:val="Char Char13"/>
    <w:qFormat/>
    <w:uiPriority w:val="6"/>
    <w:rPr>
      <w:rFonts w:ascii="宋体" w:hAnsi="宋体"/>
      <w:kern w:val="1"/>
      <w:sz w:val="21"/>
      <w:szCs w:val="24"/>
    </w:rPr>
  </w:style>
  <w:style w:type="character" w:customStyle="1" w:styleId="103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040">
    <w:name w:val="冯广丽 Char"/>
    <w:link w:val="138"/>
    <w:qFormat/>
    <w:uiPriority w:val="0"/>
    <w:rPr>
      <w:rFonts w:ascii="宋体" w:hAnsi="宋体"/>
      <w:kern w:val="2"/>
      <w:sz w:val="24"/>
      <w:szCs w:val="22"/>
    </w:rPr>
  </w:style>
  <w:style w:type="character" w:customStyle="1" w:styleId="1041">
    <w:name w:val="批注文字 字符"/>
    <w:qFormat/>
    <w:uiPriority w:val="99"/>
    <w:rPr>
      <w:rFonts w:ascii="Arial" w:hAnsi="Arial" w:eastAsia="黑体" w:cs="Arial"/>
      <w:snapToGrid w:val="0"/>
      <w:kern w:val="0"/>
      <w:szCs w:val="21"/>
    </w:rPr>
  </w:style>
  <w:style w:type="character" w:customStyle="1" w:styleId="1042">
    <w:name w:val="Char Char161"/>
    <w:qFormat/>
    <w:uiPriority w:val="0"/>
    <w:rPr>
      <w:rFonts w:eastAsia="宋体"/>
      <w:b/>
      <w:kern w:val="2"/>
      <w:sz w:val="32"/>
      <w:lang w:val="en-US" w:eastAsia="zh-CN"/>
    </w:rPr>
  </w:style>
  <w:style w:type="character" w:customStyle="1" w:styleId="1043">
    <w:name w:val="javascript"/>
    <w:qFormat/>
    <w:uiPriority w:val="0"/>
  </w:style>
  <w:style w:type="character" w:customStyle="1" w:styleId="1044">
    <w:name w:val="图名 Char"/>
    <w:qFormat/>
    <w:uiPriority w:val="0"/>
    <w:rPr>
      <w:rFonts w:ascii="Arial" w:hAnsi="Arial" w:eastAsia="黑体"/>
      <w:kern w:val="2"/>
      <w:sz w:val="24"/>
      <w:szCs w:val="24"/>
      <w:lang w:val="en-US" w:eastAsia="zh-CN" w:bidi="ar-SA"/>
    </w:rPr>
  </w:style>
  <w:style w:type="character" w:customStyle="1" w:styleId="1045">
    <w:name w:val="Used by Word for text of Help footnotes Char Char"/>
    <w:qFormat/>
    <w:uiPriority w:val="0"/>
    <w:rPr>
      <w:rFonts w:ascii="Times New Roman" w:hAnsi="Times New Roman" w:eastAsia="宋体" w:cs="Times New Roman"/>
      <w:sz w:val="20"/>
      <w:szCs w:val="20"/>
    </w:rPr>
  </w:style>
  <w:style w:type="character" w:customStyle="1" w:styleId="1046">
    <w:name w:val="编号，小四 Char"/>
    <w:link w:val="139"/>
    <w:qFormat/>
    <w:uiPriority w:val="0"/>
    <w:rPr>
      <w:rFonts w:ascii="Arial" w:hAnsi="Arial"/>
      <w:sz w:val="24"/>
    </w:rPr>
  </w:style>
  <w:style w:type="character" w:customStyle="1" w:styleId="1047">
    <w:name w:val="Font Style82"/>
    <w:qFormat/>
    <w:uiPriority w:val="99"/>
    <w:rPr>
      <w:rFonts w:ascii="宋体" w:eastAsia="宋体" w:cs="宋体"/>
      <w:color w:val="000000"/>
      <w:sz w:val="14"/>
      <w:szCs w:val="14"/>
    </w:rPr>
  </w:style>
  <w:style w:type="character" w:customStyle="1" w:styleId="1048">
    <w:name w:val="标题 2 Char Char"/>
    <w:qFormat/>
    <w:uiPriority w:val="0"/>
    <w:rPr>
      <w:rFonts w:ascii="楷体_GB2312" w:hAnsi="Arial" w:eastAsia="楷体_GB2312"/>
      <w:b/>
      <w:bCs/>
      <w:kern w:val="2"/>
      <w:sz w:val="24"/>
      <w:szCs w:val="32"/>
      <w:lang w:val="en-US" w:eastAsia="zh-CN" w:bidi="ar-SA"/>
    </w:rPr>
  </w:style>
  <w:style w:type="character" w:customStyle="1" w:styleId="1049">
    <w:name w:val="未用 Char"/>
    <w:qFormat/>
    <w:uiPriority w:val="0"/>
    <w:rPr>
      <w:rFonts w:ascii="Arial" w:hAnsi="Arial" w:eastAsia="黑体"/>
      <w:kern w:val="2"/>
      <w:sz w:val="21"/>
      <w:szCs w:val="21"/>
      <w:lang w:val="en-US" w:eastAsia="zh-CN" w:bidi="ar-SA"/>
    </w:rPr>
  </w:style>
  <w:style w:type="character" w:customStyle="1" w:styleId="1050">
    <w:name w:val="myp1111"/>
    <w:qFormat/>
    <w:uiPriority w:val="0"/>
    <w:rPr>
      <w:rFonts w:hint="default" w:ascii="ˎ̥" w:hAnsi="ˎ̥"/>
      <w:color w:val="000000"/>
      <w:sz w:val="20"/>
      <w:szCs w:val="20"/>
      <w:u w:val="none"/>
    </w:rPr>
  </w:style>
  <w:style w:type="character" w:customStyle="1" w:styleId="1051">
    <w:name w:val="h Char Char"/>
    <w:qFormat/>
    <w:uiPriority w:val="0"/>
    <w:rPr>
      <w:rFonts w:eastAsia="宋体"/>
      <w:kern w:val="2"/>
      <w:sz w:val="18"/>
      <w:lang w:val="en-US" w:eastAsia="zh-CN" w:bidi="ar-SA"/>
    </w:rPr>
  </w:style>
  <w:style w:type="character" w:customStyle="1" w:styleId="1052">
    <w:name w:val="仿宋正文 Char"/>
    <w:link w:val="140"/>
    <w:qFormat/>
    <w:uiPriority w:val="0"/>
    <w:rPr>
      <w:rFonts w:ascii="仿宋_GB2312" w:eastAsia="仿宋_GB2312"/>
      <w:kern w:val="2"/>
      <w:sz w:val="24"/>
      <w:lang w:val="en-US" w:eastAsia="zh-CN" w:bidi="ar-SA"/>
    </w:rPr>
  </w:style>
  <w:style w:type="character" w:customStyle="1" w:styleId="1053">
    <w:name w:val="正文首行缩进 Char Char Char Char Char Char"/>
    <w:qFormat/>
    <w:uiPriority w:val="0"/>
    <w:rPr>
      <w:rFonts w:ascii="宋体" w:eastAsia="宋体"/>
      <w:kern w:val="2"/>
      <w:sz w:val="24"/>
      <w:lang w:val="zh-CN" w:bidi="ar-SA"/>
    </w:rPr>
  </w:style>
  <w:style w:type="character" w:customStyle="1" w:styleId="1054">
    <w:name w:val="样式 宋体"/>
    <w:qFormat/>
    <w:uiPriority w:val="0"/>
    <w:rPr>
      <w:rFonts w:ascii="宋体" w:hAnsi="宋体"/>
      <w:sz w:val="24"/>
    </w:rPr>
  </w:style>
  <w:style w:type="character" w:customStyle="1" w:styleId="1055">
    <w:name w:val="tw4winJump"/>
    <w:qFormat/>
    <w:uiPriority w:val="0"/>
    <w:rPr>
      <w:rFonts w:ascii="Courier New" w:hAnsi="Courier New" w:cs="Courier New"/>
      <w:color w:val="008080"/>
      <w:lang w:val="en-US" w:eastAsia="zh-CN"/>
    </w:rPr>
  </w:style>
  <w:style w:type="character" w:customStyle="1" w:styleId="1056">
    <w:name w:val="标题 1 字符"/>
    <w:qFormat/>
    <w:uiPriority w:val="9"/>
    <w:rPr>
      <w:rFonts w:ascii="Arial" w:hAnsi="Arial" w:eastAsia="黑体" w:cs="Arial"/>
      <w:b/>
      <w:bCs/>
      <w:snapToGrid w:val="0"/>
      <w:kern w:val="44"/>
      <w:sz w:val="44"/>
      <w:szCs w:val="44"/>
    </w:rPr>
  </w:style>
  <w:style w:type="character" w:customStyle="1" w:styleId="1057">
    <w:name w:val="style36"/>
    <w:qFormat/>
    <w:uiPriority w:val="0"/>
    <w:rPr>
      <w:rFonts w:ascii="Arial" w:hAnsi="Arial" w:eastAsia="黑体" w:cs="Arial"/>
      <w:snapToGrid w:val="0"/>
      <w:kern w:val="0"/>
      <w:szCs w:val="21"/>
    </w:rPr>
  </w:style>
  <w:style w:type="character" w:customStyle="1" w:styleId="1058">
    <w:name w:val="pt9"/>
    <w:qFormat/>
    <w:uiPriority w:val="0"/>
    <w:rPr>
      <w:rFonts w:ascii="仿宋_GB2312" w:eastAsia="微软雅黑"/>
      <w:b/>
      <w:kern w:val="2"/>
      <w:sz w:val="32"/>
      <w:szCs w:val="32"/>
      <w:lang w:val="en-US" w:eastAsia="zh-CN" w:bidi="ar-SA"/>
    </w:rPr>
  </w:style>
  <w:style w:type="character" w:customStyle="1" w:styleId="1059">
    <w:name w:val="DO_NOT_TRANSLATE"/>
    <w:qFormat/>
    <w:uiPriority w:val="0"/>
    <w:rPr>
      <w:rFonts w:ascii="Courier New" w:hAnsi="Courier New" w:cs="Courier New"/>
      <w:color w:val="800000"/>
      <w:lang w:val="en-US" w:eastAsia="zh-CN"/>
    </w:rPr>
  </w:style>
  <w:style w:type="character" w:customStyle="1" w:styleId="1060">
    <w:name w:val="标书1 Char1"/>
    <w:qFormat/>
    <w:uiPriority w:val="0"/>
    <w:rPr>
      <w:rFonts w:eastAsia="宋体"/>
      <w:b/>
      <w:bCs/>
      <w:kern w:val="44"/>
      <w:sz w:val="44"/>
      <w:szCs w:val="44"/>
      <w:lang w:val="en-US" w:eastAsia="zh-CN" w:bidi="ar-SA"/>
    </w:rPr>
  </w:style>
  <w:style w:type="character" w:customStyle="1" w:styleId="1061">
    <w:name w:val="页脚 字符"/>
    <w:qFormat/>
    <w:uiPriority w:val="99"/>
    <w:rPr>
      <w:kern w:val="2"/>
      <w:sz w:val="18"/>
      <w:szCs w:val="18"/>
    </w:rPr>
  </w:style>
  <w:style w:type="character" w:customStyle="1" w:styleId="1062">
    <w:name w:val="正文2 Char"/>
    <w:qFormat/>
    <w:uiPriority w:val="0"/>
    <w:rPr>
      <w:rFonts w:eastAsia="宋体"/>
      <w:kern w:val="2"/>
      <w:sz w:val="24"/>
      <w:lang w:val="en-US" w:eastAsia="zh-CN" w:bidi="ar-SA"/>
    </w:rPr>
  </w:style>
  <w:style w:type="character" w:customStyle="1" w:styleId="1063">
    <w:name w:val="Char Char21"/>
    <w:qFormat/>
    <w:uiPriority w:val="6"/>
    <w:rPr>
      <w:rFonts w:ascii="宋体" w:hAnsi="宋体"/>
      <w:kern w:val="1"/>
      <w:sz w:val="24"/>
      <w:szCs w:val="21"/>
      <w:lang w:val="zh-CN"/>
    </w:rPr>
  </w:style>
  <w:style w:type="character" w:customStyle="1" w:styleId="1064">
    <w:name w:val="样式 正文缩进 + 首行缩进:  2 字符 Char Char"/>
    <w:link w:val="141"/>
    <w:qFormat/>
    <w:uiPriority w:val="0"/>
    <w:rPr>
      <w:rFonts w:cs="宋体"/>
      <w:kern w:val="2"/>
      <w:sz w:val="24"/>
    </w:rPr>
  </w:style>
  <w:style w:type="character" w:customStyle="1" w:styleId="1065">
    <w:name w:val="gray6"/>
    <w:qFormat/>
    <w:uiPriority w:val="0"/>
    <w:rPr>
      <w:rFonts w:ascii="Arial" w:hAnsi="Arial" w:eastAsia="黑体" w:cs="Arial"/>
      <w:snapToGrid w:val="0"/>
      <w:kern w:val="0"/>
      <w:szCs w:val="21"/>
    </w:rPr>
  </w:style>
  <w:style w:type="character" w:customStyle="1" w:styleId="1066">
    <w:name w:val="hui"/>
    <w:qFormat/>
    <w:uiPriority w:val="0"/>
    <w:rPr>
      <w:rFonts w:ascii="Arial" w:hAnsi="Arial" w:eastAsia="黑体" w:cs="Arial"/>
      <w:snapToGrid w:val="0"/>
      <w:kern w:val="0"/>
      <w:szCs w:val="21"/>
    </w:rPr>
  </w:style>
  <w:style w:type="character" w:customStyle="1" w:styleId="1067">
    <w:name w:val="哈哈正文 Char Char"/>
    <w:qFormat/>
    <w:uiPriority w:val="0"/>
    <w:rPr>
      <w:rFonts w:ascii="宋体" w:hAnsi="宋体" w:eastAsia="宋体" w:cs="宋体"/>
      <w:kern w:val="2"/>
      <w:sz w:val="24"/>
      <w:lang w:val="en-US" w:eastAsia="zh-CN" w:bidi="ar-SA"/>
    </w:rPr>
  </w:style>
  <w:style w:type="character" w:customStyle="1" w:styleId="1068">
    <w:name w:val="无间隔 字符"/>
    <w:link w:val="191"/>
    <w:qFormat/>
    <w:uiPriority w:val="99"/>
    <w:rPr>
      <w:kern w:val="2"/>
      <w:sz w:val="21"/>
      <w:szCs w:val="22"/>
    </w:rPr>
  </w:style>
  <w:style w:type="character" w:customStyle="1" w:styleId="1069">
    <w:name w:val="交叉引用"/>
    <w:qFormat/>
    <w:uiPriority w:val="1"/>
    <w:rPr>
      <w:rFonts w:ascii="Arial" w:hAnsi="Arial" w:eastAsia="黑体"/>
      <w:snapToGrid w:val="0"/>
      <w:color w:val="0000FF"/>
      <w:kern w:val="0"/>
      <w:sz w:val="20"/>
      <w:szCs w:val="21"/>
      <w:u w:val="single"/>
      <w:lang w:val="en-US" w:eastAsia="zh-CN"/>
    </w:rPr>
  </w:style>
  <w:style w:type="character" w:customStyle="1" w:styleId="1070">
    <w:name w:val="正文缩进 字符1"/>
    <w:qFormat/>
    <w:uiPriority w:val="0"/>
    <w:rPr>
      <w:rFonts w:ascii="宋体" w:eastAsia="宋体"/>
      <w:snapToGrid w:val="0"/>
      <w:color w:val="000000"/>
      <w:kern w:val="28"/>
      <w:sz w:val="28"/>
      <w:lang w:val="en-US" w:eastAsia="zh-CN" w:bidi="ar-SA"/>
    </w:rPr>
  </w:style>
  <w:style w:type="character" w:customStyle="1" w:styleId="1071">
    <w:name w:val="页脚 字符1"/>
    <w:qFormat/>
    <w:locked/>
    <w:uiPriority w:val="99"/>
    <w:rPr>
      <w:kern w:val="2"/>
      <w:sz w:val="18"/>
      <w:szCs w:val="18"/>
    </w:rPr>
  </w:style>
  <w:style w:type="character" w:customStyle="1" w:styleId="1072">
    <w:name w:val="页眉 字符1"/>
    <w:qFormat/>
    <w:uiPriority w:val="99"/>
    <w:rPr>
      <w:kern w:val="2"/>
      <w:sz w:val="18"/>
      <w:szCs w:val="18"/>
    </w:rPr>
  </w:style>
  <w:style w:type="character" w:customStyle="1" w:styleId="1073">
    <w:name w:val="标准文本 Char Char"/>
    <w:link w:val="630"/>
    <w:qFormat/>
    <w:uiPriority w:val="0"/>
    <w:rPr>
      <w:rFonts w:cs="宋体"/>
      <w:kern w:val="2"/>
      <w:sz w:val="24"/>
    </w:rPr>
  </w:style>
  <w:style w:type="character" w:customStyle="1" w:styleId="1074">
    <w:name w:val="Char Char213"/>
    <w:qFormat/>
    <w:uiPriority w:val="0"/>
    <w:rPr>
      <w:rFonts w:eastAsia="Century Gothic"/>
      <w:b/>
      <w:bCs/>
      <w:kern w:val="44"/>
      <w:sz w:val="32"/>
      <w:szCs w:val="44"/>
      <w:lang w:val="en-US" w:eastAsia="zh-CN" w:bidi="ar-SA"/>
    </w:rPr>
  </w:style>
  <w:style w:type="character" w:customStyle="1" w:styleId="1075">
    <w:name w:val="apple-style-span"/>
    <w:qFormat/>
    <w:uiPriority w:val="0"/>
    <w:rPr>
      <w:rFonts w:ascii="Arial" w:hAnsi="Arial" w:eastAsia="黑体" w:cs="Arial"/>
      <w:snapToGrid w:val="0"/>
      <w:kern w:val="0"/>
      <w:szCs w:val="21"/>
    </w:rPr>
  </w:style>
  <w:style w:type="character" w:customStyle="1" w:styleId="1076">
    <w:name w:val="15"/>
    <w:qFormat/>
    <w:uiPriority w:val="0"/>
    <w:rPr>
      <w:rFonts w:hint="default" w:ascii="Calibri" w:hAnsi="Calibri"/>
      <w:color w:val="0000FF"/>
      <w:u w:val="single"/>
    </w:rPr>
  </w:style>
  <w:style w:type="character" w:customStyle="1" w:styleId="1077">
    <w:name w:val="16"/>
    <w:qFormat/>
    <w:uiPriority w:val="0"/>
    <w:rPr>
      <w:rFonts w:hint="eastAsia" w:ascii="宋体" w:hAnsi="宋体" w:eastAsia="宋体"/>
      <w:color w:val="000000"/>
      <w:sz w:val="20"/>
      <w:szCs w:val="20"/>
    </w:rPr>
  </w:style>
  <w:style w:type="character" w:customStyle="1" w:styleId="1078">
    <w:name w:val="edui-unclickable"/>
    <w:qFormat/>
    <w:uiPriority w:val="0"/>
    <w:rPr>
      <w:color w:val="808080"/>
    </w:rPr>
  </w:style>
  <w:style w:type="character" w:customStyle="1" w:styleId="1079">
    <w:name w:val="tpc_content1"/>
    <w:qFormat/>
    <w:uiPriority w:val="0"/>
    <w:rPr>
      <w:sz w:val="20"/>
      <w:szCs w:val="20"/>
    </w:rPr>
  </w:style>
  <w:style w:type="character" w:customStyle="1" w:styleId="1080">
    <w:name w:val="正文文本缩进 字符"/>
    <w:qFormat/>
    <w:uiPriority w:val="0"/>
    <w:rPr>
      <w:rFonts w:ascii="Century Gothic" w:hAnsi="Century Gothic" w:eastAsia="Century Gothic"/>
      <w:kern w:val="2"/>
      <w:sz w:val="24"/>
      <w:lang w:val="en-US" w:eastAsia="zh-CN" w:bidi="ar-SA"/>
    </w:rPr>
  </w:style>
  <w:style w:type="character" w:customStyle="1" w:styleId="1081">
    <w:name w:val="正文文本 2 字符"/>
    <w:qFormat/>
    <w:uiPriority w:val="99"/>
    <w:rPr>
      <w:rFonts w:ascii="Arial" w:hAnsi="Arial" w:eastAsia="宋体"/>
      <w:kern w:val="2"/>
      <w:sz w:val="24"/>
      <w:szCs w:val="24"/>
      <w:lang w:val="en-US" w:eastAsia="zh-CN" w:bidi="ar-SA"/>
    </w:rPr>
  </w:style>
  <w:style w:type="character" w:customStyle="1" w:styleId="1082">
    <w:name w:val="edui-clickable2"/>
    <w:qFormat/>
    <w:uiPriority w:val="0"/>
    <w:rPr>
      <w:color w:val="0000FF"/>
      <w:u w:val="single"/>
    </w:rPr>
  </w:style>
  <w:style w:type="character" w:customStyle="1" w:styleId="1083">
    <w:name w:val="style1"/>
    <w:qFormat/>
    <w:uiPriority w:val="0"/>
    <w:rPr>
      <w:rFonts w:ascii="Arial" w:hAnsi="Arial" w:eastAsia="黑体" w:cs="Arial"/>
      <w:snapToGrid w:val="0"/>
      <w:kern w:val="0"/>
      <w:szCs w:val="21"/>
    </w:rPr>
  </w:style>
  <w:style w:type="character" w:customStyle="1" w:styleId="1084">
    <w:name w:val="zbggtop11 style5"/>
    <w:qFormat/>
    <w:uiPriority w:val="0"/>
    <w:rPr>
      <w:rFonts w:ascii="Arial" w:hAnsi="Arial" w:eastAsia="黑体" w:cs="Arial"/>
      <w:snapToGrid w:val="0"/>
      <w:kern w:val="0"/>
      <w:szCs w:val="21"/>
    </w:rPr>
  </w:style>
  <w:style w:type="character" w:customStyle="1" w:styleId="108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86">
    <w:name w:val="bulletintext1"/>
    <w:qFormat/>
    <w:uiPriority w:val="0"/>
    <w:rPr>
      <w:color w:val="000000"/>
      <w:sz w:val="18"/>
    </w:rPr>
  </w:style>
  <w:style w:type="character" w:customStyle="1" w:styleId="1087">
    <w:name w:val="ksfind_class_select1"/>
    <w:qFormat/>
    <w:uiPriority w:val="0"/>
    <w:rPr>
      <w:color w:val="000000"/>
      <w:shd w:val="clear" w:color="auto" w:fill="EFD200"/>
    </w:rPr>
  </w:style>
  <w:style w:type="character" w:customStyle="1" w:styleId="1088">
    <w:name w:val="font71"/>
    <w:qFormat/>
    <w:uiPriority w:val="0"/>
    <w:rPr>
      <w:rFonts w:hint="eastAsia" w:ascii="宋体" w:hAnsi="宋体" w:eastAsia="宋体" w:cs="宋体"/>
      <w:color w:val="000000"/>
      <w:sz w:val="22"/>
      <w:szCs w:val="22"/>
      <w:u w:val="none"/>
    </w:rPr>
  </w:style>
  <w:style w:type="character" w:customStyle="1" w:styleId="1089">
    <w:name w:val="font91"/>
    <w:qFormat/>
    <w:uiPriority w:val="0"/>
    <w:rPr>
      <w:rFonts w:hint="eastAsia" w:ascii="仿宋" w:hAnsi="仿宋" w:eastAsia="仿宋" w:cs="仿宋"/>
      <w:color w:val="000000"/>
      <w:sz w:val="22"/>
      <w:szCs w:val="22"/>
      <w:u w:val="none"/>
    </w:rPr>
  </w:style>
  <w:style w:type="character" w:customStyle="1" w:styleId="1090">
    <w:name w:val="未处理的提及2"/>
    <w:unhideWhenUsed/>
    <w:qFormat/>
    <w:uiPriority w:val="99"/>
    <w:rPr>
      <w:color w:val="605E5C"/>
      <w:shd w:val="clear" w:color="auto" w:fill="E1DFDD"/>
    </w:rPr>
  </w:style>
  <w:style w:type="character" w:customStyle="1" w:styleId="1091">
    <w:name w:val="_正文 Char"/>
    <w:link w:val="645"/>
    <w:qFormat/>
    <w:uiPriority w:val="0"/>
    <w:rPr>
      <w:rFonts w:eastAsia="宋体" w:cs="Times New Roman"/>
      <w:kern w:val="2"/>
      <w:sz w:val="24"/>
      <w:szCs w:val="24"/>
    </w:rPr>
  </w:style>
  <w:style w:type="character" w:customStyle="1" w:styleId="1092">
    <w:name w:val="亚运 5级标题 字符"/>
    <w:link w:val="646"/>
    <w:qFormat/>
    <w:uiPriority w:val="0"/>
    <w:rPr>
      <w:rFonts w:ascii="宋体" w:hAnsi="宋体"/>
      <w:color w:val="000000"/>
      <w:kern w:val="2"/>
      <w:sz w:val="24"/>
      <w:szCs w:val="28"/>
    </w:rPr>
  </w:style>
  <w:style w:type="character" w:customStyle="1" w:styleId="1093">
    <w:name w:val="正文缩 Char"/>
    <w:link w:val="649"/>
    <w:qFormat/>
    <w:uiPriority w:val="0"/>
    <w:rPr>
      <w:rFonts w:eastAsia="楷体_GB2312"/>
      <w:kern w:val="2"/>
      <w:sz w:val="24"/>
      <w:szCs w:val="24"/>
    </w:rPr>
  </w:style>
  <w:style w:type="character" w:customStyle="1" w:styleId="1094">
    <w:name w:val="未处理的提及3"/>
    <w:unhideWhenUsed/>
    <w:qFormat/>
    <w:uiPriority w:val="99"/>
    <w:rPr>
      <w:color w:val="605E5C"/>
      <w:shd w:val="clear" w:color="auto" w:fill="E1DFDD"/>
    </w:rPr>
  </w:style>
  <w:style w:type="character" w:customStyle="1" w:styleId="1095">
    <w:name w:val="亚运3级标题 字符"/>
    <w:link w:val="650"/>
    <w:qFormat/>
    <w:uiPriority w:val="0"/>
    <w:rPr>
      <w:rFonts w:ascii="黑体" w:hAnsi="黑体" w:eastAsia="仿宋" w:cs="Arial"/>
      <w:bCs/>
      <w:kern w:val="2"/>
      <w:sz w:val="30"/>
      <w:szCs w:val="30"/>
    </w:rPr>
  </w:style>
  <w:style w:type="character" w:customStyle="1" w:styleId="1096">
    <w:name w:val="亚运 4级标题 字符"/>
    <w:link w:val="651"/>
    <w:qFormat/>
    <w:uiPriority w:val="0"/>
    <w:rPr>
      <w:rFonts w:ascii="黑体" w:hAnsi="黑体" w:eastAsia="仿宋" w:cs="Times New Roman"/>
      <w:color w:val="000000"/>
      <w:kern w:val="0"/>
      <w:sz w:val="30"/>
      <w:szCs w:val="30"/>
    </w:rPr>
  </w:style>
  <w:style w:type="character" w:customStyle="1" w:styleId="1097">
    <w:name w:val="未处理的提及4"/>
    <w:basedOn w:val="95"/>
    <w:unhideWhenUsed/>
    <w:qFormat/>
    <w:uiPriority w:val="99"/>
    <w:rPr>
      <w:color w:val="605E5C"/>
      <w:shd w:val="clear" w:color="auto" w:fill="E1DFDD"/>
    </w:rPr>
  </w:style>
  <w:style w:type="character" w:customStyle="1" w:styleId="1098">
    <w:name w:val="未处理的提及5"/>
    <w:basedOn w:val="95"/>
    <w:unhideWhenUsed/>
    <w:qFormat/>
    <w:uiPriority w:val="99"/>
    <w:rPr>
      <w:color w:val="605E5C"/>
      <w:shd w:val="clear" w:color="auto" w:fill="E1DFDD"/>
    </w:rPr>
  </w:style>
  <w:style w:type="character" w:customStyle="1" w:styleId="1099">
    <w:name w:val="样式1 Char"/>
    <w:link w:val="432"/>
    <w:qFormat/>
    <w:uiPriority w:val="0"/>
    <w:rPr>
      <w:rFonts w:ascii="宋体" w:hAnsi="宋体"/>
      <w:b/>
      <w:kern w:val="0"/>
      <w:sz w:val="24"/>
      <w:szCs w:val="20"/>
    </w:rPr>
  </w:style>
  <w:style w:type="character" w:customStyle="1" w:styleId="1100">
    <w:name w:val="标题 3 字符1"/>
    <w:link w:val="6"/>
    <w:qFormat/>
    <w:uiPriority w:val="0"/>
    <w:rPr>
      <w:rFonts w:eastAsia="宋体"/>
      <w:b/>
      <w:bCs/>
      <w:sz w:val="24"/>
      <w:szCs w:val="32"/>
    </w:rPr>
  </w:style>
  <w:style w:type="character" w:customStyle="1" w:styleId="1101">
    <w:name w:val="标题 2 字符1"/>
    <w:link w:val="5"/>
    <w:qFormat/>
    <w:uiPriority w:val="0"/>
    <w:rPr>
      <w:rFonts w:ascii="仿宋_GB2312" w:hAnsi="仿宋_GB2312" w:eastAsia="宋体"/>
      <w:sz w:val="28"/>
      <w:szCs w:val="32"/>
      <w:lang w:val="zh-CN"/>
    </w:rPr>
  </w:style>
  <w:style w:type="character" w:customStyle="1" w:styleId="1102">
    <w:name w:val="样式 正1 + 首行缩进:  2 字符 Char"/>
    <w:link w:val="448"/>
    <w:qFormat/>
    <w:uiPriority w:val="0"/>
    <w:rPr>
      <w:rFonts w:ascii="仿宋_GB2312" w:eastAsia="仿宋_GB2312"/>
      <w:sz w:val="24"/>
    </w:rPr>
  </w:style>
  <w:style w:type="character" w:customStyle="1" w:styleId="1103">
    <w:name w:val="一级条标题 Char"/>
    <w:link w:val="365"/>
    <w:qFormat/>
    <w:uiPriority w:val="0"/>
  </w:style>
  <w:style w:type="character" w:customStyle="1" w:styleId="1104">
    <w:name w:val="未处理的提及6"/>
    <w:basedOn w:val="95"/>
    <w:unhideWhenUsed/>
    <w:qFormat/>
    <w:uiPriority w:val="99"/>
    <w:rPr>
      <w:color w:val="605E5C"/>
      <w:shd w:val="clear" w:color="auto" w:fill="E1DFDD"/>
    </w:rPr>
  </w:style>
  <w:style w:type="character" w:customStyle="1" w:styleId="1105">
    <w:name w:val="未处理的提及7"/>
    <w:basedOn w:val="95"/>
    <w:unhideWhenUsed/>
    <w:qFormat/>
    <w:uiPriority w:val="99"/>
    <w:rPr>
      <w:color w:val="605E5C"/>
      <w:shd w:val="clear" w:color="auto" w:fill="E1DFDD"/>
    </w:rPr>
  </w:style>
  <w:style w:type="character" w:customStyle="1" w:styleId="1106">
    <w:name w:val="bookmark-item"/>
    <w:basedOn w:val="95"/>
    <w:qFormat/>
    <w:uiPriority w:val="0"/>
  </w:style>
  <w:style w:type="character" w:customStyle="1" w:styleId="1107">
    <w:name w:val="正文（上会） 字符"/>
    <w:basedOn w:val="95"/>
    <w:link w:val="661"/>
    <w:qFormat/>
    <w:uiPriority w:val="0"/>
    <w:rPr>
      <w:rFonts w:ascii="仿宋_GB2312" w:hAnsi="仿宋_GB2312" w:eastAsia="仿宋_GB2312" w:cs="仿宋_GB2312"/>
      <w:kern w:val="2"/>
      <w:sz w:val="32"/>
      <w:szCs w:val="32"/>
    </w:rPr>
  </w:style>
  <w:style w:type="character" w:customStyle="1" w:styleId="1108">
    <w:name w:val="未处理的提及8"/>
    <w:basedOn w:val="95"/>
    <w:unhideWhenUsed/>
    <w:qFormat/>
    <w:uiPriority w:val="99"/>
    <w:rPr>
      <w:color w:val="605E5C"/>
      <w:shd w:val="clear" w:color="auto" w:fill="E1DFDD"/>
    </w:rPr>
  </w:style>
  <w:style w:type="character" w:customStyle="1" w:styleId="1109">
    <w:name w:val="未处理的提及9"/>
    <w:basedOn w:val="95"/>
    <w:unhideWhenUsed/>
    <w:qFormat/>
    <w:uiPriority w:val="99"/>
    <w:rPr>
      <w:color w:val="605E5C"/>
      <w:shd w:val="clear" w:color="auto" w:fill="E1DFDD"/>
    </w:rPr>
  </w:style>
  <w:style w:type="character" w:customStyle="1" w:styleId="1110">
    <w:name w:val="未处理的提及10"/>
    <w:basedOn w:val="95"/>
    <w:unhideWhenUsed/>
    <w:qFormat/>
    <w:uiPriority w:val="99"/>
    <w:rPr>
      <w:color w:val="605E5C"/>
      <w:shd w:val="clear" w:color="auto" w:fill="E1DFDD"/>
    </w:rPr>
  </w:style>
  <w:style w:type="character" w:customStyle="1" w:styleId="1111">
    <w:name w:val="二级标题 字符"/>
    <w:link w:val="663"/>
    <w:qFormat/>
    <w:uiPriority w:val="0"/>
    <w:rPr>
      <w:rFonts w:ascii="Arial" w:hAnsi="Arial" w:cs="宋体"/>
      <w:b/>
      <w:bCs/>
      <w:kern w:val="2"/>
      <w:sz w:val="30"/>
      <w:szCs w:val="32"/>
    </w:rPr>
  </w:style>
  <w:style w:type="character" w:customStyle="1" w:styleId="1112">
    <w:name w:val="四级标题 字符"/>
    <w:link w:val="664"/>
    <w:qFormat/>
    <w:uiPriority w:val="0"/>
    <w:rPr>
      <w:rFonts w:ascii="Arial" w:hAnsi="Arial" w:cs="宋体"/>
      <w:b/>
      <w:bCs/>
      <w:kern w:val="2"/>
      <w:sz w:val="28"/>
      <w:szCs w:val="28"/>
    </w:rPr>
  </w:style>
  <w:style w:type="character" w:customStyle="1" w:styleId="1113">
    <w:name w:val="五级标题 字符"/>
    <w:link w:val="665"/>
    <w:qFormat/>
    <w:uiPriority w:val="0"/>
    <w:rPr>
      <w:rFonts w:ascii="Arial" w:hAnsi="Arial" w:cs="宋体"/>
      <w:b/>
      <w:bCs/>
      <w:sz w:val="28"/>
      <w:szCs w:val="28"/>
    </w:rPr>
  </w:style>
  <w:style w:type="character" w:customStyle="1" w:styleId="1114">
    <w:name w:val="六级标题 字符"/>
    <w:link w:val="666"/>
    <w:qFormat/>
    <w:uiPriority w:val="0"/>
    <w:rPr>
      <w:rFonts w:ascii="Arial" w:hAnsi="Arial" w:cs="宋体"/>
      <w:b/>
      <w:bCs/>
      <w:kern w:val="2"/>
      <w:sz w:val="28"/>
      <w:szCs w:val="24"/>
    </w:rPr>
  </w:style>
  <w:style w:type="character" w:customStyle="1" w:styleId="1115">
    <w:name w:val="未处理的提及11"/>
    <w:basedOn w:val="95"/>
    <w:unhideWhenUsed/>
    <w:qFormat/>
    <w:uiPriority w:val="0"/>
    <w:rPr>
      <w:color w:val="605E5C"/>
      <w:shd w:val="clear" w:color="auto" w:fill="E1DFDD"/>
    </w:rPr>
  </w:style>
  <w:style w:type="character" w:customStyle="1" w:styleId="1116">
    <w:name w:val="未处理的提及12"/>
    <w:basedOn w:val="95"/>
    <w:unhideWhenUsed/>
    <w:qFormat/>
    <w:uiPriority w:val="99"/>
    <w:rPr>
      <w:color w:val="605E5C"/>
      <w:shd w:val="clear" w:color="auto" w:fill="E1DFDD"/>
    </w:rPr>
  </w:style>
  <w:style w:type="character" w:customStyle="1" w:styleId="1117">
    <w:name w:val="正文（缩进） 字符"/>
    <w:link w:val="672"/>
    <w:qFormat/>
    <w:uiPriority w:val="0"/>
    <w:rPr>
      <w:rFonts w:ascii="宋体" w:hAnsi="宋体"/>
      <w:sz w:val="24"/>
      <w:szCs w:val="24"/>
    </w:rPr>
  </w:style>
  <w:style w:type="character" w:customStyle="1" w:styleId="1118">
    <w:name w:val="正文ll Char"/>
    <w:link w:val="674"/>
    <w:qFormat/>
    <w:uiPriority w:val="0"/>
    <w:rPr>
      <w:kern w:val="2"/>
      <w:sz w:val="24"/>
      <w:szCs w:val="24"/>
    </w:rPr>
  </w:style>
  <w:style w:type="character" w:customStyle="1" w:styleId="1119">
    <w:name w:val="宏文本 字符"/>
    <w:basedOn w:val="95"/>
    <w:link w:val="3"/>
    <w:qFormat/>
    <w:uiPriority w:val="99"/>
    <w:rPr>
      <w:rFonts w:ascii="Courier New" w:hAnsi="Courier New" w:cs="Courier New"/>
      <w:kern w:val="2"/>
      <w:sz w:val="24"/>
      <w:szCs w:val="24"/>
    </w:rPr>
  </w:style>
  <w:style w:type="character" w:customStyle="1" w:styleId="1120">
    <w:name w:val="注释标题 字符"/>
    <w:basedOn w:val="95"/>
    <w:link w:val="17"/>
    <w:qFormat/>
    <w:uiPriority w:val="99"/>
    <w:rPr>
      <w:rFonts w:ascii="Calibri" w:hAnsi="Calibri"/>
      <w:kern w:val="2"/>
      <w:sz w:val="28"/>
    </w:rPr>
  </w:style>
  <w:style w:type="character" w:customStyle="1" w:styleId="1121">
    <w:name w:val="电子邮件签名 字符"/>
    <w:basedOn w:val="95"/>
    <w:link w:val="20"/>
    <w:qFormat/>
    <w:uiPriority w:val="99"/>
    <w:rPr>
      <w:rFonts w:ascii="Calibri" w:hAnsi="Calibri"/>
      <w:kern w:val="2"/>
      <w:sz w:val="28"/>
    </w:rPr>
  </w:style>
  <w:style w:type="character" w:customStyle="1" w:styleId="1122">
    <w:name w:val="结束语 字符"/>
    <w:basedOn w:val="95"/>
    <w:link w:val="33"/>
    <w:qFormat/>
    <w:uiPriority w:val="99"/>
    <w:rPr>
      <w:rFonts w:ascii="Calibri" w:hAnsi="Calibri"/>
      <w:kern w:val="2"/>
      <w:sz w:val="28"/>
    </w:rPr>
  </w:style>
  <w:style w:type="character" w:customStyle="1" w:styleId="1123">
    <w:name w:val="信息标题 字符"/>
    <w:basedOn w:val="95"/>
    <w:link w:val="79"/>
    <w:qFormat/>
    <w:uiPriority w:val="99"/>
    <w:rPr>
      <w:rFonts w:ascii="等线 Light" w:hAnsi="等线 Light" w:eastAsia="等线 Light"/>
      <w:kern w:val="2"/>
      <w:sz w:val="24"/>
      <w:szCs w:val="24"/>
      <w:shd w:val="pct20" w:color="auto" w:fill="auto"/>
    </w:rPr>
  </w:style>
  <w:style w:type="character" w:customStyle="1" w:styleId="1124">
    <w:name w:val="正文-段落 Char"/>
    <w:link w:val="675"/>
    <w:qFormat/>
    <w:uiPriority w:val="0"/>
    <w:rPr>
      <w:sz w:val="24"/>
      <w:szCs w:val="24"/>
    </w:rPr>
  </w:style>
  <w:style w:type="character" w:customStyle="1" w:styleId="1125">
    <w:name w:val="批注主题 Char1"/>
    <w:qFormat/>
    <w:uiPriority w:val="0"/>
    <w:rPr>
      <w:rFonts w:ascii="Calibri" w:hAnsi="Calibri"/>
      <w:b/>
      <w:bCs/>
      <w:kern w:val="2"/>
      <w:sz w:val="21"/>
      <w:szCs w:val="22"/>
    </w:rPr>
  </w:style>
  <w:style w:type="character" w:customStyle="1" w:styleId="1126">
    <w:name w:val="标题 5 字符1"/>
    <w:qFormat/>
    <w:uiPriority w:val="0"/>
    <w:rPr>
      <w:rFonts w:ascii="Calibri" w:hAnsi="Calibri" w:cs="宋体"/>
      <w:b/>
      <w:bCs/>
      <w:sz w:val="28"/>
      <w:szCs w:val="28"/>
    </w:rPr>
  </w:style>
  <w:style w:type="character" w:customStyle="1" w:styleId="1127">
    <w:name w:val="图片 字符"/>
    <w:link w:val="676"/>
    <w:qFormat/>
    <w:uiPriority w:val="0"/>
    <w:rPr>
      <w:rFonts w:ascii="仿宋" w:hAnsi="仿宋" w:eastAsia="仿宋"/>
      <w:kern w:val="2"/>
      <w:sz w:val="28"/>
      <w:szCs w:val="24"/>
    </w:rPr>
  </w:style>
  <w:style w:type="character" w:customStyle="1" w:styleId="1128">
    <w:name w:val="正缩 Char"/>
    <w:link w:val="677"/>
    <w:qFormat/>
    <w:uiPriority w:val="0"/>
    <w:rPr>
      <w:rFonts w:ascii="宋体" w:hAnsi="宋体"/>
      <w:kern w:val="2"/>
      <w:sz w:val="24"/>
      <w:szCs w:val="24"/>
    </w:rPr>
  </w:style>
  <w:style w:type="character" w:customStyle="1" w:styleId="1129">
    <w:name w:val="标题4级 字符"/>
    <w:link w:val="678"/>
    <w:qFormat/>
    <w:uiPriority w:val="0"/>
    <w:rPr>
      <w:rFonts w:ascii="宋体" w:hAnsi="宋体" w:cs="宋体"/>
      <w:b/>
      <w:bCs/>
      <w:snapToGrid w:val="0"/>
      <w:kern w:val="2"/>
      <w:sz w:val="28"/>
      <w:szCs w:val="28"/>
      <w:lang w:val="zh-CN"/>
    </w:rPr>
  </w:style>
  <w:style w:type="character" w:customStyle="1" w:styleId="1130">
    <w:name w:val="keyword"/>
    <w:basedOn w:val="95"/>
    <w:qFormat/>
    <w:uiPriority w:val="0"/>
  </w:style>
  <w:style w:type="character" w:customStyle="1" w:styleId="1131">
    <w:name w:val="编号1 Char Char"/>
    <w:link w:val="673"/>
    <w:qFormat/>
    <w:uiPriority w:val="0"/>
    <w:rPr>
      <w:rFonts w:eastAsia="仿宋_GB2312"/>
      <w:kern w:val="2"/>
      <w:sz w:val="28"/>
      <w:szCs w:val="24"/>
    </w:rPr>
  </w:style>
  <w:style w:type="character" w:customStyle="1" w:styleId="1132">
    <w:name w:val="段 Char"/>
    <w:link w:val="348"/>
    <w:qFormat/>
    <w:locked/>
    <w:uiPriority w:val="0"/>
    <w:rPr>
      <w:rFonts w:ascii="宋体"/>
      <w:sz w:val="21"/>
    </w:rPr>
  </w:style>
  <w:style w:type="character" w:customStyle="1" w:styleId="1133">
    <w:name w:val="普通(网站) 字符"/>
    <w:link w:val="81"/>
    <w:qFormat/>
    <w:uiPriority w:val="0"/>
    <w:rPr>
      <w:rFonts w:ascii="宋体" w:hAnsi="宋体"/>
      <w:sz w:val="24"/>
      <w:szCs w:val="24"/>
    </w:rPr>
  </w:style>
  <w:style w:type="character" w:customStyle="1" w:styleId="1134">
    <w:name w:val="正文ll Char Char"/>
    <w:qFormat/>
    <w:uiPriority w:val="0"/>
    <w:rPr>
      <w:sz w:val="24"/>
      <w:szCs w:val="24"/>
    </w:rPr>
  </w:style>
  <w:style w:type="character" w:customStyle="1" w:styleId="1135">
    <w:name w:val="图片2 字符"/>
    <w:link w:val="679"/>
    <w:qFormat/>
    <w:uiPriority w:val="0"/>
    <w:rPr>
      <w:rFonts w:eastAsia="仿宋"/>
      <w:sz w:val="32"/>
      <w:szCs w:val="24"/>
    </w:rPr>
  </w:style>
  <w:style w:type="character" w:customStyle="1" w:styleId="1136">
    <w:name w:val="中等深浅底纹 1 - 着色 1 字符"/>
    <w:link w:val="680"/>
    <w:qFormat/>
    <w:uiPriority w:val="1"/>
    <w:rPr>
      <w:sz w:val="22"/>
      <w:szCs w:val="22"/>
    </w:rPr>
  </w:style>
  <w:style w:type="character" w:customStyle="1" w:styleId="1137">
    <w:name w:val="apple-tab-span"/>
    <w:qFormat/>
    <w:uiPriority w:val="0"/>
  </w:style>
  <w:style w:type="character" w:customStyle="1" w:styleId="1138">
    <w:name w:val="题注1 Char"/>
    <w:link w:val="681"/>
    <w:qFormat/>
    <w:uiPriority w:val="0"/>
    <w:rPr>
      <w:rFonts w:ascii="Arial" w:hAnsi="Arial" w:eastAsia="黑体" w:cs="宋体"/>
      <w:kern w:val="2"/>
      <w:sz w:val="21"/>
    </w:rPr>
  </w:style>
  <w:style w:type="character" w:customStyle="1" w:styleId="1139">
    <w:name w:val="图表标题 Char"/>
    <w:link w:val="682"/>
    <w:qFormat/>
    <w:uiPriority w:val="0"/>
    <w:rPr>
      <w:rFonts w:ascii="黑体" w:hAnsi="黑体" w:eastAsia="黑体"/>
      <w:b/>
      <w:szCs w:val="21"/>
    </w:rPr>
  </w:style>
  <w:style w:type="character" w:customStyle="1" w:styleId="1140">
    <w:name w:val="编号2 Char Char"/>
    <w:link w:val="683"/>
    <w:qFormat/>
    <w:uiPriority w:val="0"/>
    <w:rPr>
      <w:rFonts w:ascii="宋体" w:hAnsi="宋体" w:eastAsia="仿宋_GB2312" w:cs="宋体"/>
      <w:kern w:val="2"/>
      <w:sz w:val="28"/>
      <w:szCs w:val="24"/>
    </w:rPr>
  </w:style>
  <w:style w:type="character" w:customStyle="1" w:styleId="1141">
    <w:name w:val="def"/>
    <w:basedOn w:val="95"/>
    <w:qFormat/>
    <w:uiPriority w:val="0"/>
  </w:style>
  <w:style w:type="character" w:customStyle="1" w:styleId="1142">
    <w:name w:val="title21"/>
    <w:qFormat/>
    <w:uiPriority w:val="0"/>
    <w:rPr>
      <w:b/>
      <w:bCs/>
      <w:color w:val="000000"/>
      <w:sz w:val="33"/>
      <w:szCs w:val="33"/>
    </w:rPr>
  </w:style>
  <w:style w:type="character" w:customStyle="1" w:styleId="1143">
    <w:name w:val="正文（缩进） Char"/>
    <w:qFormat/>
    <w:uiPriority w:val="0"/>
    <w:rPr>
      <w:rFonts w:ascii="宋体" w:hAnsi="宋体"/>
      <w:kern w:val="2"/>
      <w:sz w:val="24"/>
      <w:szCs w:val="24"/>
    </w:rPr>
  </w:style>
  <w:style w:type="character" w:customStyle="1" w:styleId="1144">
    <w:name w:val="标题 6 字符1"/>
    <w:qFormat/>
    <w:uiPriority w:val="0"/>
    <w:rPr>
      <w:rFonts w:ascii="Cambria" w:hAnsi="Cambria" w:cs="宋体"/>
      <w:b/>
      <w:bCs/>
      <w:sz w:val="28"/>
      <w:szCs w:val="28"/>
    </w:rPr>
  </w:style>
  <w:style w:type="character" w:customStyle="1" w:styleId="1145">
    <w:name w:val="样式 正文文本缩进 + 左  0 字符 Char"/>
    <w:link w:val="684"/>
    <w:qFormat/>
    <w:uiPriority w:val="0"/>
    <w:rPr>
      <w:sz w:val="24"/>
      <w:lang w:eastAsia="en-US"/>
    </w:rPr>
  </w:style>
  <w:style w:type="character" w:customStyle="1" w:styleId="1146">
    <w:name w:val="Default Text Char Char"/>
    <w:link w:val="451"/>
    <w:qFormat/>
    <w:uiPriority w:val="0"/>
    <w:rPr>
      <w:rFonts w:ascii="宋体" w:hAnsi="宋体" w:eastAsia="微软雅黑"/>
      <w:sz w:val="24"/>
    </w:rPr>
  </w:style>
  <w:style w:type="character" w:customStyle="1" w:styleId="1147">
    <w:name w:val="标题 3 Char"/>
    <w:qFormat/>
    <w:uiPriority w:val="0"/>
    <w:rPr>
      <w:rFonts w:ascii="Calibri" w:hAnsi="Calibri"/>
      <w:b/>
      <w:kern w:val="2"/>
      <w:sz w:val="32"/>
    </w:rPr>
  </w:style>
  <w:style w:type="character" w:customStyle="1" w:styleId="1148">
    <w:name w:val="recordsinfoblock"/>
    <w:qFormat/>
    <w:uiPriority w:val="0"/>
    <w:rPr>
      <w:rFonts w:ascii="Verdana" w:hAnsi="Verdana" w:cs="Verdana"/>
      <w:sz w:val="9"/>
      <w:szCs w:val="9"/>
    </w:rPr>
  </w:style>
  <w:style w:type="character" w:customStyle="1" w:styleId="1149">
    <w:name w:val="space2"/>
    <w:qFormat/>
    <w:uiPriority w:val="0"/>
  </w:style>
  <w:style w:type="character" w:customStyle="1" w:styleId="1150">
    <w:name w:val="space"/>
    <w:qFormat/>
    <w:uiPriority w:val="0"/>
  </w:style>
  <w:style w:type="character" w:customStyle="1" w:styleId="1151">
    <w:name w:val="明显引用 字符"/>
    <w:basedOn w:val="95"/>
    <w:link w:val="744"/>
    <w:qFormat/>
    <w:uiPriority w:val="99"/>
    <w:rPr>
      <w:rFonts w:ascii="Calibri" w:hAnsi="Calibri"/>
      <w:i/>
      <w:iCs/>
      <w:color w:val="4472C4"/>
      <w:kern w:val="2"/>
      <w:sz w:val="28"/>
    </w:rPr>
  </w:style>
  <w:style w:type="character" w:customStyle="1" w:styleId="1152">
    <w:name w:val="引用 字符"/>
    <w:basedOn w:val="95"/>
    <w:link w:val="747"/>
    <w:qFormat/>
    <w:uiPriority w:val="99"/>
    <w:rPr>
      <w:rFonts w:ascii="Calibri" w:hAnsi="Calibri"/>
      <w:i/>
      <w:iCs/>
      <w:color w:val="404040"/>
      <w:kern w:val="2"/>
      <w:sz w:val="28"/>
    </w:rPr>
  </w:style>
  <w:style w:type="character" w:customStyle="1" w:styleId="1153">
    <w:name w:val="脚注文本 字符1"/>
    <w:semiHidden/>
    <w:qFormat/>
    <w:uiPriority w:val="99"/>
    <w:rPr>
      <w:rFonts w:ascii="宋体" w:hAnsi="宋体" w:cs="宋体"/>
      <w:sz w:val="18"/>
      <w:szCs w:val="18"/>
    </w:rPr>
  </w:style>
  <w:style w:type="character" w:customStyle="1" w:styleId="1154">
    <w:name w:val="正文文本缩进 2 字符1"/>
    <w:semiHidden/>
    <w:qFormat/>
    <w:uiPriority w:val="99"/>
    <w:rPr>
      <w:rFonts w:ascii="宋体" w:hAnsi="宋体" w:cs="宋体"/>
      <w:sz w:val="24"/>
      <w:szCs w:val="24"/>
    </w:rPr>
  </w:style>
  <w:style w:type="character" w:customStyle="1" w:styleId="1155">
    <w:name w:val="批注文字 字符2"/>
    <w:semiHidden/>
    <w:qFormat/>
    <w:uiPriority w:val="99"/>
    <w:rPr>
      <w:rFonts w:ascii="宋体" w:hAnsi="宋体" w:cs="宋体"/>
      <w:sz w:val="24"/>
      <w:szCs w:val="24"/>
    </w:rPr>
  </w:style>
  <w:style w:type="character" w:customStyle="1" w:styleId="1156">
    <w:name w:val="批注主题 字符1"/>
    <w:semiHidden/>
    <w:qFormat/>
    <w:uiPriority w:val="99"/>
  </w:style>
  <w:style w:type="character" w:customStyle="1" w:styleId="1157">
    <w:name w:val="未处理的提及13"/>
    <w:basedOn w:val="95"/>
    <w:unhideWhenUsed/>
    <w:qFormat/>
    <w:uiPriority w:val="99"/>
    <w:rPr>
      <w:color w:val="605E5C"/>
      <w:shd w:val="clear" w:color="auto" w:fill="E1DFDD"/>
    </w:rPr>
  </w:style>
  <w:style w:type="character" w:customStyle="1" w:styleId="1158">
    <w:name w:val="未处理的提及14"/>
    <w:basedOn w:val="95"/>
    <w:unhideWhenUsed/>
    <w:uiPriority w:val="99"/>
    <w:rPr>
      <w:color w:val="605E5C"/>
      <w:shd w:val="clear" w:color="auto" w:fill="E1DFDD"/>
    </w:rPr>
  </w:style>
  <w:style w:type="table" w:customStyle="1" w:styleId="1159">
    <w:name w:val="网格型2"/>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网格型1"/>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网格型6"/>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3"/>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4"/>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5"/>
    <w:basedOn w:val="8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浅色1"/>
    <w:basedOn w:val="88"/>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166">
    <w:name w:val="无格式表格 51"/>
    <w:basedOn w:val="88"/>
    <w:qFormat/>
    <w:uiPriority w:val="45"/>
    <w:pPr>
      <w:numPr>
        <w:numId w:val="14"/>
      </w:numPr>
      <w:ind w:left="0" w:firstLine="0"/>
    </w:pPr>
    <w:tblStylePr w:type="firstRow">
      <w:rPr>
        <w:rFonts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rPr>
        <w:rFonts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11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45074</Words>
  <Characters>48717</Characters>
  <Lines>404</Lines>
  <Paragraphs>113</Paragraphs>
  <TotalTime>109</TotalTime>
  <ScaleCrop>false</ScaleCrop>
  <LinksUpToDate>false</LinksUpToDate>
  <CharactersWithSpaces>53354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2022-02-19T02:19:00Z</dcterms:created>
  <dc:creator>kanT</dc:creator>
  <cp:lastModifiedBy>蒋银洋</cp:lastModifiedBy>
  <cp:lastPrinted>2022-11-15T08:10:00Z</cp:lastPrinted>
  <dcterms:modified xsi:type="dcterms:W3CDTF">2022-11-16T08:52:27Z</dcterms:modified>
  <dc:title>2022年余杭区国省道及部分新建道路养护项目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A060E8A63336411D9E71042E2C865813</vt:lpwstr>
  </property>
</Properties>
</file>