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 w:hAnsi="仿宋" w:eastAsia="仿宋" w:cs="仿宋_GB2312"/>
          <w:b/>
          <w:color w:val="auto"/>
          <w:sz w:val="24"/>
          <w:highlight w:val="none"/>
        </w:rPr>
      </w:pPr>
    </w:p>
    <w:p>
      <w:pPr>
        <w:snapToGrid w:val="0"/>
        <w:spacing w:line="360" w:lineRule="auto"/>
        <w:rPr>
          <w:rFonts w:ascii="仿宋" w:hAnsi="仿宋" w:eastAsia="仿宋" w:cs="仿宋_GB2312"/>
          <w:b/>
          <w:color w:val="auto"/>
          <w:sz w:val="48"/>
          <w:szCs w:val="48"/>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pacing w:val="6"/>
          <w:sz w:val="44"/>
          <w:szCs w:val="44"/>
          <w:highlight w:val="none"/>
        </w:rPr>
      </w:pPr>
      <w:r>
        <w:rPr>
          <w:rFonts w:ascii="仿宋" w:hAnsi="仿宋" w:eastAsia="仿宋" w:cs="宋体"/>
          <w:b/>
          <w:bCs/>
          <w:color w:val="auto"/>
          <w:spacing w:val="6"/>
          <w:sz w:val="44"/>
          <w:szCs w:val="44"/>
          <w:highlight w:val="none"/>
        </w:rPr>
        <w:t>杭州市交通运输局</w:t>
      </w:r>
    </w:p>
    <w:p>
      <w:pPr>
        <w:shd w:val="clear" w:color="auto" w:fill="FFFFFF"/>
        <w:tabs>
          <w:tab w:val="left" w:pos="4500"/>
        </w:tabs>
        <w:snapToGrid w:val="0"/>
        <w:spacing w:line="360" w:lineRule="auto"/>
        <w:jc w:val="center"/>
        <w:textAlignment w:val="bottom"/>
        <w:rPr>
          <w:rFonts w:ascii="仿宋" w:hAnsi="仿宋" w:eastAsia="仿宋" w:cs="宋体"/>
          <w:b/>
          <w:bCs/>
          <w:color w:val="auto"/>
          <w:spacing w:val="6"/>
          <w:sz w:val="44"/>
          <w:szCs w:val="44"/>
          <w:highlight w:val="none"/>
        </w:rPr>
      </w:pPr>
      <w:r>
        <w:rPr>
          <w:rFonts w:ascii="仿宋" w:hAnsi="仿宋" w:eastAsia="仿宋" w:cs="宋体"/>
          <w:b/>
          <w:bCs/>
          <w:color w:val="auto"/>
          <w:spacing w:val="6"/>
          <w:sz w:val="44"/>
          <w:szCs w:val="44"/>
          <w:highlight w:val="none"/>
        </w:rPr>
        <w:t>交通强国示范城市数字交通建设试点项目（二期）</w:t>
      </w:r>
    </w:p>
    <w:p>
      <w:pPr>
        <w:shd w:val="clear" w:color="auto" w:fill="FFFFFF"/>
        <w:tabs>
          <w:tab w:val="left" w:pos="4500"/>
        </w:tabs>
        <w:snapToGrid w:val="0"/>
        <w:spacing w:line="360" w:lineRule="auto"/>
        <w:jc w:val="center"/>
        <w:textAlignment w:val="bottom"/>
        <w:rPr>
          <w:rFonts w:ascii="仿宋" w:hAnsi="仿宋" w:eastAsia="仿宋" w:cs="宋体"/>
          <w:b/>
          <w:bCs/>
          <w:color w:val="auto"/>
          <w:sz w:val="52"/>
          <w:szCs w:val="52"/>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公开招标文件</w:t>
      </w:r>
    </w:p>
    <w:p>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pPr>
        <w:widowControl/>
        <w:snapToGrid w:val="0"/>
        <w:spacing w:line="360" w:lineRule="auto"/>
        <w:jc w:val="center"/>
        <w:rPr>
          <w:rFonts w:ascii="仿宋" w:hAnsi="仿宋" w:eastAsia="仿宋" w:cs="宋体"/>
          <w:color w:val="auto"/>
          <w:highlight w:val="none"/>
        </w:rPr>
      </w:pPr>
      <w:r>
        <w:rPr>
          <w:rFonts w:ascii="仿宋" w:hAnsi="仿宋" w:eastAsia="仿宋" w:cs="宋体"/>
          <w:color w:val="auto"/>
          <w:kern w:val="0"/>
          <w:sz w:val="24"/>
          <w:highlight w:val="none"/>
          <w:lang w:bidi="ar"/>
        </w:rPr>
        <w:drawing>
          <wp:inline distT="0" distB="0" distL="114300" distR="114300">
            <wp:extent cx="1781175" cy="1358265"/>
            <wp:effectExtent l="0" t="0" r="9525" b="13335"/>
            <wp:docPr id="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56"/>
                    <pic:cNvPicPr>
                      <a:picLocks noChangeAspect="1"/>
                    </pic:cNvPicPr>
                  </pic:nvPicPr>
                  <pic:blipFill>
                    <a:blip r:embed="rId13"/>
                    <a:stretch>
                      <a:fillRect/>
                    </a:stretch>
                  </pic:blipFill>
                  <pic:spPr>
                    <a:xfrm>
                      <a:off x="0" y="0"/>
                      <a:ext cx="1781175" cy="1358265"/>
                    </a:xfrm>
                    <a:prstGeom prst="rect">
                      <a:avLst/>
                    </a:prstGeom>
                    <a:noFill/>
                    <a:ln>
                      <a:noFill/>
                    </a:ln>
                  </pic:spPr>
                </pic:pic>
              </a:graphicData>
            </a:graphic>
          </wp:inline>
        </w:drawing>
      </w:r>
    </w:p>
    <w:p>
      <w:pPr>
        <w:shd w:val="clear" w:color="auto" w:fill="FFFFFF"/>
        <w:snapToGrid w:val="0"/>
        <w:spacing w:line="360" w:lineRule="auto"/>
        <w:rPr>
          <w:rFonts w:ascii="仿宋" w:hAnsi="仿宋" w:eastAsia="仿宋" w:cs="宋体"/>
          <w:b/>
          <w:color w:val="auto"/>
          <w:sz w:val="36"/>
          <w:highlight w:val="none"/>
        </w:rPr>
      </w:pPr>
    </w:p>
    <w:p>
      <w:pPr>
        <w:shd w:val="clear" w:color="auto" w:fill="FFFFFF"/>
        <w:snapToGrid w:val="0"/>
        <w:spacing w:line="360" w:lineRule="auto"/>
        <w:jc w:val="center"/>
        <w:rPr>
          <w:rFonts w:ascii="仿宋" w:hAnsi="仿宋" w:eastAsia="仿宋" w:cs="宋体"/>
          <w:b/>
          <w:bCs/>
          <w:color w:val="auto"/>
          <w:sz w:val="36"/>
          <w:szCs w:val="36"/>
          <w:highlight w:val="none"/>
        </w:rPr>
      </w:pPr>
      <w:r>
        <w:rPr>
          <w:rFonts w:hint="eastAsia" w:ascii="仿宋" w:hAnsi="仿宋" w:eastAsia="仿宋" w:cs="宋体"/>
          <w:b/>
          <w:bCs/>
          <w:color w:val="auto"/>
          <w:sz w:val="36"/>
          <w:szCs w:val="36"/>
          <w:highlight w:val="none"/>
        </w:rPr>
        <w:t>招标编号：CTZB-2022090046</w:t>
      </w:r>
    </w:p>
    <w:p>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ascii="仿宋" w:hAnsi="仿宋" w:eastAsia="仿宋"/>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72390</wp:posOffset>
                </wp:positionV>
                <wp:extent cx="635" cy="0"/>
                <wp:effectExtent l="0" t="0" r="0" b="0"/>
                <wp:wrapSquare wrapText="bothSides"/>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30pt;margin-top:5.7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t5t1AAAAAkB&#10;AAAPAAAAAAAAAAEAIAAAACIAAABkcnMvZG93bnJldi54bWxQSwECFAAUAAAACACHTuJAiwxfwuYB&#10;AAC0AwAADgAAAAAAAAABACAAAAAjAQAAZHJzL2Uyb0RvYy54bWxQSwUGAAAAAAYABgBZAQAAewUA&#10;AAAA&#10;">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1419" w:firstLineChars="471"/>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 xml:space="preserve">招 </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z w:val="30"/>
          <w:szCs w:val="30"/>
          <w:highlight w:val="none"/>
        </w:rPr>
        <w:t>标</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z w:val="30"/>
          <w:szCs w:val="30"/>
          <w:highlight w:val="none"/>
        </w:rPr>
        <w:t>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rPr>
        <w:t>杭州市公路与港航管理服务中心</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招标代理机构：浙江省成套招标代理有限公司</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二○二二年十月</w:t>
      </w:r>
    </w:p>
    <w:p>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_GB2312"/>
          <w:b/>
          <w:color w:val="auto"/>
          <w:sz w:val="48"/>
          <w:szCs w:val="48"/>
          <w:highlight w:val="none"/>
        </w:rPr>
        <w:br w:type="page"/>
      </w:r>
      <w:r>
        <w:rPr>
          <w:rFonts w:hint="eastAsia" w:ascii="仿宋" w:hAnsi="仿宋" w:eastAsia="仿宋" w:cs="仿宋"/>
          <w:b/>
          <w:bCs/>
          <w:color w:val="auto"/>
          <w:sz w:val="24"/>
          <w:highlight w:val="none"/>
        </w:rPr>
        <w:t>目录</w:t>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TOC \o "1-3" \h \u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_Toc13028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第一部分 招标公告</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_Toc13028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_Toc28421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第二部分 投标人须知</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_Toc28421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6</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_Toc2645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前附表</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_Toc2645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6</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_Toc13763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一、总则</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_Toc13763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_Toc13834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1.适用范围</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_Toc13834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_Toc32107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2.定义</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_Toc32107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_Toc7894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3.采购项目需要落实的政府采购政策</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_Toc7894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_Toc9055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4.询问、质疑、投诉</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_Toc9055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14</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_Toc11545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二、采购文件的构成、澄清、修改</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_Toc11545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16</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_Toc5338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5．采购文件的构成</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_Toc5338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16</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_Toc11771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6.采购文件的澄清、修改</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_Toc11771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16</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_Toc5080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三、投标</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_Toc5080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17</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_Toc10038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7.采购文件的获取</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_Toc10038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17</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_Toc21549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8.开标前答疑会或现场考察</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_Toc21549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17</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_Toc13890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9.投标保证金</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_Toc13890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17</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_Toc14981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10.投标文件的语言</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_Toc14981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17</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_Toc15851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11.投标文件的组成</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_Toc15851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17</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_Toc5145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12. 投标文件的编制</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_Toc5145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18</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_Toc32156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13.投标文件的签署、盖章</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_Toc32156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18</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_Toc5473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14. 投标文件的提交、补充、修改、撤回</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_Toc5473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19</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_Toc18392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15.备份投标文件</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_Toc18392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19</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_Toc7951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16.投标文件的无效处理</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_Toc7951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20</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_Toc31171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17.投标有效期</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_Toc31171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20</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_Toc1038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四、开标、资格审查与信用信息查询</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_Toc1038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_Toc9126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18.开标</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_Toc9126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_Toc8291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19.资格审查</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_Toc8291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_Toc4814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20.信用信息查询</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_Toc4814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_Toc20506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五、评标</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_Toc20506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22</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_Toc12093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六、定 标</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_Toc12093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22</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_Toc3757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七、合同授予</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_Toc3757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23</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_Toc29699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八、电子交易活动的中止</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_Toc29699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24</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_Toc2690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第三部分 采购需求</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_Toc2690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25</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_Toc16183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lang w:val="en-US"/>
        </w:rPr>
        <w:t>一、</w:t>
      </w:r>
      <w:r>
        <w:rPr>
          <w:rFonts w:hint="eastAsia" w:ascii="仿宋" w:hAnsi="仿宋" w:eastAsia="仿宋" w:cs="仿宋"/>
          <w:b/>
          <w:bCs/>
          <w:color w:val="auto"/>
          <w:sz w:val="24"/>
          <w:szCs w:val="24"/>
          <w:highlight w:val="none"/>
        </w:rPr>
        <w:t>项目概况</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_Toc16183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25</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_Toc24300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lang w:val="en-US"/>
        </w:rPr>
        <w:t>二、</w:t>
      </w:r>
      <w:r>
        <w:rPr>
          <w:rFonts w:hint="eastAsia" w:ascii="仿宋" w:hAnsi="仿宋" w:eastAsia="仿宋" w:cs="仿宋"/>
          <w:b/>
          <w:bCs/>
          <w:color w:val="auto"/>
          <w:sz w:val="24"/>
          <w:szCs w:val="24"/>
          <w:highlight w:val="none"/>
        </w:rPr>
        <w:t>项目主要建设内容和要求</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_Toc24300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25</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_Toc25204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lang w:val="en-US"/>
        </w:rPr>
        <w:t>三、硬件技术要求</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_Toc25204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36</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_Toc10900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rPr>
        <w:t>四、投标认证</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_Toc10900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37</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_Toc16889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五、人员要求</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_Toc16889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37</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_Toc13485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七、服务标准</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_Toc13485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38</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_Toc22873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八、验收</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_Toc22873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38</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_Toc16047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第四部分 评标办法</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_Toc16047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41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_Toc30602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评标办法前附表</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_Toc30602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41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_Toc10644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一、评标方法</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_Toc10644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47</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_Toc30739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二、评标标准</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_Toc30739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47</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_Toc12144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三、评标程序</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_Toc12144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47</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_Toc28344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四、评标中的其他事项</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_Toc28344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48</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_Toc22258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第五部分 拟签订的合同文本</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_Toc22258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51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_Toc22468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第六部分 应提交的有关格式范例</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_Toc22468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61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_Toc17426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rPr>
        <w:t>资格文件部分</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_Toc17426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61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_Toc7977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一、符合参加政府采购活动应当具备的一般条件的承诺函</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_Toc7977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62</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_Toc7759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kern w:val="0"/>
          <w:sz w:val="24"/>
          <w:szCs w:val="24"/>
          <w:highlight w:val="none"/>
        </w:rPr>
        <w:t>二、联合协议（如果有）</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_Toc7759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63</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_Toc24138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三、落实政府采购政策需满足的资格要求</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_Toc24138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65</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_Toc6151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四、</w:t>
      </w:r>
      <w:r>
        <w:rPr>
          <w:rFonts w:hint="eastAsia" w:ascii="仿宋" w:hAnsi="仿宋" w:eastAsia="仿宋" w:cs="仿宋"/>
          <w:b/>
          <w:bCs/>
          <w:color w:val="auto"/>
          <w:sz w:val="24"/>
          <w:highlight w:val="none"/>
        </w:rPr>
        <w:t>本项目的特定资格要求</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_Toc6151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65</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_Toc4688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rPr>
        <w:t>商务技术文件部分</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_Toc4688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66</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_Toc4602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一、投标函</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_Toc4602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67</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_Toc28498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二、授权委托书</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_Toc28498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69</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_Toc26804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三、法定代表人和授权委托代表的有效身份证复印件</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_Toc26804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70</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_Toc5373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四、分包意向协议</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_Toc5373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_Toc8391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五、公司情况介绍</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_Toc8391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72</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_Toc32164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六、供应商成功案例</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_Toc32164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72</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_Toc4043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七、相关资质文件（如有）</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_Toc4043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72</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_Toc8911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八、供应商应提供针对项目的完整服务解决方案</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_Toc8911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72</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_Toc585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九、项目组人员介绍、职责分配</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_Toc585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72</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_Toc31609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十、商务技术偏离表</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_Toc31609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72</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_Toc25986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十一、其他商务技术文件或说明</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_Toc25986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72</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_Toc4425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十二、政府采购供应商廉洁自律承诺书</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_Toc4425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73</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53"/>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_Toc20550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rPr>
        <w:t>报价文件部分</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_Toc20550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74</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_Toc3207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一、开标一览表（报价表）</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_Toc3207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75</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31"/>
        <w:tabs>
          <w:tab w:val="right" w:leader="dot" w:pos="8306"/>
          <w:tab w:val="clear" w:pos="8268"/>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_Toc27529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lang w:val="en-US"/>
        </w:rPr>
        <w:t>二、中小企业声明函</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_Toc27529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77</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_Toc21733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政府采购支持中小企业信用融资相关事项通知</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_Toc21733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78</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_Toc154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rPr>
        <w:t>附件1：</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_Toc154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80</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_Toc5454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rPr>
        <w:t>残疾人福利性单位声明函</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_Toc5454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80</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_Toc25133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rPr>
        <w:t>附件2：质疑函范本及制作说明</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_Toc25133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81</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_Toc9040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rPr>
        <w:t>附件3：投诉书范本及制作说明</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_Toc9040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83</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_Toc20116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rPr>
        <w:t>附件4：业务专用章使用说明函</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_Toc20116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85</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_Toc3823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rPr>
        <w:t>附件5：中小企业声明函</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_Toc3823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86</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42"/>
        <w:tabs>
          <w:tab w:val="right" w:leader="dot" w:pos="8306"/>
        </w:tabs>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HYPERLINK \l _Toc7385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szCs w:val="24"/>
          <w:highlight w:val="none"/>
        </w:rPr>
        <w:t>附件6大型企业声明函（服务）</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PAGEREF _Toc7385 \h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color w:val="auto"/>
          <w:sz w:val="24"/>
          <w:highlight w:val="none"/>
        </w:rPr>
        <w:t>88</w:t>
      </w:r>
      <w:r>
        <w:rPr>
          <w:rFonts w:hint="eastAsia" w:ascii="仿宋" w:hAnsi="仿宋" w:eastAsia="仿宋" w:cs="仿宋"/>
          <w:b/>
          <w:bCs/>
          <w:color w:val="auto"/>
          <w:sz w:val="24"/>
          <w:highlight w:val="none"/>
        </w:rPr>
        <w:fldChar w:fldCharType="end"/>
      </w:r>
      <w:r>
        <w:rPr>
          <w:rFonts w:hint="eastAsia" w:ascii="仿宋" w:hAnsi="仿宋" w:eastAsia="仿宋" w:cs="仿宋"/>
          <w:b/>
          <w:bCs/>
          <w:color w:val="auto"/>
          <w:sz w:val="24"/>
          <w:highlight w:val="none"/>
        </w:rPr>
        <w:fldChar w:fldCharType="end"/>
      </w:r>
    </w:p>
    <w:p>
      <w:pPr>
        <w:pStyle w:val="2"/>
        <w:spacing w:line="360" w:lineRule="auto"/>
        <w:ind w:firstLine="0" w:firstLineChars="0"/>
        <w:rPr>
          <w:rFonts w:ascii="仿宋" w:hAnsi="仿宋" w:eastAsia="仿宋" w:cs="仿宋"/>
          <w:b/>
          <w:bCs/>
          <w:color w:val="auto"/>
          <w:highlight w:val="none"/>
        </w:rPr>
      </w:pPr>
      <w:r>
        <w:rPr>
          <w:rFonts w:hint="eastAsia" w:ascii="仿宋" w:hAnsi="仿宋" w:eastAsia="仿宋" w:cs="仿宋"/>
          <w:b/>
          <w:bCs/>
          <w:color w:val="auto"/>
          <w:highlight w:val="none"/>
        </w:rPr>
        <w:fldChar w:fldCharType="end"/>
      </w:r>
    </w:p>
    <w:p>
      <w:pPr>
        <w:pStyle w:val="4"/>
        <w:rPr>
          <w:rFonts w:ascii="仿宋" w:hAnsi="仿宋" w:eastAsia="仿宋" w:cs="仿宋"/>
          <w:color w:val="auto"/>
          <w:sz w:val="24"/>
          <w:szCs w:val="24"/>
          <w:highlight w:val="none"/>
        </w:rPr>
        <w:sectPr>
          <w:footerReference r:id="rId4" w:type="first"/>
          <w:footerReference r:id="rId3" w:type="default"/>
          <w:pgSz w:w="11906" w:h="16838"/>
          <w:pgMar w:top="1440" w:right="1800" w:bottom="1440" w:left="1800" w:header="851" w:footer="992" w:gutter="0"/>
          <w:pgNumType w:start="1"/>
          <w:cols w:space="720" w:num="1"/>
          <w:docGrid w:linePitch="312" w:charSpace="0"/>
        </w:sectPr>
      </w:pPr>
      <w:bookmarkStart w:id="0" w:name="_Toc24823"/>
      <w:bookmarkStart w:id="1" w:name="_Toc12868"/>
      <w:bookmarkStart w:id="2" w:name="_Toc829790387"/>
      <w:bookmarkStart w:id="3" w:name="_Toc95312933"/>
      <w:bookmarkStart w:id="4" w:name="_Toc27876"/>
      <w:bookmarkStart w:id="5" w:name="第二部分"/>
      <w:bookmarkStart w:id="6" w:name="_Toc91899870"/>
      <w:bookmarkStart w:id="7" w:name="_Toc91899871"/>
    </w:p>
    <w:p>
      <w:pPr>
        <w:pStyle w:val="3"/>
        <w:jc w:val="center"/>
        <w:rPr>
          <w:rFonts w:ascii="仿宋" w:hAnsi="仿宋" w:eastAsia="仿宋"/>
          <w:color w:val="auto"/>
          <w:highlight w:val="none"/>
        </w:rPr>
      </w:pPr>
      <w:bookmarkStart w:id="8" w:name="_Toc22404"/>
      <w:bookmarkStart w:id="9" w:name="_Toc13028"/>
      <w:bookmarkStart w:id="10" w:name="_Toc15229"/>
      <w:r>
        <w:rPr>
          <w:rFonts w:hint="eastAsia" w:ascii="仿宋" w:hAnsi="仿宋" w:eastAsia="仿宋"/>
          <w:color w:val="auto"/>
          <w:highlight w:val="none"/>
        </w:rPr>
        <w:t>第一部分</w:t>
      </w:r>
      <w:r>
        <w:rPr>
          <w:rFonts w:ascii="仿宋" w:hAnsi="仿宋" w:eastAsia="仿宋"/>
          <w:color w:val="auto"/>
          <w:highlight w:val="none"/>
        </w:rPr>
        <w:t xml:space="preserve"> </w:t>
      </w:r>
      <w:r>
        <w:rPr>
          <w:rFonts w:hint="eastAsia" w:ascii="仿宋" w:hAnsi="仿宋" w:eastAsia="仿宋"/>
          <w:color w:val="auto"/>
          <w:highlight w:val="none"/>
        </w:rPr>
        <w:t>招标公告</w:t>
      </w:r>
      <w:bookmarkEnd w:id="0"/>
      <w:bookmarkEnd w:id="1"/>
      <w:bookmarkEnd w:id="2"/>
      <w:bookmarkEnd w:id="3"/>
      <w:bookmarkEnd w:id="4"/>
      <w:bookmarkEnd w:id="8"/>
      <w:bookmarkEnd w:id="9"/>
      <w:bookmarkEnd w:id="10"/>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_GB2312"/>
          <w:color w:val="auto"/>
          <w:sz w:val="24"/>
          <w:highlight w:val="none"/>
        </w:rPr>
        <w:t>杭州市交通运输局交通强国示范城市数字交通建设试点项目（二期）</w:t>
      </w:r>
      <w:r>
        <w:rPr>
          <w:rFonts w:hint="eastAsia" w:ascii="仿宋" w:hAnsi="仿宋" w:eastAsia="仿宋"/>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"https://www.zcygov.cn/）获取（下载）采购文件，并于2022年%20月%20%20%20日13点30分00秒" </w:instrText>
      </w:r>
      <w:r>
        <w:rPr>
          <w:color w:val="auto"/>
          <w:highlight w:val="none"/>
        </w:rPr>
        <w:fldChar w:fldCharType="separate"/>
      </w:r>
      <w:r>
        <w:rPr>
          <w:rStyle w:val="76"/>
          <w:rFonts w:ascii="仿宋" w:hAnsi="仿宋" w:eastAsia="仿宋" w:cs="Times New Roman"/>
          <w:snapToGrid/>
          <w:color w:val="auto"/>
          <w:kern w:val="2"/>
          <w:sz w:val="24"/>
          <w:szCs w:val="24"/>
          <w:highlight w:val="none"/>
        </w:rPr>
        <w:t>https://www.zcygov.cn/）获取（下载）采购文件，并于2022年</w:t>
      </w:r>
      <w:r>
        <w:rPr>
          <w:rStyle w:val="76"/>
          <w:rFonts w:hint="eastAsia" w:ascii="仿宋" w:hAnsi="仿宋" w:eastAsia="仿宋" w:cs="Times New Roman"/>
          <w:snapToGrid/>
          <w:color w:val="auto"/>
          <w:kern w:val="2"/>
          <w:sz w:val="24"/>
          <w:szCs w:val="24"/>
          <w:highlight w:val="none"/>
          <w:lang w:val="en-US" w:eastAsia="zh-CN"/>
        </w:rPr>
        <w:t>11</w:t>
      </w:r>
      <w:r>
        <w:rPr>
          <w:rStyle w:val="76"/>
          <w:rFonts w:hint="eastAsia" w:ascii="仿宋" w:hAnsi="仿宋" w:eastAsia="仿宋" w:cs="Times New Roman"/>
          <w:snapToGrid/>
          <w:color w:val="auto"/>
          <w:kern w:val="2"/>
          <w:sz w:val="24"/>
          <w:szCs w:val="24"/>
          <w:highlight w:val="none"/>
        </w:rPr>
        <w:t>月</w:t>
      </w:r>
      <w:r>
        <w:rPr>
          <w:rStyle w:val="76"/>
          <w:rFonts w:hint="eastAsia" w:ascii="仿宋" w:hAnsi="仿宋" w:eastAsia="仿宋" w:cs="Times New Roman"/>
          <w:snapToGrid/>
          <w:color w:val="auto"/>
          <w:kern w:val="2"/>
          <w:sz w:val="24"/>
          <w:szCs w:val="24"/>
          <w:highlight w:val="none"/>
          <w:lang w:val="en-US" w:eastAsia="zh-CN"/>
        </w:rPr>
        <w:t>21</w:t>
      </w:r>
      <w:r>
        <w:rPr>
          <w:rStyle w:val="76"/>
          <w:rFonts w:hint="eastAsia" w:ascii="仿宋" w:hAnsi="仿宋" w:eastAsia="仿宋" w:cs="Times New Roman"/>
          <w:snapToGrid/>
          <w:color w:val="auto"/>
          <w:kern w:val="2"/>
          <w:sz w:val="24"/>
          <w:szCs w:val="24"/>
          <w:highlight w:val="none"/>
        </w:rPr>
        <w:t>日13</w:t>
      </w:r>
      <w:r>
        <w:rPr>
          <w:rStyle w:val="76"/>
          <w:rFonts w:ascii="仿宋" w:hAnsi="仿宋" w:eastAsia="仿宋" w:cs="Times New Roman"/>
          <w:snapToGrid/>
          <w:color w:val="auto"/>
          <w:kern w:val="2"/>
          <w:sz w:val="24"/>
          <w:szCs w:val="24"/>
          <w:highlight w:val="none"/>
        </w:rPr>
        <w:t>点</w:t>
      </w:r>
      <w:r>
        <w:rPr>
          <w:rStyle w:val="76"/>
          <w:rFonts w:hint="eastAsia" w:ascii="仿宋" w:hAnsi="仿宋" w:eastAsia="仿宋" w:cs="Times New Roman"/>
          <w:snapToGrid/>
          <w:color w:val="auto"/>
          <w:kern w:val="2"/>
          <w:sz w:val="24"/>
          <w:szCs w:val="24"/>
          <w:highlight w:val="none"/>
        </w:rPr>
        <w:t>3</w:t>
      </w:r>
      <w:r>
        <w:rPr>
          <w:rStyle w:val="76"/>
          <w:rFonts w:ascii="仿宋" w:hAnsi="仿宋" w:eastAsia="仿宋" w:cs="Times New Roman"/>
          <w:snapToGrid/>
          <w:color w:val="auto"/>
          <w:kern w:val="2"/>
          <w:sz w:val="24"/>
          <w:szCs w:val="24"/>
          <w:highlight w:val="none"/>
        </w:rPr>
        <w:t>0分</w:t>
      </w:r>
      <w:r>
        <w:rPr>
          <w:rStyle w:val="76"/>
          <w:rFonts w:ascii="仿宋" w:hAnsi="仿宋" w:eastAsia="仿宋" w:cs="Times New Roman"/>
          <w:bCs/>
          <w:snapToGrid/>
          <w:color w:val="auto"/>
          <w:kern w:val="2"/>
          <w:sz w:val="24"/>
          <w:szCs w:val="24"/>
          <w:highlight w:val="none"/>
        </w:rPr>
        <w:t>00秒</w:t>
      </w:r>
      <w:r>
        <w:rPr>
          <w:rStyle w:val="76"/>
          <w:rFonts w:ascii="仿宋" w:hAnsi="仿宋" w:eastAsia="仿宋" w:cs="Times New Roman"/>
          <w:bCs/>
          <w:snapToGrid/>
          <w:color w:val="auto"/>
          <w:kern w:val="2"/>
          <w:sz w:val="24"/>
          <w:szCs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napToGrid w:val="0"/>
        <w:spacing w:line="360" w:lineRule="auto"/>
        <w:rPr>
          <w:rFonts w:ascii="仿宋" w:hAnsi="仿宋" w:eastAsia="仿宋"/>
          <w:b/>
          <w:color w:val="auto"/>
          <w:sz w:val="24"/>
          <w:highlight w:val="none"/>
        </w:rPr>
      </w:pPr>
      <w:r>
        <w:rPr>
          <w:rFonts w:hint="eastAsia" w:ascii="仿宋" w:hAnsi="仿宋" w:eastAsia="仿宋" w:cs="仿宋_GB2312"/>
          <w:b/>
          <w:bCs/>
          <w:color w:val="auto"/>
          <w:sz w:val="24"/>
          <w:highlight w:val="none"/>
        </w:rPr>
        <w:t>一、项目基本情况</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项目编号：</w:t>
      </w:r>
      <w:r>
        <w:rPr>
          <w:rFonts w:hint="eastAsia" w:ascii="仿宋" w:hAnsi="仿宋" w:eastAsia="仿宋"/>
          <w:color w:val="auto"/>
          <w:sz w:val="24"/>
          <w:highlight w:val="none"/>
        </w:rPr>
        <w:t>CTZB-2022090046</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项目名称：杭州市交通运输局交通强国示范城市数字交通建设试点项目（二期）</w:t>
      </w:r>
    </w:p>
    <w:p>
      <w:pPr>
        <w:snapToGrid w:val="0"/>
        <w:spacing w:line="360" w:lineRule="auto"/>
        <w:ind w:firstLine="482" w:firstLineChars="200"/>
        <w:rPr>
          <w:rFonts w:ascii="仿宋" w:hAnsi="仿宋" w:eastAsia="仿宋"/>
          <w:bCs/>
          <w:color w:val="auto"/>
          <w:sz w:val="24"/>
          <w:highlight w:val="none"/>
        </w:rPr>
      </w:pPr>
      <w:r>
        <w:rPr>
          <w:rFonts w:ascii="仿宋" w:hAnsi="仿宋" w:eastAsia="仿宋"/>
          <w:b/>
          <w:color w:val="auto"/>
          <w:sz w:val="24"/>
          <w:highlight w:val="none"/>
        </w:rPr>
        <w:t>预算金额（元）：</w:t>
      </w:r>
      <w:r>
        <w:rPr>
          <w:rFonts w:ascii="仿宋" w:hAnsi="仿宋" w:eastAsia="仿宋" w:cs="宋体"/>
          <w:color w:val="auto"/>
          <w:sz w:val="24"/>
          <w:highlight w:val="none"/>
        </w:rPr>
        <w:t>11600000</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最高限价（元）：</w:t>
      </w:r>
      <w:r>
        <w:rPr>
          <w:rFonts w:ascii="仿宋" w:hAnsi="仿宋" w:eastAsia="仿宋" w:cs="宋体"/>
          <w:color w:val="auto"/>
          <w:sz w:val="24"/>
          <w:highlight w:val="none"/>
        </w:rPr>
        <w:t>11600000</w:t>
      </w:r>
    </w:p>
    <w:p>
      <w:pPr>
        <w:snapToGrid w:val="0"/>
        <w:spacing w:line="360" w:lineRule="auto"/>
        <w:ind w:firstLine="482" w:firstLineChars="200"/>
        <w:rPr>
          <w:rFonts w:ascii="仿宋" w:hAnsi="仿宋" w:eastAsia="仿宋" w:cs="仿宋"/>
          <w:color w:val="auto"/>
          <w:sz w:val="24"/>
          <w:highlight w:val="none"/>
          <w:u w:val="single"/>
        </w:rPr>
      </w:pPr>
      <w:r>
        <w:rPr>
          <w:rFonts w:hint="eastAsia" w:ascii="仿宋" w:hAnsi="仿宋" w:eastAsia="仿宋"/>
          <w:b/>
          <w:color w:val="auto"/>
          <w:sz w:val="24"/>
          <w:highlight w:val="none"/>
        </w:rPr>
        <w:t>采购需求：</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深入贯彻落实数字化改革精神，在2021年一期项目建设的基础上，围绕交通发展、交通服务、交通善治和清廉交通四大方面，按照动态交通流全量感知、交通基础设施和行业底数一图总揽的目标，加强以交通“一张图”为核心综合交通数据建设，突出重点领域安全监督等重大需求，立足杭州实际，持续推进两客一危、出租汽车、驾驶培训等重点行业特色场景建设。</w:t>
      </w:r>
      <w:bookmarkStart w:id="892" w:name="_GoBack"/>
      <w:bookmarkEnd w:id="892"/>
    </w:p>
    <w:p>
      <w:pPr>
        <w:pStyle w:val="119"/>
        <w:snapToGrid w:val="0"/>
        <w:ind w:firstLine="482" w:firstLineChars="200"/>
        <w:rPr>
          <w:b/>
          <w:bCs/>
          <w:color w:val="auto"/>
          <w:highlight w:val="none"/>
        </w:rPr>
      </w:pPr>
      <w:r>
        <w:rPr>
          <w:rFonts w:hint="eastAsia"/>
          <w:b/>
          <w:bCs/>
          <w:color w:val="auto"/>
          <w:highlight w:val="none"/>
        </w:rPr>
        <w:t>合同履约期限：</w:t>
      </w:r>
      <w:r>
        <w:rPr>
          <w:rFonts w:hint="eastAsia"/>
          <w:color w:val="auto"/>
          <w:highlight w:val="none"/>
        </w:rPr>
        <w:t>合同签订后，2023年4月底前完成开发和部署相关工作，系统上线试运行；2023年6月底前完成等保等技术评测、结算审计及项目终验。</w:t>
      </w:r>
    </w:p>
    <w:p>
      <w:pPr>
        <w:pStyle w:val="16"/>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r>
        <w:rPr>
          <w:rFonts w:ascii="仿宋" w:hAnsi="仿宋" w:eastAsia="仿宋" w:cs="Arial"/>
          <w:color w:val="auto"/>
          <w:kern w:val="0"/>
          <w:sz w:val="24"/>
          <w:highlight w:val="none"/>
        </w:rPr>
        <w:sym w:font="Wingdings" w:char="F0FE"/>
      </w:r>
      <w:r>
        <w:rPr>
          <w:rFonts w:hint="eastAsia" w:ascii="仿宋" w:hAnsi="仿宋" w:eastAsia="仿宋"/>
          <w:b/>
          <w:color w:val="auto"/>
          <w:sz w:val="24"/>
          <w:highlight w:val="none"/>
        </w:rPr>
        <w:t>是，</w:t>
      </w:r>
      <w:r>
        <w:rPr>
          <w:rFonts w:ascii="Segoe UI Symbol" w:hAnsi="Segoe UI Symbol" w:eastAsia="仿宋" w:cs="Segoe UI Symbol"/>
          <w:color w:val="auto"/>
          <w:kern w:val="0"/>
          <w:sz w:val="24"/>
          <w:highlight w:val="none"/>
        </w:rPr>
        <w:t>☐</w:t>
      </w:r>
      <w:r>
        <w:rPr>
          <w:rFonts w:hint="eastAsia" w:ascii="仿宋" w:hAnsi="仿宋" w:eastAsia="仿宋"/>
          <w:b/>
          <w:color w:val="auto"/>
          <w:sz w:val="24"/>
          <w:highlight w:val="none"/>
        </w:rPr>
        <w:t>否</w:t>
      </w:r>
      <w:r>
        <w:rPr>
          <w:rFonts w:hint="eastAsia" w:ascii="仿宋" w:hAnsi="仿宋" w:eastAsia="仿宋" w:cs="Arial"/>
          <w:color w:val="auto"/>
          <w:kern w:val="0"/>
          <w:sz w:val="24"/>
          <w:highlight w:val="none"/>
        </w:rPr>
        <w:t>。</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pPr>
        <w:snapToGrid w:val="0"/>
        <w:spacing w:line="360" w:lineRule="auto"/>
        <w:ind w:firstLine="480" w:firstLineChars="200"/>
        <w:rPr>
          <w:rFonts w:ascii="仿宋" w:hAnsi="仿宋" w:eastAsia="仿宋" w:cs="仿宋_GB2312"/>
          <w:snapToGrid w:val="0"/>
          <w:color w:val="auto"/>
          <w:kern w:val="28"/>
          <w:sz w:val="24"/>
          <w:szCs w:val="20"/>
          <w:highlight w:val="none"/>
        </w:rPr>
      </w:pPr>
      <w:bookmarkStart w:id="11" w:name="_Hlk95001755"/>
      <w:bookmarkStart w:id="12" w:name="_Hlk101898998"/>
      <w:bookmarkStart w:id="13" w:name="_Hlk95832865"/>
      <w:bookmarkStart w:id="14" w:name="_Hlk94350648"/>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bookmarkEnd w:id="11"/>
    </w:p>
    <w:bookmarkEnd w:id="12"/>
    <w:bookmarkEnd w:id="13"/>
    <w:bookmarkEnd w:id="14"/>
    <w:p>
      <w:pPr>
        <w:spacing w:line="360" w:lineRule="auto"/>
        <w:ind w:firstLine="480" w:firstLineChars="200"/>
        <w:rPr>
          <w:rFonts w:hint="eastAsia"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lang w:val="en-US" w:eastAsia="zh-CN"/>
        </w:rPr>
        <w:t>2</w:t>
      </w:r>
      <w:r>
        <w:rPr>
          <w:rFonts w:ascii="仿宋" w:hAnsi="仿宋" w:eastAsia="仿宋" w:cs="仿宋_GB2312"/>
          <w:snapToGrid w:val="0"/>
          <w:color w:val="auto"/>
          <w:kern w:val="28"/>
          <w:sz w:val="24"/>
          <w:szCs w:val="20"/>
          <w:highlight w:val="none"/>
        </w:rPr>
        <w:t>.</w:t>
      </w:r>
      <w:r>
        <w:rPr>
          <w:rFonts w:hint="eastAsia" w:ascii="仿宋" w:hAnsi="仿宋" w:eastAsia="仿宋" w:cs="仿宋_GB2312"/>
          <w:snapToGrid w:val="0"/>
          <w:color w:val="auto"/>
          <w:kern w:val="28"/>
          <w:sz w:val="24"/>
          <w:szCs w:val="20"/>
          <w:highlight w:val="none"/>
        </w:rPr>
        <w:t>落实政府采购政策需满足的资格要求：</w:t>
      </w:r>
      <w:r>
        <w:rPr>
          <w:rFonts w:ascii="仿宋" w:hAnsi="仿宋" w:eastAsia="仿宋" w:cs="仿宋_GB2312"/>
          <w:snapToGrid w:val="0"/>
          <w:color w:val="auto"/>
          <w:kern w:val="28"/>
          <w:sz w:val="24"/>
          <w:szCs w:val="20"/>
          <w:highlight w:val="none"/>
        </w:rPr>
        <w:t xml:space="preserve">以联合体形式响应的，提供联合协议(本项目不接受联合体响应或者供应商不以联合体形式响应的，则不需要提供) </w:t>
      </w:r>
      <w:r>
        <w:rPr>
          <w:rFonts w:hint="eastAsia" w:ascii="仿宋" w:hAnsi="仿宋" w:eastAsia="仿宋" w:cs="仿宋_GB2312"/>
          <w:snapToGrid w:val="0"/>
          <w:color w:val="auto"/>
          <w:kern w:val="28"/>
          <w:sz w:val="24"/>
          <w:szCs w:val="20"/>
          <w:highlight w:val="none"/>
        </w:rPr>
        <w:t>；</w:t>
      </w:r>
    </w:p>
    <w:p>
      <w:pPr>
        <w:spacing w:line="360" w:lineRule="auto"/>
        <w:ind w:firstLine="480" w:firstLineChars="20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lang w:val="en-US" w:eastAsia="zh-CN"/>
        </w:rPr>
        <w:t>3</w:t>
      </w:r>
      <w:r>
        <w:rPr>
          <w:rFonts w:ascii="仿宋" w:hAnsi="仿宋" w:eastAsia="仿宋" w:cs="仿宋_GB2312"/>
          <w:snapToGrid w:val="0"/>
          <w:color w:val="auto"/>
          <w:kern w:val="28"/>
          <w:sz w:val="24"/>
          <w:szCs w:val="20"/>
          <w:highlight w:val="none"/>
        </w:rPr>
        <w:t>.本项目的特定资格要求：</w:t>
      </w:r>
      <w:r>
        <w:rPr>
          <w:rFonts w:hint="eastAsia" w:ascii="仿宋" w:hAnsi="仿宋" w:eastAsia="仿宋" w:cs="仿宋_GB2312"/>
          <w:snapToGrid w:val="0"/>
          <w:color w:val="auto"/>
          <w:kern w:val="28"/>
          <w:sz w:val="24"/>
          <w:szCs w:val="20"/>
          <w:highlight w:val="none"/>
        </w:rPr>
        <w:t>无。</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三、获取采购文件</w:t>
      </w:r>
      <w:r>
        <w:rPr>
          <w:rFonts w:ascii="仿宋" w:hAnsi="仿宋" w:eastAsia="仿宋"/>
          <w:b/>
          <w:color w:val="auto"/>
          <w:sz w:val="24"/>
          <w:highlight w:val="none"/>
        </w:rPr>
        <w:t xml:space="preserve">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rPr>
        <w:t>2022</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11</w:t>
      </w:r>
      <w:r>
        <w:rPr>
          <w:rFonts w:ascii="仿宋" w:hAnsi="仿宋" w:eastAsia="仿宋"/>
          <w:color w:val="auto"/>
          <w:sz w:val="24"/>
          <w:highlight w:val="none"/>
        </w:rPr>
        <w:t>月</w:t>
      </w:r>
      <w:r>
        <w:rPr>
          <w:rFonts w:hint="eastAsia" w:ascii="仿宋" w:hAnsi="仿宋" w:eastAsia="仿宋"/>
          <w:color w:val="auto"/>
          <w:sz w:val="24"/>
          <w:highlight w:val="none"/>
          <w:lang w:val="en-US" w:eastAsia="zh-CN"/>
        </w:rPr>
        <w:t>21</w:t>
      </w:r>
      <w:r>
        <w:rPr>
          <w:rFonts w:ascii="仿宋" w:hAnsi="仿宋" w:eastAsia="仿宋"/>
          <w:color w:val="auto"/>
          <w:sz w:val="24"/>
          <w:highlight w:val="non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hint="eastAsia" w:ascii="仿宋" w:hAnsi="仿宋" w:eastAsia="仿宋"/>
          <w:color w:val="auto"/>
          <w:sz w:val="24"/>
          <w:highlight w:val="none"/>
        </w:rPr>
        <w:t>2022</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21</w:t>
      </w:r>
      <w:r>
        <w:rPr>
          <w:rFonts w:hint="eastAsia" w:ascii="仿宋" w:hAnsi="仿宋" w:eastAsia="仿宋"/>
          <w:color w:val="auto"/>
          <w:sz w:val="24"/>
          <w:highlight w:val="none"/>
        </w:rPr>
        <w:t>日13点30分</w:t>
      </w:r>
      <w:r>
        <w:rPr>
          <w:rFonts w:hint="eastAsia" w:ascii="仿宋" w:hAnsi="仿宋" w:eastAsia="仿宋"/>
          <w:bCs/>
          <w:color w:val="auto"/>
          <w:sz w:val="24"/>
          <w:highlight w:val="none"/>
        </w:rPr>
        <w:t xml:space="preserve"> </w:t>
      </w:r>
      <w:r>
        <w:rPr>
          <w:rFonts w:hint="eastAsia" w:ascii="仿宋" w:hAnsi="仿宋" w:eastAsia="仿宋"/>
          <w:color w:val="auto"/>
          <w:sz w:val="24"/>
          <w:highlight w:val="none"/>
        </w:rPr>
        <w:t>（北京时间）</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2"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rPr>
        <w:t>2022</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21</w:t>
      </w:r>
      <w:r>
        <w:rPr>
          <w:rFonts w:hint="eastAsia" w:ascii="仿宋" w:hAnsi="仿宋" w:eastAsia="仿宋"/>
          <w:color w:val="auto"/>
          <w:sz w:val="24"/>
          <w:highlight w:val="none"/>
        </w:rPr>
        <w:t>日13点30分</w:t>
      </w:r>
      <w:r>
        <w:rPr>
          <w:rFonts w:hint="eastAsia" w:ascii="仿宋" w:hAnsi="仿宋" w:eastAsia="仿宋"/>
          <w:bCs/>
          <w:color w:val="auto"/>
          <w:sz w:val="24"/>
          <w:highlight w:val="none"/>
        </w:rPr>
        <w:t xml:space="preserve"> </w:t>
      </w:r>
    </w:p>
    <w:p>
      <w:pPr>
        <w:tabs>
          <w:tab w:val="left" w:pos="900"/>
        </w:tabs>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sz w:val="24"/>
          <w:highlight w:val="none"/>
        </w:rPr>
        <w:t>开标地点（网址）：政采云平台（</w:t>
      </w:r>
      <w:r>
        <w:rPr>
          <w:rFonts w:ascii="仿宋" w:hAnsi="仿宋" w:eastAsia="仿宋"/>
          <w:color w:val="auto"/>
          <w:highlight w:val="none"/>
        </w:rPr>
        <w:fldChar w:fldCharType="begin"/>
      </w:r>
      <w:r>
        <w:rPr>
          <w:rFonts w:ascii="仿宋" w:hAnsi="仿宋" w:eastAsia="仿宋"/>
          <w:color w:val="auto"/>
          <w:highlight w:val="none"/>
        </w:rPr>
        <w:instrText xml:space="preserve"> HYPERLINK "https://www.zcygov.cn/），杭州市文晖路42" </w:instrText>
      </w:r>
      <w:r>
        <w:rPr>
          <w:rFonts w:ascii="仿宋" w:hAnsi="仿宋" w:eastAsia="仿宋"/>
          <w:color w:val="auto"/>
          <w:highlight w:val="none"/>
        </w:rPr>
        <w:fldChar w:fldCharType="separate"/>
      </w:r>
      <w:r>
        <w:rPr>
          <w:rStyle w:val="76"/>
          <w:rFonts w:hint="eastAsia" w:ascii="仿宋" w:hAnsi="仿宋" w:eastAsia="仿宋" w:cs="仿宋"/>
          <w:b/>
          <w:bCs/>
          <w:snapToGrid/>
          <w:color w:val="auto"/>
          <w:kern w:val="2"/>
          <w:sz w:val="24"/>
          <w:szCs w:val="24"/>
          <w:highlight w:val="none"/>
        </w:rPr>
        <w:t>https://www.zcygov.cn/），</w:t>
      </w:r>
      <w:r>
        <w:rPr>
          <w:rStyle w:val="76"/>
          <w:rFonts w:hint="eastAsia" w:ascii="仿宋" w:hAnsi="仿宋" w:eastAsia="仿宋" w:cs="仿宋"/>
          <w:b/>
          <w:bCs/>
          <w:snapToGrid/>
          <w:color w:val="auto"/>
          <w:sz w:val="24"/>
          <w:szCs w:val="24"/>
          <w:highlight w:val="none"/>
        </w:rPr>
        <w:t>杭州市文晖路42</w:t>
      </w:r>
      <w:r>
        <w:rPr>
          <w:rStyle w:val="76"/>
          <w:rFonts w:ascii="仿宋" w:hAnsi="仿宋" w:eastAsia="仿宋" w:cs="仿宋"/>
          <w:b/>
          <w:bCs/>
          <w:snapToGrid/>
          <w:color w:val="auto"/>
          <w:sz w:val="24"/>
          <w:szCs w:val="24"/>
          <w:highlight w:val="none"/>
        </w:rPr>
        <w:fldChar w:fldCharType="end"/>
      </w:r>
      <w:r>
        <w:rPr>
          <w:rFonts w:hint="eastAsia" w:ascii="仿宋" w:hAnsi="仿宋" w:eastAsia="仿宋" w:cs="仿宋"/>
          <w:b/>
          <w:bCs/>
          <w:color w:val="auto"/>
          <w:kern w:val="0"/>
          <w:sz w:val="24"/>
          <w:highlight w:val="none"/>
        </w:rPr>
        <w:t>号现代置业大厦西楼17层开标室</w:t>
      </w:r>
      <w:r>
        <w:rPr>
          <w:rFonts w:hint="eastAsia" w:ascii="仿宋" w:hAnsi="仿宋" w:eastAsia="仿宋" w:cs="仿宋"/>
          <w:b/>
          <w:bCs/>
          <w:color w:val="auto"/>
          <w:kern w:val="0"/>
          <w:sz w:val="24"/>
          <w:highlight w:val="none"/>
          <w:lang w:val="en-US" w:eastAsia="zh-CN"/>
        </w:rPr>
        <w:t>一</w:t>
      </w:r>
      <w:r>
        <w:rPr>
          <w:rFonts w:hint="eastAsia" w:ascii="仿宋" w:hAnsi="仿宋" w:eastAsia="仿宋" w:cs="仿宋"/>
          <w:b/>
          <w:bCs/>
          <w:color w:val="auto"/>
          <w:spacing w:val="-6"/>
          <w:kern w:val="0"/>
          <w:sz w:val="24"/>
          <w:highlight w:val="none"/>
        </w:rPr>
        <w:t>。</w:t>
      </w:r>
      <w:bookmarkStart w:id="15" w:name="_Toc29045"/>
      <w:bookmarkStart w:id="16" w:name="_Toc20890"/>
      <w:bookmarkStart w:id="17" w:name="_Toc10486"/>
    </w:p>
    <w:p>
      <w:pPr>
        <w:tabs>
          <w:tab w:val="left" w:pos="900"/>
        </w:tabs>
        <w:snapToGrid w:val="0"/>
        <w:spacing w:line="360" w:lineRule="auto"/>
        <w:ind w:firstLine="482"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五、采购意向公开链接</w:t>
      </w:r>
      <w:bookmarkEnd w:id="15"/>
      <w:bookmarkEnd w:id="16"/>
      <w:bookmarkEnd w:id="17"/>
    </w:p>
    <w:p>
      <w:pPr>
        <w:snapToGrid w:val="0"/>
        <w:spacing w:line="360" w:lineRule="auto"/>
        <w:ind w:firstLine="420" w:firstLineChars="200"/>
        <w:rPr>
          <w:rFonts w:ascii="仿宋" w:hAnsi="仿宋" w:eastAsia="仿宋"/>
          <w:color w:val="auto"/>
          <w:highlight w:val="none"/>
        </w:rPr>
      </w:pPr>
      <w:r>
        <w:rPr>
          <w:color w:val="auto"/>
          <w:highlight w:val="none"/>
        </w:rPr>
        <w:fldChar w:fldCharType="begin"/>
      </w:r>
      <w:r>
        <w:rPr>
          <w:color w:val="auto"/>
          <w:highlight w:val="none"/>
        </w:rPr>
        <w:instrText xml:space="preserve"> HYPERLINK "https://zfcg.czt.zj.gov.cn/innerUsed_noticeDetails/index.html?noticeId=8666708&amp;utm=web-government-front.49399a16.0.0.ca4c27102c6911ed843a01ebad131f76" </w:instrText>
      </w:r>
      <w:r>
        <w:rPr>
          <w:color w:val="auto"/>
          <w:highlight w:val="none"/>
        </w:rPr>
        <w:fldChar w:fldCharType="separate"/>
      </w:r>
      <w:r>
        <w:rPr>
          <w:rStyle w:val="76"/>
          <w:rFonts w:ascii="仿宋" w:hAnsi="仿宋" w:eastAsia="仿宋" w:cs="Times New Roman"/>
          <w:snapToGrid/>
          <w:color w:val="auto"/>
          <w:kern w:val="2"/>
          <w:sz w:val="21"/>
          <w:szCs w:val="24"/>
          <w:highlight w:val="none"/>
        </w:rPr>
        <w:t>https://zfcg.czt.zj.gov.cn/innerUsed_noticeDetails/index.html?noticeId=8666708&amp;utm=web-government-front.49399a16.0.0.ca4c27102c6911ed843a01ebad131f76</w:t>
      </w:r>
      <w:r>
        <w:rPr>
          <w:rStyle w:val="76"/>
          <w:rFonts w:ascii="仿宋" w:hAnsi="仿宋" w:eastAsia="仿宋" w:cs="Times New Roman"/>
          <w:snapToGrid/>
          <w:color w:val="auto"/>
          <w:kern w:val="2"/>
          <w:sz w:val="21"/>
          <w:szCs w:val="24"/>
          <w:highlight w:val="none"/>
        </w:rPr>
        <w:fldChar w:fldCharType="end"/>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六、公告期限</w:t>
      </w:r>
      <w:r>
        <w:rPr>
          <w:rFonts w:ascii="仿宋" w:hAnsi="仿宋" w:eastAsia="仿宋"/>
          <w:b/>
          <w:color w:val="auto"/>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七、其他补充事宜</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.其他事项：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采购文件的获取：使用账号登录或者使用CA登录政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采云平台；进入“项目采购”应用，在获取采购文件菜单中选择项目，获取采购文件；④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采购人、采购代理机构将依托政</w:t>
      </w:r>
      <w:r>
        <w:rPr>
          <w:rFonts w:hint="eastAsia" w:ascii="仿宋" w:hAnsi="仿宋" w:eastAsia="仿宋"/>
          <w:color w:val="auto"/>
          <w:sz w:val="24"/>
          <w:highlight w:val="none"/>
        </w:rPr>
        <w:t>采云平台完成本项目的电子交易活动，平台不接受未按上述方式获取采购文件的供应商进行投标活动；</w:t>
      </w:r>
      <w:r>
        <w:rPr>
          <w:rFonts w:ascii="仿宋" w:hAnsi="仿宋" w:eastAsia="仿宋"/>
          <w:color w:val="auto"/>
          <w:sz w:val="24"/>
          <w:highlight w:val="none"/>
        </w:rPr>
        <w:t xml:space="preserve"> </w:t>
      </w:r>
      <w:r>
        <w:rPr>
          <w:rFonts w:hint="eastAsia" w:ascii="仿宋" w:hAnsi="仿宋" w:eastAsia="仿宋"/>
          <w:color w:val="auto"/>
          <w:sz w:val="24"/>
          <w:highlight w:val="none"/>
        </w:rPr>
        <w:t>⑥</w:t>
      </w:r>
      <w:r>
        <w:rPr>
          <w:rFonts w:ascii="仿宋" w:hAnsi="仿宋" w:eastAsia="仿宋"/>
          <w:color w:val="auto"/>
          <w:sz w:val="24"/>
          <w:highlight w:val="none"/>
        </w:rPr>
        <w:t>对未按上述方式获取采购文件的供应商对该文件提出的质疑，采购人或采购代理机构将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不提供采购文件纸质版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pPr>
        <w:pStyle w:val="2"/>
        <w:snapToGrid w:val="0"/>
        <w:spacing w:line="360" w:lineRule="auto"/>
        <w:rPr>
          <w:rFonts w:ascii="仿宋" w:hAnsi="仿宋" w:eastAsia="仿宋"/>
          <w:color w:val="auto"/>
          <w:highlight w:val="none"/>
        </w:rPr>
      </w:pPr>
      <w:r>
        <w:rPr>
          <w:rFonts w:hint="eastAsia" w:ascii="仿宋" w:hAnsi="仿宋" w:eastAsia="仿宋"/>
          <w:color w:val="auto"/>
          <w:highlight w:val="none"/>
        </w:rPr>
        <w:t>（3）单位负责人为同一人或者存在直接控股、管理关系的不同供应商，不得参加同一合同项下的政府采购活动；</w:t>
      </w:r>
      <w:r>
        <w:rPr>
          <w:rFonts w:ascii="仿宋" w:hAnsi="仿宋" w:eastAsia="仿宋" w:cs="仿宋_GB2312"/>
          <w:color w:val="auto"/>
          <w:highlight w:val="none"/>
        </w:rPr>
        <w:t>为采购项目提供整体设计、规范编制或者项目管理、监理、检测等服务后</w:t>
      </w:r>
      <w:r>
        <w:rPr>
          <w:rFonts w:hint="eastAsia" w:ascii="仿宋" w:hAnsi="仿宋" w:eastAsia="仿宋" w:cs="仿宋_GB2312"/>
          <w:color w:val="auto"/>
          <w:highlight w:val="none"/>
        </w:rPr>
        <w:t>不得</w:t>
      </w:r>
      <w:r>
        <w:rPr>
          <w:rFonts w:ascii="仿宋" w:hAnsi="仿宋" w:eastAsia="仿宋" w:cs="仿宋_GB2312"/>
          <w:color w:val="auto"/>
          <w:highlight w:val="none"/>
        </w:rPr>
        <w:t>再参加该采购项目的其他采购活动。</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八、对本次采购提出询问、质疑、投诉，请按以下方式联系</w:t>
      </w:r>
    </w:p>
    <w:p>
      <w:pPr>
        <w:pStyle w:val="964"/>
        <w:adjustRightInd w:val="0"/>
        <w:snapToGrid w:val="0"/>
        <w:ind w:firstLine="480"/>
        <w:rPr>
          <w:rFonts w:ascii="仿宋" w:hAnsi="仿宋" w:eastAsia="仿宋"/>
          <w:color w:val="auto"/>
          <w:szCs w:val="24"/>
          <w:highlight w:val="none"/>
        </w:rPr>
      </w:pPr>
      <w:r>
        <w:rPr>
          <w:rFonts w:ascii="仿宋" w:hAnsi="仿宋" w:eastAsia="仿宋"/>
          <w:color w:val="auto"/>
          <w:szCs w:val="24"/>
          <w:highlight w:val="none"/>
        </w:rPr>
        <w:t>1.</w:t>
      </w:r>
      <w:r>
        <w:rPr>
          <w:rFonts w:hint="eastAsia" w:ascii="仿宋" w:hAnsi="仿宋" w:eastAsia="仿宋"/>
          <w:color w:val="auto"/>
          <w:szCs w:val="24"/>
          <w:highlight w:val="none"/>
        </w:rPr>
        <w:t>采购人信息</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rPr>
        <w:t>杭州市公路与港航管理服务中心</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地址：</w:t>
      </w:r>
      <w:r>
        <w:rPr>
          <w:rFonts w:hint="eastAsia" w:ascii="仿宋" w:hAnsi="仿宋" w:eastAsia="仿宋" w:cs="宋体"/>
          <w:bCs/>
          <w:color w:val="auto"/>
          <w:kern w:val="0"/>
          <w:highlight w:val="none"/>
        </w:rPr>
        <w:t>浙江省杭州市拱墅区中河北路108号港航大厦</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项目联系人：</w:t>
      </w:r>
      <w:r>
        <w:rPr>
          <w:rFonts w:hint="eastAsia" w:ascii="仿宋" w:hAnsi="仿宋" w:eastAsia="仿宋" w:cs="宋体"/>
          <w:bCs/>
          <w:color w:val="auto"/>
          <w:kern w:val="0"/>
          <w:highlight w:val="none"/>
        </w:rPr>
        <w:t>赵工</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项目联系方式：</w:t>
      </w:r>
      <w:r>
        <w:rPr>
          <w:rFonts w:ascii="仿宋" w:hAnsi="仿宋" w:eastAsia="仿宋" w:cs="宋体"/>
          <w:bCs/>
          <w:color w:val="auto"/>
          <w:kern w:val="0"/>
          <w:highlight w:val="none"/>
        </w:rPr>
        <w:t>0571-85460080</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质疑联系人：</w:t>
      </w:r>
      <w:r>
        <w:rPr>
          <w:rFonts w:hint="eastAsia" w:ascii="仿宋" w:hAnsi="仿宋" w:eastAsia="仿宋" w:cs="宋体"/>
          <w:color w:val="auto"/>
          <w:kern w:val="0"/>
          <w:highlight w:val="none"/>
        </w:rPr>
        <w:t>潘老师</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 xml:space="preserve">质疑联系方式： </w:t>
      </w:r>
      <w:r>
        <w:rPr>
          <w:rFonts w:hint="eastAsia" w:ascii="仿宋" w:hAnsi="仿宋" w:eastAsia="仿宋" w:cs="宋体"/>
          <w:color w:val="auto"/>
          <w:kern w:val="0"/>
          <w:highlight w:val="none"/>
        </w:rPr>
        <w:t>0</w:t>
      </w:r>
      <w:r>
        <w:rPr>
          <w:rFonts w:ascii="仿宋" w:hAnsi="仿宋" w:eastAsia="仿宋" w:cs="宋体"/>
          <w:color w:val="auto"/>
          <w:kern w:val="0"/>
          <w:highlight w:val="none"/>
        </w:rPr>
        <w:t>571-85460020</w:t>
      </w:r>
    </w:p>
    <w:p>
      <w:pPr>
        <w:widowControl/>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2.</w:t>
      </w:r>
      <w:r>
        <w:rPr>
          <w:rFonts w:hint="eastAsia" w:ascii="仿宋" w:hAnsi="仿宋" w:eastAsia="仿宋" w:cs="宋体"/>
          <w:color w:val="auto"/>
          <w:sz w:val="24"/>
          <w:highlight w:val="none"/>
        </w:rPr>
        <w:t>采购代理机构信息</w:t>
      </w:r>
    </w:p>
    <w:p>
      <w:pPr>
        <w:pStyle w:val="96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名称：浙江省成套招标代理有限公司</w:t>
      </w:r>
    </w:p>
    <w:p>
      <w:pPr>
        <w:pStyle w:val="96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地址：</w:t>
      </w:r>
      <w:r>
        <w:rPr>
          <w:rFonts w:hint="eastAsia" w:ascii="仿宋" w:hAnsi="仿宋" w:eastAsia="仿宋"/>
          <w:color w:val="auto"/>
          <w:szCs w:val="24"/>
          <w:highlight w:val="none"/>
          <w:lang w:val="zh-CN"/>
        </w:rPr>
        <w:t>杭州市文晖路42号现代置业大厦西楼17、18楼</w:t>
      </w:r>
    </w:p>
    <w:p>
      <w:pPr>
        <w:pStyle w:val="96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传真：4008-266-163转08156</w:t>
      </w:r>
    </w:p>
    <w:p>
      <w:pPr>
        <w:pStyle w:val="96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项目联系人：陆佳</w:t>
      </w:r>
    </w:p>
    <w:p>
      <w:pPr>
        <w:pStyle w:val="96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项目联系方式：0571-87634685</w:t>
      </w:r>
    </w:p>
    <w:p>
      <w:pPr>
        <w:pStyle w:val="96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质疑联系人：冯东东</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质疑联系方式：0571-85331293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3.同级政府采购监督管理部门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名  称：</w:t>
      </w:r>
      <w:r>
        <w:rPr>
          <w:rFonts w:hint="eastAsia" w:ascii="仿宋" w:hAnsi="仿宋" w:eastAsia="仿宋"/>
          <w:color w:val="auto"/>
          <w:sz w:val="24"/>
          <w:highlight w:val="none"/>
        </w:rPr>
        <w:t xml:space="preserve">杭州市财政局政府采购监管处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地  址：</w:t>
      </w:r>
      <w:r>
        <w:rPr>
          <w:rFonts w:hint="eastAsia" w:ascii="仿宋" w:hAnsi="仿宋" w:eastAsia="仿宋"/>
          <w:color w:val="auto"/>
          <w:sz w:val="24"/>
          <w:highlight w:val="none"/>
        </w:rPr>
        <w:t>杭州市中河中路152号614办公室</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传  真：</w:t>
      </w:r>
      <w:r>
        <w:rPr>
          <w:rFonts w:hint="eastAsia" w:ascii="仿宋" w:hAnsi="仿宋" w:eastAsia="仿宋"/>
          <w:color w:val="auto"/>
          <w:sz w:val="24"/>
          <w:highlight w:val="none"/>
        </w:rPr>
        <w:t xml:space="preserve">0571-89580456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联系人：</w:t>
      </w:r>
      <w:r>
        <w:rPr>
          <w:rFonts w:hint="eastAsia" w:ascii="仿宋" w:hAnsi="仿宋" w:eastAsia="仿宋"/>
          <w:color w:val="auto"/>
          <w:sz w:val="24"/>
          <w:highlight w:val="none"/>
        </w:rPr>
        <w:t>厉先生</w:t>
      </w:r>
      <w:r>
        <w:rPr>
          <w:rFonts w:ascii="仿宋" w:hAnsi="仿宋" w:eastAsia="仿宋"/>
          <w:color w:val="auto"/>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监督投诉电话：</w:t>
      </w:r>
      <w:r>
        <w:rPr>
          <w:rFonts w:hint="eastAsia" w:ascii="仿宋" w:hAnsi="仿宋" w:eastAsia="仿宋"/>
          <w:color w:val="auto"/>
          <w:sz w:val="24"/>
          <w:highlight w:val="none"/>
        </w:rPr>
        <w:t>0571-89580456</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pStyle w:val="32"/>
        <w:snapToGrid w:val="0"/>
        <w:spacing w:line="360" w:lineRule="auto"/>
        <w:ind w:firstLine="480" w:firstLineChars="200"/>
        <w:rPr>
          <w:rFonts w:ascii="仿宋" w:hAnsi="仿宋" w:eastAsia="仿宋" w:cs="仿宋_GB2312"/>
          <w:color w:val="auto"/>
          <w:sz w:val="24"/>
          <w:highlight w:val="none"/>
        </w:rPr>
      </w:pPr>
    </w:p>
    <w:p>
      <w:pPr>
        <w:tabs>
          <w:tab w:val="left" w:pos="432"/>
        </w:tabs>
        <w:spacing w:line="360" w:lineRule="auto"/>
        <w:jc w:val="center"/>
        <w:rPr>
          <w:rFonts w:ascii="仿宋" w:hAnsi="仿宋" w:eastAsia="仿宋"/>
          <w:color w:val="auto"/>
          <w:highlight w:val="none"/>
        </w:rPr>
      </w:pPr>
      <w:bookmarkStart w:id="18" w:name="_Toc9084"/>
      <w:bookmarkStart w:id="19" w:name="_Toc27720"/>
      <w:bookmarkStart w:id="20" w:name="_Toc95312934"/>
      <w:bookmarkStart w:id="21" w:name="_Toc528230691"/>
      <w:bookmarkStart w:id="22" w:name="_Toc2935"/>
    </w:p>
    <w:p>
      <w:pPr>
        <w:pStyle w:val="2"/>
        <w:spacing w:line="360" w:lineRule="auto"/>
        <w:rPr>
          <w:rFonts w:ascii="仿宋" w:hAnsi="仿宋" w:eastAsia="仿宋"/>
          <w:color w:val="auto"/>
          <w:highlight w:val="none"/>
        </w:rPr>
      </w:pPr>
    </w:p>
    <w:p>
      <w:pPr>
        <w:tabs>
          <w:tab w:val="left" w:pos="432"/>
        </w:tabs>
        <w:rPr>
          <w:rFonts w:ascii="仿宋" w:hAnsi="仿宋" w:eastAsia="仿宋"/>
          <w:color w:val="auto"/>
          <w:highlight w:val="none"/>
        </w:rPr>
      </w:pPr>
      <w:bookmarkStart w:id="23" w:name="_Toc15383"/>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p>
    <w:p>
      <w:pPr>
        <w:pStyle w:val="3"/>
        <w:jc w:val="center"/>
        <w:rPr>
          <w:rFonts w:ascii="仿宋" w:hAnsi="仿宋" w:eastAsia="仿宋"/>
          <w:color w:val="auto"/>
          <w:highlight w:val="none"/>
        </w:rPr>
      </w:pPr>
      <w:bookmarkStart w:id="24" w:name="_Toc28421"/>
      <w:bookmarkStart w:id="25" w:name="_Toc1281"/>
      <w:r>
        <w:rPr>
          <w:rFonts w:hint="eastAsia" w:ascii="仿宋" w:hAnsi="仿宋" w:eastAsia="仿宋"/>
          <w:color w:val="auto"/>
          <w:highlight w:val="none"/>
        </w:rPr>
        <w:t>第二部分</w:t>
      </w:r>
      <w:bookmarkEnd w:id="5"/>
      <w:r>
        <w:rPr>
          <w:rFonts w:ascii="仿宋" w:hAnsi="仿宋" w:eastAsia="仿宋"/>
          <w:color w:val="auto"/>
          <w:highlight w:val="none"/>
        </w:rPr>
        <w:t xml:space="preserve"> </w:t>
      </w:r>
      <w:r>
        <w:rPr>
          <w:rFonts w:hint="eastAsia" w:ascii="仿宋" w:hAnsi="仿宋" w:eastAsia="仿宋"/>
          <w:color w:val="auto"/>
          <w:highlight w:val="none"/>
        </w:rPr>
        <w:t>投标人</w:t>
      </w:r>
      <w:r>
        <w:rPr>
          <w:rFonts w:ascii="仿宋" w:hAnsi="仿宋" w:eastAsia="仿宋"/>
          <w:color w:val="auto"/>
          <w:highlight w:val="none"/>
        </w:rPr>
        <w:t>须知</w:t>
      </w:r>
      <w:bookmarkEnd w:id="6"/>
      <w:bookmarkEnd w:id="18"/>
      <w:bookmarkEnd w:id="19"/>
      <w:bookmarkEnd w:id="20"/>
      <w:bookmarkEnd w:id="21"/>
      <w:bookmarkEnd w:id="22"/>
      <w:bookmarkEnd w:id="23"/>
      <w:bookmarkEnd w:id="24"/>
      <w:bookmarkEnd w:id="25"/>
    </w:p>
    <w:p>
      <w:pPr>
        <w:pStyle w:val="4"/>
        <w:jc w:val="center"/>
        <w:rPr>
          <w:rFonts w:ascii="仿宋" w:hAnsi="仿宋" w:eastAsia="仿宋"/>
          <w:color w:val="auto"/>
          <w:highlight w:val="none"/>
        </w:rPr>
      </w:pPr>
      <w:bookmarkStart w:id="26" w:name="_Toc12938"/>
      <w:bookmarkStart w:id="27" w:name="_Toc28300"/>
      <w:bookmarkStart w:id="28" w:name="_Toc275826939"/>
      <w:bookmarkStart w:id="29" w:name="_Toc14747"/>
      <w:bookmarkStart w:id="30" w:name="_Toc26268"/>
      <w:bookmarkStart w:id="31" w:name="_Toc95312935"/>
      <w:bookmarkStart w:id="32" w:name="_Toc13590"/>
      <w:bookmarkStart w:id="33" w:name="_Toc2645"/>
      <w:r>
        <w:rPr>
          <w:rFonts w:hint="eastAsia" w:ascii="仿宋" w:hAnsi="仿宋" w:eastAsia="仿宋"/>
          <w:color w:val="auto"/>
          <w:highlight w:val="none"/>
        </w:rPr>
        <w:t>前附表</w:t>
      </w:r>
      <w:bookmarkEnd w:id="26"/>
      <w:bookmarkEnd w:id="27"/>
      <w:bookmarkEnd w:id="28"/>
      <w:bookmarkEnd w:id="29"/>
      <w:bookmarkEnd w:id="30"/>
      <w:bookmarkEnd w:id="31"/>
      <w:bookmarkEnd w:id="32"/>
      <w:bookmarkEnd w:id="33"/>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bCs/>
                <w:color w:val="auto"/>
                <w:sz w:val="24"/>
                <w:highlight w:val="none"/>
              </w:rPr>
            </w:pPr>
            <w:bookmarkStart w:id="34" w:name="_Toc31188"/>
            <w:bookmarkStart w:id="35" w:name="_Toc1553653547"/>
            <w:bookmarkStart w:id="36" w:name="_Toc95312936"/>
            <w:bookmarkStart w:id="37" w:name="_Toc547338095"/>
            <w:bookmarkStart w:id="38" w:name="_Toc31589"/>
            <w:bookmarkStart w:id="39" w:name="_Toc95736576"/>
            <w:bookmarkStart w:id="40" w:name="_Toc18461"/>
            <w:r>
              <w:rPr>
                <w:rFonts w:hint="eastAsia" w:ascii="仿宋" w:hAnsi="仿宋" w:eastAsia="仿宋" w:cs="仿宋"/>
                <w:b/>
                <w:bCs/>
                <w:color w:val="auto"/>
                <w:sz w:val="24"/>
                <w:highlight w:val="none"/>
              </w:rPr>
              <w:t>本次报价方式为总价包干，报价须包含按采购文件要求完成本项目所需的所有费用(包括开发、集成、人工费用、交通食宿费、税金、保险和防疫等，一切费用均计入报价。对于保障本项目完整顺利实施的必须项，如上述未包含，供应商需自行测算及预估，且费用均已包含在报价中)。</w:t>
            </w:r>
            <w:bookmarkEnd w:id="34"/>
            <w:bookmarkEnd w:id="35"/>
            <w:bookmarkEnd w:id="36"/>
            <w:bookmarkEnd w:id="37"/>
            <w:bookmarkEnd w:id="38"/>
            <w:bookmarkEnd w:id="39"/>
            <w:bookmarkEnd w:id="40"/>
          </w:p>
          <w:p>
            <w:pPr>
              <w:snapToGrid w:val="0"/>
              <w:spacing w:line="360" w:lineRule="auto"/>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numPr>
                <w:ilvl w:val="0"/>
                <w:numId w:val="2"/>
              </w:numPr>
              <w:snapToGrid w:val="0"/>
              <w:spacing w:line="360" w:lineRule="auto"/>
              <w:ind w:left="0"/>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投标文件出现不是唯一的、有选择性投标报价的；</w:t>
            </w:r>
          </w:p>
          <w:p>
            <w:pPr>
              <w:numPr>
                <w:ilvl w:val="0"/>
                <w:numId w:val="2"/>
              </w:numPr>
              <w:snapToGrid w:val="0"/>
              <w:spacing w:line="360" w:lineRule="auto"/>
              <w:ind w:left="0"/>
              <w:jc w:val="left"/>
              <w:rPr>
                <w:rFonts w:ascii="仿宋" w:hAnsi="仿宋" w:eastAsia="仿宋"/>
                <w:b/>
                <w:color w:val="auto"/>
                <w:kern w:val="0"/>
                <w:sz w:val="24"/>
                <w:highlight w:val="none"/>
                <w:lang w:val="zh-CN"/>
              </w:rPr>
            </w:pPr>
            <w:r>
              <w:rPr>
                <w:rFonts w:hint="eastAsia" w:ascii="仿宋" w:hAnsi="仿宋" w:eastAsia="仿宋" w:cs="仿宋_GB2312"/>
                <w:b/>
                <w:color w:val="auto"/>
                <w:kern w:val="0"/>
                <w:sz w:val="24"/>
                <w:highlight w:val="none"/>
                <w:lang w:val="zh-CN"/>
              </w:rPr>
              <w:t>投标报价超过采购文件中规定的预算金额或者最高限价的</w:t>
            </w:r>
            <w:r>
              <w:rPr>
                <w:rFonts w:ascii="仿宋" w:hAnsi="仿宋" w:eastAsia="仿宋"/>
                <w:b/>
                <w:color w:val="auto"/>
                <w:kern w:val="0"/>
                <w:sz w:val="24"/>
                <w:highlight w:val="none"/>
                <w:lang w:val="zh-CN"/>
              </w:rPr>
              <w:t>;</w:t>
            </w:r>
          </w:p>
          <w:p>
            <w:pPr>
              <w:numPr>
                <w:ilvl w:val="0"/>
                <w:numId w:val="2"/>
              </w:numPr>
              <w:snapToGrid w:val="0"/>
              <w:spacing w:line="360" w:lineRule="auto"/>
              <w:ind w:left="0"/>
              <w:rPr>
                <w:rFonts w:ascii="仿宋" w:hAnsi="仿宋" w:eastAsia="仿宋" w:cs="仿宋_GB2312"/>
                <w:b/>
                <w:color w:val="auto"/>
                <w:sz w:val="24"/>
                <w:highlight w:val="none"/>
              </w:rPr>
            </w:pPr>
            <w:r>
              <w:rPr>
                <w:rFonts w:hint="eastAsia" w:ascii="仿宋" w:hAnsi="仿宋" w:eastAsia="仿宋" w:cs="Arial"/>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ascii="仿宋" w:hAnsi="仿宋" w:eastAsia="仿宋" w:cs="仿宋_GB2312"/>
                <w:b/>
                <w:color w:val="auto"/>
                <w:sz w:val="24"/>
                <w:szCs w:val="21"/>
                <w:highlight w:val="none"/>
              </w:rPr>
              <w:t>;</w:t>
            </w:r>
          </w:p>
          <w:p>
            <w:pPr>
              <w:numPr>
                <w:ilvl w:val="0"/>
                <w:numId w:val="2"/>
              </w:numPr>
              <w:snapToGrid w:val="0"/>
              <w:spacing w:line="360" w:lineRule="auto"/>
              <w:ind w:left="0"/>
              <w:rPr>
                <w:rFonts w:ascii="仿宋" w:hAnsi="仿宋" w:eastAsia="仿宋"/>
                <w:color w:val="auto"/>
                <w:sz w:val="24"/>
                <w:highlight w:val="none"/>
              </w:rPr>
            </w:pPr>
            <w:r>
              <w:rPr>
                <w:rFonts w:hint="eastAsia" w:ascii="仿宋" w:hAnsi="仿宋" w:eastAsia="仿宋" w:cs="Arial"/>
                <w:b/>
                <w:color w:val="auto"/>
                <w:kern w:val="0"/>
                <w:sz w:val="24"/>
                <w:highlight w:val="none"/>
              </w:rPr>
              <w:t>供应商对根据修正原则修正后的报价不确认的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bookmarkStart w:id="41" w:name="_Hlk96377661"/>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（1）本项目接受联合体投标，联合体投标的联合体各方承担连带责任；</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（2）供应商以联合体形式投标的：提供联合协议和声明函。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（1）本项目允许分包，本项目仅允许</w:t>
            </w:r>
            <w:r>
              <w:rPr>
                <w:rFonts w:ascii="仿宋" w:hAnsi="仿宋" w:eastAsia="仿宋"/>
                <w:color w:val="auto"/>
                <w:sz w:val="24"/>
                <w:highlight w:val="none"/>
              </w:rPr>
              <w:t>大中型企业向一家</w:t>
            </w:r>
            <w:r>
              <w:rPr>
                <w:rFonts w:hint="eastAsia" w:ascii="仿宋" w:hAnsi="仿宋" w:eastAsia="仿宋"/>
                <w:color w:val="auto"/>
                <w:sz w:val="24"/>
                <w:highlight w:val="none"/>
              </w:rPr>
              <w:t>或多家</w:t>
            </w:r>
            <w:r>
              <w:rPr>
                <w:rFonts w:ascii="仿宋" w:hAnsi="仿宋" w:eastAsia="仿宋"/>
                <w:color w:val="auto"/>
                <w:sz w:val="24"/>
                <w:highlight w:val="none"/>
              </w:rPr>
              <w:t>小微企业</w:t>
            </w:r>
            <w:r>
              <w:rPr>
                <w:rFonts w:hint="eastAsia" w:ascii="仿宋" w:hAnsi="仿宋" w:eastAsia="仿宋"/>
                <w:color w:val="auto"/>
                <w:sz w:val="24"/>
                <w:highlight w:val="none"/>
              </w:rPr>
              <w:t>、小微企业向一家或多家小微企业对本项目非主体、非关键性部分进行合理</w:t>
            </w:r>
            <w:r>
              <w:rPr>
                <w:rFonts w:ascii="仿宋" w:hAnsi="仿宋" w:eastAsia="仿宋"/>
                <w:color w:val="auto"/>
                <w:sz w:val="24"/>
                <w:highlight w:val="none"/>
              </w:rPr>
              <w:t>分包</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本项目非主体、非关键性部分为：</w:t>
            </w:r>
            <w:r>
              <w:rPr>
                <w:rFonts w:hint="eastAsia" w:ascii="仿宋" w:hAnsi="仿宋" w:eastAsia="仿宋"/>
                <w:color w:val="auto"/>
                <w:sz w:val="24"/>
                <w:highlight w:val="none"/>
                <w:u w:val="single"/>
              </w:rPr>
              <w:t>客运车辆违规上客治理（二期）、杭州市出租汽车综合监管服务、阳光驾培管理服务、交通运输行业证照协同数字化改革。</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）供应商以分包方式投标的：提供分包意向协议和声明函，大企业须提供大型企业声明函（附件6），中小微企业须提供中小企业声明函（附件</w:t>
            </w:r>
            <w:r>
              <w:rPr>
                <w:rFonts w:ascii="仿宋" w:hAnsi="仿宋" w:eastAsia="仿宋"/>
                <w:color w:val="auto"/>
                <w:sz w:val="24"/>
                <w:highlight w:val="none"/>
              </w:rPr>
              <w:t>5</w:t>
            </w:r>
            <w:r>
              <w:rPr>
                <w:rFonts w:hint="eastAsia" w:ascii="仿宋" w:hAnsi="仿宋" w:eastAsia="仿宋"/>
                <w:color w:val="auto"/>
                <w:sz w:val="24"/>
                <w:highlight w:val="none"/>
              </w:rPr>
              <w:t>），</w:t>
            </w:r>
            <w:r>
              <w:rPr>
                <w:rFonts w:ascii="仿宋" w:hAnsi="仿宋" w:eastAsia="仿宋"/>
                <w:color w:val="auto"/>
                <w:sz w:val="24"/>
                <w:highlight w:val="none"/>
              </w:rPr>
              <w:t>符合《关于促进残疾人就业政府采购政策的通知》（财库〔2017〕141号）规定的条件的残疾人福利性单位视同小型、微型企业</w:t>
            </w:r>
            <w:r>
              <w:rPr>
                <w:rFonts w:hint="eastAsia" w:ascii="仿宋" w:hAnsi="仿宋" w:eastAsia="仿宋"/>
                <w:color w:val="auto"/>
                <w:sz w:val="24"/>
                <w:highlight w:val="none"/>
              </w:rPr>
              <w:t>,</w:t>
            </w:r>
            <w:r>
              <w:rPr>
                <w:rFonts w:ascii="仿宋" w:hAnsi="仿宋" w:eastAsia="仿宋"/>
                <w:color w:val="auto"/>
                <w:sz w:val="24"/>
                <w:highlight w:val="none"/>
              </w:rPr>
              <w:t xml:space="preserve"> 并提供《残疾人福利性单位声明函》（附件1）</w:t>
            </w:r>
            <w:r>
              <w:rPr>
                <w:rFonts w:hint="eastAsia" w:ascii="仿宋" w:hAnsi="仿宋" w:eastAsia="仿宋"/>
                <w:color w:val="auto"/>
                <w:sz w:val="24"/>
                <w:highlight w:val="none"/>
              </w:rPr>
              <w:t>,</w:t>
            </w:r>
            <w:r>
              <w:rPr>
                <w:rFonts w:ascii="仿宋" w:hAnsi="仿宋" w:eastAsia="仿宋"/>
                <w:color w:val="auto"/>
                <w:sz w:val="24"/>
                <w:highlight w:val="none"/>
              </w:rPr>
              <w:t xml:space="preserve"> 符合《关于政府采购支持监狱企业发展有关问题的通知》（财库[2014]68号）规定的监狱企业并提供由省级以上监狱管理局、戒毒管理局（含新疆生产建设兵团）出具的属于监狱企业证明文件的，视同为小型、微型企业</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分包单位须</w:t>
            </w:r>
            <w:r>
              <w:rPr>
                <w:rFonts w:hint="eastAsia" w:ascii="仿宋" w:hAnsi="仿宋" w:eastAsia="仿宋" w:cs="仿宋_GB2312"/>
                <w:snapToGrid w:val="0"/>
                <w:color w:val="auto"/>
                <w:kern w:val="28"/>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olor w:val="auto"/>
                <w:sz w:val="24"/>
                <w:highlight w:val="none"/>
              </w:rPr>
              <w:t>且须经采购人同意，如分包单位不具备承接分包内容</w:t>
            </w:r>
            <w:r>
              <w:rPr>
                <w:rFonts w:ascii="仿宋" w:hAnsi="仿宋" w:eastAsia="仿宋"/>
                <w:color w:val="auto"/>
                <w:sz w:val="24"/>
                <w:highlight w:val="none"/>
              </w:rPr>
              <w:t>所必需的设备和专业技术能力</w:t>
            </w:r>
            <w:r>
              <w:rPr>
                <w:rFonts w:hint="eastAsia" w:ascii="仿宋" w:hAnsi="仿宋" w:eastAsia="仿宋"/>
                <w:color w:val="auto"/>
                <w:sz w:val="24"/>
                <w:highlight w:val="none"/>
              </w:rPr>
              <w:t>的，采购人有权拒绝分包；</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分包单位不得再次分包，总包供应商对分包内容承担连带责任。</w:t>
            </w:r>
          </w:p>
          <w:p>
            <w:pPr>
              <w:snapToGrid w:val="0"/>
              <w:spacing w:line="360" w:lineRule="auto"/>
              <w:rPr>
                <w:rFonts w:ascii="仿宋" w:hAnsi="仿宋" w:eastAsia="仿宋"/>
                <w:b/>
                <w:bCs/>
                <w:color w:val="auto"/>
                <w:sz w:val="24"/>
                <w:highlight w:val="none"/>
                <w:u w:val="single"/>
              </w:rPr>
            </w:pPr>
            <w:r>
              <w:rPr>
                <w:rFonts w:hint="eastAsia" w:ascii="仿宋" w:hAnsi="仿宋" w:eastAsia="仿宋"/>
                <w:b/>
                <w:bCs/>
                <w:color w:val="auto"/>
                <w:sz w:val="24"/>
                <w:highlight w:val="none"/>
              </w:rPr>
              <w:t>（</w:t>
            </w:r>
            <w:r>
              <w:rPr>
                <w:rFonts w:ascii="仿宋" w:hAnsi="仿宋" w:eastAsia="仿宋"/>
                <w:b/>
                <w:bCs/>
                <w:color w:val="auto"/>
                <w:sz w:val="24"/>
                <w:highlight w:val="none"/>
              </w:rPr>
              <w:t>3</w:t>
            </w:r>
            <w:r>
              <w:rPr>
                <w:rFonts w:hint="eastAsia" w:ascii="仿宋" w:hAnsi="仿宋" w:eastAsia="仿宋"/>
                <w:b/>
                <w:bCs/>
                <w:color w:val="auto"/>
                <w:sz w:val="24"/>
                <w:highlight w:val="none"/>
              </w:rPr>
              <w:t>）本项目联合体投标的不允许分包。</w:t>
            </w:r>
          </w:p>
          <w:p>
            <w:pPr>
              <w:snapToGrid w:val="0"/>
              <w:spacing w:line="360" w:lineRule="auto"/>
              <w:rPr>
                <w:rFonts w:ascii="仿宋" w:hAnsi="仿宋" w:eastAsia="仿宋"/>
                <w:color w:val="auto"/>
                <w:highlight w:val="none"/>
              </w:rPr>
            </w:pPr>
            <w:r>
              <w:rPr>
                <w:rFonts w:hint="eastAsia" w:ascii="仿宋" w:hAnsi="仿宋" w:eastAsia="仿宋"/>
                <w:b/>
                <w:bCs/>
                <w:color w:val="auto"/>
                <w:sz w:val="24"/>
                <w:highlight w:val="none"/>
              </w:rPr>
              <w:t>（</w:t>
            </w:r>
            <w:r>
              <w:rPr>
                <w:rFonts w:ascii="仿宋" w:hAnsi="仿宋" w:eastAsia="仿宋"/>
                <w:b/>
                <w:bCs/>
                <w:color w:val="auto"/>
                <w:sz w:val="24"/>
                <w:highlight w:val="none"/>
              </w:rPr>
              <w:t>4</w:t>
            </w:r>
            <w:r>
              <w:rPr>
                <w:rFonts w:hint="eastAsia" w:ascii="仿宋" w:hAnsi="仿宋" w:eastAsia="仿宋"/>
                <w:b/>
                <w:bCs/>
                <w:color w:val="auto"/>
                <w:sz w:val="24"/>
                <w:highlight w:val="none"/>
              </w:rPr>
              <w:t>）本项目不得进行转包。</w:t>
            </w:r>
          </w:p>
        </w:tc>
      </w:tr>
      <w:bookmarkEnd w:id="4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4</w:t>
            </w:r>
          </w:p>
        </w:tc>
        <w:tc>
          <w:tcPr>
            <w:tcW w:w="1843"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供应商应当提供的资格证明文件</w:t>
            </w:r>
          </w:p>
        </w:tc>
        <w:tc>
          <w:tcPr>
            <w:tcW w:w="6095" w:type="dxa"/>
            <w:tcBorders>
              <w:top w:val="single" w:color="000000" w:sz="8" w:space="0"/>
              <w:left w:val="single" w:color="000000" w:sz="2"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仿宋" w:hAnsi="仿宋" w:eastAsia="仿宋"/>
                <w:color w:val="auto"/>
                <w:sz w:val="24"/>
                <w:highlight w:val="none"/>
              </w:rPr>
              <w:t>资格证明文件：见采购文件第二部分11.1。</w:t>
            </w:r>
          </w:p>
          <w:p>
            <w:pPr>
              <w:snapToGrid w:val="0"/>
              <w:spacing w:line="360" w:lineRule="auto"/>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360" w:lineRule="auto"/>
              <w:rPr>
                <w:rFonts w:ascii="仿宋" w:hAnsi="仿宋" w:eastAsia="仿宋"/>
                <w:color w:val="auto"/>
                <w:sz w:val="24"/>
                <w:szCs w:val="20"/>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ascii="仿宋" w:hAnsi="仿宋" w:eastAsia="仿宋"/>
                <w:color w:val="auto"/>
                <w:sz w:val="24"/>
                <w:highlight w:val="none"/>
                <w:u w:val="single"/>
              </w:rPr>
              <w:t xml:space="preserve">      </w:t>
            </w:r>
            <w:r>
              <w:rPr>
                <w:rFonts w:ascii="仿宋" w:hAnsi="仿宋" w:eastAsia="仿宋"/>
                <w:color w:val="auto"/>
                <w:sz w:val="24"/>
                <w:highlight w:val="none"/>
              </w:rPr>
              <w:t>,地点：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，联系方式：</w:t>
            </w:r>
            <w:r>
              <w:rPr>
                <w:rFonts w:ascii="仿宋" w:hAnsi="仿宋" w:eastAsia="仿宋"/>
                <w:color w:val="auto"/>
                <w:sz w:val="24"/>
                <w:highlight w:val="none"/>
                <w:u w:val="single"/>
              </w:rPr>
              <w:t xml:space="preserve">      </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3"/>
              </w:numPr>
              <w:snapToGrid w:val="0"/>
              <w:spacing w:line="360" w:lineRule="auto"/>
              <w:ind w:left="0"/>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3"/>
              </w:numPr>
              <w:snapToGrid w:val="0"/>
              <w:spacing w:line="360" w:lineRule="auto"/>
              <w:ind w:left="0"/>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3"/>
              </w:numPr>
              <w:snapToGrid w:val="0"/>
              <w:spacing w:line="360" w:lineRule="auto"/>
              <w:ind w:left="0"/>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pPr>
              <w:numPr>
                <w:ilvl w:val="0"/>
                <w:numId w:val="3"/>
              </w:numPr>
              <w:snapToGrid w:val="0"/>
              <w:spacing w:line="360" w:lineRule="auto"/>
              <w:ind w:left="0"/>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否；</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3"/>
              </w:numPr>
              <w:snapToGrid w:val="0"/>
              <w:spacing w:line="360" w:lineRule="auto"/>
              <w:ind w:left="0"/>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。请供应商在上述时间内提供样品并按规定位置安装完毕。超过截止时间的，采购人或采购代理机构将不予接收，并将清场并封闭样品现场。</w:t>
            </w:r>
          </w:p>
          <w:p>
            <w:pPr>
              <w:numPr>
                <w:ilvl w:val="0"/>
                <w:numId w:val="3"/>
              </w:numPr>
              <w:snapToGrid w:val="0"/>
              <w:spacing w:line="360" w:lineRule="auto"/>
              <w:ind w:left="0"/>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采购人、采购代理机构将通知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在规定的时间内取回，逾期未取回的，采购人、采购代理机构不负保管义务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numPr>
                <w:ilvl w:val="0"/>
                <w:numId w:val="3"/>
              </w:numPr>
              <w:snapToGrid w:val="0"/>
              <w:spacing w:line="360" w:lineRule="auto"/>
              <w:ind w:left="0"/>
              <w:rPr>
                <w:rFonts w:ascii="仿宋" w:hAnsi="仿宋" w:eastAsia="仿宋"/>
                <w:b/>
                <w:color w:val="auto"/>
                <w:sz w:val="24"/>
                <w:highlight w:val="none"/>
              </w:rPr>
            </w:pPr>
            <w:r>
              <w:rPr>
                <w:rFonts w:ascii="仿宋" w:hAnsi="仿宋" w:eastAsia="仿宋"/>
                <w:color w:val="auto"/>
                <w:sz w:val="24"/>
                <w:highlight w:val="none"/>
              </w:rPr>
              <w:t>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A</w:t>
            </w:r>
            <w:r>
              <w:rPr>
                <w:rFonts w:hint="eastAsia" w:ascii="仿宋" w:hAnsi="仿宋" w:eastAsia="仿宋"/>
                <w:color w:val="auto"/>
                <w:kern w:val="0"/>
                <w:sz w:val="24"/>
                <w:highlight w:val="none"/>
              </w:rPr>
              <w:t>不组织。</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sym w:font="Wingdings" w:char="F0FE"/>
            </w:r>
            <w:r>
              <w:rPr>
                <w:rFonts w:ascii="仿宋" w:hAnsi="仿宋" w:eastAsia="仿宋"/>
                <w:color w:val="auto"/>
                <w:kern w:val="0"/>
                <w:sz w:val="24"/>
                <w:highlight w:val="none"/>
              </w:rPr>
              <w:t>B组织。</w:t>
            </w:r>
          </w:p>
          <w:p>
            <w:pPr>
              <w:snapToGrid w:val="0"/>
              <w:spacing w:line="360" w:lineRule="auto"/>
              <w:rPr>
                <w:rFonts w:ascii="仿宋" w:hAnsi="仿宋" w:eastAsia="仿宋"/>
                <w:b/>
                <w:bCs/>
                <w:color w:val="auto"/>
                <w:kern w:val="0"/>
                <w:sz w:val="24"/>
                <w:highlight w:val="none"/>
              </w:rPr>
            </w:pPr>
            <w:r>
              <w:rPr>
                <w:rFonts w:hint="eastAsia" w:ascii="仿宋" w:hAnsi="仿宋" w:eastAsia="仿宋"/>
                <w:b/>
                <w:bCs/>
                <w:color w:val="auto"/>
                <w:kern w:val="0"/>
                <w:sz w:val="24"/>
                <w:highlight w:val="none"/>
              </w:rPr>
              <w:t>（</w:t>
            </w:r>
            <w:r>
              <w:rPr>
                <w:rFonts w:ascii="仿宋" w:hAnsi="仿宋" w:eastAsia="仿宋"/>
                <w:b/>
                <w:bCs/>
                <w:color w:val="auto"/>
                <w:kern w:val="0"/>
                <w:sz w:val="24"/>
                <w:highlight w:val="none"/>
              </w:rPr>
              <w:t>1）在评标时安排每个供应商进行</w:t>
            </w:r>
            <w:r>
              <w:rPr>
                <w:rFonts w:hint="eastAsia" w:ascii="仿宋" w:hAnsi="仿宋" w:eastAsia="仿宋"/>
                <w:b/>
                <w:bCs/>
                <w:color w:val="auto"/>
                <w:kern w:val="0"/>
                <w:sz w:val="24"/>
                <w:highlight w:val="none"/>
              </w:rPr>
              <w:t>系统</w:t>
            </w:r>
            <w:r>
              <w:rPr>
                <w:rFonts w:ascii="仿宋" w:hAnsi="仿宋" w:eastAsia="仿宋"/>
                <w:b/>
                <w:bCs/>
                <w:color w:val="auto"/>
                <w:kern w:val="0"/>
                <w:sz w:val="24"/>
                <w:highlight w:val="none"/>
              </w:rPr>
              <w:t>演示。每个供应商时间不超过15分钟，讲解次序以投标文件解密时间先后次序为准，演示人员不超过2人。演示结束后按要求解答评标委员会提问。</w:t>
            </w:r>
          </w:p>
          <w:p>
            <w:pPr>
              <w:snapToGrid w:val="0"/>
              <w:spacing w:line="360" w:lineRule="auto"/>
              <w:rPr>
                <w:rFonts w:ascii="仿宋" w:hAnsi="仿宋" w:eastAsia="仿宋"/>
                <w:b/>
                <w:bCs/>
                <w:color w:val="auto"/>
                <w:kern w:val="0"/>
                <w:sz w:val="24"/>
                <w:highlight w:val="none"/>
              </w:rPr>
            </w:pPr>
            <w:r>
              <w:rPr>
                <w:rFonts w:hint="eastAsia" w:ascii="仿宋" w:hAnsi="仿宋" w:eastAsia="仿宋"/>
                <w:b/>
                <w:bCs/>
                <w:color w:val="auto"/>
                <w:kern w:val="0"/>
                <w:sz w:val="24"/>
                <w:highlight w:val="none"/>
              </w:rPr>
              <w:t>（</w:t>
            </w:r>
            <w:r>
              <w:rPr>
                <w:rFonts w:ascii="仿宋" w:hAnsi="仿宋" w:eastAsia="仿宋"/>
                <w:b/>
                <w:bCs/>
                <w:color w:val="auto"/>
                <w:kern w:val="0"/>
                <w:sz w:val="24"/>
                <w:highlight w:val="none"/>
              </w:rPr>
              <w:t>2）</w:t>
            </w:r>
            <w:r>
              <w:rPr>
                <w:rFonts w:hint="eastAsia" w:ascii="仿宋" w:hAnsi="仿宋" w:eastAsia="仿宋"/>
                <w:b/>
                <w:bCs/>
                <w:color w:val="auto"/>
                <w:kern w:val="0"/>
                <w:sz w:val="24"/>
                <w:highlight w:val="none"/>
              </w:rPr>
              <w:t>系统演示方式：</w:t>
            </w:r>
          </w:p>
          <w:p>
            <w:pPr>
              <w:snapToGrid w:val="0"/>
              <w:spacing w:line="360" w:lineRule="auto"/>
              <w:rPr>
                <w:rFonts w:ascii="仿宋" w:hAnsi="仿宋" w:eastAsia="仿宋"/>
                <w:color w:val="auto"/>
                <w:highlight w:val="none"/>
              </w:rPr>
            </w:pPr>
            <w:r>
              <w:rPr>
                <w:rFonts w:hint="eastAsia" w:ascii="仿宋" w:hAnsi="仿宋" w:eastAsia="仿宋"/>
                <w:b/>
                <w:bCs/>
                <w:color w:val="auto"/>
                <w:kern w:val="0"/>
                <w:sz w:val="24"/>
                <w:highlight w:val="none"/>
              </w:rPr>
              <w:t>现场演示：</w:t>
            </w:r>
            <w:r>
              <w:rPr>
                <w:rFonts w:hint="eastAsia" w:ascii="仿宋" w:hAnsi="仿宋" w:eastAsia="仿宋"/>
                <w:color w:val="auto"/>
                <w:kern w:val="0"/>
                <w:sz w:val="24"/>
                <w:highlight w:val="none"/>
              </w:rPr>
              <w:t>评审现场不具备网络环境，仅提供电源和投影设备，供应商需提前自筹搭建演示所需真实环境，所有演示系统在演示环境中要以原型软件形式实现。无法提供上述环境演示，视作未提供演示。演示地点：</w:t>
            </w:r>
            <w:r>
              <w:rPr>
                <w:rFonts w:hint="eastAsia" w:ascii="仿宋" w:hAnsi="仿宋" w:eastAsia="仿宋"/>
                <w:color w:val="auto"/>
                <w:kern w:val="28"/>
                <w:sz w:val="24"/>
                <w:highlight w:val="none"/>
              </w:rPr>
              <w:t>杭州市拱墅区文晖路42号现代置业大厦西楼13楼7号会议室</w:t>
            </w:r>
            <w:r>
              <w:rPr>
                <w:rFonts w:hint="eastAsia" w:ascii="仿宋" w:hAnsi="仿宋" w:eastAsia="仿宋"/>
                <w:color w:val="auto"/>
                <w:kern w:val="0"/>
                <w:sz w:val="24"/>
                <w:highlight w:val="none"/>
              </w:rPr>
              <w:t>。</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）演示内容：详见评分标准。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Segoe UI Symbol" w:hAnsi="Segoe UI Symbol" w:eastAsia="仿宋" w:cs="Segoe UI Symbol"/>
                <w:color w:val="auto"/>
                <w:kern w:val="0"/>
                <w:sz w:val="24"/>
                <w:highlight w:val="none"/>
              </w:rPr>
              <w:t>☐</w:t>
            </w:r>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Arial"/>
                <w:b/>
                <w:bCs/>
                <w:color w:val="auto"/>
                <w:kern w:val="0"/>
                <w:sz w:val="24"/>
                <w:highlight w:val="none"/>
              </w:rPr>
            </w:pPr>
            <w:r>
              <w:rPr>
                <w:rFonts w:hint="eastAsia" w:ascii="仿宋" w:hAnsi="仿宋" w:eastAsia="仿宋" w:cs="Arial"/>
                <w:b/>
                <w:bCs/>
                <w:color w:val="auto"/>
                <w:kern w:val="0"/>
                <w:sz w:val="24"/>
                <w:highlight w:val="none"/>
              </w:rPr>
              <w:t>标的：</w:t>
            </w:r>
            <w:r>
              <w:rPr>
                <w:rFonts w:hint="eastAsia" w:ascii="仿宋" w:hAnsi="仿宋" w:eastAsia="仿宋" w:cs="Arial"/>
                <w:b/>
                <w:bCs/>
                <w:color w:val="auto"/>
                <w:kern w:val="0"/>
                <w:sz w:val="24"/>
                <w:highlight w:val="none"/>
                <w:u w:val="single"/>
              </w:rPr>
              <w:t>杭州市交通运输局交通强国示范城市数字交通建设试点项目（二期）</w:t>
            </w:r>
            <w:r>
              <w:rPr>
                <w:rFonts w:hint="eastAsia" w:ascii="仿宋" w:hAnsi="仿宋" w:eastAsia="仿宋" w:cs="Arial"/>
                <w:b/>
                <w:bCs/>
                <w:color w:val="auto"/>
                <w:kern w:val="0"/>
                <w:sz w:val="24"/>
                <w:highlight w:val="none"/>
              </w:rPr>
              <w:t>，属于</w:t>
            </w:r>
            <w:r>
              <w:rPr>
                <w:rFonts w:ascii="仿宋" w:hAnsi="仿宋" w:eastAsia="仿宋" w:cs="Arial"/>
                <w:b/>
                <w:bCs/>
                <w:color w:val="auto"/>
                <w:kern w:val="0"/>
                <w:sz w:val="24"/>
                <w:highlight w:val="none"/>
                <w:u w:val="single"/>
              </w:rPr>
              <w:t xml:space="preserve"> </w:t>
            </w:r>
            <w:r>
              <w:rPr>
                <w:rFonts w:hint="eastAsia" w:ascii="仿宋" w:hAnsi="仿宋" w:eastAsia="仿宋" w:cs="Arial"/>
                <w:b/>
                <w:bCs/>
                <w:color w:val="auto"/>
                <w:kern w:val="0"/>
                <w:sz w:val="24"/>
                <w:highlight w:val="none"/>
                <w:u w:val="single"/>
              </w:rPr>
              <w:t xml:space="preserve"> 软件和信息技术服务 </w:t>
            </w:r>
            <w:r>
              <w:rPr>
                <w:rFonts w:ascii="仿宋" w:hAnsi="仿宋" w:eastAsia="仿宋" w:cs="Arial"/>
                <w:b/>
                <w:bCs/>
                <w:color w:val="auto"/>
                <w:kern w:val="0"/>
                <w:sz w:val="24"/>
                <w:highlight w:val="none"/>
              </w:rPr>
              <w:t xml:space="preserve"> 行业。</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软件和信息技术服务业中小企业划型标准：从业人员</w:t>
            </w:r>
            <w:r>
              <w:rPr>
                <w:rFonts w:ascii="仿宋" w:hAnsi="仿宋" w:eastAsia="仿宋"/>
                <w:b/>
                <w:bCs/>
                <w:color w:val="auto"/>
                <w:sz w:val="24"/>
                <w:highlight w:val="none"/>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napToGrid w:val="0"/>
              <w:spacing w:line="360" w:lineRule="auto"/>
              <w:ind w:firstLine="420" w:firstLineChars="200"/>
              <w:jc w:val="center"/>
              <w:rPr>
                <w:rFonts w:ascii="仿宋" w:hAnsi="仿宋" w:eastAsia="仿宋"/>
                <w:color w:val="auto"/>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ind w:firstLine="420" w:firstLineChars="200"/>
              <w:rPr>
                <w:rFonts w:ascii="仿宋" w:hAnsi="仿宋" w:eastAsia="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备份投标文件送达地点和签收人员</w:t>
            </w:r>
            <w:r>
              <w:rPr>
                <w:rFonts w:ascii="仿宋" w:hAnsi="仿宋" w:eastAsia="仿宋"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napToGrid w:val="0"/>
              <w:spacing w:line="360" w:lineRule="auto"/>
              <w:rPr>
                <w:rFonts w:ascii="仿宋" w:hAnsi="仿宋" w:eastAsia="仿宋" w:cs="Times New Roman"/>
                <w:color w:val="auto"/>
                <w:kern w:val="28"/>
                <w:sz w:val="24"/>
                <w:szCs w:val="24"/>
                <w:highlight w:val="none"/>
              </w:rPr>
            </w:pPr>
            <w:r>
              <w:rPr>
                <w:rFonts w:hint="eastAsia" w:ascii="仿宋" w:hAnsi="仿宋" w:eastAsia="仿宋" w:cs="Times New Roman"/>
                <w:color w:val="auto"/>
                <w:kern w:val="28"/>
                <w:sz w:val="24"/>
                <w:szCs w:val="24"/>
                <w:highlight w:val="none"/>
              </w:rPr>
              <w:t>备份投标文件送达地点：杭州市拱墅区文晖路42号现代置业大厦西楼1301室；</w:t>
            </w:r>
          </w:p>
          <w:p>
            <w:pPr>
              <w:pStyle w:val="32"/>
              <w:snapToGrid w:val="0"/>
              <w:spacing w:line="360" w:lineRule="auto"/>
              <w:rPr>
                <w:rFonts w:ascii="仿宋" w:hAnsi="仿宋" w:eastAsia="仿宋" w:cs="仿宋_GB2312"/>
                <w:color w:val="auto"/>
                <w:sz w:val="24"/>
                <w:szCs w:val="24"/>
                <w:highlight w:val="none"/>
              </w:rPr>
            </w:pPr>
            <w:r>
              <w:rPr>
                <w:rFonts w:hint="eastAsia" w:ascii="仿宋" w:hAnsi="仿宋" w:eastAsia="仿宋" w:cs="Times New Roman"/>
                <w:color w:val="auto"/>
                <w:kern w:val="28"/>
                <w:sz w:val="24"/>
                <w:szCs w:val="24"/>
                <w:highlight w:val="none"/>
              </w:rPr>
              <w:t>备份投标文件签收人员联系电话：</w:t>
            </w:r>
            <w:r>
              <w:rPr>
                <w:rFonts w:hint="eastAsia" w:ascii="仿宋" w:hAnsi="仿宋" w:eastAsia="仿宋"/>
                <w:color w:val="auto"/>
                <w:sz w:val="24"/>
                <w:highlight w:val="none"/>
                <w:u w:val="single"/>
              </w:rPr>
              <w:t>陆佳，0571-87634685</w:t>
            </w:r>
            <w:r>
              <w:rPr>
                <w:rFonts w:hint="eastAsia" w:ascii="仿宋" w:hAnsi="仿宋" w:eastAsia="仿宋" w:cs="仿宋_GB2312"/>
                <w:color w:val="auto"/>
                <w:sz w:val="24"/>
                <w:szCs w:val="24"/>
                <w:highlight w:val="none"/>
              </w:rPr>
              <w:t>。</w:t>
            </w:r>
          </w:p>
          <w:p>
            <w:pPr>
              <w:pStyle w:val="32"/>
              <w:snapToGrid w:val="0"/>
              <w:spacing w:line="360" w:lineRule="auto"/>
              <w:rPr>
                <w:rFonts w:ascii="仿宋" w:hAnsi="仿宋" w:eastAsia="仿宋"/>
                <w:color w:val="auto"/>
                <w:kern w:val="28"/>
                <w:sz w:val="24"/>
                <w:highlight w:val="none"/>
              </w:rPr>
            </w:pPr>
            <w:r>
              <w:rPr>
                <w:rFonts w:hint="eastAsia" w:ascii="仿宋" w:hAnsi="仿宋" w:eastAsia="仿宋" w:cs="仿宋_GB2312"/>
                <w:b/>
                <w:color w:val="auto"/>
                <w:sz w:val="24"/>
                <w:szCs w:val="24"/>
                <w:highlight w:val="none"/>
              </w:rPr>
              <w:t>采购人、采购代理机构不强制或变相强制供应商提交备份投标文件。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无</w:t>
            </w:r>
            <w:r>
              <w:rPr>
                <w:rFonts w:hint="eastAsia" w:ascii="仿宋" w:hAnsi="仿宋" w:eastAsia="仿宋"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spacing w:line="360" w:lineRule="auto"/>
              <w:textAlignment w:val="bottom"/>
              <w:rPr>
                <w:rFonts w:ascii="仿宋" w:hAnsi="仿宋" w:eastAsia="仿宋" w:cs="宋体"/>
                <w:color w:val="auto"/>
                <w:sz w:val="24"/>
                <w:highlight w:val="none"/>
              </w:rPr>
            </w:pPr>
            <w:r>
              <w:rPr>
                <w:rFonts w:hint="eastAsia" w:ascii="仿宋" w:hAnsi="仿宋" w:eastAsia="仿宋" w:cs="宋体"/>
                <w:snapToGrid w:val="0"/>
                <w:color w:val="auto"/>
                <w:kern w:val="0"/>
                <w:sz w:val="24"/>
                <w:highlight w:val="none"/>
              </w:rPr>
              <w:t>收到中标通知书5个工作日内，中标人需向招标代理机构支付招标代理服务费。</w:t>
            </w:r>
            <w:r>
              <w:rPr>
                <w:rFonts w:hint="eastAsia" w:ascii="仿宋" w:hAnsi="仿宋" w:eastAsia="仿宋" w:cs="宋体"/>
                <w:color w:val="auto"/>
                <w:sz w:val="24"/>
                <w:highlight w:val="none"/>
              </w:rPr>
              <w:t>按【2002】1980号文规定的</w:t>
            </w:r>
            <w:r>
              <w:rPr>
                <w:rFonts w:ascii="仿宋" w:hAnsi="仿宋" w:eastAsia="仿宋" w:cs="宋体"/>
                <w:color w:val="auto"/>
                <w:sz w:val="24"/>
                <w:highlight w:val="none"/>
              </w:rPr>
              <w:t>75</w:t>
            </w:r>
            <w:r>
              <w:rPr>
                <w:rFonts w:hint="eastAsia" w:ascii="仿宋" w:hAnsi="仿宋" w:eastAsia="仿宋" w:cs="宋体"/>
                <w:color w:val="auto"/>
                <w:sz w:val="24"/>
                <w:highlight w:val="none"/>
              </w:rPr>
              <w:t>%向中标供应商收取，计算不足人民币</w:t>
            </w:r>
            <w:r>
              <w:rPr>
                <w:rFonts w:ascii="仿宋" w:hAnsi="仿宋" w:eastAsia="仿宋" w:cs="宋体"/>
                <w:color w:val="auto"/>
                <w:sz w:val="24"/>
                <w:highlight w:val="none"/>
              </w:rPr>
              <w:t>5</w:t>
            </w:r>
            <w:r>
              <w:rPr>
                <w:rFonts w:hint="eastAsia" w:ascii="仿宋" w:hAnsi="仿宋" w:eastAsia="仿宋" w:cs="宋体"/>
                <w:color w:val="auto"/>
                <w:sz w:val="24"/>
                <w:highlight w:val="none"/>
              </w:rPr>
              <w:t>000元的按人民币</w:t>
            </w:r>
            <w:r>
              <w:rPr>
                <w:rFonts w:ascii="仿宋" w:hAnsi="仿宋" w:eastAsia="仿宋" w:cs="宋体"/>
                <w:color w:val="auto"/>
                <w:sz w:val="24"/>
                <w:highlight w:val="none"/>
              </w:rPr>
              <w:t>5</w:t>
            </w:r>
            <w:r>
              <w:rPr>
                <w:rFonts w:hint="eastAsia" w:ascii="仿宋" w:hAnsi="仿宋" w:eastAsia="仿宋" w:cs="宋体"/>
                <w:color w:val="auto"/>
                <w:sz w:val="24"/>
                <w:highlight w:val="none"/>
              </w:rPr>
              <w:t>000元计取。</w:t>
            </w:r>
          </w:p>
          <w:p>
            <w:pPr>
              <w:pStyle w:val="161"/>
              <w:snapToGrid w:val="0"/>
              <w:spacing w:before="0"/>
              <w:ind w:firstLine="0" w:firstLineChars="0"/>
              <w:rPr>
                <w:rFonts w:ascii="仿宋" w:hAnsi="仿宋" w:eastAsia="仿宋" w:cs="宋体"/>
                <w:color w:val="auto"/>
                <w:szCs w:val="24"/>
                <w:highlight w:val="none"/>
              </w:rPr>
            </w:pPr>
            <w:r>
              <w:rPr>
                <w:rFonts w:hint="eastAsia" w:ascii="仿宋" w:hAnsi="仿宋" w:eastAsia="仿宋" w:cs="宋体"/>
                <w:color w:val="auto"/>
                <w:spacing w:val="-6"/>
                <w:szCs w:val="24"/>
                <w:highlight w:val="none"/>
              </w:rPr>
              <w:t>收款单位（户名）：</w:t>
            </w:r>
            <w:r>
              <w:rPr>
                <w:rFonts w:hint="eastAsia" w:ascii="仿宋" w:hAnsi="仿宋" w:eastAsia="仿宋" w:cs="宋体"/>
                <w:bCs/>
                <w:color w:val="auto"/>
                <w:kern w:val="0"/>
                <w:szCs w:val="24"/>
                <w:highlight w:val="none"/>
              </w:rPr>
              <w:t>浙江省成套招标代理有限公司；</w:t>
            </w:r>
          </w:p>
          <w:p>
            <w:pPr>
              <w:pStyle w:val="161"/>
              <w:snapToGrid w:val="0"/>
              <w:spacing w:before="0"/>
              <w:ind w:firstLine="0" w:firstLineChars="0"/>
              <w:rPr>
                <w:rFonts w:ascii="仿宋" w:hAnsi="仿宋" w:eastAsia="仿宋" w:cs="宋体"/>
                <w:color w:val="auto"/>
                <w:spacing w:val="-6"/>
                <w:highlight w:val="none"/>
              </w:rPr>
            </w:pPr>
            <w:r>
              <w:rPr>
                <w:rFonts w:hint="eastAsia" w:ascii="仿宋" w:hAnsi="仿宋" w:eastAsia="仿宋" w:cs="宋体"/>
                <w:bCs/>
                <w:color w:val="auto"/>
                <w:kern w:val="0"/>
                <w:highlight w:val="none"/>
              </w:rPr>
              <w:t>开户银行：中信</w:t>
            </w:r>
            <w:r>
              <w:rPr>
                <w:rFonts w:hint="eastAsia" w:ascii="仿宋" w:hAnsi="仿宋" w:eastAsia="仿宋" w:cs="宋体"/>
                <w:color w:val="auto"/>
                <w:spacing w:val="-6"/>
                <w:szCs w:val="24"/>
                <w:highlight w:val="none"/>
              </w:rPr>
              <w:t>银行杭州西湖支行；</w:t>
            </w:r>
          </w:p>
          <w:p>
            <w:pPr>
              <w:pStyle w:val="161"/>
              <w:snapToGrid w:val="0"/>
              <w:spacing w:before="0"/>
              <w:ind w:firstLine="0" w:firstLineChars="0"/>
              <w:rPr>
                <w:rFonts w:ascii="仿宋" w:hAnsi="仿宋" w:eastAsia="仿宋"/>
                <w:color w:val="auto"/>
                <w:highlight w:val="none"/>
              </w:rPr>
            </w:pPr>
            <w:r>
              <w:rPr>
                <w:rFonts w:hint="eastAsia" w:ascii="仿宋" w:hAnsi="仿宋" w:eastAsia="仿宋" w:cs="宋体"/>
                <w:color w:val="auto"/>
                <w:spacing w:val="-6"/>
                <w:szCs w:val="24"/>
                <w:highlight w:val="none"/>
              </w:rPr>
              <w:t>银行账号：</w:t>
            </w:r>
            <w:r>
              <w:rPr>
                <w:rFonts w:ascii="仿宋" w:hAnsi="仿宋" w:eastAsia="仿宋" w:cs="宋体"/>
                <w:color w:val="auto"/>
                <w:spacing w:val="-6"/>
                <w:szCs w:val="24"/>
                <w:highlight w:val="none"/>
              </w:rPr>
              <w:t>7331 6101 8260 0126 385。</w:t>
            </w:r>
          </w:p>
        </w:tc>
      </w:tr>
      <w:bookmarkEnd w:id="7"/>
    </w:tbl>
    <w:p>
      <w:pPr>
        <w:pStyle w:val="4"/>
        <w:jc w:val="center"/>
        <w:rPr>
          <w:rFonts w:ascii="仿宋" w:hAnsi="仿宋" w:eastAsia="仿宋"/>
          <w:color w:val="auto"/>
          <w:highlight w:val="none"/>
        </w:rPr>
      </w:pPr>
      <w:bookmarkStart w:id="42" w:name="_Toc18125"/>
      <w:bookmarkStart w:id="43" w:name="_Toc30500"/>
      <w:bookmarkStart w:id="44" w:name="_Toc243019506"/>
      <w:bookmarkStart w:id="45" w:name="_Toc6298"/>
      <w:bookmarkStart w:id="46" w:name="_Toc11537"/>
      <w:bookmarkStart w:id="47" w:name="_Toc95312938"/>
      <w:bookmarkStart w:id="48" w:name="第三部分"/>
      <w:bookmarkStart w:id="49" w:name="_Toc164416483"/>
    </w:p>
    <w:p>
      <w:pPr>
        <w:pStyle w:val="4"/>
        <w:jc w:val="center"/>
        <w:rPr>
          <w:rFonts w:ascii="仿宋" w:hAnsi="仿宋" w:eastAsia="仿宋"/>
          <w:color w:val="auto"/>
          <w:highlight w:val="none"/>
        </w:rPr>
      </w:pPr>
    </w:p>
    <w:p>
      <w:pPr>
        <w:pStyle w:val="4"/>
        <w:jc w:val="center"/>
        <w:rPr>
          <w:rFonts w:ascii="仿宋" w:hAnsi="仿宋" w:eastAsia="仿宋"/>
          <w:color w:val="auto"/>
          <w:highlight w:val="none"/>
        </w:rPr>
      </w:pPr>
    </w:p>
    <w:p>
      <w:pPr>
        <w:pStyle w:val="4"/>
        <w:jc w:val="center"/>
        <w:rPr>
          <w:rFonts w:ascii="仿宋" w:hAnsi="仿宋" w:eastAsia="仿宋"/>
          <w:color w:val="auto"/>
          <w:highlight w:val="none"/>
        </w:rPr>
      </w:pPr>
    </w:p>
    <w:p>
      <w:pPr>
        <w:pStyle w:val="4"/>
        <w:jc w:val="center"/>
        <w:rPr>
          <w:rFonts w:ascii="仿宋" w:hAnsi="仿宋" w:eastAsia="仿宋"/>
          <w:color w:val="auto"/>
          <w:highlight w:val="none"/>
        </w:rPr>
      </w:pPr>
    </w:p>
    <w:p>
      <w:pPr>
        <w:pStyle w:val="4"/>
        <w:jc w:val="center"/>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pStyle w:val="4"/>
        <w:jc w:val="center"/>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pStyle w:val="4"/>
        <w:jc w:val="center"/>
        <w:rPr>
          <w:rFonts w:ascii="仿宋" w:hAnsi="仿宋" w:eastAsia="仿宋"/>
          <w:color w:val="auto"/>
          <w:highlight w:val="none"/>
        </w:rPr>
      </w:pPr>
      <w:bookmarkStart w:id="50" w:name="_Toc13763"/>
      <w:bookmarkStart w:id="51" w:name="_Toc4750"/>
      <w:r>
        <w:rPr>
          <w:rFonts w:hint="eastAsia" w:ascii="仿宋" w:hAnsi="仿宋" w:eastAsia="仿宋"/>
          <w:color w:val="auto"/>
          <w:highlight w:val="none"/>
        </w:rPr>
        <w:t>一、总则</w:t>
      </w:r>
      <w:bookmarkEnd w:id="42"/>
      <w:bookmarkEnd w:id="43"/>
      <w:bookmarkEnd w:id="44"/>
      <w:bookmarkEnd w:id="45"/>
      <w:bookmarkEnd w:id="46"/>
      <w:bookmarkEnd w:id="47"/>
      <w:bookmarkEnd w:id="50"/>
      <w:bookmarkEnd w:id="51"/>
    </w:p>
    <w:p>
      <w:pPr>
        <w:pStyle w:val="5"/>
        <w:rPr>
          <w:rFonts w:ascii="仿宋" w:hAnsi="仿宋" w:eastAsia="仿宋"/>
          <w:color w:val="auto"/>
          <w:highlight w:val="none"/>
        </w:rPr>
      </w:pPr>
      <w:bookmarkStart w:id="52" w:name="_Toc13834"/>
      <w:bookmarkStart w:id="53" w:name="_Toc5493"/>
      <w:bookmarkStart w:id="54" w:name="_Toc95312939"/>
      <w:bookmarkStart w:id="55" w:name="_Toc5666"/>
      <w:bookmarkStart w:id="56" w:name="_Toc1607"/>
      <w:bookmarkStart w:id="57" w:name="_Toc25824"/>
      <w:r>
        <w:rPr>
          <w:rFonts w:ascii="仿宋" w:hAnsi="仿宋" w:eastAsia="仿宋"/>
          <w:color w:val="auto"/>
          <w:highlight w:val="none"/>
        </w:rPr>
        <w:t>1.</w:t>
      </w:r>
      <w:r>
        <w:rPr>
          <w:rFonts w:hint="eastAsia" w:ascii="仿宋" w:hAnsi="仿宋" w:eastAsia="仿宋"/>
          <w:color w:val="auto"/>
          <w:highlight w:val="none"/>
        </w:rPr>
        <w:t>适用范围</w:t>
      </w:r>
      <w:bookmarkEnd w:id="52"/>
      <w:bookmarkEnd w:id="53"/>
      <w:bookmarkEnd w:id="54"/>
      <w:bookmarkEnd w:id="55"/>
      <w:bookmarkEnd w:id="56"/>
      <w:bookmarkEnd w:id="57"/>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本采购文件适用于该项目的招标、投标、开标、资格审查及信用信息查询、评标、定标、合同、验收等行为（法律、法规另有规定的，从其规定）。</w:t>
      </w:r>
    </w:p>
    <w:p>
      <w:pPr>
        <w:pStyle w:val="2"/>
        <w:spacing w:line="360" w:lineRule="auto"/>
        <w:rPr>
          <w:rFonts w:ascii="仿宋" w:hAnsi="仿宋" w:eastAsia="仿宋"/>
          <w:color w:val="auto"/>
          <w:highlight w:val="none"/>
        </w:rPr>
      </w:pPr>
    </w:p>
    <w:p>
      <w:pPr>
        <w:pStyle w:val="5"/>
        <w:rPr>
          <w:rFonts w:ascii="仿宋" w:hAnsi="仿宋" w:eastAsia="仿宋"/>
          <w:color w:val="auto"/>
          <w:highlight w:val="none"/>
        </w:rPr>
      </w:pPr>
      <w:bookmarkStart w:id="58" w:name="_Toc32107"/>
      <w:bookmarkStart w:id="59" w:name="_Toc20903"/>
      <w:bookmarkStart w:id="60" w:name="_Toc21017"/>
      <w:bookmarkStart w:id="61" w:name="_Toc95312940"/>
      <w:bookmarkStart w:id="62" w:name="_Toc17022"/>
      <w:bookmarkStart w:id="63" w:name="_Toc940"/>
      <w:r>
        <w:rPr>
          <w:rFonts w:ascii="仿宋" w:hAnsi="仿宋" w:eastAsia="仿宋"/>
          <w:color w:val="auto"/>
          <w:highlight w:val="none"/>
        </w:rPr>
        <w:t>2.定义</w:t>
      </w:r>
      <w:bookmarkEnd w:id="58"/>
      <w:bookmarkEnd w:id="59"/>
      <w:bookmarkEnd w:id="60"/>
      <w:bookmarkEnd w:id="61"/>
      <w:bookmarkEnd w:id="62"/>
      <w:bookmarkEnd w:id="63"/>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2.1</w:t>
      </w:r>
      <w:r>
        <w:rPr>
          <w:rFonts w:hint="eastAsia" w:ascii="仿宋" w:hAnsi="仿宋" w:eastAsia="仿宋" w:cs="宋体"/>
          <w:snapToGrid w:val="0"/>
          <w:color w:val="auto"/>
          <w:kern w:val="0"/>
          <w:sz w:val="24"/>
          <w:highlight w:val="none"/>
        </w:rPr>
        <w:t>“采购人”系指杭州市公路与港航管理服务中心（合同中的甲方）。</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2.2</w:t>
      </w:r>
      <w:r>
        <w:rPr>
          <w:rFonts w:hint="eastAsia" w:ascii="仿宋" w:hAnsi="仿宋" w:eastAsia="仿宋" w:cs="宋体"/>
          <w:snapToGrid w:val="0"/>
          <w:color w:val="auto"/>
          <w:kern w:val="0"/>
          <w:sz w:val="24"/>
          <w:highlight w:val="none"/>
        </w:rPr>
        <w:t>“监督管理部门”系指杭州市财政局。</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“采购代理机构”</w:t>
      </w:r>
      <w:r>
        <w:rPr>
          <w:rFonts w:hint="eastAsia" w:ascii="仿宋" w:hAnsi="仿宋" w:eastAsia="仿宋" w:cs="宋体"/>
          <w:snapToGrid w:val="0"/>
          <w:color w:val="auto"/>
          <w:kern w:val="0"/>
          <w:sz w:val="24"/>
          <w:highlight w:val="none"/>
        </w:rPr>
        <w:t>系指浙江省成套招标代理有限公司</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2.4</w:t>
      </w:r>
      <w:r>
        <w:rPr>
          <w:rFonts w:hint="eastAsia" w:ascii="仿宋" w:hAnsi="仿宋" w:eastAsia="仿宋" w:cs="宋体"/>
          <w:snapToGrid w:val="0"/>
          <w:color w:val="auto"/>
          <w:kern w:val="0"/>
          <w:sz w:val="24"/>
          <w:highlight w:val="none"/>
        </w:rPr>
        <w:t>“服务”系指采购文件或合同规定供应商须承担的服务以及其他类似的义务。</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2.5</w:t>
      </w:r>
      <w:r>
        <w:rPr>
          <w:rFonts w:hint="eastAsia" w:ascii="仿宋" w:hAnsi="仿宋" w:eastAsia="仿宋" w:cs="宋体"/>
          <w:snapToGrid w:val="0"/>
          <w:color w:val="auto"/>
          <w:kern w:val="0"/>
          <w:sz w:val="24"/>
          <w:highlight w:val="none"/>
        </w:rPr>
        <w:t>官方指定网站公示的内容视为书面告知。</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 </w:t>
      </w:r>
      <w:r>
        <w:rPr>
          <w:rFonts w:hint="eastAsia" w:ascii="仿宋" w:hAnsi="仿宋" w:eastAsia="仿宋"/>
          <w:color w:val="auto"/>
          <w:sz w:val="24"/>
          <w:highlight w:val="none"/>
        </w:rPr>
        <w:t>“投标人”系指是指响应招标、参加投标竞争的法人、其他组织或者自然人。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2.8“电子签名”系指数据电文中以电子形式所含、所附用于识别签名人身份并表明签名人认可其中内容的数据；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2.9“电子交易平台”是指本项目政府采购活动所依托的政府采购云平台（https://www.zcygov.cn/）。</w:t>
      </w:r>
    </w:p>
    <w:p>
      <w:pPr>
        <w:snapToGrid w:val="0"/>
        <w:spacing w:line="360" w:lineRule="auto"/>
        <w:ind w:firstLine="482" w:firstLineChars="200"/>
        <w:rPr>
          <w:rFonts w:ascii="仿宋" w:hAnsi="仿宋" w:eastAsia="仿宋"/>
          <w:b/>
          <w:bCs/>
          <w:color w:val="auto"/>
          <w:sz w:val="24"/>
          <w:highlight w:val="none"/>
        </w:rPr>
      </w:pPr>
      <w:r>
        <w:rPr>
          <w:rFonts w:ascii="仿宋" w:hAnsi="仿宋" w:eastAsia="仿宋"/>
          <w:b/>
          <w:bCs/>
          <w:color w:val="auto"/>
          <w:sz w:val="24"/>
          <w:highlight w:val="none"/>
        </w:rPr>
        <w:t xml:space="preserve">2.10 </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系指实质性要求条款，“★”系产品采购项目中单一产品或核心产品，“</w:t>
      </w:r>
      <w:r>
        <w:rPr>
          <w:rFonts w:hint="eastAsia" w:ascii="仿宋" w:hAnsi="仿宋" w:eastAsia="仿宋" w:cs="Arial"/>
          <w:b/>
          <w:bCs/>
          <w:color w:val="auto"/>
          <w:kern w:val="0"/>
          <w:sz w:val="24"/>
          <w:highlight w:val="none"/>
        </w:rPr>
        <w:sym w:font="Wingdings" w:char="F0FE"/>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系指适用本项目的要求，“</w:t>
      </w:r>
      <w:r>
        <w:rPr>
          <w:rFonts w:ascii="Segoe UI Symbol" w:hAnsi="Segoe UI Symbol" w:eastAsia="仿宋" w:cs="Segoe UI Symbol"/>
          <w:b/>
          <w:bCs/>
          <w:color w:val="auto"/>
          <w:kern w:val="0"/>
          <w:sz w:val="24"/>
          <w:highlight w:val="none"/>
        </w:rPr>
        <w:t>☐</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系指不适用本项目的要求。</w:t>
      </w:r>
    </w:p>
    <w:p>
      <w:pPr>
        <w:snapToGrid w:val="0"/>
        <w:spacing w:line="360" w:lineRule="auto"/>
        <w:ind w:firstLine="241" w:firstLineChars="100"/>
        <w:rPr>
          <w:rFonts w:ascii="仿宋" w:hAnsi="仿宋" w:eastAsia="仿宋"/>
          <w:b/>
          <w:color w:val="auto"/>
          <w:sz w:val="24"/>
          <w:highlight w:val="none"/>
        </w:rPr>
      </w:pPr>
    </w:p>
    <w:p>
      <w:pPr>
        <w:pStyle w:val="5"/>
        <w:rPr>
          <w:rFonts w:ascii="仿宋" w:hAnsi="仿宋" w:eastAsia="仿宋"/>
          <w:color w:val="auto"/>
          <w:highlight w:val="none"/>
        </w:rPr>
      </w:pPr>
      <w:bookmarkStart w:id="64" w:name="_Toc14912"/>
      <w:bookmarkStart w:id="65" w:name="_Toc7894"/>
      <w:bookmarkStart w:id="66" w:name="_Toc10963"/>
      <w:bookmarkStart w:id="67" w:name="_Toc95312941"/>
      <w:bookmarkStart w:id="68" w:name="_Toc19200"/>
      <w:bookmarkStart w:id="69" w:name="_Toc19383"/>
      <w:r>
        <w:rPr>
          <w:rFonts w:ascii="仿宋" w:hAnsi="仿宋" w:eastAsia="仿宋"/>
          <w:color w:val="auto"/>
          <w:highlight w:val="none"/>
        </w:rPr>
        <w:t>3.</w:t>
      </w:r>
      <w:r>
        <w:rPr>
          <w:rFonts w:hint="eastAsia" w:ascii="仿宋" w:hAnsi="仿宋" w:eastAsia="仿宋"/>
          <w:color w:val="auto"/>
          <w:highlight w:val="none"/>
        </w:rPr>
        <w:t>采购项目需要落实的政府采购政策</w:t>
      </w:r>
      <w:bookmarkEnd w:id="64"/>
      <w:bookmarkEnd w:id="65"/>
      <w:bookmarkEnd w:id="66"/>
      <w:bookmarkEnd w:id="67"/>
      <w:bookmarkEnd w:id="68"/>
      <w:bookmarkEnd w:id="69"/>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支持绿色发展</w:t>
      </w:r>
    </w:p>
    <w:p>
      <w:pPr>
        <w:snapToGrid w:val="0"/>
        <w:spacing w:line="360" w:lineRule="auto"/>
        <w:ind w:firstLine="420"/>
        <w:rPr>
          <w:rFonts w:ascii="仿宋" w:hAnsi="仿宋" w:eastAsia="仿宋"/>
          <w:b/>
          <w:color w:val="auto"/>
          <w:sz w:val="24"/>
          <w:highlight w:val="none"/>
        </w:rPr>
      </w:pPr>
      <w:r>
        <w:rPr>
          <w:rFonts w:ascii="仿宋" w:hAnsi="仿宋" w:eastAsia="仿宋"/>
          <w:color w:val="auto"/>
          <w:sz w:val="24"/>
          <w:highlight w:val="none"/>
        </w:rPr>
        <w:t>3.1.1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b/>
          <w:color w:val="auto"/>
          <w:sz w:val="24"/>
          <w:highlight w:val="none"/>
        </w:rPr>
        <w:t>采购人拟采购的产品属于政府强制采购的节能产品品目清单范围的，供应商未按采购文件要求提供国家确定的认证机构出具的、处于有效期之内的节能产品认证证书的，投标无效。</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3.1.2 </w:t>
      </w:r>
      <w:r>
        <w:rPr>
          <w:rFonts w:hint="eastAsia" w:ascii="仿宋" w:hAnsi="仿宋" w:eastAsia="仿宋"/>
          <w:color w:val="auto"/>
          <w:sz w:val="24"/>
          <w:highlight w:val="none"/>
        </w:rPr>
        <w:t>修缮、装修类项目采购建材的，采购人应将绿色建筑和绿色建材性能、指标等作为实质性条件纳入采购文件和合同。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3.1.3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3.2支持中小企业发展</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bCs/>
          <w:color w:val="auto"/>
          <w:sz w:val="24"/>
          <w:highlight w:val="none"/>
        </w:rPr>
        <w:t>3.2.2</w:t>
      </w:r>
      <w:r>
        <w:rPr>
          <w:rFonts w:hint="eastAsia" w:ascii="仿宋" w:hAnsi="仿宋" w:eastAsia="仿宋" w:cs="宋体"/>
          <w:color w:val="auto"/>
          <w:kern w:val="0"/>
          <w:sz w:val="24"/>
          <w:highlight w:val="none"/>
        </w:rPr>
        <w:t>在政府采购活动中，供应商提供的货物、工程或者服务符合下列情形的，享受中小企业扶持政策：</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3.2.2.1在货物采购项目中，货物由中小企业制造，即货物由中小企业生产且使用该中小企业商号或者注册商标；</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3.2.2.2在工程采购项目中，工程由中小企业承建，即工程施工单位为中小企业；</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3.2.2.3在服务采购项目中，服务由中小企业承接，即提供服务的人员为中小企业依照《中华人民共和国劳动合同法》订立劳动合同的从业人员。</w:t>
      </w:r>
    </w:p>
    <w:p>
      <w:pPr>
        <w:widowControl/>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在货物采购项目中，供应商提供的货物既有中小企业制造货物，也有大型企业制造货物的，不享受中小企业扶持政策。</w:t>
      </w:r>
    </w:p>
    <w:p>
      <w:pPr>
        <w:widowControl/>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b/>
          <w:bCs/>
          <w:color w:val="auto"/>
          <w:sz w:val="24"/>
          <w:highlight w:val="none"/>
        </w:rPr>
        <w:t>20%</w:t>
      </w:r>
      <w:r>
        <w:rPr>
          <w:rFonts w:ascii="仿宋" w:hAnsi="仿宋" w:eastAsia="仿宋"/>
          <w:color w:val="auto"/>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ascii="仿宋" w:hAnsi="仿宋" w:eastAsia="仿宋"/>
          <w:b/>
          <w:bCs/>
          <w:color w:val="auto"/>
          <w:sz w:val="24"/>
          <w:highlight w:val="none"/>
        </w:rPr>
        <w:t>6%</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3.2.6</w:t>
      </w:r>
      <w:r>
        <w:rPr>
          <w:rFonts w:hint="eastAsia" w:ascii="仿宋" w:hAnsi="仿宋" w:eastAsia="仿宋"/>
          <w:color w:val="auto"/>
          <w:sz w:val="24"/>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3.3</w:t>
      </w:r>
      <w:r>
        <w:rPr>
          <w:rFonts w:hint="eastAsia" w:ascii="仿宋" w:hAnsi="仿宋" w:eastAsia="仿宋"/>
          <w:bCs/>
          <w:color w:val="auto"/>
          <w:sz w:val="24"/>
          <w:highlight w:val="none"/>
        </w:rPr>
        <w:t>支持创新发展</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3.3.1 采购人优先采购被认定</w:t>
      </w:r>
      <w:r>
        <w:rPr>
          <w:rFonts w:hint="eastAsia" w:ascii="仿宋" w:hAnsi="仿宋" w:eastAsia="仿宋"/>
          <w:color w:val="auto"/>
          <w:sz w:val="24"/>
          <w:highlight w:val="none"/>
        </w:rPr>
        <w:t>为首台套产品和“制造精品”的自主创新产品。</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auto"/>
          <w:sz w:val="24"/>
          <w:highlight w:val="none"/>
        </w:rPr>
        <w:t>登录</w:t>
      </w:r>
      <w:r>
        <w:rPr>
          <w:rFonts w:ascii="仿宋" w:hAnsi="仿宋" w:eastAsia="仿宋"/>
          <w:color w:val="auto"/>
          <w:sz w:val="24"/>
          <w:highlight w:val="none"/>
        </w:rPr>
        <w:t>杭州市政府采购网“中小企业信用融资”模块，查看信用融资政策文件及各相关银行服务方案。</w:t>
      </w:r>
      <w:r>
        <w:rPr>
          <w:rFonts w:ascii="仿宋" w:hAnsi="仿宋" w:eastAsia="仿宋"/>
          <w:color w:val="auto"/>
          <w:sz w:val="24"/>
          <w:highlight w:val="none"/>
        </w:rPr>
        <w:cr/>
      </w:r>
    </w:p>
    <w:p>
      <w:pPr>
        <w:pStyle w:val="5"/>
        <w:rPr>
          <w:rFonts w:ascii="仿宋" w:hAnsi="仿宋" w:eastAsia="仿宋"/>
          <w:color w:val="auto"/>
          <w:highlight w:val="none"/>
        </w:rPr>
      </w:pPr>
      <w:bookmarkStart w:id="70" w:name="_Toc30272"/>
      <w:bookmarkStart w:id="71" w:name="_Toc10216"/>
      <w:bookmarkStart w:id="72" w:name="_Toc13995"/>
      <w:bookmarkStart w:id="73" w:name="_Toc6311"/>
      <w:bookmarkStart w:id="74" w:name="_Toc95312942"/>
      <w:bookmarkStart w:id="75" w:name="_Toc9055"/>
      <w:r>
        <w:rPr>
          <w:rFonts w:ascii="仿宋" w:hAnsi="仿宋" w:eastAsia="仿宋"/>
          <w:color w:val="auto"/>
          <w:highlight w:val="none"/>
        </w:rPr>
        <w:t>4.</w:t>
      </w:r>
      <w:r>
        <w:rPr>
          <w:rFonts w:hint="eastAsia" w:ascii="仿宋" w:hAnsi="仿宋" w:eastAsia="仿宋"/>
          <w:color w:val="auto"/>
          <w:highlight w:val="none"/>
        </w:rPr>
        <w:t>询问、质疑、投诉</w:t>
      </w:r>
      <w:bookmarkEnd w:id="70"/>
      <w:bookmarkEnd w:id="71"/>
      <w:bookmarkEnd w:id="72"/>
      <w:bookmarkEnd w:id="73"/>
      <w:bookmarkEnd w:id="74"/>
      <w:bookmarkEnd w:id="75"/>
    </w:p>
    <w:p>
      <w:pPr>
        <w:autoSpaceDE w:val="0"/>
        <w:autoSpaceDN w:val="0"/>
        <w:snapToGrid w:val="0"/>
        <w:spacing w:line="360" w:lineRule="auto"/>
        <w:ind w:firstLine="42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napToGrid w:val="0"/>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2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32"/>
        <w:snapToGrid w:val="0"/>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32"/>
        <w:snapToGrid w:val="0"/>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ascii="仿宋" w:hAnsi="仿宋" w:eastAsia="仿宋"/>
          <w:snapToGrid/>
          <w:color w:val="auto"/>
          <w:kern w:val="2"/>
          <w:sz w:val="24"/>
          <w:highlight w:val="none"/>
        </w:rPr>
      </w:pPr>
      <w:r>
        <w:rPr>
          <w:rFonts w:ascii="仿宋" w:hAnsi="仿宋" w:eastAsia="仿宋"/>
          <w:snapToGrid/>
          <w:color w:val="auto"/>
          <w:kern w:val="2"/>
          <w:sz w:val="24"/>
          <w:highlight w:val="none"/>
        </w:rPr>
        <w:t>4.2.2.1对采购文件提出质疑的，质疑期限为供应商获得采购文件之日或者采购文件公告期限届满之日起计算。</w:t>
      </w:r>
    </w:p>
    <w:p>
      <w:pPr>
        <w:pStyle w:val="32"/>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pPr>
        <w:pStyle w:val="32"/>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32"/>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889"/>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pPr>
        <w:pStyle w:val="889"/>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采购人或者采购代理机构在质疑回复后</w:t>
      </w:r>
      <w:r>
        <w:rPr>
          <w:rFonts w:ascii="仿宋" w:hAnsi="仿宋" w:eastAsia="仿宋"/>
          <w:color w:val="auto"/>
          <w:highlight w:val="none"/>
        </w:rPr>
        <w:t>5个工作日内，在浙江政府采购网的“其他公告”栏目公开质疑答复，答复内容应当完整。质疑</w:t>
      </w:r>
      <w:r>
        <w:rPr>
          <w:rFonts w:hint="eastAsia" w:ascii="仿宋" w:hAnsi="仿宋" w:eastAsia="仿宋"/>
          <w:color w:val="auto"/>
          <w:highlight w:val="none"/>
        </w:rPr>
        <w:t>函作为附件上传。</w:t>
      </w:r>
    </w:p>
    <w:p>
      <w:pPr>
        <w:pStyle w:val="889"/>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pPr>
        <w:pStyle w:val="889"/>
        <w:shd w:val="clear" w:color="auto" w:fill="FFFFFF"/>
        <w:adjustRightInd w:val="0"/>
        <w:snapToGrid w:val="0"/>
        <w:spacing w:before="0" w:beforeAutospacing="0" w:after="0" w:afterAutospacing="0" w:line="360" w:lineRule="auto"/>
        <w:ind w:firstLine="420"/>
        <w:contextualSpacing/>
        <w:jc w:val="both"/>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pPr>
        <w:pStyle w:val="889"/>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4.3.1质疑供应商对采购人、采购代理机构的答复不满意或者采购人、采购代理机构未在规定的时间内</w:t>
      </w:r>
      <w:r>
        <w:rPr>
          <w:rFonts w:hint="eastAsia" w:ascii="仿宋" w:hAnsi="仿宋" w:eastAsia="仿宋"/>
          <w:color w:val="auto"/>
          <w:highlight w:val="none"/>
        </w:rPr>
        <w:t>作出答复的，可以在答复期满后十五个工作日内向同级政府采购监督管理部门提出投诉。</w:t>
      </w:r>
    </w:p>
    <w:p>
      <w:pPr>
        <w:pStyle w:val="889"/>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889"/>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pPr>
        <w:pStyle w:val="889"/>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w:t>
      </w:r>
      <w:r>
        <w:rPr>
          <w:rFonts w:ascii="仿宋" w:hAnsi="仿宋" w:eastAsia="仿宋"/>
          <w:color w:val="auto"/>
          <w:highlight w:val="none"/>
        </w:rPr>
        <w:t xml:space="preserve"> </w:t>
      </w:r>
      <w:r>
        <w:rPr>
          <w:rFonts w:hint="eastAsia" w:ascii="仿宋" w:hAnsi="仿宋" w:eastAsia="仿宋"/>
          <w:color w:val="auto"/>
          <w:highlight w:val="none"/>
        </w:rPr>
        <w:t>以联合体形式参加政府采购活动的，其投诉应当由组成联合体的所有供应商共同提出。</w:t>
      </w:r>
    </w:p>
    <w:p>
      <w:pPr>
        <w:pStyle w:val="889"/>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pPr>
        <w:spacing w:line="360" w:lineRule="auto"/>
        <w:rPr>
          <w:rFonts w:ascii="仿宋" w:hAnsi="仿宋" w:eastAsia="仿宋" w:cs="仿宋_GB2312"/>
          <w:color w:val="auto"/>
          <w:sz w:val="18"/>
          <w:szCs w:val="18"/>
          <w:highlight w:val="none"/>
        </w:rPr>
      </w:pPr>
      <w:r>
        <w:rPr>
          <w:rFonts w:ascii="仿宋" w:hAnsi="仿宋" w:eastAsia="仿宋"/>
          <w:color w:val="auto"/>
          <w:highlight w:val="none"/>
        </w:rPr>
        <w:br w:type="page"/>
      </w:r>
    </w:p>
    <w:p>
      <w:pPr>
        <w:pStyle w:val="4"/>
        <w:jc w:val="center"/>
        <w:rPr>
          <w:rFonts w:ascii="仿宋" w:hAnsi="仿宋" w:eastAsia="仿宋"/>
          <w:color w:val="auto"/>
          <w:highlight w:val="none"/>
        </w:rPr>
      </w:pPr>
      <w:bookmarkStart w:id="76" w:name="_Toc15814"/>
      <w:bookmarkStart w:id="77" w:name="_Toc2062424395"/>
      <w:bookmarkStart w:id="78" w:name="_Toc32377"/>
      <w:bookmarkStart w:id="79" w:name="_Toc95312943"/>
      <w:bookmarkStart w:id="80" w:name="_Toc7059"/>
      <w:bookmarkStart w:id="81" w:name="_Toc22555"/>
      <w:bookmarkStart w:id="82" w:name="_Toc11545"/>
      <w:bookmarkStart w:id="83" w:name="_Toc28191"/>
      <w:r>
        <w:rPr>
          <w:rFonts w:ascii="仿宋" w:hAnsi="仿宋" w:eastAsia="仿宋"/>
          <w:color w:val="auto"/>
          <w:highlight w:val="none"/>
        </w:rPr>
        <w:t>二、采购文件的构成、澄清、修改</w:t>
      </w:r>
      <w:bookmarkEnd w:id="76"/>
      <w:bookmarkEnd w:id="77"/>
      <w:bookmarkEnd w:id="78"/>
      <w:bookmarkEnd w:id="79"/>
      <w:bookmarkEnd w:id="80"/>
      <w:bookmarkEnd w:id="81"/>
      <w:bookmarkEnd w:id="82"/>
      <w:bookmarkEnd w:id="83"/>
    </w:p>
    <w:p>
      <w:pPr>
        <w:pStyle w:val="5"/>
        <w:rPr>
          <w:rFonts w:ascii="仿宋" w:hAnsi="仿宋" w:eastAsia="仿宋"/>
          <w:color w:val="auto"/>
          <w:highlight w:val="none"/>
        </w:rPr>
      </w:pPr>
      <w:bookmarkStart w:id="84" w:name="_Toc32513"/>
      <w:bookmarkStart w:id="85" w:name="_Toc23061"/>
      <w:bookmarkStart w:id="86" w:name="_Toc95312944"/>
      <w:bookmarkStart w:id="87" w:name="_Toc8219"/>
      <w:bookmarkStart w:id="88" w:name="_Toc5338"/>
      <w:bookmarkStart w:id="89" w:name="_Toc20548"/>
      <w:r>
        <w:rPr>
          <w:rFonts w:ascii="仿宋" w:hAnsi="仿宋" w:eastAsia="仿宋"/>
          <w:color w:val="auto"/>
          <w:highlight w:val="none"/>
        </w:rPr>
        <w:t>5．采购文件的构成</w:t>
      </w:r>
      <w:bookmarkEnd w:id="84"/>
      <w:bookmarkEnd w:id="85"/>
      <w:bookmarkEnd w:id="86"/>
      <w:bookmarkEnd w:id="87"/>
      <w:bookmarkEnd w:id="88"/>
      <w:bookmarkEnd w:id="89"/>
    </w:p>
    <w:p>
      <w:pPr>
        <w:pStyle w:val="32"/>
        <w:snapToGrid w:val="0"/>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采购文件包括下列文件及附件：</w:t>
      </w:r>
    </w:p>
    <w:p>
      <w:pPr>
        <w:pStyle w:val="32"/>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pPr>
        <w:pStyle w:val="32"/>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5.1.2供应商须知；</w:t>
      </w:r>
    </w:p>
    <w:p>
      <w:pPr>
        <w:pStyle w:val="32"/>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pPr>
        <w:pStyle w:val="32"/>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pPr>
        <w:pStyle w:val="32"/>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pPr>
        <w:pStyle w:val="32"/>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pPr>
        <w:snapToGrid w:val="0"/>
        <w:spacing w:line="360" w:lineRule="auto"/>
        <w:ind w:firstLine="42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澄清或者修改的内容为采购文件的组成部分</w:t>
      </w:r>
      <w:r>
        <w:rPr>
          <w:rFonts w:hint="eastAsia" w:ascii="仿宋" w:hAnsi="仿宋" w:eastAsia="仿宋" w:cs="仿宋_GB2312"/>
          <w:color w:val="auto"/>
          <w:sz w:val="24"/>
          <w:highlight w:val="none"/>
        </w:rPr>
        <w:t>。</w:t>
      </w:r>
    </w:p>
    <w:p>
      <w:pPr>
        <w:pStyle w:val="32"/>
        <w:snapToGrid w:val="0"/>
        <w:spacing w:line="360" w:lineRule="auto"/>
        <w:rPr>
          <w:rFonts w:ascii="仿宋" w:hAnsi="仿宋" w:eastAsia="仿宋" w:cs="仿宋_GB2312"/>
          <w:b/>
          <w:color w:val="auto"/>
          <w:sz w:val="24"/>
          <w:szCs w:val="24"/>
          <w:highlight w:val="none"/>
        </w:rPr>
      </w:pPr>
    </w:p>
    <w:p>
      <w:pPr>
        <w:pStyle w:val="5"/>
        <w:rPr>
          <w:rFonts w:ascii="仿宋" w:hAnsi="仿宋" w:eastAsia="仿宋"/>
          <w:color w:val="auto"/>
          <w:highlight w:val="none"/>
        </w:rPr>
      </w:pPr>
      <w:bookmarkStart w:id="90" w:name="_Toc95312945"/>
      <w:bookmarkStart w:id="91" w:name="_Toc6702"/>
      <w:bookmarkStart w:id="92" w:name="_Toc3070"/>
      <w:bookmarkStart w:id="93" w:name="_Toc20929"/>
      <w:bookmarkStart w:id="94" w:name="_Toc24512"/>
      <w:bookmarkStart w:id="95" w:name="_Toc11771"/>
      <w:r>
        <w:rPr>
          <w:rFonts w:ascii="仿宋" w:hAnsi="仿宋" w:eastAsia="仿宋"/>
          <w:color w:val="auto"/>
          <w:highlight w:val="none"/>
        </w:rPr>
        <w:t>6.</w:t>
      </w:r>
      <w:r>
        <w:rPr>
          <w:rFonts w:hint="eastAsia" w:ascii="仿宋" w:hAnsi="仿宋" w:eastAsia="仿宋"/>
          <w:color w:val="auto"/>
          <w:highlight w:val="none"/>
        </w:rPr>
        <w:t>采购文件的澄清、修改</w:t>
      </w:r>
      <w:bookmarkEnd w:id="90"/>
      <w:bookmarkEnd w:id="91"/>
      <w:bookmarkEnd w:id="92"/>
      <w:bookmarkEnd w:id="93"/>
      <w:bookmarkEnd w:id="94"/>
      <w:bookmarkEnd w:id="95"/>
    </w:p>
    <w:p>
      <w:pPr>
        <w:pStyle w:val="16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6.1已获取采购文件的潜在供应商，若有问题需要澄清，应于投标截止时间前，以书面形式向采购代理机构提出。</w:t>
      </w:r>
    </w:p>
    <w:p>
      <w:pPr>
        <w:pStyle w:val="161"/>
        <w:snapToGrid w:val="0"/>
        <w:spacing w:before="0"/>
        <w:ind w:firstLine="48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spacing w:line="360" w:lineRule="auto"/>
        <w:rPr>
          <w:rFonts w:ascii="仿宋" w:hAnsi="仿宋" w:eastAsia="仿宋" w:cs="仿宋_GB2312"/>
          <w:color w:val="auto"/>
          <w:sz w:val="18"/>
          <w:szCs w:val="18"/>
          <w:highlight w:val="none"/>
        </w:rPr>
      </w:pPr>
      <w:r>
        <w:rPr>
          <w:rFonts w:hint="eastAsia" w:ascii="仿宋" w:hAnsi="仿宋" w:eastAsia="仿宋"/>
          <w:color w:val="auto"/>
          <w:highlight w:val="none"/>
        </w:rPr>
        <w:br w:type="page"/>
      </w:r>
    </w:p>
    <w:p>
      <w:pPr>
        <w:pStyle w:val="4"/>
        <w:jc w:val="center"/>
        <w:rPr>
          <w:rFonts w:ascii="仿宋" w:hAnsi="仿宋" w:eastAsia="仿宋"/>
          <w:color w:val="auto"/>
          <w:highlight w:val="none"/>
        </w:rPr>
      </w:pPr>
      <w:bookmarkStart w:id="96" w:name="_Toc23845"/>
      <w:bookmarkStart w:id="97" w:name="_Toc21412"/>
      <w:bookmarkStart w:id="98" w:name="_Toc633260538"/>
      <w:bookmarkStart w:id="99" w:name="_Toc9930"/>
      <w:bookmarkStart w:id="100" w:name="_Toc11740"/>
      <w:bookmarkStart w:id="101" w:name="_Toc5080"/>
      <w:bookmarkStart w:id="102" w:name="_Toc95312946"/>
      <w:bookmarkStart w:id="103" w:name="_Toc19628"/>
      <w:r>
        <w:rPr>
          <w:rFonts w:hint="eastAsia" w:ascii="仿宋" w:hAnsi="仿宋" w:eastAsia="仿宋"/>
          <w:color w:val="auto"/>
          <w:highlight w:val="none"/>
        </w:rPr>
        <w:t>三、投标</w:t>
      </w:r>
      <w:bookmarkEnd w:id="96"/>
      <w:bookmarkEnd w:id="97"/>
      <w:bookmarkEnd w:id="98"/>
      <w:bookmarkEnd w:id="99"/>
      <w:bookmarkEnd w:id="100"/>
      <w:bookmarkEnd w:id="101"/>
      <w:bookmarkEnd w:id="102"/>
      <w:bookmarkEnd w:id="103"/>
    </w:p>
    <w:p>
      <w:pPr>
        <w:pStyle w:val="5"/>
        <w:rPr>
          <w:rFonts w:ascii="仿宋" w:hAnsi="仿宋" w:eastAsia="仿宋"/>
          <w:color w:val="auto"/>
          <w:highlight w:val="none"/>
        </w:rPr>
      </w:pPr>
      <w:bookmarkStart w:id="104" w:name="_Toc30176"/>
      <w:bookmarkStart w:id="105" w:name="_Toc95312947"/>
      <w:bookmarkStart w:id="106" w:name="_Toc12962"/>
      <w:bookmarkStart w:id="107" w:name="_Toc10038"/>
      <w:bookmarkStart w:id="108" w:name="_Toc20212"/>
      <w:bookmarkStart w:id="109" w:name="_Toc7401"/>
      <w:r>
        <w:rPr>
          <w:rFonts w:ascii="仿宋" w:hAnsi="仿宋" w:eastAsia="仿宋"/>
          <w:color w:val="auto"/>
          <w:highlight w:val="none"/>
        </w:rPr>
        <w:t>7.</w:t>
      </w:r>
      <w:r>
        <w:rPr>
          <w:rFonts w:hint="eastAsia" w:ascii="仿宋" w:hAnsi="仿宋" w:eastAsia="仿宋"/>
          <w:color w:val="auto"/>
          <w:highlight w:val="none"/>
        </w:rPr>
        <w:t>采购文件的获取</w:t>
      </w:r>
      <w:bookmarkEnd w:id="104"/>
      <w:bookmarkEnd w:id="105"/>
      <w:bookmarkEnd w:id="106"/>
      <w:bookmarkEnd w:id="107"/>
      <w:bookmarkEnd w:id="108"/>
      <w:bookmarkEnd w:id="109"/>
    </w:p>
    <w:p>
      <w:pPr>
        <w:snapToGrid w:val="0"/>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详见招标公告中获取采购文件的时间期限、地点、方式。</w:t>
      </w:r>
    </w:p>
    <w:p>
      <w:pPr>
        <w:pStyle w:val="32"/>
        <w:snapToGrid w:val="0"/>
        <w:spacing w:line="360" w:lineRule="auto"/>
        <w:rPr>
          <w:rFonts w:ascii="仿宋" w:hAnsi="仿宋" w:eastAsia="仿宋" w:cs="仿宋_GB2312"/>
          <w:b/>
          <w:color w:val="auto"/>
          <w:sz w:val="24"/>
          <w:szCs w:val="24"/>
          <w:highlight w:val="none"/>
        </w:rPr>
      </w:pPr>
    </w:p>
    <w:p>
      <w:pPr>
        <w:pStyle w:val="5"/>
        <w:rPr>
          <w:rFonts w:ascii="仿宋" w:hAnsi="仿宋" w:eastAsia="仿宋"/>
          <w:color w:val="auto"/>
          <w:highlight w:val="none"/>
        </w:rPr>
      </w:pPr>
      <w:bookmarkStart w:id="110" w:name="_Toc21549"/>
      <w:bookmarkStart w:id="111" w:name="_Toc18862"/>
      <w:bookmarkStart w:id="112" w:name="_Toc95312948"/>
      <w:bookmarkStart w:id="113" w:name="_Toc19534"/>
      <w:bookmarkStart w:id="114" w:name="_Toc4625"/>
      <w:bookmarkStart w:id="115" w:name="_Toc26610"/>
      <w:r>
        <w:rPr>
          <w:rFonts w:ascii="仿宋" w:hAnsi="仿宋" w:eastAsia="仿宋"/>
          <w:color w:val="auto"/>
          <w:highlight w:val="none"/>
        </w:rPr>
        <w:t>8.开标前答疑会或现场考察</w:t>
      </w:r>
      <w:bookmarkEnd w:id="110"/>
      <w:bookmarkEnd w:id="111"/>
      <w:bookmarkEnd w:id="112"/>
      <w:bookmarkEnd w:id="113"/>
      <w:bookmarkEnd w:id="114"/>
      <w:bookmarkEnd w:id="115"/>
    </w:p>
    <w:p>
      <w:pPr>
        <w:pStyle w:val="32"/>
        <w:snapToGrid w:val="0"/>
        <w:spacing w:line="360" w:lineRule="auto"/>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本项目不组织现场考察和召开开标前答疑会。</w:t>
      </w:r>
    </w:p>
    <w:p>
      <w:pPr>
        <w:pStyle w:val="32"/>
        <w:snapToGrid w:val="0"/>
        <w:spacing w:line="360" w:lineRule="auto"/>
        <w:rPr>
          <w:rFonts w:ascii="仿宋" w:hAnsi="仿宋" w:eastAsia="仿宋"/>
          <w:b/>
          <w:color w:val="auto"/>
          <w:kern w:val="28"/>
          <w:sz w:val="24"/>
          <w:szCs w:val="24"/>
          <w:highlight w:val="none"/>
        </w:rPr>
      </w:pPr>
    </w:p>
    <w:p>
      <w:pPr>
        <w:pStyle w:val="5"/>
        <w:rPr>
          <w:rFonts w:ascii="仿宋" w:hAnsi="仿宋" w:eastAsia="仿宋"/>
          <w:color w:val="auto"/>
          <w:highlight w:val="none"/>
        </w:rPr>
      </w:pPr>
      <w:bookmarkStart w:id="116" w:name="_Toc32518"/>
      <w:bookmarkStart w:id="117" w:name="_Toc6143"/>
      <w:bookmarkStart w:id="118" w:name="_Toc95312949"/>
      <w:bookmarkStart w:id="119" w:name="_Toc4202"/>
      <w:bookmarkStart w:id="120" w:name="_Toc13890"/>
      <w:bookmarkStart w:id="121" w:name="_Toc10547"/>
      <w:r>
        <w:rPr>
          <w:rFonts w:ascii="仿宋" w:hAnsi="仿宋" w:eastAsia="仿宋"/>
          <w:color w:val="auto"/>
          <w:highlight w:val="none"/>
        </w:rPr>
        <w:t>9.投标保证金</w:t>
      </w:r>
      <w:bookmarkEnd w:id="116"/>
      <w:bookmarkEnd w:id="117"/>
      <w:bookmarkEnd w:id="118"/>
      <w:bookmarkEnd w:id="119"/>
      <w:bookmarkEnd w:id="120"/>
      <w:bookmarkEnd w:id="121"/>
    </w:p>
    <w:p>
      <w:pPr>
        <w:pStyle w:val="16"/>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32"/>
        <w:snapToGrid w:val="0"/>
        <w:spacing w:line="360" w:lineRule="auto"/>
        <w:rPr>
          <w:rFonts w:ascii="仿宋" w:hAnsi="仿宋" w:eastAsia="仿宋" w:cs="仿宋_GB2312"/>
          <w:b/>
          <w:color w:val="auto"/>
          <w:sz w:val="24"/>
          <w:szCs w:val="24"/>
          <w:highlight w:val="none"/>
        </w:rPr>
      </w:pPr>
    </w:p>
    <w:p>
      <w:pPr>
        <w:pStyle w:val="5"/>
        <w:rPr>
          <w:rFonts w:ascii="仿宋" w:hAnsi="仿宋" w:eastAsia="仿宋"/>
          <w:color w:val="auto"/>
          <w:highlight w:val="none"/>
        </w:rPr>
      </w:pPr>
      <w:bookmarkStart w:id="122" w:name="_Toc6335"/>
      <w:bookmarkStart w:id="123" w:name="_Toc95312950"/>
      <w:bookmarkStart w:id="124" w:name="_Toc6779"/>
      <w:bookmarkStart w:id="125" w:name="_Toc30083"/>
      <w:bookmarkStart w:id="126" w:name="_Toc1274"/>
      <w:bookmarkStart w:id="127" w:name="_Toc14981"/>
      <w:r>
        <w:rPr>
          <w:rFonts w:ascii="仿宋" w:hAnsi="仿宋" w:eastAsia="仿宋"/>
          <w:color w:val="auto"/>
          <w:highlight w:val="none"/>
        </w:rPr>
        <w:t>10.</w:t>
      </w:r>
      <w:r>
        <w:rPr>
          <w:rFonts w:hint="eastAsia" w:ascii="仿宋" w:hAnsi="仿宋" w:eastAsia="仿宋"/>
          <w:color w:val="auto"/>
          <w:highlight w:val="none"/>
        </w:rPr>
        <w:t>投标文件的语言</w:t>
      </w:r>
      <w:bookmarkEnd w:id="122"/>
      <w:bookmarkEnd w:id="123"/>
      <w:bookmarkEnd w:id="124"/>
      <w:bookmarkEnd w:id="125"/>
      <w:bookmarkEnd w:id="126"/>
      <w:bookmarkEnd w:id="127"/>
    </w:p>
    <w:p>
      <w:pPr>
        <w:autoSpaceDE w:val="0"/>
        <w:autoSpaceDN w:val="0"/>
        <w:snapToGrid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投标文件及供应商与采购有关的来往通知、函件和文件均应使用中文。</w:t>
      </w:r>
    </w:p>
    <w:p>
      <w:pPr>
        <w:pStyle w:val="32"/>
        <w:snapToGrid w:val="0"/>
        <w:spacing w:line="360" w:lineRule="auto"/>
        <w:rPr>
          <w:rFonts w:ascii="仿宋" w:hAnsi="仿宋" w:eastAsia="仿宋" w:cs="仿宋_GB2312"/>
          <w:b/>
          <w:color w:val="auto"/>
          <w:sz w:val="24"/>
          <w:szCs w:val="24"/>
          <w:highlight w:val="none"/>
        </w:rPr>
      </w:pPr>
    </w:p>
    <w:p>
      <w:pPr>
        <w:pStyle w:val="5"/>
        <w:rPr>
          <w:rFonts w:ascii="仿宋" w:hAnsi="仿宋" w:eastAsia="仿宋"/>
          <w:color w:val="auto"/>
          <w:highlight w:val="none"/>
        </w:rPr>
      </w:pPr>
      <w:bookmarkStart w:id="128" w:name="_Toc28833"/>
      <w:bookmarkStart w:id="129" w:name="_Toc95312951"/>
      <w:bookmarkStart w:id="130" w:name="_Toc31286"/>
      <w:bookmarkStart w:id="131" w:name="_Toc23118"/>
      <w:bookmarkStart w:id="132" w:name="_Toc18387"/>
      <w:bookmarkStart w:id="133" w:name="_Toc15851"/>
      <w:r>
        <w:rPr>
          <w:rFonts w:ascii="仿宋" w:hAnsi="仿宋" w:eastAsia="仿宋"/>
          <w:color w:val="auto"/>
          <w:highlight w:val="none"/>
        </w:rPr>
        <w:t>11.</w:t>
      </w:r>
      <w:r>
        <w:rPr>
          <w:rFonts w:hint="eastAsia" w:ascii="仿宋" w:hAnsi="仿宋" w:eastAsia="仿宋"/>
          <w:color w:val="auto"/>
          <w:highlight w:val="none"/>
        </w:rPr>
        <w:t>投标文件的组成</w:t>
      </w:r>
      <w:bookmarkEnd w:id="128"/>
      <w:bookmarkEnd w:id="129"/>
      <w:bookmarkEnd w:id="130"/>
      <w:bookmarkEnd w:id="131"/>
      <w:bookmarkEnd w:id="132"/>
      <w:bookmarkEnd w:id="133"/>
    </w:p>
    <w:p>
      <w:pPr>
        <w:snapToGrid w:val="0"/>
        <w:spacing w:line="360" w:lineRule="auto"/>
        <w:rPr>
          <w:rFonts w:ascii="仿宋" w:hAnsi="仿宋" w:eastAsia="仿宋" w:cs="仿宋_GB2312"/>
          <w:b/>
          <w:bCs/>
          <w:color w:val="auto"/>
          <w:sz w:val="24"/>
          <w:highlight w:val="none"/>
        </w:rPr>
      </w:pPr>
      <w:bookmarkStart w:id="134" w:name="_Hlk95263917"/>
      <w:r>
        <w:rPr>
          <w:rFonts w:ascii="仿宋" w:hAnsi="仿宋" w:eastAsia="仿宋" w:cs="仿宋_GB2312"/>
          <w:b/>
          <w:bCs/>
          <w:color w:val="auto"/>
          <w:sz w:val="24"/>
          <w:highlight w:val="none"/>
        </w:rPr>
        <w:t>11.1</w:t>
      </w:r>
      <w:r>
        <w:rPr>
          <w:rFonts w:hint="eastAsia" w:ascii="仿宋" w:hAnsi="仿宋" w:eastAsia="仿宋" w:cs="仿宋_GB2312"/>
          <w:b/>
          <w:bCs/>
          <w:color w:val="auto"/>
          <w:sz w:val="24"/>
          <w:highlight w:val="none"/>
        </w:rPr>
        <w:t>资格文件：</w:t>
      </w:r>
    </w:p>
    <w:p>
      <w:pPr>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11.1.1符合参加政府采购活动应当具备的一般条件的承诺函；</w:t>
      </w:r>
    </w:p>
    <w:p>
      <w:pPr>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11.1.2联合协议</w:t>
      </w:r>
      <w:r>
        <w:rPr>
          <w:rFonts w:hint="eastAsia" w:ascii="仿宋" w:hAnsi="仿宋" w:eastAsia="仿宋" w:cs="仿宋"/>
          <w:bCs/>
          <w:color w:val="auto"/>
          <w:sz w:val="24"/>
          <w:highlight w:val="none"/>
        </w:rPr>
        <w:t>（以联合体形式参与响应的，提供联合协议；本项目不接受联合体的或者供应商不以联合体形式参与响应的，则不需要提供）</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eastAsia="zh-CN"/>
        </w:rPr>
      </w:pPr>
      <w:r>
        <w:rPr>
          <w:rFonts w:ascii="仿宋" w:hAnsi="仿宋" w:eastAsia="仿宋" w:cs="仿宋"/>
          <w:color w:val="auto"/>
          <w:sz w:val="24"/>
          <w:highlight w:val="none"/>
        </w:rPr>
        <w:t>11.1.3落实政府采购政策需满足的资格要求</w:t>
      </w:r>
      <w:r>
        <w:rPr>
          <w:rFonts w:hint="eastAsia" w:ascii="仿宋" w:hAnsi="仿宋" w:eastAsia="仿宋" w:cs="仿宋"/>
          <w:bCs/>
          <w:color w:val="auto"/>
          <w:sz w:val="24"/>
          <w:highlight w:val="none"/>
        </w:rPr>
        <w:t>（未要求的，无需提供）</w:t>
      </w:r>
      <w:r>
        <w:rPr>
          <w:rFonts w:hint="eastAsia" w:ascii="仿宋" w:hAnsi="仿宋" w:eastAsia="仿宋" w:cs="仿宋"/>
          <w:color w:val="auto"/>
          <w:sz w:val="24"/>
          <w:highlight w:val="none"/>
          <w:lang w:eastAsia="zh-CN"/>
        </w:rPr>
        <w:t>；</w:t>
      </w:r>
    </w:p>
    <w:p>
      <w:pPr>
        <w:snapToGrid w:val="0"/>
        <w:spacing w:line="360" w:lineRule="auto"/>
        <w:ind w:firstLine="480" w:firstLineChars="200"/>
        <w:rPr>
          <w:rFonts w:hint="eastAsia"/>
          <w:color w:val="auto"/>
          <w:highlight w:val="none"/>
          <w:lang w:eastAsia="zh-CN"/>
        </w:rPr>
      </w:pPr>
      <w:r>
        <w:rPr>
          <w:rFonts w:ascii="仿宋" w:hAnsi="仿宋" w:eastAsia="仿宋" w:cs="仿宋_GB2312"/>
          <w:color w:val="auto"/>
          <w:sz w:val="24"/>
          <w:highlight w:val="none"/>
        </w:rPr>
        <w:t>11.1.</w:t>
      </w:r>
      <w:r>
        <w:rPr>
          <w:rFonts w:hint="eastAsia" w:ascii="仿宋" w:hAnsi="仿宋" w:eastAsia="仿宋" w:cs="仿宋_GB2312"/>
          <w:color w:val="auto"/>
          <w:sz w:val="24"/>
          <w:highlight w:val="none"/>
          <w:lang w:val="en-US" w:eastAsia="zh-CN"/>
        </w:rPr>
        <w:t>4</w:t>
      </w:r>
      <w:r>
        <w:rPr>
          <w:rFonts w:ascii="仿宋" w:hAnsi="仿宋" w:eastAsia="仿宋" w:cs="仿宋_GB2312"/>
          <w:color w:val="auto"/>
          <w:sz w:val="24"/>
          <w:highlight w:val="none"/>
        </w:rPr>
        <w:t>本项目的特定资格要求</w:t>
      </w:r>
      <w:r>
        <w:rPr>
          <w:rFonts w:hint="eastAsia" w:ascii="仿宋" w:hAnsi="仿宋" w:eastAsia="仿宋" w:cs="仿宋_GB2312"/>
          <w:color w:val="auto"/>
          <w:sz w:val="24"/>
          <w:highlight w:val="none"/>
        </w:rPr>
        <w:t>：无。</w:t>
      </w:r>
    </w:p>
    <w:p>
      <w:pPr>
        <w:snapToGrid w:val="0"/>
        <w:spacing w:line="360" w:lineRule="auto"/>
        <w:rPr>
          <w:rFonts w:ascii="仿宋" w:hAnsi="仿宋" w:eastAsia="仿宋" w:cs="仿宋_GB2312"/>
          <w:b/>
          <w:bCs/>
          <w:color w:val="auto"/>
          <w:sz w:val="24"/>
          <w:highlight w:val="none"/>
          <w:lang w:val="zh-CN"/>
        </w:rPr>
      </w:pPr>
      <w:r>
        <w:rPr>
          <w:rFonts w:ascii="仿宋" w:hAnsi="仿宋" w:eastAsia="仿宋" w:cs="仿宋_GB2312"/>
          <w:b/>
          <w:bCs/>
          <w:color w:val="auto"/>
          <w:sz w:val="24"/>
          <w:highlight w:val="none"/>
          <w:lang w:val="zh-CN"/>
        </w:rPr>
        <w:t>11.</w:t>
      </w:r>
      <w:r>
        <w:rPr>
          <w:rFonts w:ascii="仿宋" w:hAnsi="仿宋" w:eastAsia="仿宋" w:cs="仿宋_GB2312"/>
          <w:b/>
          <w:bCs/>
          <w:color w:val="auto"/>
          <w:sz w:val="24"/>
          <w:highlight w:val="none"/>
        </w:rPr>
        <w:t>2</w:t>
      </w:r>
      <w:r>
        <w:rPr>
          <w:rFonts w:ascii="仿宋" w:hAnsi="仿宋" w:eastAsia="仿宋" w:cs="仿宋_GB2312"/>
          <w:b/>
          <w:bCs/>
          <w:color w:val="auto"/>
          <w:sz w:val="24"/>
          <w:highlight w:val="none"/>
          <w:lang w:val="zh-CN"/>
        </w:rPr>
        <w:t xml:space="preserve"> </w:t>
      </w:r>
      <w:r>
        <w:rPr>
          <w:rFonts w:hint="eastAsia" w:ascii="仿宋" w:hAnsi="仿宋" w:eastAsia="仿宋" w:cs="仿宋_GB2312"/>
          <w:b/>
          <w:bCs/>
          <w:color w:val="auto"/>
          <w:sz w:val="24"/>
          <w:highlight w:val="none"/>
        </w:rPr>
        <w:t>商务技术</w:t>
      </w:r>
      <w:r>
        <w:rPr>
          <w:rFonts w:hint="eastAsia" w:ascii="仿宋" w:hAnsi="仿宋" w:eastAsia="仿宋" w:cs="仿宋_GB2312"/>
          <w:b/>
          <w:bCs/>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r>
        <w:rPr>
          <w:rFonts w:ascii="仿宋" w:hAnsi="仿宋" w:eastAsia="仿宋" w:cs="仿宋_GB2312"/>
          <w:color w:val="auto"/>
          <w:sz w:val="24"/>
          <w:highlight w:val="none"/>
          <w:lang w:val="zh-CN"/>
        </w:rPr>
        <w:t xml:space="preserve"> </w:t>
      </w:r>
    </w:p>
    <w:p>
      <w:pPr>
        <w:snapToGrid w:val="0"/>
        <w:spacing w:line="360" w:lineRule="auto"/>
        <w:ind w:firstLine="480" w:firstLineChars="200"/>
        <w:rPr>
          <w:rFonts w:ascii="仿宋" w:hAnsi="仿宋" w:eastAsia="仿宋" w:cs="宋体"/>
          <w:color w:val="auto"/>
          <w:sz w:val="24"/>
          <w:highlight w:val="none"/>
        </w:rPr>
      </w:pPr>
      <w:bookmarkStart w:id="135" w:name="_Hlk87474952"/>
      <w:r>
        <w:rPr>
          <w:rFonts w:ascii="仿宋" w:hAnsi="仿宋" w:eastAsia="仿宋" w:cs="宋体"/>
          <w:color w:val="auto"/>
          <w:sz w:val="24"/>
          <w:highlight w:val="none"/>
        </w:rPr>
        <w:t>11.2.2</w:t>
      </w:r>
      <w:r>
        <w:rPr>
          <w:rFonts w:hint="eastAsia" w:ascii="仿宋" w:hAnsi="仿宋" w:eastAsia="仿宋" w:cs="宋体"/>
          <w:color w:val="auto"/>
          <w:sz w:val="24"/>
          <w:highlight w:val="none"/>
        </w:rPr>
        <w:t>授权委托书；</w:t>
      </w:r>
    </w:p>
    <w:p>
      <w:pPr>
        <w:snapToGrid w:val="0"/>
        <w:spacing w:line="360" w:lineRule="auto"/>
        <w:ind w:firstLine="480" w:firstLineChars="200"/>
        <w:rPr>
          <w:rFonts w:hint="eastAsia" w:ascii="仿宋" w:hAnsi="仿宋" w:eastAsia="仿宋" w:cs="宋体"/>
          <w:color w:val="auto"/>
          <w:sz w:val="24"/>
          <w:highlight w:val="none"/>
        </w:rPr>
      </w:pPr>
      <w:r>
        <w:rPr>
          <w:rFonts w:ascii="仿宋" w:hAnsi="仿宋" w:eastAsia="仿宋" w:cs="宋体"/>
          <w:color w:val="auto"/>
          <w:sz w:val="24"/>
          <w:highlight w:val="none"/>
        </w:rPr>
        <w:t>11.2.3</w:t>
      </w:r>
      <w:r>
        <w:rPr>
          <w:rFonts w:hint="eastAsia" w:ascii="仿宋" w:hAnsi="仿宋" w:eastAsia="仿宋" w:cs="宋体"/>
          <w:color w:val="auto"/>
          <w:sz w:val="24"/>
          <w:highlight w:val="none"/>
        </w:rPr>
        <w:t>法定代表人和授权委托代表的有效身份证复印件（法定代表人直接参加投标并对相应文件签字的，只需提供前者）；</w:t>
      </w:r>
    </w:p>
    <w:p>
      <w:pPr>
        <w:snapToGrid w:val="0"/>
        <w:spacing w:line="360" w:lineRule="auto"/>
        <w:ind w:firstLine="480" w:firstLineChars="200"/>
        <w:rPr>
          <w:rFonts w:hint="default" w:ascii="仿宋" w:hAnsi="仿宋" w:eastAsia="仿宋" w:cs="宋体"/>
          <w:color w:val="auto"/>
          <w:sz w:val="24"/>
          <w:highlight w:val="none"/>
          <w:lang w:val="en-US" w:eastAsia="zh-CN"/>
        </w:rPr>
      </w:pPr>
      <w:r>
        <w:rPr>
          <w:rFonts w:hint="default" w:ascii="仿宋" w:hAnsi="仿宋" w:eastAsia="仿宋" w:cs="宋体"/>
          <w:color w:val="auto"/>
          <w:sz w:val="24"/>
          <w:highlight w:val="none"/>
          <w:lang w:val="en-US" w:eastAsia="zh-CN"/>
        </w:rPr>
        <w:t>11.2.4</w:t>
      </w:r>
      <w:r>
        <w:rPr>
          <w:rFonts w:ascii="仿宋" w:hAnsi="仿宋" w:eastAsia="仿宋" w:cs="宋体"/>
          <w:color w:val="auto"/>
          <w:sz w:val="24"/>
          <w:highlight w:val="none"/>
        </w:rPr>
        <w:t>分包意向协议</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color w:val="auto"/>
          <w:sz w:val="24"/>
          <w:highlight w:val="none"/>
        </w:rPr>
        <w:t>11.2.</w:t>
      </w:r>
      <w:r>
        <w:rPr>
          <w:rFonts w:hint="eastAsia" w:ascii="仿宋" w:hAnsi="仿宋" w:eastAsia="仿宋" w:cs="宋体"/>
          <w:color w:val="auto"/>
          <w:sz w:val="24"/>
          <w:highlight w:val="none"/>
          <w:lang w:val="en-US" w:eastAsia="zh-CN"/>
        </w:rPr>
        <w:t>5</w:t>
      </w:r>
      <w:r>
        <w:rPr>
          <w:rFonts w:hint="eastAsia" w:ascii="仿宋" w:hAnsi="仿宋" w:eastAsia="仿宋" w:cs="宋体"/>
          <w:snapToGrid w:val="0"/>
          <w:color w:val="auto"/>
          <w:kern w:val="0"/>
          <w:sz w:val="24"/>
          <w:highlight w:val="none"/>
        </w:rPr>
        <w:t>公司情况介绍；</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color w:val="auto"/>
          <w:sz w:val="24"/>
          <w:highlight w:val="none"/>
        </w:rPr>
        <w:t>11.2.</w:t>
      </w:r>
      <w:r>
        <w:rPr>
          <w:rFonts w:hint="eastAsia" w:ascii="仿宋" w:hAnsi="仿宋" w:eastAsia="仿宋" w:cs="宋体"/>
          <w:color w:val="auto"/>
          <w:sz w:val="24"/>
          <w:highlight w:val="none"/>
          <w:lang w:val="en-US" w:eastAsia="zh-CN"/>
        </w:rPr>
        <w:t>6</w:t>
      </w:r>
      <w:r>
        <w:rPr>
          <w:rFonts w:hint="eastAsia" w:ascii="仿宋" w:hAnsi="仿宋" w:eastAsia="仿宋" w:cs="宋体"/>
          <w:snapToGrid w:val="0"/>
          <w:color w:val="auto"/>
          <w:kern w:val="0"/>
          <w:sz w:val="24"/>
          <w:highlight w:val="none"/>
          <w:lang w:val="zh-CN"/>
        </w:rPr>
        <w:t>供应商成功案例；</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color w:val="auto"/>
          <w:sz w:val="24"/>
          <w:highlight w:val="none"/>
        </w:rPr>
        <w:t>11.2.</w:t>
      </w:r>
      <w:r>
        <w:rPr>
          <w:rFonts w:hint="eastAsia" w:ascii="仿宋" w:hAnsi="仿宋" w:eastAsia="仿宋" w:cs="宋体"/>
          <w:color w:val="auto"/>
          <w:sz w:val="24"/>
          <w:highlight w:val="none"/>
          <w:lang w:val="en-US" w:eastAsia="zh-CN"/>
        </w:rPr>
        <w:t>7</w:t>
      </w:r>
      <w:r>
        <w:rPr>
          <w:rFonts w:hint="eastAsia" w:ascii="仿宋" w:hAnsi="仿宋" w:eastAsia="仿宋" w:cs="宋体"/>
          <w:snapToGrid w:val="0"/>
          <w:color w:val="auto"/>
          <w:kern w:val="0"/>
          <w:sz w:val="24"/>
          <w:highlight w:val="none"/>
        </w:rPr>
        <w:t>相关资质文件（如有）；</w:t>
      </w:r>
    </w:p>
    <w:p>
      <w:pPr>
        <w:pStyle w:val="24"/>
        <w:snapToGrid w:val="0"/>
        <w:ind w:firstLine="480" w:firstLineChars="200"/>
        <w:rPr>
          <w:rFonts w:ascii="仿宋" w:hAnsi="仿宋" w:eastAsia="仿宋" w:cs="宋体"/>
          <w:color w:val="auto"/>
          <w:kern w:val="0"/>
          <w:highlight w:val="none"/>
        </w:rPr>
      </w:pPr>
      <w:r>
        <w:rPr>
          <w:rFonts w:ascii="仿宋" w:hAnsi="仿宋" w:eastAsia="仿宋" w:cs="宋体"/>
          <w:color w:val="auto"/>
          <w:highlight w:val="none"/>
        </w:rPr>
        <w:t>11.2.</w:t>
      </w:r>
      <w:r>
        <w:rPr>
          <w:rFonts w:hint="eastAsia" w:ascii="仿宋" w:hAnsi="仿宋" w:eastAsia="仿宋" w:cs="宋体"/>
          <w:color w:val="auto"/>
          <w:highlight w:val="none"/>
          <w:lang w:val="en-US" w:eastAsia="zh-CN"/>
        </w:rPr>
        <w:t>8</w:t>
      </w:r>
      <w:r>
        <w:rPr>
          <w:rFonts w:hint="eastAsia" w:ascii="仿宋" w:hAnsi="仿宋" w:eastAsia="仿宋" w:cs="宋体"/>
          <w:color w:val="auto"/>
          <w:kern w:val="0"/>
          <w:highlight w:val="none"/>
        </w:rPr>
        <w:t>供应商应提供针对项目的完整服务解决方案；</w:t>
      </w:r>
    </w:p>
    <w:p>
      <w:pPr>
        <w:pStyle w:val="24"/>
        <w:snapToGrid w:val="0"/>
        <w:ind w:firstLine="480" w:firstLineChars="200"/>
        <w:rPr>
          <w:rFonts w:ascii="仿宋" w:hAnsi="仿宋" w:eastAsia="仿宋"/>
          <w:color w:val="auto"/>
          <w:highlight w:val="none"/>
        </w:rPr>
      </w:pPr>
      <w:r>
        <w:rPr>
          <w:rFonts w:ascii="仿宋" w:hAnsi="仿宋" w:eastAsia="仿宋"/>
          <w:color w:val="auto"/>
          <w:highlight w:val="none"/>
        </w:rPr>
        <w:t>11.2.</w:t>
      </w:r>
      <w:r>
        <w:rPr>
          <w:rFonts w:hint="eastAsia" w:ascii="仿宋" w:hAnsi="仿宋" w:eastAsia="仿宋"/>
          <w:color w:val="auto"/>
          <w:highlight w:val="none"/>
          <w:lang w:val="en-US" w:eastAsia="zh-CN"/>
        </w:rPr>
        <w:t>9</w:t>
      </w:r>
      <w:r>
        <w:rPr>
          <w:rFonts w:hint="eastAsia" w:ascii="仿宋" w:hAnsi="仿宋" w:eastAsia="仿宋"/>
          <w:color w:val="auto"/>
          <w:highlight w:val="none"/>
        </w:rPr>
        <w:t>项目组人员介绍、职责分配；</w:t>
      </w:r>
    </w:p>
    <w:p>
      <w:pPr>
        <w:pStyle w:val="24"/>
        <w:snapToGrid w:val="0"/>
        <w:ind w:firstLine="480" w:firstLineChars="200"/>
        <w:rPr>
          <w:rFonts w:ascii="仿宋" w:hAnsi="仿宋" w:eastAsia="仿宋"/>
          <w:color w:val="auto"/>
          <w:highlight w:val="none"/>
        </w:rPr>
      </w:pPr>
      <w:r>
        <w:rPr>
          <w:rFonts w:ascii="仿宋" w:hAnsi="仿宋" w:eastAsia="仿宋"/>
          <w:color w:val="auto"/>
          <w:highlight w:val="none"/>
        </w:rPr>
        <w:t>11.2.</w:t>
      </w:r>
      <w:r>
        <w:rPr>
          <w:rFonts w:hint="eastAsia" w:ascii="仿宋" w:hAnsi="仿宋" w:eastAsia="仿宋"/>
          <w:color w:val="auto"/>
          <w:highlight w:val="none"/>
          <w:lang w:val="en-US" w:eastAsia="zh-CN"/>
        </w:rPr>
        <w:t>10</w:t>
      </w:r>
      <w:r>
        <w:rPr>
          <w:rFonts w:hint="eastAsia" w:ascii="仿宋" w:hAnsi="仿宋" w:eastAsia="仿宋"/>
          <w:color w:val="auto"/>
          <w:highlight w:val="none"/>
        </w:rPr>
        <w:t>商务技术偏离表；</w:t>
      </w:r>
    </w:p>
    <w:p>
      <w:pPr>
        <w:pStyle w:val="24"/>
        <w:snapToGrid w:val="0"/>
        <w:ind w:firstLine="480" w:firstLineChars="200"/>
        <w:rPr>
          <w:rFonts w:ascii="仿宋" w:hAnsi="仿宋" w:eastAsia="仿宋"/>
          <w:color w:val="auto"/>
          <w:highlight w:val="none"/>
        </w:rPr>
      </w:pPr>
      <w:r>
        <w:rPr>
          <w:rFonts w:ascii="仿宋" w:hAnsi="仿宋" w:eastAsia="仿宋"/>
          <w:color w:val="auto"/>
          <w:highlight w:val="none"/>
        </w:rPr>
        <w:t>11.2.1</w:t>
      </w:r>
      <w:r>
        <w:rPr>
          <w:rFonts w:hint="eastAsia" w:ascii="仿宋" w:hAnsi="仿宋" w:eastAsia="仿宋"/>
          <w:color w:val="auto"/>
          <w:highlight w:val="none"/>
          <w:lang w:val="en-US" w:eastAsia="zh-CN"/>
        </w:rPr>
        <w:t>1</w:t>
      </w:r>
      <w:r>
        <w:rPr>
          <w:rFonts w:hint="eastAsia" w:ascii="仿宋" w:hAnsi="仿宋" w:eastAsia="仿宋"/>
          <w:color w:val="auto"/>
          <w:highlight w:val="none"/>
        </w:rPr>
        <w:t>其他商务技术文件或说明；</w:t>
      </w:r>
    </w:p>
    <w:p>
      <w:pPr>
        <w:pStyle w:val="24"/>
        <w:snapToGrid w:val="0"/>
        <w:ind w:firstLine="480" w:firstLineChars="200"/>
        <w:rPr>
          <w:rFonts w:ascii="仿宋" w:hAnsi="仿宋" w:eastAsia="仿宋"/>
          <w:color w:val="auto"/>
          <w:highlight w:val="none"/>
        </w:rPr>
      </w:pPr>
      <w:r>
        <w:rPr>
          <w:rFonts w:ascii="仿宋" w:hAnsi="仿宋" w:eastAsia="仿宋"/>
          <w:color w:val="auto"/>
          <w:highlight w:val="none"/>
        </w:rPr>
        <w:t>11.2.1</w:t>
      </w:r>
      <w:r>
        <w:rPr>
          <w:rFonts w:hint="eastAsia" w:ascii="仿宋" w:hAnsi="仿宋" w:eastAsia="仿宋"/>
          <w:color w:val="auto"/>
          <w:highlight w:val="none"/>
          <w:lang w:val="en-US" w:eastAsia="zh-CN"/>
        </w:rPr>
        <w:t>2</w:t>
      </w:r>
      <w:r>
        <w:rPr>
          <w:rFonts w:hint="eastAsia" w:ascii="仿宋" w:hAnsi="仿宋" w:eastAsia="仿宋"/>
          <w:color w:val="auto"/>
          <w:highlight w:val="none"/>
        </w:rPr>
        <w:t>政府采购供应商廉洁自律承诺书。</w:t>
      </w:r>
      <w:bookmarkEnd w:id="134"/>
      <w:bookmarkEnd w:id="135"/>
    </w:p>
    <w:p>
      <w:pPr>
        <w:snapToGrid w:val="0"/>
        <w:spacing w:line="360" w:lineRule="auto"/>
        <w:rPr>
          <w:rFonts w:ascii="仿宋" w:hAnsi="仿宋" w:eastAsia="仿宋" w:cs="仿宋_GB2312"/>
          <w:color w:val="auto"/>
          <w:sz w:val="24"/>
          <w:highlight w:val="none"/>
          <w:u w:val="single"/>
          <w:lang w:val="zh-CN"/>
        </w:rPr>
      </w:pPr>
      <w:r>
        <w:rPr>
          <w:rFonts w:ascii="仿宋" w:hAnsi="仿宋" w:eastAsia="仿宋" w:cs="仿宋_GB2312"/>
          <w:b/>
          <w:bCs/>
          <w:color w:val="auto"/>
          <w:kern w:val="0"/>
          <w:sz w:val="24"/>
          <w:highlight w:val="none"/>
          <w:lang w:val="zh-CN"/>
        </w:rPr>
        <w:t>11.</w:t>
      </w:r>
      <w:r>
        <w:rPr>
          <w:rFonts w:ascii="仿宋" w:hAnsi="仿宋" w:eastAsia="仿宋" w:cs="仿宋_GB2312"/>
          <w:b/>
          <w:bCs/>
          <w:color w:val="auto"/>
          <w:kern w:val="0"/>
          <w:sz w:val="24"/>
          <w:highlight w:val="none"/>
        </w:rPr>
        <w:t>3</w:t>
      </w:r>
      <w:r>
        <w:rPr>
          <w:rFonts w:hint="eastAsia" w:ascii="仿宋" w:hAnsi="仿宋" w:eastAsia="仿宋" w:cs="仿宋_GB2312"/>
          <w:b/>
          <w:bCs/>
          <w:color w:val="auto"/>
          <w:kern w:val="0"/>
          <w:sz w:val="24"/>
          <w:highlight w:val="none"/>
        </w:rPr>
        <w:t xml:space="preserve"> </w:t>
      </w:r>
      <w:r>
        <w:rPr>
          <w:rFonts w:hint="eastAsia" w:ascii="仿宋" w:hAnsi="仿宋" w:eastAsia="仿宋" w:cs="仿宋_GB2312"/>
          <w:b/>
          <w:bCs/>
          <w:color w:val="auto"/>
          <w:sz w:val="24"/>
          <w:highlight w:val="none"/>
        </w:rPr>
        <w:t>报价文件：</w:t>
      </w:r>
      <w:r>
        <w:rPr>
          <w:rFonts w:ascii="仿宋" w:hAnsi="仿宋" w:eastAsia="仿宋" w:cs="仿宋_GB2312"/>
          <w:color w:val="auto"/>
          <w:sz w:val="24"/>
          <w:highlight w:val="none"/>
        </w:rPr>
        <w:t xml:space="preserve">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11.3.2中小企业声明函。</w:t>
      </w:r>
    </w:p>
    <w:p>
      <w:pPr>
        <w:snapToGrid w:val="0"/>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投标文件含有采购人不能接受的附加条件的，投标无效；</w:t>
      </w:r>
    </w:p>
    <w:p>
      <w:pPr>
        <w:snapToGrid w:val="0"/>
        <w:spacing w:line="360" w:lineRule="auto"/>
        <w:ind w:firstLine="480" w:firstLineChars="200"/>
        <w:rPr>
          <w:rFonts w:ascii="仿宋" w:hAnsi="仿宋" w:eastAsia="仿宋" w:cs="仿宋_GB2312"/>
          <w:b/>
          <w:color w:val="auto"/>
          <w:highlight w:val="none"/>
        </w:rPr>
      </w:pPr>
      <w:r>
        <w:rPr>
          <w:rFonts w:ascii="仿宋" w:hAnsi="仿宋" w:eastAsia="仿宋"/>
          <w:color w:val="auto"/>
          <w:sz w:val="24"/>
          <w:highlight w:val="none"/>
        </w:rPr>
        <w:t>▲</w:t>
      </w:r>
      <w:r>
        <w:rPr>
          <w:rFonts w:hint="eastAsia" w:ascii="仿宋" w:hAnsi="仿宋" w:eastAsia="仿宋"/>
          <w:b/>
          <w:color w:val="auto"/>
          <w:sz w:val="24"/>
          <w:highlight w:val="none"/>
        </w:rPr>
        <w:t>供应商提供虚假材料投标的，投标无效。</w:t>
      </w:r>
    </w:p>
    <w:p>
      <w:pPr>
        <w:pStyle w:val="119"/>
        <w:snapToGrid w:val="0"/>
        <w:ind w:firstLine="480" w:firstLineChars="200"/>
        <w:rPr>
          <w:color w:val="auto"/>
          <w:highlight w:val="none"/>
        </w:rPr>
      </w:pPr>
      <w:bookmarkStart w:id="136" w:name="_Toc95312952"/>
      <w:bookmarkStart w:id="137" w:name="_Toc22083"/>
      <w:bookmarkStart w:id="138" w:name="_Toc6294"/>
    </w:p>
    <w:p>
      <w:pPr>
        <w:pStyle w:val="5"/>
        <w:rPr>
          <w:rFonts w:ascii="仿宋" w:hAnsi="仿宋" w:eastAsia="仿宋"/>
          <w:color w:val="auto"/>
          <w:highlight w:val="none"/>
        </w:rPr>
      </w:pPr>
      <w:bookmarkStart w:id="139" w:name="_Toc7775"/>
      <w:bookmarkStart w:id="140" w:name="_Toc5145"/>
      <w:bookmarkStart w:id="141" w:name="_Toc1011"/>
      <w:r>
        <w:rPr>
          <w:rFonts w:ascii="仿宋" w:hAnsi="仿宋" w:eastAsia="仿宋"/>
          <w:color w:val="auto"/>
          <w:highlight w:val="none"/>
        </w:rPr>
        <w:t xml:space="preserve">12. </w:t>
      </w:r>
      <w:r>
        <w:rPr>
          <w:rFonts w:hint="eastAsia" w:ascii="仿宋" w:hAnsi="仿宋" w:eastAsia="仿宋"/>
          <w:color w:val="auto"/>
          <w:highlight w:val="none"/>
        </w:rPr>
        <w:t>投标文件的编制</w:t>
      </w:r>
      <w:bookmarkEnd w:id="136"/>
      <w:bookmarkEnd w:id="137"/>
      <w:bookmarkEnd w:id="138"/>
      <w:bookmarkEnd w:id="139"/>
      <w:bookmarkEnd w:id="140"/>
      <w:bookmarkEnd w:id="141"/>
    </w:p>
    <w:p>
      <w:pPr>
        <w:snapToGrid w:val="0"/>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12.1投标文件分为资格文件、商务技术文件、报价文件三部分。各供应商在编制投标文件时请按照采购文件第六部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分规定的格式进行，混乱的编排导致投标文件被误读或评标委员会查找不到有效文件是供应商的风险。</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12.2供应商进行电子投标应安装客户端软件—“政</w:t>
      </w:r>
      <w:r>
        <w:rPr>
          <w:rFonts w:hint="eastAsia" w:ascii="仿宋" w:hAnsi="仿宋" w:eastAsia="仿宋" w:cs="仿宋_GB2312"/>
          <w:color w:val="auto"/>
          <w:kern w:val="0"/>
          <w:sz w:val="24"/>
          <w:highlight w:val="none"/>
          <w:lang w:val="zh-CN"/>
        </w:rPr>
        <w:t>采云电子交易客户端”，并按照采购文件和电子交易平台的要求编制并加密投标文件。供应商未按规定加密的投标文件，电子交易平台将拒收并提示。</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 w:val="24"/>
          <w:highlight w:val="none"/>
        </w:rPr>
      </w:pPr>
    </w:p>
    <w:p>
      <w:pPr>
        <w:pStyle w:val="5"/>
        <w:rPr>
          <w:rFonts w:ascii="仿宋" w:hAnsi="仿宋" w:eastAsia="仿宋"/>
          <w:color w:val="auto"/>
          <w:highlight w:val="none"/>
        </w:rPr>
      </w:pPr>
      <w:bookmarkStart w:id="142" w:name="_Toc95312953"/>
      <w:bookmarkStart w:id="143" w:name="_Toc3269"/>
      <w:bookmarkStart w:id="144" w:name="_Toc18716"/>
      <w:bookmarkStart w:id="145" w:name="_Toc32156"/>
      <w:bookmarkStart w:id="146" w:name="_Toc31591"/>
      <w:bookmarkStart w:id="147" w:name="_Toc15595"/>
      <w:r>
        <w:rPr>
          <w:rFonts w:ascii="仿宋" w:hAnsi="仿宋" w:eastAsia="仿宋"/>
          <w:color w:val="auto"/>
          <w:highlight w:val="none"/>
        </w:rPr>
        <w:t>13.投标文件的签署、盖章</w:t>
      </w:r>
      <w:bookmarkEnd w:id="142"/>
      <w:bookmarkEnd w:id="143"/>
      <w:bookmarkEnd w:id="144"/>
      <w:bookmarkEnd w:id="145"/>
      <w:bookmarkEnd w:id="146"/>
      <w:bookmarkEnd w:id="147"/>
    </w:p>
    <w:p>
      <w:pPr>
        <w:pStyle w:val="161"/>
        <w:snapToGrid w:val="0"/>
        <w:spacing w:before="0"/>
        <w:ind w:firstLine="480"/>
        <w:rPr>
          <w:rFonts w:ascii="仿宋" w:hAnsi="仿宋" w:eastAsia="仿宋" w:cs="仿宋_GB2312"/>
          <w:color w:val="auto"/>
          <w:highlight w:val="none"/>
        </w:rPr>
      </w:pPr>
      <w:r>
        <w:rPr>
          <w:rFonts w:ascii="仿宋" w:hAnsi="仿宋" w:eastAsia="仿宋" w:cs="仿宋_GB2312"/>
          <w:color w:val="auto"/>
          <w:szCs w:val="24"/>
          <w:highlight w:val="none"/>
        </w:rPr>
        <w:t>13.1投标文件按照采购文件第六部分格式要</w:t>
      </w:r>
      <w:r>
        <w:rPr>
          <w:rFonts w:hint="eastAsia" w:ascii="仿宋" w:hAnsi="仿宋" w:eastAsia="仿宋" w:cs="仿宋_GB2312"/>
          <w:color w:val="auto"/>
          <w:highlight w:val="none"/>
        </w:rPr>
        <w:t>求进行签署、盖章。</w:t>
      </w:r>
    </w:p>
    <w:p>
      <w:pPr>
        <w:pStyle w:val="161"/>
        <w:snapToGrid w:val="0"/>
        <w:spacing w:before="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供应商的投标文件未按照采购文件要求签署、盖章的，其投标无效</w:t>
      </w:r>
      <w:r>
        <w:rPr>
          <w:rFonts w:hint="eastAsia" w:ascii="仿宋" w:hAnsi="仿宋" w:eastAsia="仿宋" w:cs="仿宋_GB2312"/>
          <w:color w:val="auto"/>
          <w:szCs w:val="24"/>
          <w:highlight w:val="none"/>
        </w:rPr>
        <w:t>。</w:t>
      </w:r>
    </w:p>
    <w:p>
      <w:pPr>
        <w:pStyle w:val="16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13.2为确保网上操作合法、有效和安全，供应商应当在投标截止时间前完成在“政府采购云平台”的身份认证，确保在电子投标过程中能够对相关数据电文进行加密和使用电子签名。</w:t>
      </w:r>
    </w:p>
    <w:p>
      <w:pPr>
        <w:pStyle w:val="161"/>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highlight w:val="none"/>
        </w:rPr>
        <w:t>13.3采购文件对投标文件签署、盖章的要求适用于电子签名。</w:t>
      </w:r>
    </w:p>
    <w:p>
      <w:pPr>
        <w:pStyle w:val="119"/>
        <w:rPr>
          <w:color w:val="auto"/>
          <w:highlight w:val="none"/>
        </w:rPr>
      </w:pPr>
      <w:bookmarkStart w:id="148" w:name="_Toc22736"/>
      <w:bookmarkStart w:id="149" w:name="_Toc95312954"/>
      <w:bookmarkStart w:id="150" w:name="_Toc5131"/>
    </w:p>
    <w:p>
      <w:pPr>
        <w:pStyle w:val="5"/>
        <w:rPr>
          <w:rFonts w:ascii="仿宋" w:hAnsi="仿宋" w:eastAsia="仿宋"/>
          <w:color w:val="auto"/>
          <w:highlight w:val="none"/>
        </w:rPr>
      </w:pPr>
      <w:bookmarkStart w:id="151" w:name="_Toc30315"/>
      <w:bookmarkStart w:id="152" w:name="_Toc18554"/>
      <w:bookmarkStart w:id="153" w:name="_Toc5473"/>
      <w:r>
        <w:rPr>
          <w:rFonts w:ascii="仿宋" w:hAnsi="仿宋" w:eastAsia="仿宋"/>
          <w:color w:val="auto"/>
          <w:highlight w:val="none"/>
        </w:rPr>
        <w:t xml:space="preserve">14. </w:t>
      </w:r>
      <w:r>
        <w:rPr>
          <w:rFonts w:hint="eastAsia" w:ascii="仿宋" w:hAnsi="仿宋" w:eastAsia="仿宋"/>
          <w:color w:val="auto"/>
          <w:highlight w:val="none"/>
        </w:rPr>
        <w:t>投标文件的提交、补充、修改、撤回</w:t>
      </w:r>
      <w:bookmarkEnd w:id="148"/>
      <w:bookmarkEnd w:id="149"/>
      <w:bookmarkEnd w:id="150"/>
      <w:bookmarkEnd w:id="151"/>
      <w:bookmarkEnd w:id="152"/>
      <w:bookmarkEnd w:id="153"/>
    </w:p>
    <w:p>
      <w:pPr>
        <w:pStyle w:val="161"/>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 xml:space="preserve">14.1 </w:t>
      </w:r>
      <w:r>
        <w:rPr>
          <w:rFonts w:hint="eastAsia" w:ascii="仿宋" w:hAnsi="仿宋" w:eastAsia="仿宋"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1"/>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pPr>
        <w:pStyle w:val="119"/>
        <w:rPr>
          <w:color w:val="auto"/>
          <w:highlight w:val="none"/>
        </w:rPr>
      </w:pPr>
      <w:bookmarkStart w:id="154" w:name="_Toc95312955"/>
      <w:bookmarkStart w:id="155" w:name="_Toc16394"/>
      <w:bookmarkStart w:id="156" w:name="_Toc14673"/>
    </w:p>
    <w:p>
      <w:pPr>
        <w:pStyle w:val="5"/>
        <w:rPr>
          <w:rFonts w:ascii="仿宋" w:hAnsi="仿宋" w:eastAsia="仿宋"/>
          <w:color w:val="auto"/>
          <w:highlight w:val="none"/>
        </w:rPr>
      </w:pPr>
      <w:bookmarkStart w:id="157" w:name="_Toc9509"/>
      <w:bookmarkStart w:id="158" w:name="_Toc25131"/>
      <w:bookmarkStart w:id="159" w:name="_Toc18392"/>
      <w:r>
        <w:rPr>
          <w:rFonts w:ascii="仿宋" w:hAnsi="仿宋" w:eastAsia="仿宋"/>
          <w:color w:val="auto"/>
          <w:highlight w:val="none"/>
        </w:rPr>
        <w:t>15.备份投标文件</w:t>
      </w:r>
      <w:bookmarkEnd w:id="154"/>
      <w:bookmarkEnd w:id="155"/>
      <w:bookmarkEnd w:id="156"/>
      <w:bookmarkEnd w:id="157"/>
      <w:bookmarkEnd w:id="158"/>
      <w:bookmarkEnd w:id="159"/>
    </w:p>
    <w:p>
      <w:pPr>
        <w:pStyle w:val="32"/>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15.1供应商在电子交易平台传输递交投标文件后，还可以在投标截止时间前直接提交或者以邮政快递方式递交备份投标文件1份，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但采购人、采购代理机构不强制或变相强制供应商提交备份投标文件。</w:t>
      </w:r>
    </w:p>
    <w:p>
      <w:pPr>
        <w:pStyle w:val="32"/>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hint="eastAsia" w:ascii="仿宋" w:hAnsi="仿宋" w:eastAsia="仿宋"/>
          <w:color w:val="auto"/>
          <w:sz w:val="24"/>
          <w:highlight w:val="none"/>
        </w:rPr>
        <w:t>U</w:t>
      </w:r>
      <w:r>
        <w:rPr>
          <w:rFonts w:ascii="仿宋" w:hAnsi="仿宋" w:eastAsia="仿宋"/>
          <w:color w:val="auto"/>
          <w:sz w:val="24"/>
          <w:highlight w:val="none"/>
        </w:rPr>
        <w:t>盘</w:t>
      </w:r>
      <w:r>
        <w:rPr>
          <w:rFonts w:hint="eastAsia" w:ascii="仿宋" w:hAnsi="仿宋" w:eastAsia="仿宋" w:cs="仿宋_GB2312"/>
          <w:color w:val="auto"/>
          <w:sz w:val="24"/>
          <w:szCs w:val="24"/>
          <w:highlight w:val="none"/>
        </w:rPr>
        <w:t>中。备份投标文件应当密封包装并在包装上加盖公章并注明项目名称，供应商名称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32"/>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15.3直接提交备份投标文件的，供应商应于投标截止时间前在招标公告中载明的开标地点将备份投标文件提交给采购代理机构，采购代理机构将拒绝接受逾期送达的备份投标文件。</w:t>
      </w:r>
    </w:p>
    <w:p>
      <w:pPr>
        <w:pStyle w:val="32"/>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ascii="仿宋" w:hAnsi="仿宋" w:eastAsia="仿宋" w:cs="仿宋_GB2312"/>
          <w:snapToGrid/>
          <w:color w:val="auto"/>
          <w:sz w:val="24"/>
          <w:szCs w:val="24"/>
          <w:highlight w:val="none"/>
        </w:rPr>
        <w:t>采购文件第二部分供应商须知前附表规定的备份投标文件送达地点，</w:t>
      </w:r>
      <w:r>
        <w:rPr>
          <w:rFonts w:hint="eastAsia" w:ascii="仿宋" w:hAnsi="仿宋" w:eastAsia="仿宋" w:cs="仿宋_GB2312"/>
          <w:color w:val="auto"/>
          <w:sz w:val="24"/>
          <w:szCs w:val="24"/>
          <w:highlight w:val="none"/>
        </w:rPr>
        <w:t>送达时间以签收人签收时间为准。采购代理机构将拒绝接受逾期送达的备份投标文件。邮寄过程中，电子备份投标文件发生泄露、遗失、损坏或延期送达等情况的，由供应商自行负责。</w:t>
      </w:r>
    </w:p>
    <w:p>
      <w:pPr>
        <w:pStyle w:val="32"/>
        <w:snapToGrid w:val="0"/>
        <w:spacing w:line="360" w:lineRule="auto"/>
        <w:ind w:firstLine="482" w:firstLineChars="200"/>
        <w:rPr>
          <w:rFonts w:ascii="仿宋" w:hAnsi="仿宋" w:eastAsia="仿宋" w:cs="仿宋_GB2312"/>
          <w:b/>
          <w:color w:val="auto"/>
          <w:szCs w:val="24"/>
          <w:highlight w:val="none"/>
        </w:rPr>
      </w:pPr>
      <w:r>
        <w:rPr>
          <w:rFonts w:ascii="仿宋" w:hAnsi="仿宋" w:eastAsia="仿宋" w:cs="仿宋_GB2312"/>
          <w:b/>
          <w:color w:val="auto"/>
          <w:sz w:val="24"/>
          <w:szCs w:val="24"/>
          <w:highlight w:val="none"/>
        </w:rPr>
        <w:t>15.5供应商仅提交备份投标文件，没有在电子交易平台传输递交投标文件的，投标无效。</w:t>
      </w:r>
    </w:p>
    <w:p>
      <w:pPr>
        <w:pStyle w:val="119"/>
        <w:rPr>
          <w:color w:val="auto"/>
          <w:highlight w:val="none"/>
        </w:rPr>
      </w:pPr>
      <w:bookmarkStart w:id="160" w:name="_Toc20132"/>
      <w:bookmarkStart w:id="161" w:name="_Toc95312956"/>
      <w:bookmarkStart w:id="162" w:name="_Toc28686"/>
    </w:p>
    <w:p>
      <w:pPr>
        <w:pStyle w:val="5"/>
        <w:rPr>
          <w:rFonts w:ascii="仿宋" w:hAnsi="仿宋" w:eastAsia="仿宋"/>
          <w:color w:val="auto"/>
          <w:highlight w:val="none"/>
        </w:rPr>
      </w:pPr>
      <w:bookmarkStart w:id="163" w:name="_Toc11768"/>
      <w:bookmarkStart w:id="164" w:name="_Toc18953"/>
      <w:bookmarkStart w:id="165" w:name="_Toc7951"/>
      <w:r>
        <w:rPr>
          <w:rFonts w:ascii="仿宋" w:hAnsi="仿宋" w:eastAsia="仿宋"/>
          <w:color w:val="auto"/>
          <w:highlight w:val="none"/>
        </w:rPr>
        <w:t>16.投标文件的无效处理</w:t>
      </w:r>
      <w:bookmarkEnd w:id="160"/>
      <w:bookmarkEnd w:id="161"/>
      <w:bookmarkEnd w:id="162"/>
      <w:bookmarkEnd w:id="163"/>
      <w:bookmarkEnd w:id="164"/>
      <w:bookmarkEnd w:id="165"/>
    </w:p>
    <w:p>
      <w:pPr>
        <w:pStyle w:val="2"/>
        <w:snapToGrid w:val="0"/>
        <w:spacing w:line="360" w:lineRule="auto"/>
        <w:ind w:firstLine="360" w:firstLineChars="150"/>
        <w:rPr>
          <w:rFonts w:ascii="仿宋" w:hAnsi="仿宋" w:eastAsia="仿宋" w:cs="仿宋_GB2312"/>
          <w:b/>
          <w:color w:val="auto"/>
          <w:highlight w:val="none"/>
        </w:rPr>
      </w:pPr>
      <w:r>
        <w:rPr>
          <w:rFonts w:hint="eastAsia" w:ascii="仿宋" w:hAnsi="仿宋" w:eastAsia="仿宋" w:cs="仿宋_GB2312"/>
          <w:color w:val="auto"/>
          <w:szCs w:val="21"/>
          <w:highlight w:val="none"/>
        </w:rPr>
        <w:t>有采购文件第四部分</w:t>
      </w:r>
      <w:r>
        <w:rPr>
          <w:rFonts w:hint="eastAsia" w:ascii="仿宋" w:hAnsi="仿宋" w:eastAsia="仿宋"/>
          <w:color w:val="auto"/>
          <w:highlight w:val="none"/>
        </w:rPr>
        <w:t>第4.2</w:t>
      </w:r>
      <w:r>
        <w:rPr>
          <w:rFonts w:ascii="仿宋" w:hAnsi="仿宋" w:eastAsia="仿宋"/>
          <w:color w:val="auto"/>
          <w:highlight w:val="none"/>
        </w:rPr>
        <w:t>项规定</w:t>
      </w:r>
      <w:r>
        <w:rPr>
          <w:rFonts w:hint="eastAsia" w:ascii="仿宋" w:hAnsi="仿宋" w:eastAsia="仿宋" w:cs="仿宋_GB2312"/>
          <w:color w:val="auto"/>
          <w:szCs w:val="21"/>
          <w:highlight w:val="none"/>
        </w:rPr>
        <w:t>的情形之一的，投标无效：</w:t>
      </w:r>
    </w:p>
    <w:p>
      <w:pPr>
        <w:pStyle w:val="119"/>
        <w:rPr>
          <w:color w:val="auto"/>
          <w:highlight w:val="none"/>
        </w:rPr>
      </w:pPr>
      <w:bookmarkStart w:id="166" w:name="_Toc95312957"/>
      <w:bookmarkStart w:id="167" w:name="_Toc6061"/>
      <w:bookmarkStart w:id="168" w:name="_Toc30999"/>
    </w:p>
    <w:p>
      <w:pPr>
        <w:pStyle w:val="5"/>
        <w:rPr>
          <w:rFonts w:ascii="仿宋" w:hAnsi="仿宋" w:eastAsia="仿宋"/>
          <w:color w:val="auto"/>
          <w:highlight w:val="none"/>
        </w:rPr>
      </w:pPr>
      <w:bookmarkStart w:id="169" w:name="_Toc8297"/>
      <w:bookmarkStart w:id="170" w:name="_Toc3211"/>
      <w:bookmarkStart w:id="171" w:name="_Toc31171"/>
      <w:r>
        <w:rPr>
          <w:rFonts w:ascii="仿宋" w:hAnsi="仿宋" w:eastAsia="仿宋"/>
          <w:color w:val="auto"/>
          <w:highlight w:val="none"/>
        </w:rPr>
        <w:t>17.投标有效期</w:t>
      </w:r>
      <w:bookmarkEnd w:id="166"/>
      <w:bookmarkEnd w:id="167"/>
      <w:bookmarkEnd w:id="168"/>
      <w:bookmarkEnd w:id="169"/>
      <w:bookmarkEnd w:id="170"/>
      <w:bookmarkEnd w:id="171"/>
    </w:p>
    <w:p>
      <w:pPr>
        <w:snapToGrid w:val="0"/>
        <w:spacing w:line="360" w:lineRule="auto"/>
        <w:ind w:firstLine="480" w:firstLineChars="200"/>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17.1投标有效期为从提交投标文件的截止之日起90天。</w:t>
      </w:r>
    </w:p>
    <w:p>
      <w:pPr>
        <w:pStyle w:val="16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pPr>
        <w:pStyle w:val="16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161"/>
        <w:snapToGrid w:val="0"/>
        <w:spacing w:before="0"/>
        <w:ind w:firstLine="480"/>
        <w:rPr>
          <w:rFonts w:ascii="仿宋" w:hAnsi="仿宋" w:eastAsia="仿宋" w:cs="仿宋_GB2312"/>
          <w:color w:val="auto"/>
          <w:highlight w:val="none"/>
        </w:rPr>
      </w:pPr>
    </w:p>
    <w:p>
      <w:pPr>
        <w:pStyle w:val="4"/>
        <w:jc w:val="center"/>
        <w:rPr>
          <w:rFonts w:ascii="仿宋" w:hAnsi="仿宋" w:eastAsia="仿宋"/>
          <w:color w:val="auto"/>
          <w:highlight w:val="none"/>
        </w:rPr>
      </w:pPr>
      <w:bookmarkStart w:id="172" w:name="_Toc32394"/>
      <w:bookmarkStart w:id="173" w:name="_Toc14207"/>
      <w:bookmarkStart w:id="174" w:name="_Toc280907634"/>
      <w:bookmarkStart w:id="175" w:name="_Toc1038"/>
      <w:bookmarkStart w:id="176" w:name="_Toc19426"/>
      <w:r>
        <w:rPr>
          <w:rFonts w:hint="eastAsia" w:ascii="仿宋" w:hAnsi="仿宋" w:eastAsia="仿宋"/>
          <w:color w:val="auto"/>
          <w:highlight w:val="none"/>
        </w:rPr>
        <w:t>四、开标、资格审查与信用信息查询</w:t>
      </w:r>
      <w:bookmarkEnd w:id="172"/>
      <w:bookmarkEnd w:id="173"/>
      <w:bookmarkEnd w:id="174"/>
      <w:bookmarkEnd w:id="175"/>
      <w:bookmarkEnd w:id="176"/>
    </w:p>
    <w:p>
      <w:pPr>
        <w:pStyle w:val="5"/>
        <w:rPr>
          <w:rFonts w:ascii="仿宋" w:hAnsi="仿宋" w:eastAsia="仿宋"/>
          <w:color w:val="auto"/>
          <w:highlight w:val="none"/>
        </w:rPr>
      </w:pPr>
      <w:bookmarkStart w:id="177" w:name="_Toc95312958"/>
      <w:bookmarkStart w:id="178" w:name="_Toc16060"/>
      <w:bookmarkStart w:id="179" w:name="_Toc28476"/>
      <w:bookmarkStart w:id="180" w:name="_Toc22964"/>
      <w:bookmarkStart w:id="181" w:name="_Toc9126"/>
      <w:bookmarkStart w:id="182" w:name="_Toc19884"/>
      <w:r>
        <w:rPr>
          <w:rFonts w:ascii="仿宋" w:hAnsi="仿宋" w:eastAsia="仿宋"/>
          <w:color w:val="auto"/>
          <w:highlight w:val="none"/>
        </w:rPr>
        <w:t>18.开标</w:t>
      </w:r>
      <w:bookmarkEnd w:id="177"/>
      <w:bookmarkEnd w:id="178"/>
      <w:bookmarkEnd w:id="179"/>
      <w:bookmarkEnd w:id="180"/>
      <w:bookmarkEnd w:id="181"/>
      <w:bookmarkEnd w:id="182"/>
      <w:r>
        <w:rPr>
          <w:rFonts w:ascii="仿宋" w:hAnsi="仿宋" w:eastAsia="仿宋"/>
          <w:color w:val="auto"/>
          <w:highlight w:val="none"/>
        </w:rPr>
        <w:t xml:space="preserve"> </w:t>
      </w:r>
    </w:p>
    <w:p>
      <w:pPr>
        <w:pStyle w:val="557"/>
        <w:snapToGrid w:val="0"/>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18.1采购代理机构按照采购文件规定的时间通过电子交易平台组织开标，所有供应商均应当准时在线参加。供应商不足3家的，不得开标。</w:t>
      </w:r>
    </w:p>
    <w:p>
      <w:pPr>
        <w:pStyle w:val="557"/>
        <w:snapToGrid w:val="0"/>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18.2开标时，电子交易平台按开标时间自动提取所有投标文件。采购代理机构依托电子交易平台发起开始解密指令，供应商按照平台提示和采购文件的规定在半小时内完成在线解密。</w:t>
      </w:r>
    </w:p>
    <w:p>
      <w:pPr>
        <w:pStyle w:val="557"/>
        <w:snapToGrid w:val="0"/>
        <w:spacing w:before="0" w:line="360" w:lineRule="auto"/>
        <w:ind w:left="0" w:firstLine="480" w:firstLineChars="200"/>
        <w:contextualSpacing/>
        <w:rPr>
          <w:rFonts w:ascii="仿宋" w:hAnsi="仿宋" w:eastAsia="仿宋" w:cs="仿宋_GB2312"/>
          <w:b/>
          <w:color w:val="auto"/>
          <w:sz w:val="24"/>
          <w:highlight w:val="none"/>
        </w:rPr>
      </w:pP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投标文件未按时解密，供应商提供了备份投标文件的，以备份投标文件作为依据，否则视为投标文件撤回。投标文件已按时解密的，备份投标文件自动失效。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color w:val="auto"/>
          <w:sz w:val="24"/>
          <w:szCs w:val="20"/>
          <w:highlight w:val="none"/>
        </w:rPr>
      </w:pPr>
    </w:p>
    <w:p>
      <w:pPr>
        <w:pStyle w:val="5"/>
        <w:rPr>
          <w:rFonts w:ascii="仿宋" w:hAnsi="仿宋" w:eastAsia="仿宋"/>
          <w:color w:val="auto"/>
          <w:highlight w:val="none"/>
        </w:rPr>
      </w:pPr>
      <w:bookmarkStart w:id="183" w:name="_Toc27495"/>
      <w:bookmarkStart w:id="184" w:name="_Toc14746"/>
      <w:bookmarkStart w:id="185" w:name="_Toc8291"/>
      <w:r>
        <w:rPr>
          <w:rFonts w:ascii="仿宋" w:hAnsi="仿宋" w:eastAsia="仿宋"/>
          <w:color w:val="auto"/>
          <w:highlight w:val="none"/>
        </w:rPr>
        <w:t>19</w:t>
      </w:r>
      <w:r>
        <w:rPr>
          <w:rFonts w:hint="eastAsia" w:ascii="仿宋" w:hAnsi="仿宋" w:eastAsia="仿宋"/>
          <w:color w:val="auto"/>
          <w:highlight w:val="none"/>
        </w:rPr>
        <w:t>.</w:t>
      </w:r>
      <w:r>
        <w:rPr>
          <w:rFonts w:ascii="仿宋" w:hAnsi="仿宋" w:eastAsia="仿宋"/>
          <w:color w:val="auto"/>
          <w:highlight w:val="none"/>
        </w:rPr>
        <w:t>资格审查</w:t>
      </w:r>
      <w:bookmarkEnd w:id="183"/>
      <w:bookmarkEnd w:id="184"/>
      <w:bookmarkEnd w:id="185"/>
    </w:p>
    <w:p>
      <w:pPr>
        <w:pStyle w:val="16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19.1开标后，采购人或采购代理机构将依法对供应商的资格进行审查。</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采购人或采购代理机构依据法律法规和采购文件的规定，对供应商的基本资格条件、特定资格条件进行审查。</w:t>
      </w:r>
    </w:p>
    <w:p>
      <w:pPr>
        <w:pStyle w:val="161"/>
        <w:snapToGrid w:val="0"/>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19.3供应商未按照采购文件要求提供与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供应商不具备采购文件中规定的资格要求，其投标无效。</w:t>
      </w:r>
    </w:p>
    <w:p>
      <w:pPr>
        <w:pStyle w:val="161"/>
        <w:snapToGrid w:val="0"/>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4对未通过资格审查的供应商，采购人或采购代理机构告知其未通过的原因。</w:t>
      </w:r>
    </w:p>
    <w:p>
      <w:pPr>
        <w:pStyle w:val="161"/>
        <w:snapToGrid w:val="0"/>
        <w:spacing w:before="0"/>
        <w:ind w:firstLine="480"/>
        <w:rPr>
          <w:rFonts w:ascii="仿宋" w:hAnsi="仿宋" w:eastAsia="仿宋" w:cs="仿宋_GB2312"/>
          <w:b/>
          <w:color w:val="auto"/>
          <w:szCs w:val="24"/>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5合格供应商不足3家的，不再评标。</w:t>
      </w:r>
    </w:p>
    <w:p>
      <w:pPr>
        <w:pStyle w:val="161"/>
        <w:snapToGrid w:val="0"/>
        <w:spacing w:before="0"/>
        <w:ind w:firstLine="482"/>
        <w:rPr>
          <w:rFonts w:ascii="仿宋" w:hAnsi="仿宋" w:eastAsia="仿宋" w:cs="仿宋_GB2312"/>
          <w:b/>
          <w:color w:val="auto"/>
          <w:szCs w:val="24"/>
          <w:highlight w:val="none"/>
        </w:rPr>
      </w:pPr>
    </w:p>
    <w:p>
      <w:pPr>
        <w:pStyle w:val="5"/>
        <w:rPr>
          <w:rFonts w:ascii="仿宋" w:hAnsi="仿宋" w:eastAsia="仿宋"/>
          <w:color w:val="auto"/>
          <w:highlight w:val="none"/>
        </w:rPr>
      </w:pPr>
      <w:bookmarkStart w:id="186" w:name="_Toc4814"/>
      <w:bookmarkStart w:id="187" w:name="_Toc3088"/>
      <w:bookmarkStart w:id="188" w:name="_Toc26822"/>
      <w:r>
        <w:rPr>
          <w:rFonts w:ascii="仿宋" w:hAnsi="仿宋" w:eastAsia="仿宋"/>
          <w:color w:val="auto"/>
          <w:highlight w:val="none"/>
        </w:rPr>
        <w:t>20</w:t>
      </w:r>
      <w:r>
        <w:rPr>
          <w:rFonts w:hint="eastAsia" w:ascii="仿宋" w:hAnsi="仿宋" w:eastAsia="仿宋"/>
          <w:color w:val="auto"/>
          <w:highlight w:val="none"/>
        </w:rPr>
        <w:t>.</w:t>
      </w:r>
      <w:r>
        <w:rPr>
          <w:rFonts w:ascii="仿宋" w:hAnsi="仿宋" w:eastAsia="仿宋"/>
          <w:color w:val="auto"/>
          <w:highlight w:val="none"/>
        </w:rPr>
        <w:t>信用信息查询</w:t>
      </w:r>
      <w:bookmarkEnd w:id="186"/>
      <w:bookmarkEnd w:id="187"/>
      <w:bookmarkEnd w:id="188"/>
    </w:p>
    <w:p>
      <w:pPr>
        <w:pStyle w:val="16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20.1信用信息查询渠道及截止时间：采购代理机构将通过“信用中国”网站(www.creditchina.gov.cn)、中国政府采购网(www.ccgp.gov.cn)渠道查询供应商投标截止时间当天的信用记录。</w:t>
      </w:r>
    </w:p>
    <w:p>
      <w:pPr>
        <w:pStyle w:val="16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20.2信用信息查询记录和证据留存的具体方式：现场查询的供应商的信用记录、查询结果经确认后将与采购文件一起存档。</w:t>
      </w:r>
    </w:p>
    <w:p>
      <w:pPr>
        <w:pStyle w:val="16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6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color w:val="auto"/>
          <w:kern w:val="0"/>
          <w:szCs w:val="24"/>
          <w:highlight w:val="none"/>
        </w:rPr>
        <w:t>。</w:t>
      </w:r>
    </w:p>
    <w:p>
      <w:pPr>
        <w:pStyle w:val="161"/>
        <w:snapToGrid w:val="0"/>
        <w:spacing w:before="0"/>
        <w:ind w:firstLine="0" w:firstLineChars="0"/>
        <w:rPr>
          <w:rFonts w:ascii="仿宋" w:hAnsi="仿宋" w:eastAsia="仿宋" w:cs="Arial"/>
          <w:color w:val="auto"/>
          <w:kern w:val="0"/>
          <w:szCs w:val="24"/>
          <w:highlight w:val="none"/>
        </w:rPr>
      </w:pPr>
    </w:p>
    <w:p>
      <w:pPr>
        <w:pStyle w:val="4"/>
        <w:jc w:val="center"/>
        <w:rPr>
          <w:rFonts w:ascii="仿宋" w:hAnsi="仿宋" w:eastAsia="仿宋"/>
          <w:color w:val="auto"/>
          <w:highlight w:val="none"/>
        </w:rPr>
      </w:pPr>
      <w:bookmarkStart w:id="189" w:name="_Toc4565"/>
      <w:bookmarkStart w:id="190" w:name="_Toc11050"/>
      <w:bookmarkStart w:id="191" w:name="_Toc24831"/>
      <w:bookmarkStart w:id="192" w:name="_Toc20506"/>
      <w:bookmarkStart w:id="193" w:name="_Toc23183"/>
      <w:bookmarkStart w:id="194" w:name="_Toc28019"/>
      <w:bookmarkStart w:id="195" w:name="_Toc1045548532"/>
      <w:bookmarkStart w:id="196" w:name="_Toc95312959"/>
      <w:r>
        <w:rPr>
          <w:rFonts w:hint="eastAsia" w:ascii="仿宋" w:hAnsi="仿宋" w:eastAsia="仿宋"/>
          <w:color w:val="auto"/>
          <w:highlight w:val="none"/>
        </w:rPr>
        <w:t>五、评标</w:t>
      </w:r>
      <w:bookmarkEnd w:id="189"/>
      <w:bookmarkEnd w:id="190"/>
      <w:bookmarkEnd w:id="191"/>
      <w:bookmarkEnd w:id="192"/>
      <w:bookmarkEnd w:id="193"/>
      <w:bookmarkEnd w:id="194"/>
      <w:bookmarkEnd w:id="195"/>
      <w:bookmarkEnd w:id="196"/>
    </w:p>
    <w:p>
      <w:pPr>
        <w:snapToGrid w:val="0"/>
        <w:spacing w:line="360" w:lineRule="auto"/>
        <w:rPr>
          <w:rFonts w:ascii="仿宋" w:hAnsi="仿宋" w:eastAsia="仿宋" w:cs="仿宋_GB2312"/>
          <w:b/>
          <w:color w:val="auto"/>
          <w:sz w:val="24"/>
          <w:highlight w:val="none"/>
        </w:rPr>
      </w:pPr>
      <w:bookmarkStart w:id="197" w:name="_Toc91899903"/>
      <w:r>
        <w:rPr>
          <w:rFonts w:ascii="仿宋" w:hAnsi="仿宋" w:eastAsia="仿宋" w:cs="仿宋_GB2312"/>
          <w:b/>
          <w:color w:val="auto"/>
          <w:sz w:val="24"/>
          <w:highlight w:val="none"/>
        </w:rPr>
        <w:t>21.</w:t>
      </w:r>
      <w:r>
        <w:rPr>
          <w:rFonts w:ascii="仿宋" w:hAnsi="仿宋" w:eastAsia="仿宋"/>
          <w:color w:val="auto"/>
          <w:highlight w:val="none"/>
        </w:rPr>
        <w:t xml:space="preserve"> </w:t>
      </w:r>
      <w:r>
        <w:rPr>
          <w:rFonts w:hint="eastAsia" w:ascii="仿宋" w:hAnsi="仿宋" w:eastAsia="仿宋" w:cs="仿宋_GB2312"/>
          <w:color w:val="auto"/>
          <w:sz w:val="24"/>
          <w:highlight w:val="none"/>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仿宋" w:hAnsi="仿宋" w:eastAsia="仿宋" w:cs="仿宋_GB2312"/>
          <w:b/>
          <w:color w:val="auto"/>
          <w:sz w:val="24"/>
          <w:highlight w:val="none"/>
        </w:rPr>
        <w:t>详见采购文件第四部分评标办法。</w:t>
      </w:r>
    </w:p>
    <w:p>
      <w:pPr>
        <w:snapToGrid w:val="0"/>
        <w:spacing w:line="360" w:lineRule="auto"/>
        <w:rPr>
          <w:rFonts w:ascii="仿宋" w:hAnsi="仿宋" w:eastAsia="仿宋" w:cs="仿宋_GB2312"/>
          <w:b/>
          <w:color w:val="auto"/>
          <w:sz w:val="24"/>
          <w:highlight w:val="none"/>
        </w:rPr>
      </w:pPr>
    </w:p>
    <w:p>
      <w:pPr>
        <w:pStyle w:val="4"/>
        <w:jc w:val="center"/>
        <w:rPr>
          <w:rFonts w:ascii="仿宋" w:hAnsi="仿宋" w:eastAsia="仿宋"/>
          <w:color w:val="auto"/>
          <w:highlight w:val="none"/>
        </w:rPr>
      </w:pPr>
      <w:bookmarkStart w:id="198" w:name="_Toc27774"/>
      <w:bookmarkStart w:id="199" w:name="_Toc18646"/>
      <w:bookmarkStart w:id="200" w:name="_Toc8276"/>
      <w:bookmarkStart w:id="201" w:name="_Toc5442"/>
      <w:bookmarkStart w:id="202" w:name="_Toc12093"/>
      <w:bookmarkStart w:id="203" w:name="_Toc1822977570"/>
      <w:bookmarkStart w:id="204" w:name="_Toc16557"/>
      <w:bookmarkStart w:id="205" w:name="_Toc95312960"/>
      <w:r>
        <w:rPr>
          <w:rFonts w:hint="eastAsia" w:ascii="仿宋" w:hAnsi="仿宋" w:eastAsia="仿宋"/>
          <w:color w:val="auto"/>
          <w:highlight w:val="none"/>
        </w:rPr>
        <w:t>六、定</w:t>
      </w:r>
      <w:r>
        <w:rPr>
          <w:rFonts w:ascii="仿宋" w:hAnsi="仿宋" w:eastAsia="仿宋"/>
          <w:color w:val="auto"/>
          <w:highlight w:val="none"/>
        </w:rPr>
        <w:t xml:space="preserve"> </w:t>
      </w:r>
      <w:r>
        <w:rPr>
          <w:rFonts w:hint="eastAsia" w:ascii="仿宋" w:hAnsi="仿宋" w:eastAsia="仿宋"/>
          <w:color w:val="auto"/>
          <w:highlight w:val="none"/>
        </w:rPr>
        <w:t>标</w:t>
      </w:r>
      <w:bookmarkEnd w:id="198"/>
      <w:bookmarkEnd w:id="199"/>
      <w:bookmarkEnd w:id="200"/>
      <w:bookmarkEnd w:id="201"/>
      <w:bookmarkEnd w:id="202"/>
      <w:bookmarkEnd w:id="203"/>
      <w:bookmarkEnd w:id="204"/>
      <w:bookmarkEnd w:id="205"/>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pPr>
        <w:pStyle w:val="161"/>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5个工作日内通过电子交易平台在评审报告推荐的中标候选人中按顺序确定中标供应商。</w:t>
      </w:r>
    </w:p>
    <w:p>
      <w:pPr>
        <w:pStyle w:val="161"/>
        <w:snapToGrid w:val="0"/>
        <w:spacing w:before="0"/>
        <w:ind w:firstLine="0" w:firstLineChars="0"/>
        <w:rPr>
          <w:rFonts w:ascii="仿宋" w:hAnsi="仿宋" w:eastAsia="仿宋" w:cs="仿宋_GB2312"/>
          <w:b/>
          <w:color w:val="auto"/>
          <w:szCs w:val="24"/>
          <w:highlight w:val="none"/>
        </w:rPr>
      </w:pPr>
    </w:p>
    <w:p>
      <w:pPr>
        <w:pStyle w:val="161"/>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23.1自中标人确定之日起2个工作日内，采购代理机构通过电子交易平台向中标人发出中标通知书，</w:t>
      </w:r>
      <w:r>
        <w:rPr>
          <w:rFonts w:hint="eastAsia" w:ascii="仿宋" w:hAnsi="仿宋" w:eastAsia="仿宋" w:cs="仿宋_GB2312"/>
          <w:color w:val="auto"/>
          <w:sz w:val="24"/>
          <w:highlight w:val="none"/>
        </w:rPr>
        <w:t>同时编制发布采购结果公告。采购代理机构也可以以纸质形式进行中标通知。</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23.2中标结果公告内容包括采购人及其委托的采购代理机构的名称、地址、联系方式，</w:t>
      </w:r>
      <w:r>
        <w:rPr>
          <w:rFonts w:hint="eastAsia" w:ascii="仿宋" w:hAnsi="仿宋" w:eastAsia="仿宋" w:cs="仿宋_GB2312"/>
          <w:color w:val="auto"/>
          <w:sz w:val="24"/>
          <w:highlight w:val="none"/>
        </w:rPr>
        <w:t>杭州市交通运输局交通强国示范城市数字交通建设试点项目（二期）</w:t>
      </w:r>
      <w:r>
        <w:rPr>
          <w:rFonts w:ascii="仿宋" w:hAnsi="仿宋" w:eastAsia="仿宋" w:cs="仿宋_GB2312"/>
          <w:color w:val="auto"/>
          <w:sz w:val="24"/>
          <w:highlight w:val="none"/>
        </w:rPr>
        <w:t>编号，中标人名称、地址和中标金额，主要中标标的</w:t>
      </w:r>
      <w:r>
        <w:rPr>
          <w:rFonts w:hint="eastAsia" w:ascii="仿宋" w:hAnsi="仿宋" w:eastAsia="仿宋" w:cs="仿宋_GB2312"/>
          <w:color w:val="auto"/>
          <w:sz w:val="24"/>
          <w:highlight w:val="none"/>
        </w:rPr>
        <w:t>的名称、规格型号（如有）、数量、单价、服务要求，开标记录、未中标情况说明、中标公告期限以及评审专家名单、评分汇总及明细。</w:t>
      </w:r>
    </w:p>
    <w:p>
      <w:pPr>
        <w:widowControl/>
        <w:shd w:val="clear" w:color="auto" w:fill="FFFFFF"/>
        <w:snapToGrid w:val="0"/>
        <w:spacing w:line="360" w:lineRule="auto"/>
        <w:ind w:firstLine="480" w:firstLineChars="200"/>
        <w:rPr>
          <w:rFonts w:ascii="仿宋" w:hAnsi="仿宋" w:eastAsia="仿宋" w:cs="仿宋_GB2312"/>
          <w:b/>
          <w:color w:val="auto"/>
          <w:sz w:val="32"/>
          <w:highlight w:val="none"/>
        </w:rPr>
      </w:pPr>
      <w:r>
        <w:rPr>
          <w:rFonts w:ascii="仿宋" w:hAnsi="仿宋" w:eastAsia="仿宋" w:cs="仿宋_GB2312"/>
          <w:color w:val="auto"/>
          <w:sz w:val="24"/>
          <w:highlight w:val="none"/>
        </w:rPr>
        <w:t>23.3公告期限为1个工作日。</w:t>
      </w:r>
      <w:r>
        <w:rPr>
          <w:rFonts w:ascii="仿宋" w:hAnsi="仿宋" w:eastAsia="仿宋" w:cs="仿宋_GB2312"/>
          <w:color w:val="auto"/>
          <w:sz w:val="24"/>
          <w:highlight w:val="none"/>
        </w:rPr>
        <w:br w:type="page"/>
      </w:r>
    </w:p>
    <w:p>
      <w:pPr>
        <w:pStyle w:val="4"/>
        <w:jc w:val="center"/>
        <w:rPr>
          <w:rFonts w:ascii="仿宋" w:hAnsi="仿宋" w:eastAsia="仿宋"/>
          <w:color w:val="auto"/>
          <w:highlight w:val="none"/>
        </w:rPr>
      </w:pPr>
      <w:bookmarkStart w:id="206" w:name="_Toc95312961"/>
      <w:bookmarkStart w:id="207" w:name="_Toc27304"/>
      <w:bookmarkStart w:id="208" w:name="_Toc8690"/>
      <w:bookmarkStart w:id="209" w:name="_Toc11039"/>
      <w:bookmarkStart w:id="210" w:name="_Toc917"/>
      <w:bookmarkStart w:id="211" w:name="_Toc32216"/>
      <w:bookmarkStart w:id="212" w:name="_Toc634827241"/>
      <w:bookmarkStart w:id="213" w:name="_Toc3757"/>
      <w:r>
        <w:rPr>
          <w:rFonts w:hint="eastAsia" w:ascii="仿宋" w:hAnsi="仿宋" w:eastAsia="仿宋"/>
          <w:color w:val="auto"/>
          <w:highlight w:val="none"/>
        </w:rPr>
        <w:t>七、合同授予</w:t>
      </w:r>
      <w:bookmarkEnd w:id="206"/>
      <w:bookmarkEnd w:id="207"/>
      <w:bookmarkEnd w:id="208"/>
      <w:bookmarkEnd w:id="209"/>
      <w:bookmarkEnd w:id="210"/>
      <w:bookmarkEnd w:id="211"/>
      <w:bookmarkEnd w:id="212"/>
      <w:bookmarkEnd w:id="213"/>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2"/>
        <w:snapToGrid w:val="0"/>
        <w:spacing w:line="360" w:lineRule="auto"/>
        <w:ind w:left="479" w:firstLine="482"/>
        <w:rPr>
          <w:rFonts w:ascii="仿宋" w:hAnsi="仿宋" w:eastAsia="仿宋" w:cs="仿宋_GB2312"/>
          <w:b/>
          <w:color w:val="auto"/>
          <w:highlight w:val="none"/>
        </w:rPr>
      </w:pPr>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pPr>
        <w:widowControl/>
        <w:shd w:val="clear" w:color="auto" w:fill="FFFFFF"/>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采购人与中标人应当通过电子交易平台在中标通知书发出之日起三十日内，按照采购文件确定的事项签订政府采购合同，并在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pStyle w:val="161"/>
        <w:snapToGrid w:val="0"/>
        <w:spacing w:before="0"/>
        <w:ind w:firstLine="48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25.3如签订合同并生效后，供应商无故拒绝或延期，除按照合同条款处理外，列入不良行为记录一次，并给予通报。</w:t>
      </w:r>
    </w:p>
    <w:p>
      <w:pPr>
        <w:pStyle w:val="16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25.4中标供应</w:t>
      </w:r>
      <w:r>
        <w:rPr>
          <w:rFonts w:hint="eastAsia" w:ascii="仿宋" w:hAnsi="仿宋" w:eastAsia="仿宋"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16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25.5采购合同由采购人与中标供应商根据</w:t>
      </w:r>
      <w:r>
        <w:rPr>
          <w:rFonts w:hint="eastAsia" w:ascii="仿宋" w:hAnsi="仿宋" w:eastAsia="仿宋" w:cs="仿宋_GB2312"/>
          <w:color w:val="auto"/>
          <w:kern w:val="0"/>
          <w:highlight w:val="none"/>
          <w:lang w:val="zh-CN"/>
        </w:rPr>
        <w:t>采购文件、投标文件等内容通过政府采购电子交易平台在线签订，自动备案。</w:t>
      </w:r>
    </w:p>
    <w:p>
      <w:pPr>
        <w:pStyle w:val="2"/>
        <w:snapToGrid w:val="0"/>
        <w:spacing w:line="360" w:lineRule="auto"/>
        <w:ind w:left="479" w:firstLine="482"/>
        <w:rPr>
          <w:rFonts w:ascii="仿宋" w:hAnsi="仿宋" w:eastAsia="仿宋" w:cs="仿宋_GB2312"/>
          <w:b/>
          <w:color w:val="auto"/>
          <w:highlight w:val="none"/>
        </w:rPr>
      </w:pPr>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pPr>
        <w:tabs>
          <w:tab w:val="left" w:pos="0"/>
        </w:tabs>
        <w:spacing w:line="360" w:lineRule="auto"/>
        <w:ind w:firstLine="480" w:firstLineChars="200"/>
        <w:rPr>
          <w:rFonts w:ascii="仿宋" w:hAnsi="仿宋" w:eastAsia="仿宋"/>
          <w:b/>
          <w:color w:val="auto"/>
          <w:sz w:val="24"/>
          <w:highlight w:val="none"/>
        </w:rPr>
      </w:pPr>
      <w:r>
        <w:rPr>
          <w:rFonts w:hint="eastAsia" w:ascii="仿宋" w:hAnsi="仿宋" w:eastAsia="仿宋"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。履约保证金的数额不得超过政府采购合同金额的1</w:t>
      </w:r>
      <w:r>
        <w:rPr>
          <w:rFonts w:ascii="仿宋" w:hAnsi="仿宋" w:eastAsia="仿宋"/>
          <w:color w:val="auto"/>
          <w:sz w:val="24"/>
          <w:highlight w:val="none"/>
        </w:rPr>
        <w:t>%。</w:t>
      </w:r>
      <w:r>
        <w:rPr>
          <w:rFonts w:hint="eastAsia" w:ascii="仿宋" w:hAnsi="仿宋" w:eastAsia="仿宋"/>
          <w:color w:val="auto"/>
          <w:sz w:val="24"/>
          <w:highlight w:val="none"/>
        </w:rPr>
        <w:t>鼓励和支持供应商以银行、保险公司出具的保函形式提供履约保证金。</w:t>
      </w:r>
      <w:r>
        <w:rPr>
          <w:rFonts w:hint="eastAsia" w:ascii="仿宋" w:hAnsi="仿宋" w:eastAsia="仿宋"/>
          <w:b/>
          <w:color w:val="auto"/>
          <w:sz w:val="24"/>
          <w:highlight w:val="none"/>
        </w:rPr>
        <w:t>采购人不得拒收履约保函。</w:t>
      </w:r>
    </w:p>
    <w:p>
      <w:pPr>
        <w:tabs>
          <w:tab w:val="left" w:pos="0"/>
        </w:tabs>
        <w:spacing w:line="360" w:lineRule="auto"/>
        <w:ind w:firstLine="482"/>
        <w:rPr>
          <w:rFonts w:ascii="仿宋" w:hAnsi="仿宋" w:eastAsia="仿宋" w:cs="仿宋_GB2312"/>
          <w:color w:val="auto"/>
          <w:sz w:val="24"/>
          <w:highlight w:val="none"/>
        </w:rPr>
      </w:pPr>
      <w:bookmarkStart w:id="214" w:name="_Hlk113433888"/>
      <w:r>
        <w:rPr>
          <w:rFonts w:hint="eastAsia" w:ascii="仿宋" w:hAnsi="仿宋" w:eastAsia="仿宋" w:cs="仿宋_GB2312"/>
          <w:color w:val="auto"/>
          <w:sz w:val="24"/>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bookmarkEnd w:id="214"/>
    </w:p>
    <w:p>
      <w:pPr>
        <w:tabs>
          <w:tab w:val="left" w:pos="0"/>
        </w:tabs>
        <w:snapToGrid w:val="0"/>
        <w:spacing w:line="360" w:lineRule="auto"/>
        <w:ind w:firstLine="480" w:firstLineChars="200"/>
        <w:jc w:val="left"/>
        <w:rPr>
          <w:rFonts w:ascii="仿宋" w:hAnsi="仿宋" w:eastAsia="仿宋" w:cs="仿宋_GB2312"/>
          <w:color w:val="auto"/>
          <w:sz w:val="24"/>
          <w:szCs w:val="20"/>
          <w:highlight w:val="none"/>
        </w:rPr>
      </w:pPr>
      <w:r>
        <w:rPr>
          <w:rFonts w:hint="eastAsia" w:ascii="仿宋" w:hAnsi="仿宋" w:eastAsia="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_GB2312"/>
          <w:b/>
          <w:color w:val="auto"/>
          <w:sz w:val="32"/>
          <w:highlight w:val="none"/>
        </w:rPr>
      </w:pPr>
    </w:p>
    <w:p>
      <w:pPr>
        <w:pStyle w:val="4"/>
        <w:jc w:val="center"/>
        <w:rPr>
          <w:rFonts w:ascii="仿宋" w:hAnsi="仿宋" w:eastAsia="仿宋"/>
          <w:color w:val="auto"/>
          <w:highlight w:val="none"/>
        </w:rPr>
      </w:pPr>
      <w:bookmarkStart w:id="215" w:name="_Toc29699"/>
      <w:bookmarkStart w:id="216" w:name="_Toc95312962"/>
      <w:bookmarkStart w:id="217" w:name="_Toc17103"/>
      <w:bookmarkStart w:id="218" w:name="_Toc18941"/>
      <w:bookmarkStart w:id="219" w:name="_Toc17059"/>
      <w:bookmarkStart w:id="220" w:name="_Toc21878"/>
      <w:bookmarkStart w:id="221" w:name="_Toc15689"/>
      <w:bookmarkStart w:id="222" w:name="_Toc842681191"/>
      <w:r>
        <w:rPr>
          <w:rFonts w:hint="eastAsia" w:ascii="仿宋" w:hAnsi="仿宋" w:eastAsia="仿宋"/>
          <w:color w:val="auto"/>
          <w:highlight w:val="none"/>
        </w:rPr>
        <w:t>八、电子交易活动的中止</w:t>
      </w:r>
      <w:bookmarkEnd w:id="215"/>
      <w:bookmarkEnd w:id="216"/>
      <w:bookmarkEnd w:id="217"/>
      <w:bookmarkEnd w:id="218"/>
      <w:bookmarkEnd w:id="219"/>
      <w:bookmarkEnd w:id="220"/>
      <w:bookmarkEnd w:id="221"/>
      <w:bookmarkEnd w:id="222"/>
    </w:p>
    <w:p>
      <w:pPr>
        <w:pStyle w:val="161"/>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color w:val="auto"/>
          <w:highlight w:val="none"/>
        </w:rPr>
        <w:t>2</w:t>
      </w:r>
      <w:r>
        <w:rPr>
          <w:rFonts w:ascii="仿宋" w:hAnsi="仿宋" w:eastAsia="仿宋" w:cs="仿宋_GB2312"/>
          <w:b/>
          <w:color w:val="auto"/>
          <w:szCs w:val="24"/>
          <w:highlight w:val="none"/>
        </w:rPr>
        <w:t xml:space="preserve">7. </w:t>
      </w:r>
      <w:r>
        <w:rPr>
          <w:rFonts w:hint="eastAsia" w:ascii="仿宋" w:hAnsi="仿宋" w:eastAsia="仿宋" w:cs="仿宋_GB2312"/>
          <w:b/>
          <w:color w:val="auto"/>
          <w:szCs w:val="24"/>
          <w:highlight w:val="none"/>
        </w:rPr>
        <w:t>电子交易活动的中止。</w:t>
      </w:r>
    </w:p>
    <w:p>
      <w:pPr>
        <w:pStyle w:val="16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采购过程中出现以下情形，导致电子交易平台无法正常运行，或者无法保证电子交易的公平、公正和安全时，采购代理机构可中止电子交易活动：</w:t>
      </w:r>
    </w:p>
    <w:p>
      <w:pPr>
        <w:pStyle w:val="16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27.1电子交易平台发生故障而无法登录访问的； </w:t>
      </w:r>
    </w:p>
    <w:p>
      <w:pPr>
        <w:pStyle w:val="16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27.2电子交易平台应用或数据库出现错误，不能进行正常操作的；</w:t>
      </w:r>
    </w:p>
    <w:p>
      <w:pPr>
        <w:pStyle w:val="16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27.3电子交易平台发现严重安全漏洞，有潜在泄密危险的；</w:t>
      </w:r>
    </w:p>
    <w:p>
      <w:pPr>
        <w:pStyle w:val="16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27.4病毒发作导致不能进行正常操作的； </w:t>
      </w:r>
    </w:p>
    <w:p>
      <w:pPr>
        <w:pStyle w:val="16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27.5其他无法保证电子交易的公平、公正和安全的情况。</w:t>
      </w:r>
    </w:p>
    <w:p>
      <w:pPr>
        <w:pStyle w:val="161"/>
        <w:snapToGrid w:val="0"/>
        <w:spacing w:before="0"/>
        <w:ind w:firstLine="482"/>
        <w:rPr>
          <w:rFonts w:ascii="仿宋" w:hAnsi="仿宋" w:eastAsia="仿宋" w:cs="仿宋_GB2312"/>
          <w:b/>
          <w:color w:val="auto"/>
          <w:sz w:val="36"/>
          <w:szCs w:val="36"/>
          <w:highlight w:val="none"/>
        </w:rPr>
      </w:pPr>
      <w:r>
        <w:rPr>
          <w:rFonts w:ascii="仿宋" w:hAnsi="仿宋" w:eastAsia="仿宋"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bookmarkEnd w:id="48"/>
      <w:bookmarkEnd w:id="49"/>
      <w:bookmarkEnd w:id="197"/>
      <w:bookmarkStart w:id="223" w:name="_Toc26111"/>
      <w:bookmarkStart w:id="224" w:name="_Toc15967"/>
      <w:bookmarkStart w:id="225" w:name="_Toc95312963"/>
      <w:bookmarkStart w:id="226" w:name="第四部分"/>
      <w:r>
        <w:rPr>
          <w:rFonts w:hint="eastAsia" w:ascii="仿宋" w:hAnsi="仿宋" w:eastAsia="仿宋" w:cs="仿宋_GB2312"/>
          <w:b/>
          <w:color w:val="auto"/>
          <w:sz w:val="36"/>
          <w:szCs w:val="36"/>
          <w:highlight w:val="none"/>
        </w:rPr>
        <w:br w:type="page"/>
      </w:r>
    </w:p>
    <w:p>
      <w:pPr>
        <w:pStyle w:val="3"/>
        <w:jc w:val="center"/>
        <w:rPr>
          <w:rFonts w:ascii="仿宋" w:hAnsi="仿宋" w:eastAsia="仿宋"/>
          <w:color w:val="auto"/>
          <w:highlight w:val="none"/>
        </w:rPr>
      </w:pPr>
      <w:bookmarkStart w:id="227" w:name="_Toc288125172"/>
      <w:bookmarkStart w:id="228" w:name="_Toc1960"/>
      <w:bookmarkStart w:id="229" w:name="_Toc727"/>
      <w:bookmarkStart w:id="230" w:name="_Toc15623"/>
      <w:bookmarkStart w:id="231" w:name="_Toc2690"/>
      <w:r>
        <w:rPr>
          <w:rFonts w:hint="eastAsia" w:ascii="仿宋" w:hAnsi="仿宋" w:eastAsia="仿宋"/>
          <w:color w:val="auto"/>
          <w:highlight w:val="none"/>
        </w:rPr>
        <w:t>第三部分</w:t>
      </w:r>
      <w:r>
        <w:rPr>
          <w:rFonts w:ascii="仿宋" w:hAnsi="仿宋" w:eastAsia="仿宋"/>
          <w:color w:val="auto"/>
          <w:highlight w:val="none"/>
        </w:rPr>
        <w:t xml:space="preserve"> </w:t>
      </w:r>
      <w:r>
        <w:rPr>
          <w:rFonts w:hint="eastAsia" w:ascii="仿宋" w:hAnsi="仿宋" w:eastAsia="仿宋"/>
          <w:color w:val="auto"/>
          <w:highlight w:val="none"/>
        </w:rPr>
        <w:t>采购需求</w:t>
      </w:r>
      <w:bookmarkEnd w:id="223"/>
      <w:bookmarkEnd w:id="224"/>
      <w:bookmarkEnd w:id="225"/>
      <w:bookmarkEnd w:id="227"/>
      <w:bookmarkEnd w:id="228"/>
      <w:bookmarkEnd w:id="229"/>
      <w:bookmarkEnd w:id="230"/>
      <w:bookmarkEnd w:id="231"/>
    </w:p>
    <w:p>
      <w:pPr>
        <w:pStyle w:val="4"/>
        <w:spacing w:before="120" w:after="120"/>
        <w:rPr>
          <w:rFonts w:ascii="仿宋" w:hAnsi="仿宋" w:eastAsia="仿宋"/>
          <w:color w:val="auto"/>
          <w:sz w:val="24"/>
          <w:szCs w:val="24"/>
          <w:highlight w:val="none"/>
        </w:rPr>
      </w:pPr>
      <w:bookmarkStart w:id="232" w:name="_Toc16183"/>
      <w:bookmarkStart w:id="233" w:name="_Toc9444"/>
      <w:bookmarkStart w:id="234" w:name="_Toc27018"/>
      <w:bookmarkStart w:id="235" w:name="_Toc109295506"/>
      <w:bookmarkStart w:id="236" w:name="_Hlk103617900"/>
      <w:r>
        <w:rPr>
          <w:rFonts w:hint="eastAsia" w:ascii="仿宋" w:hAnsi="仿宋" w:eastAsia="仿宋"/>
          <w:color w:val="auto"/>
          <w:sz w:val="24"/>
          <w:szCs w:val="24"/>
          <w:highlight w:val="none"/>
          <w:lang w:val="en-US"/>
        </w:rPr>
        <w:t>一、</w:t>
      </w:r>
      <w:r>
        <w:rPr>
          <w:rFonts w:hint="eastAsia" w:ascii="仿宋" w:hAnsi="仿宋" w:eastAsia="仿宋"/>
          <w:color w:val="auto"/>
          <w:sz w:val="24"/>
          <w:szCs w:val="24"/>
          <w:highlight w:val="none"/>
        </w:rPr>
        <w:t>项目概况</w:t>
      </w:r>
      <w:bookmarkEnd w:id="232"/>
      <w:bookmarkEnd w:id="233"/>
      <w:bookmarkEnd w:id="234"/>
      <w:bookmarkEnd w:id="235"/>
      <w:bookmarkStart w:id="237" w:name="_Toc13618"/>
      <w:bookmarkStart w:id="238" w:name="_Toc109295507"/>
    </w:p>
    <w:p>
      <w:pPr>
        <w:pStyle w:val="4"/>
        <w:spacing w:before="120" w:after="120"/>
        <w:ind w:firstLine="482" w:firstLineChars="200"/>
        <w:rPr>
          <w:rFonts w:ascii="仿宋" w:hAnsi="仿宋" w:eastAsia="仿宋"/>
          <w:color w:val="auto"/>
          <w:kern w:val="2"/>
          <w:sz w:val="24"/>
          <w:szCs w:val="24"/>
          <w:highlight w:val="none"/>
          <w:lang w:val="en-US"/>
        </w:rPr>
      </w:pPr>
      <w:bookmarkStart w:id="239" w:name="_Toc21722"/>
      <w:bookmarkStart w:id="240" w:name="_Toc5488"/>
      <w:r>
        <w:rPr>
          <w:rFonts w:hint="eastAsia" w:ascii="仿宋" w:hAnsi="仿宋" w:eastAsia="仿宋"/>
          <w:color w:val="auto"/>
          <w:kern w:val="2"/>
          <w:sz w:val="24"/>
          <w:szCs w:val="24"/>
          <w:highlight w:val="none"/>
          <w:lang w:val="en-US"/>
        </w:rPr>
        <w:t>1.1项目背景</w:t>
      </w:r>
      <w:bookmarkEnd w:id="237"/>
      <w:bookmarkEnd w:id="238"/>
      <w:bookmarkEnd w:id="239"/>
      <w:bookmarkEnd w:id="240"/>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开展数字交通建设，是省委省政府贯彻落实交通强国战略，打造高水平交通强省的重要举措；数字交通建设试点也是省委省政府赋予杭州市的一项具体任务。特别是全省数字化改革工作部署推进以来，省市各层面又进一步对数字交通建设提出了新的要求。持续推进数字交通建设，是贯彻落实中央和省市重大决策部署的迫切需要，也是“数智赋能”行业治理，推动特大城市治理体系和治理能力现代化的内在需要。</w:t>
      </w:r>
      <w:bookmarkStart w:id="241" w:name="_Toc12310"/>
      <w:bookmarkStart w:id="242" w:name="_Toc109295508"/>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1.2建设目标</w:t>
      </w:r>
      <w:bookmarkEnd w:id="241"/>
      <w:bookmarkEnd w:id="242"/>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深入贯彻落实数字化改革精神，在2021年一期项目建设的基础上，围绕交通发展、交通服务、交通善治和清廉交通四大方面，按照动态交通流全量感知、交通基础设施和行业底数一图总揽的目标，加强以交通“一张图”为核心综合交通数据建设，突出重点领域安全监督等重大需求，立足杭州实际，持续推进两客一危、出租汽车、驾驶培训等重点行业特色场景建设。</w:t>
      </w:r>
      <w:bookmarkStart w:id="243" w:name="_Toc14279"/>
      <w:bookmarkStart w:id="244" w:name="_Toc109295509"/>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1.3建设内容</w:t>
      </w:r>
      <w:bookmarkEnd w:id="243"/>
      <w:bookmarkEnd w:id="244"/>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基于数字交通试点项目（一期）基础，建设</w:t>
      </w:r>
      <w:bookmarkStart w:id="245" w:name="_Hlk114312038"/>
      <w:r>
        <w:rPr>
          <w:rFonts w:hint="eastAsia" w:ascii="仿宋" w:hAnsi="仿宋" w:eastAsia="仿宋"/>
          <w:color w:val="auto"/>
          <w:sz w:val="24"/>
          <w:highlight w:val="none"/>
        </w:rPr>
        <w:t>客运车辆违规上客治理（二期）、杭州市出租汽车综合监管服务、阳光驾培管理服务、交通运输行业证照协同数字化改革、杭州综合交通流动态监测与协同、交通“一张图”（二期）、</w:t>
      </w:r>
      <w:bookmarkStart w:id="246" w:name="OLE_LINK1"/>
      <w:r>
        <w:rPr>
          <w:rFonts w:hint="eastAsia" w:ascii="仿宋" w:hAnsi="仿宋" w:eastAsia="仿宋"/>
          <w:color w:val="auto"/>
          <w:sz w:val="24"/>
          <w:highlight w:val="none"/>
        </w:rPr>
        <w:t>综合交通数据建设</w:t>
      </w:r>
      <w:bookmarkEnd w:id="246"/>
      <w:r>
        <w:rPr>
          <w:rFonts w:hint="eastAsia" w:ascii="仿宋" w:hAnsi="仿宋" w:eastAsia="仿宋"/>
          <w:color w:val="auto"/>
          <w:sz w:val="24"/>
          <w:highlight w:val="none"/>
        </w:rPr>
        <w:t>七块内容</w:t>
      </w:r>
      <w:bookmarkEnd w:id="245"/>
      <w:r>
        <w:rPr>
          <w:rFonts w:hint="eastAsia" w:ascii="仿宋" w:hAnsi="仿宋" w:eastAsia="仿宋"/>
          <w:color w:val="auto"/>
          <w:sz w:val="24"/>
          <w:highlight w:val="none"/>
        </w:rPr>
        <w:t>。</w:t>
      </w:r>
    </w:p>
    <w:p>
      <w:pPr>
        <w:pStyle w:val="4"/>
        <w:spacing w:before="120" w:after="120"/>
        <w:rPr>
          <w:rFonts w:ascii="仿宋" w:hAnsi="仿宋" w:eastAsia="仿宋"/>
          <w:color w:val="auto"/>
          <w:sz w:val="24"/>
          <w:szCs w:val="24"/>
          <w:highlight w:val="none"/>
        </w:rPr>
      </w:pPr>
      <w:bookmarkStart w:id="247" w:name="_Toc24300"/>
      <w:bookmarkStart w:id="248" w:name="_Toc16845"/>
      <w:bookmarkStart w:id="249" w:name="_Toc109295510"/>
      <w:bookmarkStart w:id="250" w:name="_Toc30699"/>
      <w:r>
        <w:rPr>
          <w:rFonts w:hint="eastAsia" w:ascii="仿宋" w:hAnsi="仿宋" w:eastAsia="仿宋"/>
          <w:color w:val="auto"/>
          <w:sz w:val="24"/>
          <w:szCs w:val="24"/>
          <w:highlight w:val="none"/>
          <w:lang w:val="en-US"/>
        </w:rPr>
        <w:t>二、</w:t>
      </w:r>
      <w:r>
        <w:rPr>
          <w:rFonts w:hint="eastAsia" w:ascii="仿宋" w:hAnsi="仿宋" w:eastAsia="仿宋"/>
          <w:color w:val="auto"/>
          <w:sz w:val="24"/>
          <w:szCs w:val="24"/>
          <w:highlight w:val="none"/>
        </w:rPr>
        <w:t>项目主要建设内容和要求</w:t>
      </w:r>
      <w:bookmarkEnd w:id="247"/>
      <w:bookmarkEnd w:id="248"/>
      <w:bookmarkEnd w:id="249"/>
      <w:bookmarkEnd w:id="250"/>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2.1客运车辆违规上客治理（二期）</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2.1.1进行客运行业服务现状分析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对全市班线、包车走向、客流数据进行汇总分析，形成全市运力客流一张图，在图上显示全市客运站点、停靠站位置，各个客运站出发的班线车辆走向、人员走向，各条线路客流量，分析定制客运班线停靠站点、运行情况，对机场、火车站附近配属的客运站客流进行分析统计，分析客流走向。</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2.1.2实现合规运力归集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将杭州市现有三类以上客运班线车辆、包车车辆以及外地入杭的合规营运车辆信息纳入系统。</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2.1.3开发运力与需求匹配功能</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对一期发现客流量较大的站外组客点进行分析，与现有客运站点位比对后推荐出适合设置停靠站的点位，鼓励客运站、客运企业在这些点位设置停靠站。通过定制客运班线停靠站点及客流数据分析，优化已开通定制客运班线的停靠站点。通过系统归集杭州市合规运力信息，开发信息推送功能，将相关数据信息推送至网络平台。发展互联网包车服务，通过网络平台最大程度用现有运力。</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2.1.4建立道路客运企业信用码</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以全省统一信用考核中道路客运企业基本信用评分为基础，对道路客运企业赋予不同颜色信用码。</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2.1.5研究优惠票价机制</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加强与企业、网络平台对接，研究优惠票价机制。</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2.1.6开发业务统计功能</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比对不同时期客运企业班线实载率、包车业务量，并在全市运力客流一张图中显示相关数据。</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2.1.7重点大客车监管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①重点大客车稽查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实现重点大客车入杭预警，GIS定位，轨迹查询，跟踪稽查。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②重点大客车出入城规律分析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通过收费站全量数据，智能研判黑名单大客车出入城规律，哪些时段哪些收费站出入城车辆较多，辅助执法人员进行布控稽查。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③重点大客车过辖区分析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研判黑名单客车最近是否都经过市区辖区（比如上城区），辅助执法大队执法人员进行布控稽查。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2.1.8营运大客车疫情防控</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针对客运重点车辆的疫情管控，进出杭州预警和轨迹查询。</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2.1.9单点登录</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与执法一体化等其他内容形成联通机制，形成一套面向大客车违规上客治理及客运疏导的业务系统，可实现系统间的单点登录跳转，便于交通执法形成闭环。</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2.2杭州市出租汽车综合监管服务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2.2.1数据采集汇聚子系统</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采集终端数据（新建）：采集巡游出租车卫星定位、计程计价、营运记录、驾驶行为、应急报警等数据。即通过JT/T905协议采集卫星定位、报警提醒、营运数据、签到/签退、动态查岗、异常驾驶行为、前端车载设备智能识别音视频及图片等数据，并在系统实现明细数据查询和相关的分类统计功能，同时通过JT/T905协议下发为相关业务系统的消息收发、电召等功能提供传输通道。</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②采集新能源营运车辆监测数据和社会面充电桩数据（新建）：从新能源汽车运行监控与管理平台的数据共享模块采集巡游出租汽车的整车相关基础数据和车辆运行动态数据，并与第三方平台对接，采集充电站的名称、经纬度、充电桩数量等基础信息，采集充电桩运营数据，包括充电各设施的充电状态、故障信息、可用数量及运营状态等动态数据。</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③接入重点区域枢纽客流数据（新建）：接入采集重点区域枢纽的实时客流数据。</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2.2.2数据挖掘运算分析子系统</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①预警告警挖掘运算（新建）：对采集汇聚的巡游出租车车辆卫星定位数据、营运数据、订单数据、音视频数据、客流数据等进行深度挖掘，形成不良驾驶行为、车载设备故障、异常运营状况等情况的预警告警。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②决策支撑挖掘运算（新建）：根据采集到的巡游出租车辆定位数据、营运数据、订单数据进行大数据分析、数据专题算法分析等数据挖掘运算方法，形成行业运行发展态势、市场供需热力分布等决策支撑报表。</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③一屏统揽挖掘运算（新建）：巡游出租车、网约出租车行业数据融合，实现出租网约一屏统揽。</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④供需精准匹配挖掘运算（新建）：在采集汇聚分析巡游出租车数据基础上，增加数据时空维度挖掘分析应用。围绕区域场站各时段的供需精准匹配与数据分析，精确计算出区域场站的车辆等候时长及其每日动态变化规律，结合采集的实时等候乘客数量，提前预判及时安排或者调度附近车辆，保证各区域场站的运力和车辆适度投放等。</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⑤行业稳定挖掘运算（新建）：通过采集的巡游出租车车辆和营运数据分析，从车辆和驾驶员、企业的维度分别计算车辆收入、驾驶员收入、企业营收，为运价调整提供数据支撑。</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6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⑥</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信用评价挖掘运算（新建）：通过终端二维码等渠道采集乘客的服务评价和投诉等信息，形成服务评价和投诉相关报表，为信用评价提供基础数据。</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2.2.3数据共享应用子系统</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2.2.3.1出租汽车综合信息服务（新建）：实现巡游出租车车辆定位、电量、实时报警、轨迹、视频查看、调度等实时数据的接入与展示，同时多维度实现营运数据分析及相关报表，支持服务质量考核查看等功能，且能与工单系统对接实现查看车辆或者企业违章/维修工单，并对工单进行处置和回复。</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2.2.3.2日常运行动态监控与预警（升级）：基于杭州市出租汽车服务管理系统的出租汽车信息服务模块，新增巡游出租车驾驶员身份认证及动态无感查验（签到签退、人车绑定）、语音对讲、消息下发、驾驶员行为分析与预警、客流统计分析与预警等功能，视频查看，实时掌握车辆和驾乘人员动态，对可能出现的异常事件及时预警告警。新建巡游出租车执法场景应用模块，围绕重点监控区域和重点监控车辆，掌握车辆实时动态信息，重点实现违规驾驶员或者异常驾驶员人脸识别报警提醒，停留时间过长车辆监控、运价异常、疑似绕道等违章现象识别，并实现提醒，人工确认后形成违章工单，下发给相关企业，并结合接入各场站、卡口抓拍以及电子围栏进入进出监控预警功能，通过数据分析实时匹配场站抓拍数据并报警提醒执法人员现场执法，为执法应用场景提供数据支撑。</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2.2.3.3出租汽车行业市场监管（升级）：基于杭州市出租汽车服务管理系统的出租汽车网上服务系统模块，通过巡游出租车计程计价验证、非注册本车驾驶员不能进行车辆营运、定时动态无感查验、乘客评价等方法，对可能出现的异常事件进行及时处置和分析评估。</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2.2.3.4出租汽车信息共享与报送（升级）：基于杭州市出租汽车服务管理系统的综合统计与分析模块，将采集的巡游出租车定位、营运等基础数据和出租汽车营运次数、里程利用率、实载率等分析信息汇聚、清洗并同步至杭州交通数据中台。通过与有关部门（如公安、安监）相关业务系统之间的数据整合、交换与共享，提供统一的、规范的数据提取入口，为突发事件、盗抢报警等情况下跨部门协同配合提供技术保障。</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2.2.3.5车载设备故障识别与分析（升级）：基于杭州市出租汽车服务管理系统的车载设备故障识别与分析系统模块，实现巡游出租车自动生成视频异常、定位异常、计价器异常、导航屏异常等可识别故障，并可生成维修工单，及时发给相关企业和设备运维单位，实现维修工单的处置、跟踪、归集和分析，为驾驶员、企业和行业管理部门、设备运维部门提供便捷的维修信息服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2.2.3.6新能源汽车运行数据共享（升级）：基于新能源汽车运行监控与管理平台的数据共享模块基础上，对杭州市新能源出租车进行车辆信息数据采集，采集内容包括整车车辆信息、燃料电池、驱动电机、车载充电机、报警信息等。并提供数据接口开发，将新能源出租车车辆基本信息和动态运行信息，同步至杭州市出租汽车综合监管服务系统数据采集汇聚子系统。</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2.2.3.7外联单位数据对接：与视频中标单位进行视频对接工作，在系统中接入视频数据并实现实时视频和历史视频的展示功能；与数据中心进行对接，实现本系统采集的数据接入数据中心的功能；与运政库数据对接，接入运政库人车户等本系统需要的业务数据。</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2.2.3.8车辆运行视频监控（新建）：对支持JT/T 1078协议的车载监控及SIM卡、车辆进行增、删、改、查操作，满足日常对车载设备、车辆信息的管理需求；视频巡查通过4G</w:t>
      </w:r>
      <w:r>
        <w:rPr>
          <w:rFonts w:ascii="仿宋" w:hAnsi="仿宋" w:eastAsia="仿宋"/>
          <w:color w:val="auto"/>
          <w:sz w:val="24"/>
          <w:highlight w:val="none"/>
        </w:rPr>
        <w:t>/5</w:t>
      </w:r>
      <w:r>
        <w:rPr>
          <w:rFonts w:hint="eastAsia" w:ascii="仿宋" w:hAnsi="仿宋" w:eastAsia="仿宋"/>
          <w:color w:val="auto"/>
          <w:sz w:val="24"/>
          <w:highlight w:val="none"/>
        </w:rPr>
        <w:t>G无线网络对车载监控进行预览，实现对营运车辆的远程实时监管；针对巡查过程中发现的问题，可通过抓图、录像功能直接将视频图像保存下来，取证更便捷。车载终端在线时，可通过4G</w:t>
      </w:r>
      <w:r>
        <w:rPr>
          <w:rFonts w:ascii="仿宋" w:hAnsi="仿宋" w:eastAsia="仿宋"/>
          <w:color w:val="auto"/>
          <w:sz w:val="24"/>
          <w:highlight w:val="none"/>
        </w:rPr>
        <w:t>/5</w:t>
      </w:r>
      <w:r>
        <w:rPr>
          <w:rFonts w:hint="eastAsia" w:ascii="仿宋" w:hAnsi="仿宋" w:eastAsia="仿宋"/>
          <w:color w:val="auto"/>
          <w:sz w:val="24"/>
          <w:highlight w:val="none"/>
        </w:rPr>
        <w:t>G无线网络实时获取车载设备状态，可实现车载设备视频、录像信息的定时巡检及图形化展示，及时掌握各设备是否正常工作；可统计分析各个终端在线时长，并将在线时段进行图形化显示，便于掌握车辆营运时间段。</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2.2.3.9车辆运行视频回溯（新建）：在通过4G</w:t>
      </w:r>
      <w:r>
        <w:rPr>
          <w:rFonts w:ascii="仿宋" w:hAnsi="仿宋" w:eastAsia="仿宋"/>
          <w:color w:val="auto"/>
          <w:sz w:val="24"/>
          <w:highlight w:val="none"/>
        </w:rPr>
        <w:t>/5</w:t>
      </w:r>
      <w:r>
        <w:rPr>
          <w:rFonts w:hint="eastAsia" w:ascii="仿宋" w:hAnsi="仿宋" w:eastAsia="仿宋"/>
          <w:color w:val="auto"/>
          <w:sz w:val="24"/>
          <w:highlight w:val="none"/>
        </w:rPr>
        <w:t>G无线网络查看车载设备的录像时，可按照录像类型、时间、通道进行检索，便于快速查找指定录像文件；找到所需录像文件后，录像是按照时间轴方式显示的，可拖拽定位回放，便于快速定位某个时刻的录像；需要将某段录像文件保存到本地时可对多个通道的录像同时下载，提高回溯效率。</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2.2.3.10运行统计报表（新建）：通过4G</w:t>
      </w:r>
      <w:r>
        <w:rPr>
          <w:rFonts w:ascii="仿宋" w:hAnsi="仿宋" w:eastAsia="仿宋"/>
          <w:color w:val="auto"/>
          <w:sz w:val="24"/>
          <w:highlight w:val="none"/>
        </w:rPr>
        <w:t>/5</w:t>
      </w:r>
      <w:r>
        <w:rPr>
          <w:rFonts w:hint="eastAsia" w:ascii="仿宋" w:hAnsi="仿宋" w:eastAsia="仿宋"/>
          <w:color w:val="auto"/>
          <w:sz w:val="24"/>
          <w:highlight w:val="none"/>
        </w:rPr>
        <w:t>G无线网络采集车载设备在线情况，实现车辆在线率统计，可查看当前在离线车辆的详情；同时针对在线情况做分析，可实现车辆上线率统计，分析出车辆上线营运的详情。</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2.2.3.11移动端安全管车（新建）：可在手机端通过4G</w:t>
      </w:r>
      <w:r>
        <w:rPr>
          <w:rFonts w:ascii="仿宋" w:hAnsi="仿宋" w:eastAsia="仿宋"/>
          <w:color w:val="auto"/>
          <w:sz w:val="24"/>
          <w:highlight w:val="none"/>
        </w:rPr>
        <w:t>/5</w:t>
      </w:r>
      <w:r>
        <w:rPr>
          <w:rFonts w:hint="eastAsia" w:ascii="仿宋" w:hAnsi="仿宋" w:eastAsia="仿宋"/>
          <w:color w:val="auto"/>
          <w:sz w:val="24"/>
          <w:highlight w:val="none"/>
        </w:rPr>
        <w:t>G无线网络远程预览车辆实时视频，并可在预览时抓图、录像，丰富了日常对营运车辆监管的手段，实现随时随地预览监控；可条件检索车辆进行远程录像回放，以时间轴方式显示录像记录，可拖拽定位回放，便于定位录像时间，提高回放效率。</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2.2.3.12视频级联对接（新建）：支持通过GB/T 28181协议实现与市区县各平台级联对接，满足本平台与其他平台之间的数据交互，资源共享。</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2.2.3.13一屏统揽模块（新建、整合重构）：建立行业总览主页面（驾驶舱），通过实现巡游出租汽车、网约出租汽车一屏统揽，实现对两类业务数据共同监控、共同管理，集中展示。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2.3阳光驾培管理服务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2.3.1功能建设</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1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①</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赋码管理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培训机构、教学场地、教练车赋码管理，实现全要素信息实时展示。扫码培训教学，将学员签到签退与计时设备分离，使用二维码、人脸识别、GPS定位相结合的签到方式，避免学时造假情况，且实现学驾过程全留痕。</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2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②</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业务管理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计时器、场地电子围栏设置启停管理，扩展机动车驾驶人计时培训系统平台技术规范。分离原计时平台中学员签到签退、计时设备启停管理、电子围栏管理等功能，要求计时启停管理与学员签到签退方式关联。扩展机动车驾驶人计时培训系统计时终端技术规范。要求实现防学时造假功能；要求基于浙江省JT/T 808 扩展协议2019版、进行数据交互。</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指令一键畅达反馈，搭建政企民“信息直达通道”，实现指令畅达、建议直达的互动效果，共同助力驾培行业高质量发展。</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教练车调控指标核准，对于培训机构新增教练车前置指标进入核准。</w:t>
      </w:r>
    </w:p>
    <w:p>
      <w:pPr>
        <w:pStyle w:val="2"/>
        <w:spacing w:line="360" w:lineRule="auto"/>
        <w:rPr>
          <w:rFonts w:ascii="仿宋" w:hAnsi="仿宋" w:eastAsia="仿宋"/>
          <w:color w:val="auto"/>
          <w:highlight w:val="none"/>
        </w:rPr>
      </w:pPr>
      <w:r>
        <w:rPr>
          <w:rFonts w:hint="eastAsia" w:ascii="仿宋" w:hAnsi="仿宋" w:eastAsia="仿宋"/>
          <w:color w:val="auto"/>
          <w:highlight w:val="none"/>
        </w:rPr>
        <w:t>摩托车培训管理。学员培训管理、教练员管理、教学管理、摩托教练车管理等。</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3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③</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动态监测预警处置</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对于基础数据异常进行提示，如机构合同到期，教练员年龄超限等；对于疑似违规现象进行预警，如计时设备异常、教练员培训异常、学时异常等自动识别，如：教练车在场地内训练科二，有GPS轨迹，如果没有学员签到签退信息，则疑似是异地刷学时的预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4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④</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态势分析研判</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基于运营数据对数据进行统计分析，将重要数据分析体现在数据驾驶舱大屏展示，如驾校培训量、招生量的异常变动，学籍转移的异常变化，投诉异常变化，监管资金量变化等。</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2.3.2业务协同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①执法联动</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支持执法人员通过扫码方式获取驾培机构、教学场地、教练车基本信息。</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支持异常数据经执法人员分析确认后转成业务工单。</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2.3.3数据对接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①行业相关基础数据的获取与归集（可能涉及省级相关业务系统）。</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2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②</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计时平台数据归集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对接计时平台，实现教学场地信息、电子围栏、计时终端信息、定位信息、学员签到/退信息、分钟学时信息、培训照片信息、培训过程视频、电子教学日志、阶段学时信息、结业信息归集。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3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③</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公众服务平台数据归集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对接公众服务平台，实现学员信息、资金监管信息、学员投诉信息的归集。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4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④</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与省监管平台数据共享</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对接省监管平台，实现培训机构、教练员、教练车、学员、电子教学日志、阶段报审、教学区域信息共享。</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2.3.4其他</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投标人需根据对驾培行业治理业务系统及杭州交通运输局数字化改革应用场景的需求，梳理相关需求场景、需求数据项、主要字段、来源系统，用途、交互系统、数据频率等内容。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2.4交通运输行业证照协同数字化改革</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两部门证照数据将按照交通运输部门涉企事项清单推送到省交通运输厅数据枢纽。省大数据局提供接口对接标准规范，厅信息中心完成数据对接。本项目负责省交通运输审批系统改造，通过厅信息中心数据枢纽交互两部门企业基本信息，实现办件推送、业务办理、结果反馈、短信提醒、公示公告、数据交互等功能。</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2.4.1证照准入联办协同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1、准入准营一网通平台</w:t>
      </w:r>
    </w:p>
    <w:p>
      <w:pPr>
        <w:pStyle w:val="20"/>
        <w:spacing w:line="360" w:lineRule="auto"/>
        <w:rPr>
          <w:rFonts w:ascii="仿宋" w:hAnsi="仿宋" w:eastAsia="仿宋"/>
          <w:color w:val="auto"/>
          <w:sz w:val="24"/>
          <w:highlight w:val="none"/>
        </w:rPr>
      </w:pPr>
      <w:r>
        <w:rPr>
          <w:rFonts w:hint="eastAsia" w:ascii="仿宋" w:hAnsi="仿宋" w:eastAsia="仿宋"/>
          <w:color w:val="auto"/>
          <w:sz w:val="24"/>
          <w:highlight w:val="none"/>
        </w:rPr>
        <w:t>由市场监管部门改造准入准营一网通平台，企业在市场监管部门注册登记，领取企业营业执照后，市场监管部门将注册登记数据推送省大数据局。厅信息中心通过数据枢纽接收企业注册登记数据，审批平台通过数据交换接收企业登记数据，完成企业交通运输经营许可证（备案证）审批后，交通运输部门将经营许可（备案）数据推送给大数据局公共数据平台供市场监管部门共享获取。</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2、政务2.0平台</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企业在政务2.0平台申请交通运输企业开业或增加经营范围，共享市场监管部门注册登记数据。</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2.4.2企业基本信息变更联动</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1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①</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无感办</w:t>
      </w:r>
    </w:p>
    <w:p>
      <w:pPr>
        <w:pStyle w:val="20"/>
        <w:spacing w:line="360" w:lineRule="auto"/>
        <w:rPr>
          <w:rFonts w:ascii="仿宋" w:hAnsi="仿宋" w:eastAsia="仿宋"/>
          <w:color w:val="auto"/>
          <w:sz w:val="24"/>
          <w:highlight w:val="none"/>
        </w:rPr>
      </w:pPr>
      <w:r>
        <w:rPr>
          <w:rFonts w:hint="eastAsia" w:ascii="仿宋" w:hAnsi="仿宋" w:eastAsia="仿宋"/>
          <w:color w:val="auto"/>
          <w:sz w:val="24"/>
          <w:highlight w:val="none"/>
        </w:rPr>
        <w:t>企业至市场监管部门变更基本信息后，由市场监管部门将数据推送大数据局共享数据平台，厅信息中心通过数据枢纽接收企业变更基本信息。交通运输部门接收厅信息中心数据枢纽企业变更数据后，同步审批系统并更新企业及电子证照数据，并发送短信告知企业经办人，实现该事项无感办。同时将更新后的经营许可（备案）数据通过厅数据枢纽推送给大数据局公共数据平台供市场监管部门共享获取。</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2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②</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政务2.0平台</w:t>
      </w:r>
    </w:p>
    <w:p>
      <w:pPr>
        <w:pStyle w:val="20"/>
        <w:spacing w:line="360" w:lineRule="auto"/>
        <w:rPr>
          <w:rFonts w:ascii="仿宋" w:hAnsi="仿宋" w:eastAsia="仿宋"/>
          <w:color w:val="auto"/>
          <w:sz w:val="24"/>
          <w:highlight w:val="none"/>
        </w:rPr>
      </w:pPr>
      <w:r>
        <w:rPr>
          <w:rFonts w:hint="eastAsia" w:ascii="仿宋" w:hAnsi="仿宋" w:eastAsia="仿宋"/>
          <w:color w:val="auto"/>
          <w:sz w:val="24"/>
          <w:highlight w:val="none"/>
        </w:rPr>
        <w:t>保留政务2.0平台申报端口，对未能完成无感办办件，可由企业自行在政务2.0平台发起变更基本信息申请，同步触发数据再次比对，比对成功数据由系统自动智能秒办；未比对成功数据，办件流转审批平台，由人工审核完成审批。同时将更新后的经营许可（备案）数据通过厅信息中心数据枢纽推送给大数据局公共数据平台供市场监管部门共享获取。</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2.4.3企业退出联动</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1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①</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企业在市场监管部门申请</w:t>
      </w:r>
    </w:p>
    <w:p>
      <w:pPr>
        <w:pStyle w:val="20"/>
        <w:spacing w:line="360" w:lineRule="auto"/>
        <w:rPr>
          <w:rFonts w:ascii="仿宋" w:hAnsi="仿宋" w:eastAsia="仿宋"/>
          <w:color w:val="auto"/>
          <w:sz w:val="24"/>
          <w:highlight w:val="none"/>
        </w:rPr>
      </w:pPr>
      <w:r>
        <w:rPr>
          <w:rFonts w:hint="eastAsia" w:ascii="仿宋" w:hAnsi="仿宋" w:eastAsia="仿宋"/>
          <w:color w:val="auto"/>
          <w:sz w:val="24"/>
          <w:highlight w:val="none"/>
        </w:rPr>
        <w:t>市场监管部门进行企业完全注销或变更经营范围（即交通运输部门经营范围取消）后，将数据推送给交通运输部门。交通运输部门接收厅信息中心数据枢纽企业注销数据后，在一定期限内系统自动注销经营许可证（备案证）、名下车辆及相关电子证照，同步推送至外网公告，并发送短信告知企业经办人，实现该事项智能秒办。同时将经营许可证（备案证）注销数据通过厅数据枢纽推送给大数据局公共数据平台供市场监管部门共享获取。</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2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②</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企业在交通运输部门申请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企业在交通运输部门申请许可证（备案证）及相关电子证照注销后，将数据通过厅数据枢纽推送给大数据局公共数据平台并交换至市场监管部门。</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3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③</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数据比对分析同步审管联动</w:t>
      </w:r>
    </w:p>
    <w:p>
      <w:pPr>
        <w:pStyle w:val="2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将企业准入、变更经营范围、变更基本信息、退出办件反馈交通运输执法部门，供日常监管参考</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将“有照无证”企业、有行驶证无运输证车辆信息反馈交通运输执法部门，供日常监管参考。</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4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④</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注销车辆数据推送给公安部门</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将企业经营范围注销和企业退出时同步注销道路运输证的车辆数据，通过车辆联系单的方式推送给公安交管部门。</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2.4.4数据比对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1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①</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数据交换</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包括：审批系统与数据枢纽数据交换，数据枢纽与大数据局公共数据平台交换，大数据局公共数据平台与数据枢纽，数据枢纽与审批系统对接，与短信平台对接，与执法3.0系统对接。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2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②</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已办营业执照、未办经营许可证（备案证）数据比对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3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③</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已增加营业执照经营范围、未增加经营许可证（备案证）经营范围数据比对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4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④</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已更新营业执照，未更新经营许可证（备案证）数据比对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5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⑤</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营业执照注销，经营许可证（备案证）未注销的数据比对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2.4.5短信提醒</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市场监管“一件事”、基本信息变更智能秒批、企业退出智能秒批审批短信提醒、短信模板管理配置，车辆道路运输证注销告知提醒。</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2.5杭州综合交通流动态监测与协同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2.5.1路网运行监测分析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1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①</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指标体系建设</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建立路网运行监测分析指标体系。并对指标体系进行算法研究。</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2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②</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路网数据处理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做好路网数据处理，并叠加浮动车数据进行分析。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3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③</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运行状态监测</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分析道路车辆数、道路车速、路网车速等道路运行状态并实时监测。</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4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④</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拥堵指数研判</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对道路拥堵情况进行计算和研判，包括拥堵指数、拥堵里程比例等。</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5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⑤</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路段OD溯源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通过点击某条路段，能展示通过该路段的车流从哪些地方来，到哪些地方去，并在地图展现出来。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2.5.2公共交通运行监测分析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1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①</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指标体系建设</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建立公共交通运行监测分析指标体系。并对公共交通运行监测分析指标体系进行算法研究。</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2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②</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数据处理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对公交运营数据、地铁运营数据等数据进行处理分析。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3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③</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运行监测</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对公共交通运行情况进行监测。实时监测公交运行速度、公交客流量等。</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4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④</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服务分析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对公共交通服务水平进行评价，包括可达性评估、公交分担率等。</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5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⑤</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客流溯源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公交客流溯源，分析该公交客流OD分布并可视化呈现。</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6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⑥</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问题研判</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从重复线路、较长线路、较绕线路、百公里运量较低的线路等多方面对公共交通运行情况进行问题分析和研判。</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2.5.3区域交通运行监测分析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1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①</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指标体系建设</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建立区域交通运行监测分析指标体系，并进行算法研究和计算。</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2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②</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出行单元划分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划分主城区交通中区、交通小区。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3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③</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道路运行监测</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运行状态监测。对路网的运行状态进行实时监测。</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拥堵指数研判。针对某一特定交通区域，计算拥堵指数、拥堵里程等。</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4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④</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出行特征分析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从出行时空维度分析出行特征。</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出行时间。计算出各交通方式出行的出行时间。</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出行距离。计算出各交通方式出行的出行距离。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5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⑤</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公共交通供需分析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从供应和需求两方面分析公共交通的供需情况，主要计算公共交通覆盖率、人口分布情况、公共交通运行情况等指标。</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6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⑥</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区域OD溯源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区域OD溯源。分析小区分布、人群出行需求，计算各交通区间的OD数据。</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2.6交通“一张图”（二期）</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2.6.1专题地图建设</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1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①</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新增地理空间专题，包括行政区划图层、社会经济图层、重点管控区图层等。</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2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②</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新增国土空间专题，包括永久基本农田、生态保护红线。</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3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③</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完善交通现状专题，新增航空图层，完善铁路图层、公路图层、内河水运图层、公共交通图层等，并叠加视频。</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4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④</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新增在建交通工程专题、交通规划专题、行业管理专题、应急资源专题，对在建交通工程、交通规划、行业管理、应急资源进行数据采集、图层建设、信息统计。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2.6.2查询与汇总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1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①</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信息查询，能查询地图要素名称、编码、等级、归属等属性信息。</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2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②</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隐式搜索，当鼠标悬浮于交通要素之上时，以地图标签的形式在鼠标位置反馈。</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 3 \* GB3 \* MERGEFORMAT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③</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分类汇总，交通要素筛选汇总。基于行政区划、技术等级及其他属性信息对交通现状、在建工程、交通规划、行业管理和应急资源的空间信息进行筛选和汇总。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2.7综合交通数据建设</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2.7.1系统数据层重构和优化</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目前，系统均运行在Oracle数据库和Mysql数据库之上，本次迁移需对系统功能代码，数据模型调整，数据库存储过程、触发器、视图等进行重新构建，并在重构的过程中优化查询SQL，提升查询效率。</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2.7.2业务数据迁移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数据迁移包含Oracle结构化数据、Mysql结构化数据和文本类非结构化的数据内容。数据迁移完成后，将使用交通政务信创云提供的国产数据库代替原有的Oracle数据库和Mysql数据库，原文件数据库迁移至交通政务信创云的文件服务器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2.7.3服务部署</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部署需对基础环境重新搭建，主要搭建内容为：数据采集程序、应用中间件、负载均衡、JDK等。</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2.7.4稳定性测试</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为保证系统迁移和重构后的稳定运行，需对迁移的系统进行三个月的试运行和测试，并在这个过程中，解决所发现的问题。</w:t>
      </w:r>
    </w:p>
    <w:p>
      <w:pPr>
        <w:pStyle w:val="2"/>
        <w:spacing w:line="360" w:lineRule="auto"/>
        <w:ind w:firstLine="0" w:firstLineChars="0"/>
        <w:rPr>
          <w:rFonts w:ascii="仿宋" w:hAnsi="仿宋" w:eastAsia="仿宋"/>
          <w:b/>
          <w:bCs/>
          <w:color w:val="auto"/>
          <w:highlight w:val="none"/>
        </w:rPr>
      </w:pPr>
      <w:r>
        <w:rPr>
          <w:rFonts w:hint="eastAsia" w:ascii="仿宋" w:hAnsi="仿宋" w:eastAsia="仿宋"/>
          <w:b/>
          <w:bCs/>
          <w:color w:val="auto"/>
          <w:highlight w:val="none"/>
        </w:rPr>
        <w:t>注：本项目与第三方系统交互及数据对接可能产生的相关费用由中标人自行承担。</w:t>
      </w:r>
    </w:p>
    <w:p>
      <w:pPr>
        <w:pStyle w:val="4"/>
        <w:spacing w:before="120" w:after="120"/>
        <w:rPr>
          <w:rFonts w:ascii="仿宋" w:hAnsi="仿宋" w:eastAsia="仿宋"/>
          <w:color w:val="auto"/>
          <w:sz w:val="24"/>
          <w:szCs w:val="24"/>
          <w:highlight w:val="none"/>
          <w:lang w:val="en-US"/>
        </w:rPr>
      </w:pPr>
      <w:bookmarkStart w:id="251" w:name="_Toc25204"/>
      <w:bookmarkStart w:id="252" w:name="_Toc22541"/>
      <w:r>
        <w:rPr>
          <w:rFonts w:hint="eastAsia" w:ascii="仿宋" w:hAnsi="仿宋" w:eastAsia="仿宋"/>
          <w:color w:val="auto"/>
          <w:sz w:val="24"/>
          <w:szCs w:val="24"/>
          <w:highlight w:val="none"/>
          <w:lang w:val="en-US"/>
        </w:rPr>
        <w:t>三、硬件技术要求</w:t>
      </w:r>
      <w:bookmarkEnd w:id="251"/>
      <w:bookmarkEnd w:id="252"/>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6336"/>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89" w:type="pct"/>
            <w:vAlign w:val="center"/>
          </w:tcPr>
          <w:p>
            <w:pPr>
              <w:spacing w:line="360" w:lineRule="auto"/>
              <w:jc w:val="center"/>
              <w:rPr>
                <w:rFonts w:ascii="仿宋" w:hAnsi="仿宋" w:eastAsia="仿宋" w:cs="宋体"/>
                <w:b/>
                <w:bCs/>
                <w:i/>
                <w:iCs/>
                <w:color w:val="auto"/>
                <w:sz w:val="24"/>
                <w:highlight w:val="none"/>
              </w:rPr>
            </w:pPr>
            <w:r>
              <w:rPr>
                <w:rFonts w:hint="eastAsia" w:ascii="仿宋" w:hAnsi="仿宋" w:eastAsia="仿宋" w:cs="宋体"/>
                <w:b/>
                <w:bCs/>
                <w:iCs/>
                <w:color w:val="auto"/>
                <w:sz w:val="24"/>
                <w:highlight w:val="none"/>
              </w:rPr>
              <w:t>设备名称</w:t>
            </w:r>
          </w:p>
        </w:tc>
        <w:tc>
          <w:tcPr>
            <w:tcW w:w="3624" w:type="pct"/>
            <w:vAlign w:val="center"/>
          </w:tcPr>
          <w:p>
            <w:pPr>
              <w:spacing w:line="360" w:lineRule="auto"/>
              <w:jc w:val="center"/>
              <w:rPr>
                <w:rFonts w:ascii="仿宋" w:hAnsi="仿宋" w:eastAsia="仿宋" w:cs="宋体"/>
                <w:b/>
                <w:bCs/>
                <w:i/>
                <w:iCs/>
                <w:color w:val="auto"/>
                <w:sz w:val="24"/>
                <w:highlight w:val="none"/>
              </w:rPr>
            </w:pPr>
            <w:r>
              <w:rPr>
                <w:rFonts w:hint="eastAsia" w:ascii="仿宋" w:hAnsi="仿宋" w:eastAsia="仿宋" w:cs="宋体"/>
                <w:b/>
                <w:bCs/>
                <w:iCs/>
                <w:color w:val="auto"/>
                <w:sz w:val="24"/>
                <w:highlight w:val="none"/>
              </w:rPr>
              <w:t>主要性能指标</w:t>
            </w:r>
          </w:p>
        </w:tc>
        <w:tc>
          <w:tcPr>
            <w:tcW w:w="485" w:type="pct"/>
            <w:vAlign w:val="center"/>
          </w:tcPr>
          <w:p>
            <w:pPr>
              <w:spacing w:line="360" w:lineRule="auto"/>
              <w:jc w:val="center"/>
              <w:rPr>
                <w:rFonts w:ascii="仿宋" w:hAnsi="仿宋" w:eastAsia="仿宋" w:cs="宋体"/>
                <w:b/>
                <w:bCs/>
                <w:i/>
                <w:iCs/>
                <w:color w:val="auto"/>
                <w:sz w:val="24"/>
                <w:highlight w:val="none"/>
              </w:rPr>
            </w:pPr>
            <w:r>
              <w:rPr>
                <w:rFonts w:hint="eastAsia" w:ascii="仿宋" w:hAnsi="仿宋" w:eastAsia="仿宋" w:cs="宋体"/>
                <w:b/>
                <w:bCs/>
                <w:iCs/>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89" w:type="pct"/>
            <w:vAlign w:val="center"/>
          </w:tcPr>
          <w:p>
            <w:pPr>
              <w:spacing w:line="360" w:lineRule="auto"/>
              <w:jc w:val="center"/>
              <w:rPr>
                <w:rFonts w:ascii="仿宋" w:hAnsi="仿宋" w:eastAsia="仿宋" w:cs="宋体"/>
                <w:iCs/>
                <w:color w:val="auto"/>
                <w:sz w:val="24"/>
                <w:highlight w:val="none"/>
              </w:rPr>
            </w:pPr>
            <w:r>
              <w:rPr>
                <w:rFonts w:hint="eastAsia" w:ascii="仿宋" w:hAnsi="仿宋" w:eastAsia="仿宋" w:cs="宋体"/>
                <w:iCs/>
                <w:color w:val="auto"/>
                <w:sz w:val="24"/>
                <w:highlight w:val="none"/>
              </w:rPr>
              <w:t>视频基础</w:t>
            </w:r>
          </w:p>
          <w:p>
            <w:pPr>
              <w:spacing w:line="360" w:lineRule="auto"/>
              <w:jc w:val="center"/>
              <w:rPr>
                <w:rFonts w:ascii="仿宋" w:hAnsi="仿宋" w:eastAsia="仿宋" w:cs="宋体"/>
                <w:iCs/>
                <w:color w:val="auto"/>
                <w:sz w:val="24"/>
                <w:highlight w:val="none"/>
              </w:rPr>
            </w:pPr>
            <w:r>
              <w:rPr>
                <w:rFonts w:hint="eastAsia" w:ascii="仿宋" w:hAnsi="仿宋" w:eastAsia="仿宋" w:cs="宋体"/>
                <w:iCs/>
                <w:color w:val="auto"/>
                <w:sz w:val="24"/>
                <w:highlight w:val="none"/>
              </w:rPr>
              <w:t>服务器</w:t>
            </w:r>
          </w:p>
        </w:tc>
        <w:tc>
          <w:tcPr>
            <w:tcW w:w="3624" w:type="pct"/>
            <w:vAlign w:val="center"/>
          </w:tcPr>
          <w:p>
            <w:pPr>
              <w:spacing w:line="360" w:lineRule="auto"/>
              <w:jc w:val="center"/>
              <w:rPr>
                <w:rFonts w:ascii="仿宋" w:hAnsi="仿宋" w:eastAsia="仿宋" w:cs="宋体"/>
                <w:iCs/>
                <w:color w:val="auto"/>
                <w:sz w:val="24"/>
                <w:highlight w:val="none"/>
              </w:rPr>
            </w:pPr>
            <w:r>
              <w:rPr>
                <w:rFonts w:ascii="仿宋" w:hAnsi="仿宋" w:eastAsia="仿宋" w:cs="宋体"/>
                <w:iCs/>
                <w:color w:val="auto"/>
                <w:sz w:val="24"/>
                <w:highlight w:val="none"/>
              </w:rPr>
              <w:t>HG7169(24</w:t>
            </w:r>
            <w:r>
              <w:rPr>
                <w:rFonts w:hint="eastAsia" w:ascii="仿宋" w:hAnsi="仿宋" w:eastAsia="仿宋" w:cs="宋体"/>
                <w:iCs/>
                <w:color w:val="auto"/>
                <w:sz w:val="24"/>
                <w:highlight w:val="none"/>
              </w:rPr>
              <w:t>核</w:t>
            </w:r>
            <w:r>
              <w:rPr>
                <w:rFonts w:ascii="仿宋" w:hAnsi="仿宋" w:eastAsia="仿宋" w:cs="宋体"/>
                <w:iCs/>
                <w:color w:val="auto"/>
                <w:sz w:val="24"/>
                <w:highlight w:val="none"/>
              </w:rPr>
              <w:t>2.2GHz)</w:t>
            </w:r>
            <w:r>
              <w:rPr>
                <w:rFonts w:hint="eastAsia" w:ascii="仿宋" w:hAnsi="仿宋" w:eastAsia="仿宋" w:cs="宋体"/>
                <w:iCs/>
                <w:color w:val="auto"/>
                <w:sz w:val="24"/>
                <w:highlight w:val="none"/>
              </w:rPr>
              <w:t>×</w:t>
            </w:r>
            <w:r>
              <w:rPr>
                <w:rFonts w:ascii="仿宋" w:hAnsi="仿宋" w:eastAsia="仿宋" w:cs="宋体"/>
                <w:iCs/>
                <w:color w:val="auto"/>
                <w:sz w:val="24"/>
                <w:highlight w:val="none"/>
              </w:rPr>
              <w:t>1/64G</w:t>
            </w:r>
          </w:p>
          <w:p>
            <w:pPr>
              <w:spacing w:line="360" w:lineRule="auto"/>
              <w:jc w:val="center"/>
              <w:rPr>
                <w:rFonts w:ascii="仿宋" w:hAnsi="仿宋" w:eastAsia="仿宋" w:cs="宋体"/>
                <w:iCs/>
                <w:color w:val="auto"/>
                <w:sz w:val="24"/>
                <w:highlight w:val="none"/>
              </w:rPr>
            </w:pPr>
            <w:r>
              <w:rPr>
                <w:rFonts w:ascii="仿宋" w:hAnsi="仿宋" w:eastAsia="仿宋" w:cs="宋体"/>
                <w:iCs/>
                <w:color w:val="auto"/>
                <w:sz w:val="24"/>
                <w:highlight w:val="none"/>
              </w:rPr>
              <w:t>DDR4/600G 10K SAS</w:t>
            </w:r>
            <w:r>
              <w:rPr>
                <w:rFonts w:hint="eastAsia" w:ascii="仿宋" w:hAnsi="仿宋" w:eastAsia="仿宋" w:cs="宋体"/>
                <w:iCs/>
                <w:color w:val="auto"/>
                <w:sz w:val="24"/>
                <w:highlight w:val="none"/>
              </w:rPr>
              <w:t>×</w:t>
            </w:r>
            <w:r>
              <w:rPr>
                <w:rFonts w:ascii="仿宋" w:hAnsi="仿宋" w:eastAsia="仿宋" w:cs="宋体"/>
                <w:iCs/>
                <w:color w:val="auto"/>
                <w:sz w:val="24"/>
                <w:highlight w:val="none"/>
              </w:rPr>
              <w:t>4(RAID_10)/SAS_HBA/1GbE</w:t>
            </w:r>
            <w:r>
              <w:rPr>
                <w:rFonts w:hint="eastAsia" w:ascii="仿宋" w:hAnsi="仿宋" w:eastAsia="仿宋" w:cs="宋体"/>
                <w:iCs/>
                <w:color w:val="auto"/>
                <w:sz w:val="24"/>
                <w:highlight w:val="none"/>
              </w:rPr>
              <w:t>×</w:t>
            </w:r>
            <w:r>
              <w:rPr>
                <w:rFonts w:ascii="仿宋" w:hAnsi="仿宋" w:eastAsia="仿宋" w:cs="宋体"/>
                <w:iCs/>
                <w:color w:val="auto"/>
                <w:sz w:val="24"/>
                <w:highlight w:val="none"/>
              </w:rPr>
              <w:t>2/550W(1+1)/2U/16DIMM</w:t>
            </w:r>
          </w:p>
        </w:tc>
        <w:tc>
          <w:tcPr>
            <w:tcW w:w="485" w:type="pct"/>
            <w:vAlign w:val="center"/>
          </w:tcPr>
          <w:p>
            <w:pPr>
              <w:spacing w:line="360" w:lineRule="auto"/>
              <w:jc w:val="center"/>
              <w:rPr>
                <w:rFonts w:ascii="仿宋" w:hAnsi="仿宋" w:eastAsia="仿宋" w:cs="宋体"/>
                <w:iCs/>
                <w:color w:val="auto"/>
                <w:sz w:val="24"/>
                <w:highlight w:val="none"/>
              </w:rPr>
            </w:pPr>
            <w:r>
              <w:rPr>
                <w:rFonts w:ascii="仿宋" w:hAnsi="仿宋" w:eastAsia="仿宋" w:cs="宋体"/>
                <w:iCs/>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89" w:type="pct"/>
            <w:vAlign w:val="center"/>
          </w:tcPr>
          <w:p>
            <w:pPr>
              <w:spacing w:line="360" w:lineRule="auto"/>
              <w:jc w:val="center"/>
              <w:rPr>
                <w:rFonts w:ascii="仿宋" w:hAnsi="仿宋" w:eastAsia="仿宋" w:cs="宋体"/>
                <w:iCs/>
                <w:color w:val="auto"/>
                <w:sz w:val="24"/>
                <w:highlight w:val="none"/>
              </w:rPr>
            </w:pPr>
            <w:r>
              <w:rPr>
                <w:rFonts w:hint="eastAsia" w:ascii="仿宋" w:hAnsi="仿宋" w:eastAsia="仿宋" w:cs="宋体"/>
                <w:iCs/>
                <w:color w:val="auto"/>
                <w:sz w:val="24"/>
                <w:highlight w:val="none"/>
              </w:rPr>
              <w:t>视频应用</w:t>
            </w:r>
          </w:p>
          <w:p>
            <w:pPr>
              <w:spacing w:line="360" w:lineRule="auto"/>
              <w:jc w:val="center"/>
              <w:rPr>
                <w:rFonts w:ascii="仿宋" w:hAnsi="仿宋" w:eastAsia="仿宋" w:cs="宋体"/>
                <w:iCs/>
                <w:color w:val="auto"/>
                <w:sz w:val="24"/>
                <w:highlight w:val="none"/>
              </w:rPr>
            </w:pPr>
            <w:r>
              <w:rPr>
                <w:rFonts w:hint="eastAsia" w:ascii="仿宋" w:hAnsi="仿宋" w:eastAsia="仿宋" w:cs="宋体"/>
                <w:iCs/>
                <w:color w:val="auto"/>
                <w:sz w:val="24"/>
                <w:highlight w:val="none"/>
              </w:rPr>
              <w:t>服务器</w:t>
            </w:r>
          </w:p>
        </w:tc>
        <w:tc>
          <w:tcPr>
            <w:tcW w:w="3624" w:type="pct"/>
            <w:vAlign w:val="center"/>
          </w:tcPr>
          <w:p>
            <w:pPr>
              <w:spacing w:line="360" w:lineRule="auto"/>
              <w:jc w:val="center"/>
              <w:rPr>
                <w:rFonts w:ascii="仿宋" w:hAnsi="仿宋" w:eastAsia="仿宋" w:cs="宋体"/>
                <w:iCs/>
                <w:color w:val="auto"/>
                <w:sz w:val="24"/>
                <w:highlight w:val="none"/>
              </w:rPr>
            </w:pPr>
            <w:r>
              <w:rPr>
                <w:rFonts w:ascii="仿宋" w:hAnsi="仿宋" w:eastAsia="仿宋" w:cs="宋体"/>
                <w:iCs/>
                <w:color w:val="auto"/>
                <w:sz w:val="24"/>
                <w:highlight w:val="none"/>
              </w:rPr>
              <w:t>HG7169(24</w:t>
            </w:r>
            <w:r>
              <w:rPr>
                <w:rFonts w:hint="eastAsia" w:ascii="仿宋" w:hAnsi="仿宋" w:eastAsia="仿宋" w:cs="宋体"/>
                <w:iCs/>
                <w:color w:val="auto"/>
                <w:sz w:val="24"/>
                <w:highlight w:val="none"/>
              </w:rPr>
              <w:t>核</w:t>
            </w:r>
            <w:r>
              <w:rPr>
                <w:rFonts w:ascii="仿宋" w:hAnsi="仿宋" w:eastAsia="仿宋" w:cs="宋体"/>
                <w:iCs/>
                <w:color w:val="auto"/>
                <w:sz w:val="24"/>
                <w:highlight w:val="none"/>
              </w:rPr>
              <w:t>2.2GHz)</w:t>
            </w:r>
            <w:r>
              <w:rPr>
                <w:rFonts w:hint="eastAsia" w:ascii="仿宋" w:hAnsi="仿宋" w:eastAsia="仿宋" w:cs="宋体"/>
                <w:iCs/>
                <w:color w:val="auto"/>
                <w:sz w:val="24"/>
                <w:highlight w:val="none"/>
              </w:rPr>
              <w:t>×</w:t>
            </w:r>
            <w:r>
              <w:rPr>
                <w:rFonts w:ascii="仿宋" w:hAnsi="仿宋" w:eastAsia="仿宋" w:cs="宋体"/>
                <w:iCs/>
                <w:color w:val="auto"/>
                <w:sz w:val="24"/>
                <w:highlight w:val="none"/>
              </w:rPr>
              <w:t>1/64G DDR4/600G 10K SAS</w:t>
            </w:r>
            <w:r>
              <w:rPr>
                <w:rFonts w:hint="eastAsia" w:ascii="仿宋" w:hAnsi="仿宋" w:eastAsia="仿宋" w:cs="宋体"/>
                <w:iCs/>
                <w:color w:val="auto"/>
                <w:sz w:val="24"/>
                <w:highlight w:val="none"/>
              </w:rPr>
              <w:t>×</w:t>
            </w:r>
            <w:r>
              <w:rPr>
                <w:rFonts w:ascii="仿宋" w:hAnsi="仿宋" w:eastAsia="仿宋" w:cs="宋体"/>
                <w:iCs/>
                <w:color w:val="auto"/>
                <w:sz w:val="24"/>
                <w:highlight w:val="none"/>
              </w:rPr>
              <w:t>4(RAID_10)/SAS_HBA/1GbE</w:t>
            </w:r>
            <w:r>
              <w:rPr>
                <w:rFonts w:hint="eastAsia" w:ascii="仿宋" w:hAnsi="仿宋" w:eastAsia="仿宋" w:cs="宋体"/>
                <w:iCs/>
                <w:color w:val="auto"/>
                <w:sz w:val="24"/>
                <w:highlight w:val="none"/>
              </w:rPr>
              <w:t>×</w:t>
            </w:r>
            <w:r>
              <w:rPr>
                <w:rFonts w:ascii="仿宋" w:hAnsi="仿宋" w:eastAsia="仿宋" w:cs="宋体"/>
                <w:iCs/>
                <w:color w:val="auto"/>
                <w:sz w:val="24"/>
                <w:highlight w:val="none"/>
              </w:rPr>
              <w:t>2/550W(1+1)/2U/16DIMM</w:t>
            </w:r>
          </w:p>
        </w:tc>
        <w:tc>
          <w:tcPr>
            <w:tcW w:w="485" w:type="pct"/>
            <w:vAlign w:val="center"/>
          </w:tcPr>
          <w:p>
            <w:pPr>
              <w:spacing w:line="360" w:lineRule="auto"/>
              <w:jc w:val="center"/>
              <w:rPr>
                <w:rFonts w:ascii="仿宋" w:hAnsi="仿宋" w:eastAsia="仿宋" w:cs="宋体"/>
                <w:iCs/>
                <w:color w:val="auto"/>
                <w:sz w:val="24"/>
                <w:highlight w:val="none"/>
              </w:rPr>
            </w:pPr>
            <w:r>
              <w:rPr>
                <w:rFonts w:ascii="仿宋" w:hAnsi="仿宋" w:eastAsia="仿宋" w:cs="宋体"/>
                <w:iCs/>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89" w:type="pct"/>
            <w:vAlign w:val="center"/>
          </w:tcPr>
          <w:p>
            <w:pPr>
              <w:spacing w:line="360" w:lineRule="auto"/>
              <w:jc w:val="center"/>
              <w:rPr>
                <w:rFonts w:ascii="仿宋" w:hAnsi="仿宋" w:eastAsia="仿宋" w:cs="宋体"/>
                <w:iCs/>
                <w:color w:val="auto"/>
                <w:sz w:val="24"/>
                <w:highlight w:val="none"/>
              </w:rPr>
            </w:pPr>
            <w:r>
              <w:rPr>
                <w:rFonts w:hint="eastAsia" w:ascii="仿宋" w:hAnsi="仿宋" w:eastAsia="仿宋" w:cs="宋体"/>
                <w:iCs/>
                <w:color w:val="auto"/>
                <w:sz w:val="24"/>
                <w:highlight w:val="none"/>
              </w:rPr>
              <w:t>数据接入服务器</w:t>
            </w:r>
            <w:r>
              <w:rPr>
                <w:rFonts w:ascii="仿宋" w:hAnsi="仿宋" w:eastAsia="仿宋" w:cs="宋体"/>
                <w:iCs/>
                <w:color w:val="auto"/>
                <w:sz w:val="24"/>
                <w:highlight w:val="none"/>
              </w:rPr>
              <w:t>/</w:t>
            </w:r>
            <w:r>
              <w:rPr>
                <w:rFonts w:hint="eastAsia" w:ascii="仿宋" w:hAnsi="仿宋" w:eastAsia="仿宋" w:cs="宋体"/>
                <w:iCs/>
                <w:color w:val="auto"/>
                <w:sz w:val="24"/>
                <w:highlight w:val="none"/>
              </w:rPr>
              <w:t>流媒体服务器</w:t>
            </w:r>
          </w:p>
        </w:tc>
        <w:tc>
          <w:tcPr>
            <w:tcW w:w="3624" w:type="pct"/>
            <w:vAlign w:val="center"/>
          </w:tcPr>
          <w:p>
            <w:pPr>
              <w:spacing w:line="360" w:lineRule="auto"/>
              <w:jc w:val="center"/>
              <w:rPr>
                <w:rFonts w:ascii="仿宋" w:hAnsi="仿宋" w:eastAsia="仿宋" w:cs="宋体"/>
                <w:iCs/>
                <w:color w:val="auto"/>
                <w:sz w:val="24"/>
                <w:highlight w:val="none"/>
              </w:rPr>
            </w:pPr>
            <w:r>
              <w:rPr>
                <w:rFonts w:ascii="仿宋" w:hAnsi="仿宋" w:eastAsia="仿宋" w:cs="宋体"/>
                <w:iCs/>
                <w:color w:val="auto"/>
                <w:sz w:val="24"/>
                <w:highlight w:val="none"/>
              </w:rPr>
              <w:t>HG7169(24</w:t>
            </w:r>
            <w:r>
              <w:rPr>
                <w:rFonts w:hint="eastAsia" w:ascii="仿宋" w:hAnsi="仿宋" w:eastAsia="仿宋" w:cs="宋体"/>
                <w:iCs/>
                <w:color w:val="auto"/>
                <w:sz w:val="24"/>
                <w:highlight w:val="none"/>
              </w:rPr>
              <w:t>核</w:t>
            </w:r>
            <w:r>
              <w:rPr>
                <w:rFonts w:ascii="仿宋" w:hAnsi="仿宋" w:eastAsia="仿宋" w:cs="宋体"/>
                <w:iCs/>
                <w:color w:val="auto"/>
                <w:sz w:val="24"/>
                <w:highlight w:val="none"/>
              </w:rPr>
              <w:t>2.2GHz)</w:t>
            </w:r>
            <w:r>
              <w:rPr>
                <w:rFonts w:hint="eastAsia" w:ascii="仿宋" w:hAnsi="仿宋" w:eastAsia="仿宋" w:cs="宋体"/>
                <w:iCs/>
                <w:color w:val="auto"/>
                <w:sz w:val="24"/>
                <w:highlight w:val="none"/>
              </w:rPr>
              <w:t>×</w:t>
            </w:r>
            <w:r>
              <w:rPr>
                <w:rFonts w:ascii="仿宋" w:hAnsi="仿宋" w:eastAsia="仿宋" w:cs="宋体"/>
                <w:iCs/>
                <w:color w:val="auto"/>
                <w:sz w:val="24"/>
                <w:highlight w:val="none"/>
              </w:rPr>
              <w:t>1/64G DDR4/600G 10K SAS</w:t>
            </w:r>
            <w:r>
              <w:rPr>
                <w:rFonts w:hint="eastAsia" w:ascii="仿宋" w:hAnsi="仿宋" w:eastAsia="仿宋" w:cs="宋体"/>
                <w:iCs/>
                <w:color w:val="auto"/>
                <w:sz w:val="24"/>
                <w:highlight w:val="none"/>
              </w:rPr>
              <w:t>×</w:t>
            </w:r>
            <w:r>
              <w:rPr>
                <w:rFonts w:ascii="仿宋" w:hAnsi="仿宋" w:eastAsia="仿宋" w:cs="宋体"/>
                <w:iCs/>
                <w:color w:val="auto"/>
                <w:sz w:val="24"/>
                <w:highlight w:val="none"/>
              </w:rPr>
              <w:t>4(RAID_10)/SAS_HBA/1GbE</w:t>
            </w:r>
            <w:r>
              <w:rPr>
                <w:rFonts w:hint="eastAsia" w:ascii="仿宋" w:hAnsi="仿宋" w:eastAsia="仿宋" w:cs="宋体"/>
                <w:iCs/>
                <w:color w:val="auto"/>
                <w:sz w:val="24"/>
                <w:highlight w:val="none"/>
              </w:rPr>
              <w:t>×</w:t>
            </w:r>
            <w:r>
              <w:rPr>
                <w:rFonts w:ascii="仿宋" w:hAnsi="仿宋" w:eastAsia="仿宋" w:cs="宋体"/>
                <w:iCs/>
                <w:color w:val="auto"/>
                <w:sz w:val="24"/>
                <w:highlight w:val="none"/>
              </w:rPr>
              <w:t>2/550W(1+1)/2U/16DIMM</w:t>
            </w:r>
          </w:p>
        </w:tc>
        <w:tc>
          <w:tcPr>
            <w:tcW w:w="485" w:type="pct"/>
            <w:vAlign w:val="center"/>
          </w:tcPr>
          <w:p>
            <w:pPr>
              <w:spacing w:line="360" w:lineRule="auto"/>
              <w:jc w:val="center"/>
              <w:rPr>
                <w:rFonts w:ascii="仿宋" w:hAnsi="仿宋" w:eastAsia="仿宋" w:cs="宋体"/>
                <w:iCs/>
                <w:color w:val="auto"/>
                <w:sz w:val="24"/>
                <w:highlight w:val="none"/>
              </w:rPr>
            </w:pPr>
            <w:r>
              <w:rPr>
                <w:rFonts w:ascii="仿宋" w:hAnsi="仿宋" w:eastAsia="仿宋" w:cs="宋体"/>
                <w:i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89" w:type="pct"/>
            <w:vAlign w:val="center"/>
          </w:tcPr>
          <w:p>
            <w:pPr>
              <w:spacing w:line="360" w:lineRule="auto"/>
              <w:jc w:val="center"/>
              <w:rPr>
                <w:rFonts w:ascii="仿宋" w:hAnsi="仿宋" w:eastAsia="仿宋" w:cs="宋体"/>
                <w:iCs/>
                <w:color w:val="auto"/>
                <w:sz w:val="24"/>
                <w:highlight w:val="none"/>
              </w:rPr>
            </w:pPr>
            <w:r>
              <w:rPr>
                <w:rFonts w:hint="eastAsia" w:ascii="仿宋" w:hAnsi="仿宋" w:eastAsia="仿宋" w:cs="宋体"/>
                <w:iCs/>
                <w:color w:val="auto"/>
                <w:sz w:val="24"/>
                <w:highlight w:val="none"/>
              </w:rPr>
              <w:t>数据存储服务器</w:t>
            </w:r>
          </w:p>
        </w:tc>
        <w:tc>
          <w:tcPr>
            <w:tcW w:w="3624" w:type="pct"/>
            <w:vAlign w:val="center"/>
          </w:tcPr>
          <w:p>
            <w:pPr>
              <w:spacing w:line="360" w:lineRule="auto"/>
              <w:jc w:val="center"/>
              <w:rPr>
                <w:rFonts w:ascii="仿宋" w:hAnsi="仿宋" w:eastAsia="仿宋" w:cs="宋体"/>
                <w:iCs/>
                <w:color w:val="auto"/>
                <w:sz w:val="24"/>
                <w:highlight w:val="none"/>
              </w:rPr>
            </w:pPr>
            <w:r>
              <w:rPr>
                <w:rFonts w:hint="eastAsia" w:ascii="仿宋" w:hAnsi="仿宋" w:eastAsia="仿宋" w:cs="宋体"/>
                <w:iCs/>
                <w:color w:val="auto"/>
                <w:sz w:val="24"/>
                <w:highlight w:val="none"/>
              </w:rPr>
              <w:t>机架式</w:t>
            </w:r>
            <w:r>
              <w:rPr>
                <w:rFonts w:ascii="仿宋" w:hAnsi="仿宋" w:eastAsia="仿宋" w:cs="宋体"/>
                <w:iCs/>
                <w:color w:val="auto"/>
                <w:sz w:val="24"/>
                <w:highlight w:val="none"/>
              </w:rPr>
              <w:t>/4U 24</w:t>
            </w:r>
            <w:r>
              <w:rPr>
                <w:rFonts w:hint="eastAsia" w:ascii="仿宋" w:hAnsi="仿宋" w:eastAsia="仿宋" w:cs="宋体"/>
                <w:iCs/>
                <w:color w:val="auto"/>
                <w:sz w:val="24"/>
                <w:highlight w:val="none"/>
              </w:rPr>
              <w:t>盘位</w:t>
            </w:r>
            <w:r>
              <w:rPr>
                <w:rFonts w:ascii="仿宋" w:hAnsi="仿宋" w:eastAsia="仿宋" w:cs="宋体"/>
                <w:iCs/>
                <w:color w:val="auto"/>
                <w:sz w:val="24"/>
                <w:highlight w:val="none"/>
              </w:rPr>
              <w:t>/2048Mbps</w:t>
            </w:r>
            <w:r>
              <w:rPr>
                <w:rFonts w:hint="eastAsia" w:ascii="仿宋" w:hAnsi="仿宋" w:eastAsia="仿宋" w:cs="宋体"/>
                <w:iCs/>
                <w:color w:val="auto"/>
                <w:sz w:val="24"/>
                <w:highlight w:val="none"/>
              </w:rPr>
              <w:t>接入带宽（</w:t>
            </w:r>
            <w:r>
              <w:rPr>
                <w:rFonts w:ascii="仿宋" w:hAnsi="仿宋" w:eastAsia="仿宋" w:cs="宋体"/>
                <w:iCs/>
                <w:color w:val="auto"/>
                <w:sz w:val="24"/>
                <w:highlight w:val="none"/>
              </w:rPr>
              <w:t>1024</w:t>
            </w:r>
            <w:r>
              <w:rPr>
                <w:rFonts w:hint="eastAsia" w:ascii="仿宋" w:hAnsi="仿宋" w:eastAsia="仿宋" w:cs="宋体"/>
                <w:iCs/>
                <w:color w:val="auto"/>
                <w:sz w:val="24"/>
                <w:highlight w:val="none"/>
              </w:rPr>
              <w:t>路</w:t>
            </w:r>
            <w:r>
              <w:rPr>
                <w:rFonts w:ascii="仿宋" w:hAnsi="仿宋" w:eastAsia="仿宋" w:cs="宋体"/>
                <w:iCs/>
                <w:color w:val="auto"/>
                <w:sz w:val="24"/>
                <w:highlight w:val="none"/>
              </w:rPr>
              <w:t>2M</w:t>
            </w:r>
            <w:r>
              <w:rPr>
                <w:rFonts w:hint="eastAsia" w:ascii="仿宋" w:hAnsi="仿宋" w:eastAsia="仿宋" w:cs="宋体"/>
                <w:iCs/>
                <w:color w:val="auto"/>
                <w:sz w:val="24"/>
                <w:highlight w:val="none"/>
              </w:rPr>
              <w:t>）</w:t>
            </w:r>
            <w:r>
              <w:rPr>
                <w:rFonts w:ascii="仿宋" w:hAnsi="仿宋" w:eastAsia="仿宋" w:cs="宋体"/>
                <w:iCs/>
                <w:color w:val="auto"/>
                <w:sz w:val="24"/>
                <w:highlight w:val="none"/>
              </w:rPr>
              <w:t>/24</w:t>
            </w:r>
            <w:r>
              <w:rPr>
                <w:rFonts w:hint="eastAsia" w:ascii="仿宋" w:hAnsi="仿宋" w:eastAsia="仿宋" w:cs="宋体"/>
                <w:iCs/>
                <w:color w:val="auto"/>
                <w:sz w:val="24"/>
                <w:highlight w:val="none"/>
              </w:rPr>
              <w:t>块</w:t>
            </w:r>
            <w:r>
              <w:rPr>
                <w:rFonts w:ascii="仿宋" w:hAnsi="仿宋" w:eastAsia="仿宋" w:cs="宋体"/>
                <w:iCs/>
                <w:color w:val="auto"/>
                <w:sz w:val="24"/>
                <w:highlight w:val="none"/>
              </w:rPr>
              <w:t>6T</w:t>
            </w:r>
            <w:r>
              <w:rPr>
                <w:rFonts w:hint="eastAsia" w:ascii="仿宋" w:hAnsi="仿宋" w:eastAsia="仿宋" w:cs="宋体"/>
                <w:iCs/>
                <w:color w:val="auto"/>
                <w:sz w:val="24"/>
                <w:highlight w:val="none"/>
              </w:rPr>
              <w:t>企业级</w:t>
            </w:r>
            <w:r>
              <w:rPr>
                <w:rFonts w:ascii="仿宋" w:hAnsi="仿宋" w:eastAsia="仿宋" w:cs="宋体"/>
                <w:iCs/>
                <w:color w:val="auto"/>
                <w:sz w:val="24"/>
                <w:highlight w:val="none"/>
              </w:rPr>
              <w:t>SATA</w:t>
            </w:r>
            <w:r>
              <w:rPr>
                <w:rFonts w:hint="eastAsia" w:ascii="仿宋" w:hAnsi="仿宋" w:eastAsia="仿宋" w:cs="宋体"/>
                <w:iCs/>
                <w:color w:val="auto"/>
                <w:sz w:val="24"/>
                <w:highlight w:val="none"/>
              </w:rPr>
              <w:t>硬盘</w:t>
            </w:r>
            <w:r>
              <w:rPr>
                <w:rFonts w:ascii="仿宋" w:hAnsi="仿宋" w:eastAsia="仿宋" w:cs="宋体"/>
                <w:iCs/>
                <w:color w:val="auto"/>
                <w:sz w:val="24"/>
                <w:highlight w:val="none"/>
              </w:rPr>
              <w:t>/</w:t>
            </w:r>
            <w:r>
              <w:rPr>
                <w:rFonts w:hint="eastAsia" w:ascii="仿宋" w:hAnsi="仿宋" w:eastAsia="仿宋" w:cs="宋体"/>
                <w:iCs/>
                <w:color w:val="auto"/>
                <w:sz w:val="24"/>
                <w:highlight w:val="none"/>
              </w:rPr>
              <w:t>双颗</w:t>
            </w:r>
            <w:r>
              <w:rPr>
                <w:rFonts w:ascii="仿宋" w:hAnsi="仿宋" w:eastAsia="仿宋" w:cs="宋体"/>
                <w:iCs/>
                <w:color w:val="auto"/>
                <w:sz w:val="24"/>
                <w:highlight w:val="none"/>
              </w:rPr>
              <w:t>64</w:t>
            </w:r>
            <w:r>
              <w:rPr>
                <w:rFonts w:hint="eastAsia" w:ascii="仿宋" w:hAnsi="仿宋" w:eastAsia="仿宋" w:cs="宋体"/>
                <w:iCs/>
                <w:color w:val="auto"/>
                <w:sz w:val="24"/>
                <w:highlight w:val="none"/>
              </w:rPr>
              <w:t>位多核处理器</w:t>
            </w:r>
            <w:r>
              <w:rPr>
                <w:rFonts w:ascii="仿宋" w:hAnsi="仿宋" w:eastAsia="仿宋" w:cs="宋体"/>
                <w:iCs/>
                <w:color w:val="auto"/>
                <w:sz w:val="24"/>
                <w:highlight w:val="none"/>
              </w:rPr>
              <w:t>/8GB</w:t>
            </w:r>
            <w:r>
              <w:rPr>
                <w:rFonts w:hint="eastAsia" w:ascii="仿宋" w:hAnsi="仿宋" w:eastAsia="仿宋" w:cs="宋体"/>
                <w:iCs/>
                <w:color w:val="auto"/>
                <w:sz w:val="24"/>
                <w:highlight w:val="none"/>
              </w:rPr>
              <w:t>缓存（可扩展至</w:t>
            </w:r>
            <w:r>
              <w:rPr>
                <w:rFonts w:ascii="仿宋" w:hAnsi="仿宋" w:eastAsia="仿宋" w:cs="宋体"/>
                <w:iCs/>
                <w:color w:val="auto"/>
                <w:sz w:val="24"/>
                <w:highlight w:val="none"/>
              </w:rPr>
              <w:t>256GB</w:t>
            </w:r>
            <w:r>
              <w:rPr>
                <w:rFonts w:hint="eastAsia" w:ascii="仿宋" w:hAnsi="仿宋" w:eastAsia="仿宋" w:cs="宋体"/>
                <w:iCs/>
                <w:color w:val="auto"/>
                <w:sz w:val="24"/>
                <w:highlight w:val="none"/>
              </w:rPr>
              <w:t>）</w:t>
            </w:r>
            <w:r>
              <w:rPr>
                <w:rFonts w:ascii="仿宋" w:hAnsi="仿宋" w:eastAsia="仿宋" w:cs="宋体"/>
                <w:iCs/>
                <w:color w:val="auto"/>
                <w:sz w:val="24"/>
                <w:highlight w:val="none"/>
              </w:rPr>
              <w:t>/4</w:t>
            </w:r>
            <w:r>
              <w:rPr>
                <w:rFonts w:hint="eastAsia" w:ascii="仿宋" w:hAnsi="仿宋" w:eastAsia="仿宋" w:cs="宋体"/>
                <w:iCs/>
                <w:color w:val="auto"/>
                <w:sz w:val="24"/>
                <w:highlight w:val="none"/>
              </w:rPr>
              <w:t>个千兆数据网口</w:t>
            </w:r>
            <w:r>
              <w:rPr>
                <w:rFonts w:ascii="仿宋" w:hAnsi="仿宋" w:eastAsia="仿宋" w:cs="宋体"/>
                <w:iCs/>
                <w:color w:val="auto"/>
                <w:sz w:val="24"/>
                <w:highlight w:val="none"/>
              </w:rPr>
              <w:t>/1</w:t>
            </w:r>
            <w:r>
              <w:rPr>
                <w:rFonts w:hint="eastAsia" w:ascii="仿宋" w:hAnsi="仿宋" w:eastAsia="仿宋" w:cs="宋体"/>
                <w:iCs/>
                <w:color w:val="auto"/>
                <w:sz w:val="24"/>
                <w:highlight w:val="none"/>
              </w:rPr>
              <w:t>个千兆管理网口</w:t>
            </w:r>
            <w:r>
              <w:rPr>
                <w:rFonts w:ascii="仿宋" w:hAnsi="仿宋" w:eastAsia="仿宋" w:cs="宋体"/>
                <w:iCs/>
                <w:color w:val="auto"/>
                <w:sz w:val="24"/>
                <w:highlight w:val="none"/>
              </w:rPr>
              <w:t>/</w:t>
            </w:r>
            <w:r>
              <w:rPr>
                <w:rFonts w:hint="eastAsia" w:ascii="仿宋" w:hAnsi="仿宋" w:eastAsia="仿宋" w:cs="宋体"/>
                <w:iCs/>
                <w:color w:val="auto"/>
                <w:sz w:val="24"/>
                <w:highlight w:val="none"/>
              </w:rPr>
              <w:t>冗余电源</w:t>
            </w:r>
            <w:r>
              <w:rPr>
                <w:rFonts w:ascii="仿宋" w:hAnsi="仿宋" w:eastAsia="仿宋" w:cs="宋体"/>
                <w:iCs/>
                <w:color w:val="auto"/>
                <w:sz w:val="24"/>
                <w:highlight w:val="none"/>
              </w:rPr>
              <w:t>/RAID5/</w:t>
            </w:r>
            <w:r>
              <w:rPr>
                <w:rFonts w:hint="eastAsia" w:ascii="仿宋" w:hAnsi="仿宋" w:eastAsia="仿宋" w:cs="宋体"/>
                <w:iCs/>
                <w:color w:val="auto"/>
                <w:sz w:val="24"/>
                <w:highlight w:val="none"/>
              </w:rPr>
              <w:t>网络协议：</w:t>
            </w:r>
            <w:r>
              <w:rPr>
                <w:rFonts w:ascii="仿宋" w:hAnsi="仿宋" w:eastAsia="仿宋" w:cs="宋体"/>
                <w:iCs/>
                <w:color w:val="auto"/>
                <w:sz w:val="24"/>
                <w:highlight w:val="none"/>
              </w:rPr>
              <w:t>RTSP/ONVIF/PSIA/</w:t>
            </w:r>
            <w:r>
              <w:rPr>
                <w:rFonts w:hint="eastAsia" w:ascii="仿宋" w:hAnsi="仿宋" w:eastAsia="仿宋" w:cs="宋体"/>
                <w:iCs/>
                <w:color w:val="auto"/>
                <w:sz w:val="24"/>
                <w:highlight w:val="none"/>
              </w:rPr>
              <w:t>（</w:t>
            </w:r>
            <w:r>
              <w:rPr>
                <w:rFonts w:ascii="仿宋" w:hAnsi="仿宋" w:eastAsia="仿宋" w:cs="宋体"/>
                <w:iCs/>
                <w:color w:val="auto"/>
                <w:sz w:val="24"/>
                <w:highlight w:val="none"/>
              </w:rPr>
              <w:t>GB/T28181</w:t>
            </w:r>
            <w:r>
              <w:rPr>
                <w:rFonts w:hint="eastAsia" w:ascii="仿宋" w:hAnsi="仿宋" w:eastAsia="仿宋" w:cs="宋体"/>
                <w:iCs/>
                <w:color w:val="auto"/>
                <w:sz w:val="24"/>
                <w:highlight w:val="none"/>
              </w:rPr>
              <w:t>）</w:t>
            </w:r>
          </w:p>
        </w:tc>
        <w:tc>
          <w:tcPr>
            <w:tcW w:w="485" w:type="pct"/>
            <w:vAlign w:val="center"/>
          </w:tcPr>
          <w:p>
            <w:pPr>
              <w:spacing w:line="360" w:lineRule="auto"/>
              <w:jc w:val="center"/>
              <w:rPr>
                <w:rFonts w:ascii="仿宋" w:hAnsi="仿宋" w:eastAsia="仿宋" w:cs="宋体"/>
                <w:iCs/>
                <w:color w:val="auto"/>
                <w:sz w:val="24"/>
                <w:highlight w:val="none"/>
              </w:rPr>
            </w:pPr>
            <w:r>
              <w:rPr>
                <w:rFonts w:ascii="仿宋" w:hAnsi="仿宋" w:eastAsia="仿宋" w:cs="宋体"/>
                <w:iCs/>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89" w:type="pct"/>
            <w:vAlign w:val="center"/>
          </w:tcPr>
          <w:p>
            <w:pPr>
              <w:spacing w:line="360" w:lineRule="auto"/>
              <w:jc w:val="center"/>
              <w:rPr>
                <w:rFonts w:ascii="仿宋" w:hAnsi="仿宋" w:eastAsia="仿宋" w:cs="宋体"/>
                <w:iCs/>
                <w:color w:val="auto"/>
                <w:sz w:val="24"/>
                <w:highlight w:val="none"/>
              </w:rPr>
            </w:pPr>
            <w:r>
              <w:rPr>
                <w:rFonts w:hint="eastAsia" w:ascii="仿宋" w:hAnsi="仿宋" w:eastAsia="仿宋" w:cs="宋体"/>
                <w:color w:val="auto"/>
                <w:sz w:val="24"/>
                <w:highlight w:val="none"/>
              </w:rPr>
              <w:t>安全密码设备签名验签服务器</w:t>
            </w:r>
          </w:p>
        </w:tc>
        <w:tc>
          <w:tcPr>
            <w:tcW w:w="3624" w:type="pct"/>
            <w:vAlign w:val="center"/>
          </w:tcPr>
          <w:p>
            <w:pPr>
              <w:spacing w:line="360" w:lineRule="auto"/>
              <w:jc w:val="center"/>
              <w:rPr>
                <w:rFonts w:ascii="仿宋" w:hAnsi="仿宋" w:eastAsia="仿宋" w:cs="宋体"/>
                <w:iCs/>
                <w:color w:val="auto"/>
                <w:sz w:val="24"/>
                <w:highlight w:val="none"/>
              </w:rPr>
            </w:pPr>
            <w:r>
              <w:rPr>
                <w:rFonts w:hint="eastAsia" w:ascii="仿宋" w:hAnsi="仿宋" w:eastAsia="仿宋"/>
                <w:color w:val="auto"/>
                <w:sz w:val="24"/>
                <w:highlight w:val="none"/>
              </w:rPr>
              <w:t>具备国家密码管理局出具的商用密码产品认证证书。基于数字证书的身份认证，支持不同</w:t>
            </w:r>
            <w:r>
              <w:rPr>
                <w:rFonts w:ascii="仿宋" w:hAnsi="仿宋" w:eastAsia="仿宋"/>
                <w:color w:val="auto"/>
                <w:sz w:val="24"/>
                <w:highlight w:val="none"/>
              </w:rPr>
              <w:t xml:space="preserve">CA </w:t>
            </w:r>
            <w:r>
              <w:rPr>
                <w:rFonts w:hint="eastAsia" w:ascii="仿宋" w:hAnsi="仿宋" w:eastAsia="仿宋"/>
                <w:color w:val="auto"/>
                <w:sz w:val="24"/>
                <w:highlight w:val="none"/>
              </w:rPr>
              <w:t>的证书验证，提供</w:t>
            </w:r>
            <w:r>
              <w:rPr>
                <w:rFonts w:ascii="仿宋" w:hAnsi="仿宋" w:eastAsia="仿宋"/>
                <w:color w:val="auto"/>
                <w:sz w:val="24"/>
                <w:highlight w:val="none"/>
              </w:rPr>
              <w:t xml:space="preserve">CRL/OCSP </w:t>
            </w:r>
            <w:r>
              <w:rPr>
                <w:rFonts w:hint="eastAsia" w:ascii="仿宋" w:hAnsi="仿宋" w:eastAsia="仿宋"/>
                <w:color w:val="auto"/>
                <w:sz w:val="24"/>
                <w:highlight w:val="none"/>
              </w:rPr>
              <w:t>等多种方式的证书有效性验证。提供</w:t>
            </w:r>
            <w:r>
              <w:rPr>
                <w:rFonts w:ascii="仿宋" w:hAnsi="仿宋" w:eastAsia="仿宋"/>
                <w:color w:val="auto"/>
                <w:sz w:val="24"/>
                <w:highlight w:val="none"/>
              </w:rPr>
              <w:t xml:space="preserve">PKCS1/ PKCS7 attach/PKCS7 detach/XMLSign </w:t>
            </w:r>
            <w:r>
              <w:rPr>
                <w:rFonts w:hint="eastAsia" w:ascii="仿宋" w:hAnsi="仿宋" w:eastAsia="仿宋"/>
                <w:color w:val="auto"/>
                <w:sz w:val="24"/>
                <w:highlight w:val="none"/>
              </w:rPr>
              <w:t>等多种格式的数字签名和数字签名验证功能。对数据进行加密传输，只有指定的信封接收者可以解密数据。对文件提供数字签名和数字签名验证功能。提供</w:t>
            </w:r>
            <w:r>
              <w:rPr>
                <w:rFonts w:ascii="仿宋" w:hAnsi="仿宋" w:eastAsia="仿宋"/>
                <w:color w:val="auto"/>
                <w:sz w:val="24"/>
                <w:highlight w:val="none"/>
              </w:rPr>
              <w:t xml:space="preserve">CRL/OCSP </w:t>
            </w:r>
            <w:r>
              <w:rPr>
                <w:rFonts w:hint="eastAsia" w:ascii="仿宋" w:hAnsi="仿宋" w:eastAsia="仿宋"/>
                <w:color w:val="auto"/>
                <w:sz w:val="24"/>
                <w:highlight w:val="none"/>
              </w:rPr>
              <w:t>等多种方式的证书有效性验证。</w:t>
            </w:r>
          </w:p>
        </w:tc>
        <w:tc>
          <w:tcPr>
            <w:tcW w:w="485" w:type="pct"/>
            <w:vAlign w:val="center"/>
          </w:tcPr>
          <w:p>
            <w:pPr>
              <w:spacing w:line="360" w:lineRule="auto"/>
              <w:jc w:val="center"/>
              <w:rPr>
                <w:rFonts w:ascii="仿宋" w:hAnsi="仿宋" w:eastAsia="仿宋" w:cs="宋体"/>
                <w:iCs/>
                <w:color w:val="auto"/>
                <w:sz w:val="24"/>
                <w:highlight w:val="none"/>
              </w:rPr>
            </w:pPr>
            <w:r>
              <w:rPr>
                <w:rFonts w:ascii="仿宋" w:hAnsi="仿宋" w:eastAsia="仿宋" w:cs="宋体"/>
                <w:iCs/>
                <w:color w:val="auto"/>
                <w:sz w:val="24"/>
                <w:highlight w:val="none"/>
              </w:rPr>
              <w:t>1</w:t>
            </w:r>
          </w:p>
        </w:tc>
      </w:tr>
    </w:tbl>
    <w:p>
      <w:pPr>
        <w:pStyle w:val="4"/>
        <w:spacing w:before="120" w:after="120"/>
        <w:rPr>
          <w:rFonts w:ascii="仿宋" w:hAnsi="仿宋" w:eastAsia="仿宋"/>
          <w:color w:val="auto"/>
          <w:sz w:val="24"/>
          <w:szCs w:val="24"/>
          <w:highlight w:val="none"/>
        </w:rPr>
      </w:pPr>
      <w:bookmarkStart w:id="253" w:name="_Toc32606"/>
      <w:bookmarkStart w:id="254" w:name="_Toc10900"/>
      <w:bookmarkStart w:id="255" w:name="_Toc29968"/>
      <w:r>
        <w:rPr>
          <w:rFonts w:hint="eastAsia" w:ascii="仿宋" w:hAnsi="仿宋" w:eastAsia="仿宋"/>
          <w:color w:val="auto"/>
          <w:sz w:val="24"/>
          <w:szCs w:val="24"/>
          <w:highlight w:val="none"/>
        </w:rPr>
        <w:t>四、投标</w:t>
      </w:r>
      <w:bookmarkEnd w:id="253"/>
      <w:r>
        <w:rPr>
          <w:rFonts w:hint="eastAsia" w:ascii="仿宋" w:hAnsi="仿宋" w:eastAsia="仿宋"/>
          <w:color w:val="auto"/>
          <w:sz w:val="24"/>
          <w:szCs w:val="24"/>
          <w:highlight w:val="none"/>
        </w:rPr>
        <w:t>认证</w:t>
      </w:r>
      <w:bookmarkEnd w:id="254"/>
      <w:bookmarkEnd w:id="255"/>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kern w:val="0"/>
          <w:sz w:val="24"/>
          <w:highlight w:val="none"/>
        </w:rPr>
        <w:t>有效期内IT服务管理体系认证证书、信息安全管理体系认证证书。</w:t>
      </w:r>
    </w:p>
    <w:p>
      <w:pPr>
        <w:snapToGrid w:val="0"/>
        <w:spacing w:line="360" w:lineRule="auto"/>
        <w:outlineLvl w:val="1"/>
        <w:rPr>
          <w:rFonts w:ascii="仿宋" w:hAnsi="仿宋" w:eastAsia="仿宋"/>
          <w:b/>
          <w:bCs/>
          <w:color w:val="auto"/>
          <w:sz w:val="24"/>
          <w:highlight w:val="none"/>
        </w:rPr>
      </w:pPr>
      <w:bookmarkStart w:id="256" w:name="_Toc28301"/>
      <w:bookmarkStart w:id="257" w:name="_Toc16889"/>
      <w:bookmarkStart w:id="258" w:name="_Toc22908"/>
      <w:r>
        <w:rPr>
          <w:rFonts w:hint="eastAsia" w:ascii="仿宋" w:hAnsi="仿宋" w:eastAsia="仿宋"/>
          <w:b/>
          <w:bCs/>
          <w:color w:val="auto"/>
          <w:sz w:val="24"/>
          <w:highlight w:val="none"/>
        </w:rPr>
        <w:t>五、人员要求</w:t>
      </w:r>
      <w:bookmarkEnd w:id="256"/>
      <w:bookmarkEnd w:id="257"/>
      <w:bookmarkEnd w:id="258"/>
    </w:p>
    <w:p>
      <w:pPr>
        <w:pStyle w:val="119"/>
        <w:ind w:firstLine="480" w:firstLineChars="200"/>
        <w:rPr>
          <w:color w:val="auto"/>
          <w:highlight w:val="none"/>
        </w:rPr>
      </w:pPr>
      <w:r>
        <w:rPr>
          <w:color w:val="auto"/>
          <w:highlight w:val="none"/>
        </w:rPr>
        <w:t>1</w:t>
      </w:r>
      <w:r>
        <w:rPr>
          <w:rFonts w:hint="eastAsia"/>
          <w:color w:val="auto"/>
          <w:highlight w:val="none"/>
        </w:rPr>
        <w:t>、项目负责人：具有信息系统项目管理师证书、IT服务项目经理证书；</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2、技术负责人：具有系统分析师证书、系统架构设计师证书；</w:t>
      </w:r>
    </w:p>
    <w:p>
      <w:pPr>
        <w:pStyle w:val="119"/>
        <w:ind w:firstLine="480" w:firstLineChars="200"/>
        <w:rPr>
          <w:color w:val="auto"/>
          <w:highlight w:val="none"/>
        </w:rPr>
      </w:pPr>
      <w:bookmarkStart w:id="259" w:name="_Toc16886"/>
      <w:r>
        <w:rPr>
          <w:rFonts w:hint="eastAsia"/>
          <w:color w:val="auto"/>
          <w:highlight w:val="none"/>
        </w:rPr>
        <w:t>3、项目实施团队成员中（项目负责人及技术负责人除外）不少于</w:t>
      </w:r>
      <w:r>
        <w:rPr>
          <w:color w:val="auto"/>
          <w:highlight w:val="none"/>
        </w:rPr>
        <w:t>14</w:t>
      </w:r>
      <w:r>
        <w:rPr>
          <w:rFonts w:hint="eastAsia"/>
          <w:color w:val="auto"/>
          <w:highlight w:val="none"/>
        </w:rPr>
        <w:t>人。项目实施团队成员中（项目负责人及技术负责人除外）：具备系统分析师证书、系统规划与管理师证书、网络工程师证书、数据库系统工程师证书、软件评测师证书、系统架构设计师证书、信息安全保障人员认证（风险管理专业级）证书。</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六、项目售后服务保障要求</w:t>
      </w:r>
      <w:bookmarkEnd w:id="259"/>
    </w:p>
    <w:p>
      <w:pPr>
        <w:spacing w:line="360" w:lineRule="auto"/>
        <w:ind w:firstLine="480" w:firstLineChars="200"/>
        <w:jc w:val="left"/>
        <w:rPr>
          <w:rFonts w:ascii="仿宋" w:hAnsi="仿宋" w:eastAsia="仿宋" w:cs="宋体"/>
          <w:bCs/>
          <w:color w:val="auto"/>
          <w:sz w:val="24"/>
          <w:highlight w:val="none"/>
        </w:rPr>
      </w:pPr>
      <w:bookmarkStart w:id="260" w:name="_Hlk103617867"/>
      <w:r>
        <w:rPr>
          <w:rFonts w:hint="eastAsia" w:ascii="仿宋" w:hAnsi="仿宋" w:eastAsia="仿宋" w:cs="宋体"/>
          <w:bCs/>
          <w:color w:val="auto"/>
          <w:sz w:val="24"/>
          <w:highlight w:val="none"/>
        </w:rPr>
        <w:t>1、软件维护期：自通过验收合格之日起软硬件免费维护期</w:t>
      </w:r>
      <w:r>
        <w:rPr>
          <w:rFonts w:ascii="仿宋" w:hAnsi="仿宋" w:eastAsia="仿宋" w:cs="宋体"/>
          <w:bCs/>
          <w:color w:val="auto"/>
          <w:sz w:val="24"/>
          <w:highlight w:val="none"/>
        </w:rPr>
        <w:t>1</w:t>
      </w:r>
      <w:r>
        <w:rPr>
          <w:rFonts w:hint="eastAsia" w:ascii="仿宋" w:hAnsi="仿宋" w:eastAsia="仿宋" w:cs="宋体"/>
          <w:bCs/>
          <w:color w:val="auto"/>
          <w:sz w:val="24"/>
          <w:highlight w:val="none"/>
        </w:rPr>
        <w:t>年。</w:t>
      </w:r>
    </w:p>
    <w:p>
      <w:pPr>
        <w:spacing w:line="360" w:lineRule="auto"/>
        <w:ind w:firstLine="480" w:firstLineChars="200"/>
        <w:jc w:val="left"/>
        <w:rPr>
          <w:rFonts w:ascii="仿宋" w:hAnsi="仿宋" w:eastAsia="仿宋" w:cs="宋体"/>
          <w:bCs/>
          <w:color w:val="auto"/>
          <w:sz w:val="24"/>
          <w:highlight w:val="none"/>
        </w:rPr>
      </w:pPr>
      <w:r>
        <w:rPr>
          <w:rFonts w:hint="eastAsia" w:ascii="仿宋" w:hAnsi="仿宋" w:eastAsia="仿宋" w:cs="宋体"/>
          <w:bCs/>
          <w:color w:val="auto"/>
          <w:sz w:val="24"/>
          <w:highlight w:val="none"/>
        </w:rPr>
        <w:t>2、软件维护期内提供不少于2人驻场服务。</w:t>
      </w:r>
    </w:p>
    <w:p>
      <w:pPr>
        <w:spacing w:line="360" w:lineRule="auto"/>
        <w:ind w:firstLine="480" w:firstLineChars="200"/>
        <w:jc w:val="left"/>
        <w:rPr>
          <w:rFonts w:ascii="仿宋" w:hAnsi="仿宋" w:eastAsia="仿宋" w:cs="宋体"/>
          <w:bCs/>
          <w:color w:val="auto"/>
          <w:sz w:val="24"/>
          <w:highlight w:val="none"/>
        </w:rPr>
      </w:pPr>
      <w:r>
        <w:rPr>
          <w:rFonts w:ascii="仿宋" w:hAnsi="仿宋" w:eastAsia="仿宋" w:cs="宋体"/>
          <w:bCs/>
          <w:color w:val="auto"/>
          <w:sz w:val="24"/>
          <w:highlight w:val="none"/>
        </w:rPr>
        <w:t>3</w:t>
      </w:r>
      <w:r>
        <w:rPr>
          <w:rFonts w:hint="eastAsia" w:ascii="仿宋" w:hAnsi="仿宋" w:eastAsia="仿宋" w:cs="宋体"/>
          <w:bCs/>
          <w:color w:val="auto"/>
          <w:sz w:val="24"/>
          <w:highlight w:val="none"/>
        </w:rPr>
        <w:t>、系统日常运维，应包括应用软件修改和升级服务、故障处理、故障修复、应急服务等内容。维护期内，投标人应提供不低于7*24小时的现场质保和技术支持服务，若发生紧急故障，需在30分钟内做出响应、2小时内派技术人员到现场，8小时内排除。</w:t>
      </w:r>
    </w:p>
    <w:bookmarkEnd w:id="260"/>
    <w:p>
      <w:pPr>
        <w:keepNext/>
        <w:keepLines/>
        <w:tabs>
          <w:tab w:val="left" w:pos="706"/>
          <w:tab w:val="left" w:pos="1110"/>
        </w:tabs>
        <w:spacing w:line="360" w:lineRule="auto"/>
        <w:outlineLvl w:val="1"/>
        <w:rPr>
          <w:rFonts w:ascii="仿宋" w:hAnsi="仿宋" w:eastAsia="仿宋" w:cs="Arial"/>
          <w:b/>
          <w:bCs/>
          <w:color w:val="auto"/>
          <w:sz w:val="24"/>
          <w:highlight w:val="none"/>
        </w:rPr>
      </w:pPr>
      <w:bookmarkStart w:id="261" w:name="_Toc24268"/>
      <w:bookmarkStart w:id="262" w:name="_Toc13485"/>
      <w:bookmarkStart w:id="263" w:name="_Toc15564"/>
      <w:r>
        <w:rPr>
          <w:rFonts w:hint="eastAsia" w:ascii="仿宋" w:hAnsi="仿宋" w:eastAsia="仿宋" w:cs="Arial"/>
          <w:b/>
          <w:bCs/>
          <w:color w:val="auto"/>
          <w:sz w:val="24"/>
          <w:highlight w:val="none"/>
        </w:rPr>
        <w:t>七、服务标准</w:t>
      </w:r>
      <w:bookmarkEnd w:id="261"/>
      <w:bookmarkEnd w:id="262"/>
      <w:bookmarkEnd w:id="263"/>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2、中国国家标准及其它被普遍认可的标准，由采购人认可的其他国家的其他权威标准；原有规范若已被废弃，则以相应的新规范为准。</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3、供应商提供的产品必须满足采购文件中提出的相关技术要求。</w:t>
      </w:r>
    </w:p>
    <w:p>
      <w:pPr>
        <w:spacing w:line="360" w:lineRule="auto"/>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4．供应商提供的成果应是无任何质量缺陷、技术成熟，符合国家现行规范/标准要求。</w:t>
      </w:r>
    </w:p>
    <w:p>
      <w:pPr>
        <w:keepNext/>
        <w:keepLines/>
        <w:tabs>
          <w:tab w:val="left" w:pos="706"/>
          <w:tab w:val="left" w:pos="1110"/>
        </w:tabs>
        <w:spacing w:line="360" w:lineRule="auto"/>
        <w:outlineLvl w:val="1"/>
        <w:rPr>
          <w:rFonts w:ascii="仿宋" w:hAnsi="仿宋" w:eastAsia="仿宋" w:cs="Arial"/>
          <w:b/>
          <w:bCs/>
          <w:color w:val="auto"/>
          <w:sz w:val="24"/>
          <w:highlight w:val="none"/>
        </w:rPr>
      </w:pPr>
      <w:bookmarkStart w:id="264" w:name="_Toc18516"/>
      <w:bookmarkStart w:id="265" w:name="_Toc22873"/>
      <w:r>
        <w:rPr>
          <w:rFonts w:hint="eastAsia" w:ascii="仿宋" w:hAnsi="仿宋" w:eastAsia="仿宋" w:cs="Arial"/>
          <w:b/>
          <w:bCs/>
          <w:color w:val="auto"/>
          <w:sz w:val="24"/>
          <w:highlight w:val="none"/>
        </w:rPr>
        <w:t>八、验收</w:t>
      </w:r>
      <w:bookmarkEnd w:id="264"/>
      <w:bookmarkEnd w:id="265"/>
    </w:p>
    <w:p>
      <w:pPr>
        <w:pStyle w:val="965"/>
        <w:ind w:firstLine="480"/>
        <w:rPr>
          <w:rFonts w:ascii="仿宋" w:hAnsi="仿宋" w:eastAsia="仿宋" w:cs="仿宋"/>
          <w:color w:val="auto"/>
          <w:highlight w:val="none"/>
        </w:rPr>
      </w:pPr>
      <w:bookmarkStart w:id="266" w:name="_Toc9028"/>
      <w:bookmarkStart w:id="267" w:name="_Hlk102914293"/>
      <w:r>
        <w:rPr>
          <w:rFonts w:ascii="仿宋" w:hAnsi="仿宋" w:eastAsia="仿宋" w:cs="仿宋"/>
          <w:color w:val="auto"/>
          <w:highlight w:val="none"/>
        </w:rPr>
        <w:t>1</w:t>
      </w:r>
      <w:r>
        <w:rPr>
          <w:rFonts w:hint="eastAsia" w:ascii="仿宋" w:hAnsi="仿宋" w:eastAsia="仿宋" w:cs="仿宋"/>
          <w:color w:val="auto"/>
          <w:highlight w:val="none"/>
        </w:rPr>
        <w:t>、验收组织和程序</w:t>
      </w:r>
      <w:bookmarkEnd w:id="266"/>
    </w:p>
    <w:p>
      <w:pPr>
        <w:pStyle w:val="96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1）根据《中华人民共和国政府采购法》、《中华人民共和国民法典》、《中华</w:t>
      </w:r>
      <w:r>
        <w:rPr>
          <w:rFonts w:hint="eastAsia" w:ascii="仿宋" w:hAnsi="仿宋" w:eastAsia="仿宋" w:cs="仿宋"/>
          <w:color w:val="auto"/>
          <w:highlight w:val="none"/>
        </w:rPr>
        <w:t>人民共和国政府采购法实施条例》、财政部《财政部关于进一步加强政府采购需求和履约验收管理的指导意见》（财库</w:t>
      </w:r>
      <w:r>
        <w:rPr>
          <w:rFonts w:ascii="仿宋" w:hAnsi="仿宋" w:eastAsia="仿宋" w:cs="仿宋"/>
          <w:color w:val="auto"/>
          <w:highlight w:val="none"/>
        </w:rPr>
        <w:t>[2016]205号）、杭州市财政局《杭州市政府采购履约验收暂行办法》（</w:t>
      </w:r>
      <w:r>
        <w:rPr>
          <w:rFonts w:hint="eastAsia" w:ascii="仿宋" w:hAnsi="仿宋" w:eastAsia="仿宋" w:cs="仿宋"/>
          <w:color w:val="auto"/>
          <w:highlight w:val="none"/>
        </w:rPr>
        <w:t>杭财采监</w:t>
      </w:r>
      <w:r>
        <w:rPr>
          <w:rFonts w:ascii="仿宋" w:hAnsi="仿宋" w:eastAsia="仿宋" w:cs="仿宋"/>
          <w:color w:val="auto"/>
          <w:highlight w:val="none"/>
        </w:rPr>
        <w:t>[2019]10号）等相关法律、法规、规范性文件要求组织验收。</w:t>
      </w:r>
    </w:p>
    <w:p>
      <w:pPr>
        <w:pStyle w:val="96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2）验收方法：验收小组验收。</w:t>
      </w:r>
    </w:p>
    <w:p>
      <w:pPr>
        <w:pStyle w:val="96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3）验收小组组建方式：</w:t>
      </w:r>
      <w:r>
        <w:rPr>
          <w:rFonts w:hint="eastAsia" w:ascii="仿宋" w:hAnsi="仿宋" w:eastAsia="仿宋" w:cs="仿宋"/>
          <w:color w:val="auto"/>
          <w:highlight w:val="none"/>
        </w:rPr>
        <w:t>项目验收负责人组织</w:t>
      </w:r>
      <w:r>
        <w:rPr>
          <w:rFonts w:ascii="仿宋" w:hAnsi="仿宋" w:eastAsia="仿宋" w:cs="仿宋"/>
          <w:color w:val="auto"/>
          <w:highlight w:val="none"/>
        </w:rPr>
        <w:t>验收小组，验收小组由</w:t>
      </w:r>
      <w:r>
        <w:rPr>
          <w:rFonts w:hint="eastAsia" w:ascii="仿宋" w:hAnsi="仿宋" w:eastAsia="仿宋" w:cs="仿宋"/>
          <w:color w:val="auto"/>
          <w:highlight w:val="none"/>
        </w:rPr>
        <w:t>相关</w:t>
      </w:r>
      <w:r>
        <w:rPr>
          <w:rFonts w:ascii="仿宋" w:hAnsi="仿宋" w:eastAsia="仿宋" w:cs="仿宋"/>
          <w:color w:val="auto"/>
          <w:highlight w:val="none"/>
        </w:rPr>
        <w:t>专家和用户代表</w:t>
      </w:r>
      <w:r>
        <w:rPr>
          <w:rFonts w:hint="eastAsia" w:ascii="仿宋" w:hAnsi="仿宋" w:eastAsia="仿宋" w:cs="仿宋"/>
          <w:color w:val="auto"/>
          <w:highlight w:val="none"/>
        </w:rPr>
        <w:t>按相关规定</w:t>
      </w:r>
      <w:r>
        <w:rPr>
          <w:rFonts w:ascii="仿宋" w:hAnsi="仿宋" w:eastAsia="仿宋" w:cs="仿宋"/>
          <w:color w:val="auto"/>
          <w:highlight w:val="none"/>
        </w:rPr>
        <w:t>组成。验收小组负责实施具体的验收活动。采购人可以邀请其他单位的相关专业人员参加验收小组。验收小组推选一名组长，主持验收小组的工作。</w:t>
      </w:r>
      <w:r>
        <w:rPr>
          <w:rFonts w:hint="eastAsia" w:ascii="仿宋" w:hAnsi="仿宋" w:eastAsia="仿宋" w:cs="仿宋"/>
          <w:color w:val="auto"/>
          <w:highlight w:val="none"/>
        </w:rPr>
        <w:t xml:space="preserve"> </w:t>
      </w:r>
    </w:p>
    <w:p>
      <w:pPr>
        <w:pStyle w:val="96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4）验收流程：</w:t>
      </w:r>
    </w:p>
    <w:p>
      <w:pPr>
        <w:pStyle w:val="965"/>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项目验收负责人</w:t>
      </w:r>
      <w:r>
        <w:rPr>
          <w:rFonts w:ascii="仿宋" w:hAnsi="仿宋" w:eastAsia="仿宋" w:cs="仿宋"/>
          <w:color w:val="auto"/>
          <w:highlight w:val="none"/>
        </w:rPr>
        <w:t>根据验收方案组织验收小组现场验收，并准备验收材料并通知各验收参与方在指定时间指定地点联合验收，包括采购人、供应商、验收小组、其他验收参与方等。</w:t>
      </w:r>
    </w:p>
    <w:p>
      <w:pPr>
        <w:pStyle w:val="965"/>
        <w:ind w:firstLine="480"/>
        <w:rPr>
          <w:rFonts w:ascii="仿宋" w:hAnsi="仿宋" w:eastAsia="仿宋" w:cs="仿宋"/>
          <w:color w:val="auto"/>
          <w:highlight w:val="none"/>
        </w:rPr>
      </w:pPr>
      <w:r>
        <w:rPr>
          <w:rFonts w:ascii="仿宋" w:hAnsi="仿宋" w:eastAsia="仿宋" w:cs="仿宋"/>
          <w:color w:val="auto"/>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仿宋" w:hAnsi="仿宋" w:eastAsia="仿宋" w:cs="仿宋"/>
          <w:color w:val="auto"/>
          <w:highlight w:val="none"/>
        </w:rPr>
        <w:t>作出实质性修改的，应当报经采购人同意。</w:t>
      </w:r>
    </w:p>
    <w:p>
      <w:pPr>
        <w:pStyle w:val="965"/>
        <w:ind w:firstLine="480"/>
        <w:rPr>
          <w:rFonts w:ascii="仿宋" w:hAnsi="仿宋" w:eastAsia="仿宋" w:cs="仿宋"/>
          <w:color w:val="auto"/>
          <w:highlight w:val="none"/>
        </w:rPr>
      </w:pPr>
      <w:r>
        <w:rPr>
          <w:rFonts w:ascii="仿宋" w:hAnsi="仿宋" w:eastAsia="仿宋" w:cs="仿宋"/>
          <w:color w:val="auto"/>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pPr>
        <w:pStyle w:val="965"/>
        <w:ind w:firstLine="480"/>
        <w:rPr>
          <w:rFonts w:ascii="仿宋" w:hAnsi="仿宋" w:eastAsia="仿宋" w:cs="仿宋"/>
          <w:color w:val="auto"/>
          <w:highlight w:val="none"/>
        </w:rPr>
      </w:pPr>
      <w:r>
        <w:rPr>
          <w:rFonts w:ascii="仿宋" w:hAnsi="仿宋" w:eastAsia="仿宋" w:cs="仿宋"/>
          <w:color w:val="auto"/>
          <w:highlight w:val="none"/>
        </w:rPr>
        <w:t>4）出具验收报告。验收结束后，验收小组应当出具验收报告，报告采购人。验收报告应当根据验收方案制作，以书面形式</w:t>
      </w:r>
      <w:r>
        <w:rPr>
          <w:rFonts w:hint="eastAsia" w:ascii="仿宋" w:hAnsi="仿宋" w:eastAsia="仿宋" w:cs="仿宋"/>
          <w:color w:val="auto"/>
          <w:highlight w:val="none"/>
        </w:rPr>
        <w:t>作出结论性意见，并经验收小组全体成员签字。验收小组成员对验收报告载明的结论有异议的，应当在验收报告上签署不同意并说明理由，否则视为同意验收结论。</w:t>
      </w:r>
    </w:p>
    <w:p>
      <w:pPr>
        <w:pStyle w:val="965"/>
        <w:ind w:firstLine="480"/>
        <w:rPr>
          <w:rFonts w:ascii="仿宋" w:hAnsi="仿宋" w:eastAsia="仿宋" w:cs="仿宋"/>
          <w:color w:val="auto"/>
          <w:highlight w:val="none"/>
        </w:rPr>
      </w:pPr>
      <w:r>
        <w:rPr>
          <w:rFonts w:ascii="仿宋" w:hAnsi="仿宋" w:eastAsia="仿宋" w:cs="仿宋"/>
          <w:color w:val="auto"/>
          <w:highlight w:val="none"/>
        </w:rPr>
        <w:t>5）验收不合格的，采购人应责令供应商采取补救措施，向供应商发出整改通知书，并依法及时处理。整改结束后，由供应商通知采购人或其委托的验收组织机构重新验收。</w:t>
      </w:r>
    </w:p>
    <w:p>
      <w:pPr>
        <w:pStyle w:val="2"/>
        <w:spacing w:line="360" w:lineRule="auto"/>
        <w:rPr>
          <w:rFonts w:ascii="仿宋" w:hAnsi="仿宋" w:eastAsia="仿宋" w:cs="宋体"/>
          <w:color w:val="auto"/>
          <w:highlight w:val="none"/>
        </w:rPr>
      </w:pPr>
      <w:bookmarkStart w:id="268" w:name="_Toc8526"/>
      <w:r>
        <w:rPr>
          <w:rFonts w:hint="eastAsia" w:ascii="仿宋" w:hAnsi="仿宋" w:eastAsia="仿宋" w:cs="宋体"/>
          <w:color w:val="auto"/>
          <w:highlight w:val="none"/>
        </w:rPr>
        <w:t>2、履约验收内容</w:t>
      </w:r>
      <w:bookmarkEnd w:id="268"/>
    </w:p>
    <w:p>
      <w:pPr>
        <w:pStyle w:val="965"/>
        <w:ind w:firstLine="480"/>
        <w:rPr>
          <w:rFonts w:ascii="仿宋" w:hAnsi="仿宋" w:eastAsia="仿宋" w:cs="仿宋"/>
          <w:color w:val="auto"/>
          <w:highlight w:val="none"/>
        </w:rPr>
      </w:pPr>
      <w:bookmarkStart w:id="269" w:name="_Toc354"/>
      <w:r>
        <w:rPr>
          <w:rFonts w:hint="eastAsia" w:ascii="仿宋" w:hAnsi="仿宋" w:eastAsia="仿宋" w:cs="仿宋"/>
          <w:color w:val="auto"/>
          <w:highlight w:val="none"/>
        </w:rPr>
        <w:t>（1）技术履约内容</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after="120"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ascii="仿宋" w:hAnsi="仿宋" w:eastAsia="仿宋" w:cs="仿宋"/>
          <w:color w:val="auto"/>
          <w:highlight w:val="none"/>
        </w:rPr>
        <w:t>拟投服务团队人员全部到位，与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965"/>
        <w:ind w:firstLine="480"/>
        <w:rPr>
          <w:rFonts w:ascii="仿宋" w:hAnsi="仿宋" w:eastAsia="仿宋" w:cs="仿宋"/>
          <w:color w:val="auto"/>
          <w:highlight w:val="none"/>
        </w:rPr>
      </w:pPr>
      <w:r>
        <w:rPr>
          <w:rFonts w:hint="eastAsia" w:ascii="仿宋" w:hAnsi="仿宋" w:eastAsia="仿宋" w:cs="仿宋"/>
          <w:color w:val="auto"/>
          <w:highlight w:val="none"/>
        </w:rPr>
        <w:t>（2）商务履约内容</w:t>
      </w:r>
    </w:p>
    <w:p>
      <w:pPr>
        <w:pStyle w:val="997"/>
        <w:spacing w:after="120" w:line="360" w:lineRule="auto"/>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）服务周期满足采购要求。</w:t>
      </w:r>
    </w:p>
    <w:p>
      <w:pPr>
        <w:pStyle w:val="997"/>
        <w:spacing w:after="120"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w:t>
      </w:r>
      <w:bookmarkEnd w:id="269"/>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after="120"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ascii="仿宋" w:hAnsi="仿宋" w:eastAsia="仿宋" w:cs="仿宋"/>
          <w:color w:val="auto"/>
          <w:highlight w:val="none"/>
        </w:rPr>
        <w:t>拟投服务团队人员全部到位，与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）项目验收资料齐全；</w:t>
      </w:r>
    </w:p>
    <w:p>
      <w:pPr>
        <w:spacing w:line="360" w:lineRule="auto"/>
        <w:ind w:firstLine="480" w:firstLineChars="200"/>
        <w:jc w:val="left"/>
        <w:rPr>
          <w:rFonts w:ascii="仿宋" w:hAnsi="仿宋" w:eastAsia="仿宋" w:cs="仿宋"/>
          <w:color w:val="auto"/>
          <w:sz w:val="24"/>
          <w:highlight w:val="none"/>
        </w:rPr>
      </w:pPr>
      <w:bookmarkStart w:id="270" w:name="_Toc24191"/>
      <w:bookmarkStart w:id="271" w:name="_Toc100838239"/>
      <w:r>
        <w:rPr>
          <w:rFonts w:hint="eastAsia" w:ascii="仿宋" w:hAnsi="仿宋" w:eastAsia="仿宋" w:cs="仿宋"/>
          <w:color w:val="auto"/>
          <w:sz w:val="24"/>
          <w:highlight w:val="none"/>
        </w:rPr>
        <w:t>4、履约验收其他事项</w:t>
      </w:r>
      <w:bookmarkEnd w:id="270"/>
      <w:bookmarkEnd w:id="271"/>
    </w:p>
    <w:p>
      <w:pPr>
        <w:pStyle w:val="997"/>
        <w:spacing w:after="120"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w:t>
      </w:r>
      <w:r>
        <w:rPr>
          <w:rFonts w:ascii="仿宋" w:hAnsi="仿宋" w:eastAsia="仿宋" w:cs="仿宋"/>
          <w:color w:val="auto"/>
          <w:sz w:val="24"/>
          <w:szCs w:val="24"/>
          <w:highlight w:val="none"/>
        </w:rPr>
        <w:t>要求整改的，采购人有权拒绝验收，供应商应承担相应的违约责任。</w:t>
      </w:r>
    </w:p>
    <w:p>
      <w:pPr>
        <w:pStyle w:val="997"/>
        <w:spacing w:after="120"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ascii="仿宋" w:hAnsi="仿宋" w:eastAsia="仿宋" w:cs="仿宋"/>
          <w:color w:val="auto"/>
          <w:sz w:val="24"/>
          <w:szCs w:val="24"/>
          <w:highlight w:val="none"/>
        </w:rPr>
        <w:t>供应商服务成果未通过采购人验收，采购人有权要求供应商进行整改，相关费用</w:t>
      </w:r>
      <w:r>
        <w:rPr>
          <w:rFonts w:hint="eastAsia" w:ascii="仿宋" w:hAnsi="仿宋" w:eastAsia="仿宋" w:cs="仿宋"/>
          <w:color w:val="auto"/>
          <w:sz w:val="24"/>
          <w:szCs w:val="24"/>
          <w:highlight w:val="none"/>
        </w:rPr>
        <w:t>（包括但不限于重新组织验收等费用）</w:t>
      </w:r>
      <w:r>
        <w:rPr>
          <w:rFonts w:ascii="仿宋" w:hAnsi="仿宋" w:eastAsia="仿宋" w:cs="仿宋"/>
          <w:color w:val="auto"/>
          <w:sz w:val="24"/>
          <w:szCs w:val="24"/>
          <w:highlight w:val="none"/>
        </w:rPr>
        <w:t>由供应商承担；如供应商</w:t>
      </w:r>
      <w:r>
        <w:rPr>
          <w:rFonts w:hint="eastAsia" w:ascii="仿宋" w:hAnsi="仿宋" w:eastAsia="仿宋" w:cs="仿宋"/>
          <w:color w:val="auto"/>
          <w:sz w:val="24"/>
          <w:szCs w:val="24"/>
          <w:highlight w:val="none"/>
        </w:rPr>
        <w:t>未在采购人要求期限内整改或整改后仍不合格或已经无法整改的，采购人有权要求供应商承担相应的违约责任。</w:t>
      </w:r>
    </w:p>
    <w:bookmarkEnd w:id="236"/>
    <w:bookmarkEnd w:id="267"/>
    <w:p>
      <w:pPr>
        <w:pStyle w:val="3"/>
        <w:jc w:val="center"/>
        <w:rPr>
          <w:rFonts w:ascii="仿宋" w:hAnsi="仿宋" w:eastAsia="仿宋" w:cs="仿宋_GB2312"/>
          <w:color w:val="auto"/>
          <w:szCs w:val="36"/>
          <w:highlight w:val="none"/>
        </w:rPr>
      </w:pPr>
      <w:r>
        <w:rPr>
          <w:rFonts w:ascii="仿宋" w:hAnsi="仿宋" w:eastAsia="仿宋" w:cs="仿宋_GB2312"/>
          <w:color w:val="auto"/>
          <w:sz w:val="24"/>
          <w:szCs w:val="24"/>
          <w:highlight w:val="none"/>
        </w:rPr>
        <w:br w:type="page"/>
      </w:r>
      <w:bookmarkStart w:id="272" w:name="_Toc670907605"/>
      <w:bookmarkStart w:id="273" w:name="_Toc20840"/>
      <w:bookmarkStart w:id="274" w:name="_Toc15073"/>
      <w:bookmarkStart w:id="275" w:name="_Toc13818"/>
      <w:bookmarkStart w:id="276" w:name="_Toc16047"/>
      <w:bookmarkStart w:id="277" w:name="_Toc95312971"/>
      <w:bookmarkStart w:id="278" w:name="_Toc9544"/>
      <w:bookmarkStart w:id="279" w:name="_Toc11202"/>
      <w:r>
        <w:rPr>
          <w:rFonts w:hint="eastAsia" w:ascii="仿宋" w:hAnsi="仿宋" w:eastAsia="仿宋" w:cstheme="minorEastAsia"/>
          <w:color w:val="auto"/>
          <w:sz w:val="44"/>
          <w:highlight w:val="none"/>
        </w:rPr>
        <w:t xml:space="preserve">第四部分 </w:t>
      </w:r>
      <w:bookmarkStart w:id="280" w:name="_Toc184313264"/>
      <w:bookmarkEnd w:id="280"/>
      <w:bookmarkStart w:id="281" w:name="_Toc184310305"/>
      <w:bookmarkEnd w:id="281"/>
      <w:bookmarkStart w:id="282" w:name="_Toc184312078"/>
      <w:bookmarkEnd w:id="282"/>
      <w:bookmarkStart w:id="283" w:name="_Toc184312132"/>
      <w:bookmarkEnd w:id="283"/>
      <w:bookmarkStart w:id="284" w:name="_Toc184313251"/>
      <w:bookmarkEnd w:id="284"/>
      <w:bookmarkStart w:id="285" w:name="_Toc184314451"/>
      <w:bookmarkEnd w:id="285"/>
      <w:bookmarkStart w:id="286" w:name="_Toc184314474"/>
      <w:bookmarkEnd w:id="286"/>
      <w:bookmarkStart w:id="287" w:name="_Toc184313295"/>
      <w:bookmarkEnd w:id="287"/>
      <w:bookmarkStart w:id="288" w:name="_Toc184310326"/>
      <w:bookmarkEnd w:id="288"/>
      <w:bookmarkStart w:id="289" w:name="_Toc184313263"/>
      <w:bookmarkEnd w:id="289"/>
      <w:bookmarkStart w:id="290" w:name="_Toc184313307"/>
      <w:bookmarkEnd w:id="290"/>
      <w:bookmarkStart w:id="291" w:name="_Toc184308056"/>
      <w:bookmarkEnd w:id="291"/>
      <w:bookmarkStart w:id="292" w:name="_Toc184313277"/>
      <w:bookmarkEnd w:id="292"/>
      <w:bookmarkStart w:id="293" w:name="_Toc184313284"/>
      <w:bookmarkEnd w:id="293"/>
      <w:bookmarkStart w:id="294" w:name="_Toc184313310"/>
      <w:bookmarkEnd w:id="294"/>
      <w:bookmarkStart w:id="295" w:name="_Toc184313294"/>
      <w:bookmarkEnd w:id="295"/>
      <w:bookmarkStart w:id="296" w:name="_Toc184312110"/>
      <w:bookmarkEnd w:id="296"/>
      <w:bookmarkStart w:id="297" w:name="_Toc184313296"/>
      <w:bookmarkEnd w:id="297"/>
      <w:bookmarkStart w:id="298" w:name="_Toc184314429"/>
      <w:bookmarkEnd w:id="298"/>
      <w:bookmarkStart w:id="299" w:name="_Toc184310296"/>
      <w:bookmarkEnd w:id="299"/>
      <w:bookmarkStart w:id="300" w:name="_Toc184313280"/>
      <w:bookmarkEnd w:id="300"/>
      <w:bookmarkStart w:id="301" w:name="_Toc184314415"/>
      <w:bookmarkEnd w:id="301"/>
      <w:bookmarkStart w:id="302" w:name="_Toc184310275"/>
      <w:bookmarkEnd w:id="302"/>
      <w:bookmarkStart w:id="303" w:name="_Toc184312125"/>
      <w:bookmarkEnd w:id="303"/>
      <w:bookmarkStart w:id="304" w:name="_Toc184313267"/>
      <w:bookmarkEnd w:id="304"/>
      <w:bookmarkStart w:id="305" w:name="_Toc184312088"/>
      <w:bookmarkEnd w:id="305"/>
      <w:bookmarkStart w:id="306" w:name="_Toc184310301"/>
      <w:bookmarkEnd w:id="306"/>
      <w:bookmarkStart w:id="307" w:name="_Toc184308078"/>
      <w:bookmarkEnd w:id="307"/>
      <w:bookmarkStart w:id="308" w:name="_Toc184308037"/>
      <w:bookmarkEnd w:id="308"/>
      <w:bookmarkStart w:id="309" w:name="_Toc184308054"/>
      <w:bookmarkEnd w:id="309"/>
      <w:bookmarkStart w:id="310" w:name="_Toc184314411"/>
      <w:bookmarkEnd w:id="310"/>
      <w:bookmarkStart w:id="311" w:name="_Toc184312109"/>
      <w:bookmarkEnd w:id="311"/>
      <w:bookmarkStart w:id="312" w:name="_Toc184310289"/>
      <w:bookmarkEnd w:id="312"/>
      <w:bookmarkStart w:id="313" w:name="_Toc184313276"/>
      <w:bookmarkEnd w:id="313"/>
      <w:bookmarkStart w:id="314" w:name="_Toc184310298"/>
      <w:bookmarkEnd w:id="314"/>
      <w:bookmarkStart w:id="315" w:name="_Toc184308055"/>
      <w:bookmarkEnd w:id="315"/>
      <w:bookmarkStart w:id="316" w:name="_Toc184314448"/>
      <w:bookmarkEnd w:id="316"/>
      <w:bookmarkStart w:id="317" w:name="_Toc184308047"/>
      <w:bookmarkEnd w:id="317"/>
      <w:bookmarkStart w:id="318" w:name="_Toc184310281"/>
      <w:bookmarkEnd w:id="318"/>
      <w:bookmarkStart w:id="319" w:name="_Toc184314476"/>
      <w:bookmarkEnd w:id="319"/>
      <w:bookmarkStart w:id="320" w:name="_Toc184308073"/>
      <w:bookmarkEnd w:id="320"/>
      <w:bookmarkStart w:id="321" w:name="_Toc184308038"/>
      <w:bookmarkEnd w:id="321"/>
      <w:bookmarkStart w:id="322" w:name="_Toc184308082"/>
      <w:bookmarkEnd w:id="322"/>
      <w:bookmarkStart w:id="323" w:name="_Toc184308103"/>
      <w:bookmarkEnd w:id="323"/>
      <w:bookmarkStart w:id="324" w:name="_Toc184313269"/>
      <w:bookmarkEnd w:id="324"/>
      <w:bookmarkStart w:id="325" w:name="_Toc184314469"/>
      <w:bookmarkEnd w:id="325"/>
      <w:bookmarkStart w:id="326" w:name="_Toc184314418"/>
      <w:bookmarkEnd w:id="326"/>
      <w:bookmarkStart w:id="327" w:name="_Toc184313249"/>
      <w:bookmarkEnd w:id="327"/>
      <w:bookmarkStart w:id="328" w:name="_Toc184314431"/>
      <w:bookmarkEnd w:id="328"/>
      <w:bookmarkStart w:id="329" w:name="_Toc184313272"/>
      <w:bookmarkEnd w:id="329"/>
      <w:bookmarkStart w:id="330" w:name="_Toc184312089"/>
      <w:bookmarkEnd w:id="330"/>
      <w:bookmarkStart w:id="331" w:name="_Toc184312085"/>
      <w:bookmarkEnd w:id="331"/>
      <w:bookmarkStart w:id="332" w:name="_Toc184312133"/>
      <w:bookmarkEnd w:id="332"/>
      <w:bookmarkStart w:id="333" w:name="_Toc184308105"/>
      <w:bookmarkEnd w:id="333"/>
      <w:bookmarkStart w:id="334" w:name="_Toc184308069"/>
      <w:bookmarkEnd w:id="334"/>
      <w:bookmarkStart w:id="335" w:name="_Toc184313279"/>
      <w:bookmarkEnd w:id="335"/>
      <w:bookmarkStart w:id="336" w:name="_Toc184314449"/>
      <w:bookmarkEnd w:id="336"/>
      <w:bookmarkStart w:id="337" w:name="_Toc184313244"/>
      <w:bookmarkEnd w:id="337"/>
      <w:bookmarkStart w:id="338" w:name="_Toc184313266"/>
      <w:bookmarkEnd w:id="338"/>
      <w:bookmarkStart w:id="339" w:name="_Toc184312124"/>
      <w:bookmarkEnd w:id="339"/>
      <w:bookmarkStart w:id="340" w:name="_Toc184310321"/>
      <w:bookmarkEnd w:id="340"/>
      <w:bookmarkStart w:id="341" w:name="_Toc184314445"/>
      <w:bookmarkEnd w:id="341"/>
      <w:bookmarkStart w:id="342" w:name="_Toc184308077"/>
      <w:bookmarkEnd w:id="342"/>
      <w:bookmarkStart w:id="343" w:name="_Toc184312080"/>
      <w:bookmarkEnd w:id="343"/>
      <w:bookmarkStart w:id="344" w:name="_Toc184313286"/>
      <w:bookmarkEnd w:id="344"/>
      <w:bookmarkStart w:id="345" w:name="_Toc184314412"/>
      <w:bookmarkEnd w:id="345"/>
      <w:bookmarkStart w:id="346" w:name="_Toc184312092"/>
      <w:bookmarkEnd w:id="346"/>
      <w:bookmarkStart w:id="347" w:name="_Toc184312086"/>
      <w:bookmarkEnd w:id="347"/>
      <w:bookmarkStart w:id="348" w:name="_Toc184314446"/>
      <w:bookmarkEnd w:id="348"/>
      <w:bookmarkStart w:id="349" w:name="_Toc184313255"/>
      <w:bookmarkEnd w:id="349"/>
      <w:bookmarkStart w:id="350" w:name="_Toc184310277"/>
      <w:bookmarkEnd w:id="350"/>
      <w:bookmarkStart w:id="351" w:name="_Toc184312084"/>
      <w:bookmarkEnd w:id="351"/>
      <w:bookmarkStart w:id="352" w:name="_Toc184314440"/>
      <w:bookmarkEnd w:id="352"/>
      <w:bookmarkStart w:id="353" w:name="_Toc184313254"/>
      <w:bookmarkEnd w:id="353"/>
      <w:bookmarkStart w:id="354" w:name="_Toc184308080"/>
      <w:bookmarkEnd w:id="354"/>
      <w:bookmarkStart w:id="355" w:name="_Toc184312070"/>
      <w:bookmarkEnd w:id="355"/>
      <w:bookmarkStart w:id="356" w:name="_Toc184313273"/>
      <w:bookmarkEnd w:id="356"/>
      <w:bookmarkStart w:id="357" w:name="_Toc184308087"/>
      <w:bookmarkEnd w:id="357"/>
      <w:bookmarkStart w:id="358" w:name="_Toc184314421"/>
      <w:bookmarkEnd w:id="358"/>
      <w:bookmarkStart w:id="359" w:name="_Toc184313275"/>
      <w:bookmarkEnd w:id="359"/>
      <w:bookmarkStart w:id="360" w:name="_Toc184314475"/>
      <w:bookmarkEnd w:id="360"/>
      <w:bookmarkStart w:id="361" w:name="_Toc184312075"/>
      <w:bookmarkEnd w:id="361"/>
      <w:bookmarkStart w:id="362" w:name="_Toc184314467"/>
      <w:bookmarkEnd w:id="362"/>
      <w:bookmarkStart w:id="363" w:name="_Toc184308049"/>
      <w:bookmarkEnd w:id="363"/>
      <w:bookmarkStart w:id="364" w:name="_Toc184313262"/>
      <w:bookmarkEnd w:id="364"/>
      <w:bookmarkStart w:id="365" w:name="_Toc184310307"/>
      <w:bookmarkEnd w:id="365"/>
      <w:bookmarkStart w:id="366" w:name="_Toc184312098"/>
      <w:bookmarkEnd w:id="366"/>
      <w:bookmarkStart w:id="367" w:name="_Toc184313281"/>
      <w:bookmarkEnd w:id="367"/>
      <w:bookmarkStart w:id="368" w:name="_Toc184312119"/>
      <w:bookmarkEnd w:id="368"/>
      <w:bookmarkStart w:id="369" w:name="_Toc184313306"/>
      <w:bookmarkEnd w:id="369"/>
      <w:bookmarkStart w:id="370" w:name="_Toc184312104"/>
      <w:bookmarkEnd w:id="370"/>
      <w:bookmarkStart w:id="371" w:name="_Toc184308060"/>
      <w:bookmarkEnd w:id="371"/>
      <w:bookmarkStart w:id="372" w:name="_Toc184314417"/>
      <w:bookmarkEnd w:id="372"/>
      <w:bookmarkStart w:id="373" w:name="_Toc184308076"/>
      <w:bookmarkEnd w:id="373"/>
      <w:bookmarkStart w:id="374" w:name="_Toc184312099"/>
      <w:bookmarkEnd w:id="374"/>
      <w:bookmarkStart w:id="375" w:name="_Toc184308074"/>
      <w:bookmarkEnd w:id="375"/>
      <w:bookmarkStart w:id="376" w:name="_Toc184313309"/>
      <w:bookmarkEnd w:id="376"/>
      <w:bookmarkStart w:id="377" w:name="_Toc184310315"/>
      <w:bookmarkEnd w:id="377"/>
      <w:bookmarkStart w:id="378" w:name="_Toc184308064"/>
      <w:bookmarkEnd w:id="378"/>
      <w:bookmarkStart w:id="379" w:name="_Toc184308051"/>
      <w:bookmarkEnd w:id="379"/>
      <w:bookmarkStart w:id="380" w:name="_Toc184310273"/>
      <w:bookmarkEnd w:id="380"/>
      <w:bookmarkStart w:id="381" w:name="_Toc184312096"/>
      <w:bookmarkEnd w:id="381"/>
      <w:bookmarkStart w:id="382" w:name="_Toc184314425"/>
      <w:bookmarkEnd w:id="382"/>
      <w:bookmarkStart w:id="383" w:name="_Toc184310278"/>
      <w:bookmarkEnd w:id="383"/>
      <w:bookmarkStart w:id="384" w:name="_Toc184312067"/>
      <w:bookmarkEnd w:id="384"/>
      <w:bookmarkStart w:id="385" w:name="_Toc184308067"/>
      <w:bookmarkEnd w:id="385"/>
      <w:bookmarkStart w:id="386" w:name="_Toc184310333"/>
      <w:bookmarkEnd w:id="386"/>
      <w:bookmarkStart w:id="387" w:name="_Toc184310286"/>
      <w:bookmarkEnd w:id="387"/>
      <w:bookmarkStart w:id="388" w:name="_Toc184310308"/>
      <w:bookmarkEnd w:id="388"/>
      <w:bookmarkStart w:id="389" w:name="_Toc184310295"/>
      <w:bookmarkEnd w:id="389"/>
      <w:bookmarkStart w:id="390" w:name="_Toc184308053"/>
      <w:bookmarkEnd w:id="390"/>
      <w:bookmarkStart w:id="391" w:name="_Toc184314462"/>
      <w:bookmarkEnd w:id="391"/>
      <w:bookmarkStart w:id="392" w:name="_Toc184312122"/>
      <w:bookmarkEnd w:id="392"/>
      <w:bookmarkStart w:id="393" w:name="_Toc184314410"/>
      <w:bookmarkEnd w:id="393"/>
      <w:bookmarkStart w:id="394" w:name="_Toc184314430"/>
      <w:bookmarkEnd w:id="394"/>
      <w:bookmarkStart w:id="395" w:name="_Toc184310337"/>
      <w:bookmarkEnd w:id="395"/>
      <w:bookmarkStart w:id="396" w:name="_Toc184313248"/>
      <w:bookmarkEnd w:id="396"/>
      <w:bookmarkStart w:id="397" w:name="_Toc184308043"/>
      <w:bookmarkEnd w:id="397"/>
      <w:bookmarkStart w:id="398" w:name="_Toc184313242"/>
      <w:bookmarkEnd w:id="398"/>
      <w:bookmarkStart w:id="399" w:name="_Toc184308052"/>
      <w:bookmarkEnd w:id="399"/>
      <w:bookmarkStart w:id="400" w:name="_Toc184312112"/>
      <w:bookmarkEnd w:id="400"/>
      <w:bookmarkStart w:id="401" w:name="_Toc184314439"/>
      <w:bookmarkEnd w:id="401"/>
      <w:bookmarkStart w:id="402" w:name="_Toc184314420"/>
      <w:bookmarkEnd w:id="402"/>
      <w:bookmarkStart w:id="403" w:name="_Toc184308106"/>
      <w:bookmarkEnd w:id="403"/>
      <w:bookmarkStart w:id="404" w:name="_Toc184310272"/>
      <w:bookmarkEnd w:id="404"/>
      <w:bookmarkStart w:id="405" w:name="_Toc184308095"/>
      <w:bookmarkEnd w:id="405"/>
      <w:bookmarkStart w:id="406" w:name="_Toc184313245"/>
      <w:bookmarkEnd w:id="406"/>
      <w:bookmarkStart w:id="407" w:name="_Toc184308039"/>
      <w:bookmarkEnd w:id="407"/>
      <w:bookmarkStart w:id="408" w:name="_Toc184314466"/>
      <w:bookmarkEnd w:id="408"/>
      <w:bookmarkStart w:id="409" w:name="_Toc184314416"/>
      <w:bookmarkEnd w:id="409"/>
      <w:bookmarkStart w:id="410" w:name="_Toc184314470"/>
      <w:bookmarkEnd w:id="410"/>
      <w:bookmarkStart w:id="411" w:name="_Toc184310313"/>
      <w:bookmarkEnd w:id="411"/>
      <w:bookmarkStart w:id="412" w:name="_Toc184313270"/>
      <w:bookmarkEnd w:id="412"/>
      <w:bookmarkStart w:id="413" w:name="_Toc184308046"/>
      <w:bookmarkEnd w:id="413"/>
      <w:bookmarkStart w:id="414" w:name="_Toc184308040"/>
      <w:bookmarkEnd w:id="414"/>
      <w:bookmarkStart w:id="415" w:name="_Toc184314459"/>
      <w:bookmarkEnd w:id="415"/>
      <w:bookmarkStart w:id="416" w:name="_Toc184312076"/>
      <w:bookmarkEnd w:id="416"/>
      <w:bookmarkStart w:id="417" w:name="_Toc184313288"/>
      <w:bookmarkEnd w:id="417"/>
      <w:bookmarkStart w:id="418" w:name="_Toc184314468"/>
      <w:bookmarkEnd w:id="418"/>
      <w:bookmarkStart w:id="419" w:name="_Toc184313274"/>
      <w:bookmarkEnd w:id="419"/>
      <w:bookmarkStart w:id="420" w:name="_Toc184314436"/>
      <w:bookmarkEnd w:id="420"/>
      <w:bookmarkStart w:id="421" w:name="_Toc184314447"/>
      <w:bookmarkEnd w:id="421"/>
      <w:bookmarkStart w:id="422" w:name="_Toc184313298"/>
      <w:bookmarkEnd w:id="422"/>
      <w:bookmarkStart w:id="423" w:name="_Toc184310290"/>
      <w:bookmarkEnd w:id="423"/>
      <w:bookmarkStart w:id="424" w:name="_Toc184310288"/>
      <w:bookmarkEnd w:id="424"/>
      <w:bookmarkStart w:id="425" w:name="_Toc184314460"/>
      <w:bookmarkEnd w:id="425"/>
      <w:bookmarkStart w:id="426" w:name="_Toc184312117"/>
      <w:bookmarkEnd w:id="426"/>
      <w:bookmarkStart w:id="427" w:name="_Toc184313241"/>
      <w:bookmarkEnd w:id="427"/>
      <w:bookmarkStart w:id="428" w:name="_Toc184313238"/>
      <w:bookmarkEnd w:id="428"/>
      <w:bookmarkStart w:id="429" w:name="_Toc184310294"/>
      <w:bookmarkEnd w:id="429"/>
      <w:bookmarkStart w:id="430" w:name="_Toc184314465"/>
      <w:bookmarkEnd w:id="430"/>
      <w:bookmarkStart w:id="431" w:name="_Toc184310316"/>
      <w:bookmarkEnd w:id="431"/>
      <w:bookmarkStart w:id="432" w:name="_Toc184310325"/>
      <w:bookmarkEnd w:id="432"/>
      <w:bookmarkStart w:id="433" w:name="_Toc184312120"/>
      <w:bookmarkEnd w:id="433"/>
      <w:bookmarkStart w:id="434" w:name="_Toc184314452"/>
      <w:bookmarkEnd w:id="434"/>
      <w:bookmarkStart w:id="435" w:name="_Toc184313303"/>
      <w:bookmarkEnd w:id="435"/>
      <w:bookmarkStart w:id="436" w:name="_Toc184312111"/>
      <w:bookmarkEnd w:id="436"/>
      <w:bookmarkStart w:id="437" w:name="_Toc184312138"/>
      <w:bookmarkEnd w:id="437"/>
      <w:bookmarkStart w:id="438" w:name="_Toc184313239"/>
      <w:bookmarkEnd w:id="438"/>
      <w:bookmarkStart w:id="439" w:name="_Toc184308098"/>
      <w:bookmarkEnd w:id="439"/>
      <w:bookmarkStart w:id="440" w:name="_Toc184314413"/>
      <w:bookmarkEnd w:id="440"/>
      <w:bookmarkStart w:id="441" w:name="_Toc184313301"/>
      <w:bookmarkEnd w:id="441"/>
      <w:bookmarkStart w:id="442" w:name="_Toc184313304"/>
      <w:bookmarkEnd w:id="442"/>
      <w:bookmarkStart w:id="443" w:name="_Toc184308050"/>
      <w:bookmarkEnd w:id="443"/>
      <w:bookmarkStart w:id="444" w:name="_Toc184312087"/>
      <w:bookmarkEnd w:id="444"/>
      <w:bookmarkStart w:id="445" w:name="_Toc184310336"/>
      <w:bookmarkEnd w:id="445"/>
      <w:bookmarkStart w:id="446" w:name="_Toc184308061"/>
      <w:bookmarkEnd w:id="446"/>
      <w:bookmarkStart w:id="447" w:name="_Toc184308045"/>
      <w:bookmarkEnd w:id="447"/>
      <w:bookmarkStart w:id="448" w:name="_Toc184310280"/>
      <w:bookmarkEnd w:id="448"/>
      <w:bookmarkStart w:id="449" w:name="_Toc184310314"/>
      <w:bookmarkEnd w:id="449"/>
      <w:bookmarkStart w:id="450" w:name="_Toc184312068"/>
      <w:bookmarkEnd w:id="450"/>
      <w:bookmarkStart w:id="451" w:name="_Toc184312106"/>
      <w:bookmarkEnd w:id="451"/>
      <w:bookmarkStart w:id="452" w:name="_Toc184314456"/>
      <w:bookmarkEnd w:id="452"/>
      <w:bookmarkStart w:id="453" w:name="_Toc184312118"/>
      <w:bookmarkEnd w:id="453"/>
      <w:bookmarkStart w:id="454" w:name="_Toc184310320"/>
      <w:bookmarkEnd w:id="454"/>
      <w:bookmarkStart w:id="455" w:name="_Toc184314479"/>
      <w:bookmarkEnd w:id="455"/>
      <w:bookmarkStart w:id="456" w:name="_Toc184312127"/>
      <w:bookmarkEnd w:id="456"/>
      <w:bookmarkStart w:id="457" w:name="_Toc184312129"/>
      <w:bookmarkEnd w:id="457"/>
      <w:bookmarkStart w:id="458" w:name="_Toc184313297"/>
      <w:bookmarkEnd w:id="458"/>
      <w:bookmarkStart w:id="459" w:name="_Toc184314419"/>
      <w:bookmarkEnd w:id="459"/>
      <w:bookmarkStart w:id="460" w:name="_Toc184308072"/>
      <w:bookmarkEnd w:id="460"/>
      <w:bookmarkStart w:id="461" w:name="_Toc184314441"/>
      <w:bookmarkEnd w:id="461"/>
      <w:bookmarkStart w:id="462" w:name="_Toc184314457"/>
      <w:bookmarkEnd w:id="462"/>
      <w:bookmarkStart w:id="463" w:name="_Toc184308081"/>
      <w:bookmarkEnd w:id="463"/>
      <w:bookmarkStart w:id="464" w:name="_Toc184314458"/>
      <w:bookmarkEnd w:id="464"/>
      <w:bookmarkStart w:id="465" w:name="_Toc184308090"/>
      <w:bookmarkEnd w:id="465"/>
      <w:bookmarkStart w:id="466" w:name="_Toc184310327"/>
      <w:bookmarkEnd w:id="466"/>
      <w:bookmarkStart w:id="467" w:name="_Toc184308107"/>
      <w:bookmarkEnd w:id="467"/>
      <w:bookmarkStart w:id="468" w:name="_Toc184308042"/>
      <w:bookmarkEnd w:id="468"/>
      <w:bookmarkStart w:id="469" w:name="_Toc184312114"/>
      <w:bookmarkEnd w:id="469"/>
      <w:bookmarkStart w:id="470" w:name="_Toc184308101"/>
      <w:bookmarkEnd w:id="470"/>
      <w:bookmarkStart w:id="471" w:name="_Toc184308084"/>
      <w:bookmarkEnd w:id="471"/>
      <w:bookmarkStart w:id="472" w:name="_Toc184313293"/>
      <w:bookmarkEnd w:id="472"/>
      <w:bookmarkStart w:id="473" w:name="_Toc184310274"/>
      <w:bookmarkEnd w:id="473"/>
      <w:bookmarkStart w:id="474" w:name="_Toc184310330"/>
      <w:bookmarkEnd w:id="474"/>
      <w:bookmarkStart w:id="475" w:name="_Toc184312093"/>
      <w:bookmarkEnd w:id="475"/>
      <w:bookmarkStart w:id="476" w:name="_Toc184314426"/>
      <w:bookmarkEnd w:id="476"/>
      <w:bookmarkStart w:id="477" w:name="_Toc184310282"/>
      <w:bookmarkEnd w:id="477"/>
      <w:bookmarkStart w:id="478" w:name="_Toc184310285"/>
      <w:bookmarkEnd w:id="478"/>
      <w:bookmarkStart w:id="479" w:name="_Toc184312113"/>
      <w:bookmarkEnd w:id="479"/>
      <w:bookmarkStart w:id="480" w:name="_Toc184308104"/>
      <w:bookmarkEnd w:id="480"/>
      <w:bookmarkStart w:id="481" w:name="_Toc184310342"/>
      <w:bookmarkEnd w:id="481"/>
      <w:bookmarkStart w:id="482" w:name="_Toc184310276"/>
      <w:bookmarkEnd w:id="482"/>
      <w:bookmarkStart w:id="483" w:name="_Toc184310293"/>
      <w:bookmarkEnd w:id="483"/>
      <w:bookmarkStart w:id="484" w:name="_Toc184314478"/>
      <w:bookmarkEnd w:id="484"/>
      <w:bookmarkStart w:id="485" w:name="_Toc184308065"/>
      <w:bookmarkEnd w:id="485"/>
      <w:bookmarkStart w:id="486" w:name="_Toc184312115"/>
      <w:bookmarkEnd w:id="486"/>
      <w:bookmarkStart w:id="487" w:name="_Toc184310332"/>
      <w:bookmarkEnd w:id="487"/>
      <w:bookmarkStart w:id="488" w:name="_Toc184313283"/>
      <w:bookmarkEnd w:id="488"/>
      <w:bookmarkStart w:id="489" w:name="_Toc184310323"/>
      <w:bookmarkEnd w:id="489"/>
      <w:bookmarkStart w:id="490" w:name="_Toc184314442"/>
      <w:bookmarkEnd w:id="490"/>
      <w:bookmarkStart w:id="491" w:name="_Toc184310312"/>
      <w:bookmarkEnd w:id="491"/>
      <w:bookmarkStart w:id="492" w:name="_Toc184308108"/>
      <w:bookmarkEnd w:id="492"/>
      <w:bookmarkStart w:id="493" w:name="_Toc184314438"/>
      <w:bookmarkEnd w:id="493"/>
      <w:bookmarkStart w:id="494" w:name="_Toc184312091"/>
      <w:bookmarkEnd w:id="494"/>
      <w:bookmarkStart w:id="495" w:name="_Toc184313292"/>
      <w:bookmarkEnd w:id="495"/>
      <w:bookmarkStart w:id="496" w:name="_Toc184312077"/>
      <w:bookmarkEnd w:id="496"/>
      <w:bookmarkStart w:id="497" w:name="_Toc184312105"/>
      <w:bookmarkEnd w:id="497"/>
      <w:bookmarkStart w:id="498" w:name="_Toc184314481"/>
      <w:bookmarkEnd w:id="498"/>
      <w:bookmarkStart w:id="499" w:name="_Toc184312102"/>
      <w:bookmarkEnd w:id="499"/>
      <w:bookmarkStart w:id="500" w:name="_Toc184308094"/>
      <w:bookmarkEnd w:id="500"/>
      <w:bookmarkStart w:id="501" w:name="_Toc184314480"/>
      <w:bookmarkEnd w:id="501"/>
      <w:bookmarkStart w:id="502" w:name="_Toc184310335"/>
      <w:bookmarkEnd w:id="502"/>
      <w:bookmarkStart w:id="503" w:name="_Toc184308071"/>
      <w:bookmarkEnd w:id="503"/>
      <w:bookmarkStart w:id="504" w:name="_Toc184310339"/>
      <w:bookmarkEnd w:id="504"/>
      <w:bookmarkStart w:id="505" w:name="_Toc184308063"/>
      <w:bookmarkEnd w:id="505"/>
      <w:bookmarkStart w:id="506" w:name="_Toc184310309"/>
      <w:bookmarkEnd w:id="506"/>
      <w:bookmarkStart w:id="507" w:name="_Toc184312083"/>
      <w:bookmarkEnd w:id="507"/>
      <w:bookmarkStart w:id="508" w:name="_Toc184313289"/>
      <w:bookmarkEnd w:id="508"/>
      <w:bookmarkStart w:id="509" w:name="_Toc184308044"/>
      <w:bookmarkEnd w:id="509"/>
      <w:bookmarkStart w:id="510" w:name="_Toc184312069"/>
      <w:bookmarkEnd w:id="510"/>
      <w:bookmarkStart w:id="511" w:name="_Toc184310304"/>
      <w:bookmarkEnd w:id="511"/>
      <w:bookmarkStart w:id="512" w:name="_Toc184312074"/>
      <w:bookmarkEnd w:id="512"/>
      <w:bookmarkStart w:id="513" w:name="_Toc184312131"/>
      <w:bookmarkEnd w:id="513"/>
      <w:bookmarkStart w:id="514" w:name="_Toc184313287"/>
      <w:bookmarkEnd w:id="514"/>
      <w:bookmarkStart w:id="515" w:name="_Toc184312134"/>
      <w:bookmarkEnd w:id="515"/>
      <w:bookmarkStart w:id="516" w:name="_Toc184313261"/>
      <w:bookmarkEnd w:id="516"/>
      <w:bookmarkStart w:id="517" w:name="_Toc184314482"/>
      <w:bookmarkEnd w:id="517"/>
      <w:bookmarkStart w:id="518" w:name="_Toc184313282"/>
      <w:bookmarkEnd w:id="518"/>
      <w:bookmarkStart w:id="519" w:name="_Toc184314453"/>
      <w:bookmarkEnd w:id="519"/>
      <w:bookmarkStart w:id="520" w:name="_Toc184313260"/>
      <w:bookmarkEnd w:id="520"/>
      <w:bookmarkStart w:id="521" w:name="_Toc184312094"/>
      <w:bookmarkEnd w:id="521"/>
      <w:bookmarkStart w:id="522" w:name="_Toc184308083"/>
      <w:bookmarkEnd w:id="522"/>
      <w:bookmarkStart w:id="523" w:name="_Toc184308091"/>
      <w:bookmarkEnd w:id="523"/>
      <w:bookmarkStart w:id="524" w:name="_Toc184313258"/>
      <w:bookmarkEnd w:id="524"/>
      <w:bookmarkStart w:id="525" w:name="_Toc184312136"/>
      <w:bookmarkEnd w:id="525"/>
      <w:bookmarkStart w:id="526" w:name="_Toc184314428"/>
      <w:bookmarkEnd w:id="526"/>
      <w:bookmarkStart w:id="527" w:name="_Toc184310338"/>
      <w:bookmarkEnd w:id="527"/>
      <w:bookmarkStart w:id="528" w:name="_Toc184308089"/>
      <w:bookmarkEnd w:id="528"/>
      <w:bookmarkStart w:id="529" w:name="_Toc184312121"/>
      <w:bookmarkEnd w:id="529"/>
      <w:bookmarkStart w:id="530" w:name="_Toc184313302"/>
      <w:bookmarkEnd w:id="530"/>
      <w:bookmarkStart w:id="531" w:name="_Toc184314423"/>
      <w:bookmarkEnd w:id="531"/>
      <w:bookmarkStart w:id="532" w:name="_Toc184313252"/>
      <w:bookmarkEnd w:id="532"/>
      <w:bookmarkStart w:id="533" w:name="_Toc184308059"/>
      <w:bookmarkEnd w:id="533"/>
      <w:bookmarkStart w:id="534" w:name="_Toc184310317"/>
      <w:bookmarkEnd w:id="534"/>
      <w:bookmarkStart w:id="535" w:name="_Toc184313299"/>
      <w:bookmarkEnd w:id="535"/>
      <w:bookmarkStart w:id="536" w:name="_Toc184308048"/>
      <w:bookmarkEnd w:id="536"/>
      <w:bookmarkStart w:id="537" w:name="_Toc184308092"/>
      <w:bookmarkEnd w:id="537"/>
      <w:bookmarkStart w:id="538" w:name="_Toc184314432"/>
      <w:bookmarkEnd w:id="538"/>
      <w:bookmarkStart w:id="539" w:name="_Toc184312137"/>
      <w:bookmarkEnd w:id="539"/>
      <w:bookmarkStart w:id="540" w:name="_Toc184313256"/>
      <w:bookmarkEnd w:id="540"/>
      <w:bookmarkStart w:id="541" w:name="_Toc184308070"/>
      <w:bookmarkEnd w:id="541"/>
      <w:bookmarkStart w:id="542" w:name="_Toc184308100"/>
      <w:bookmarkEnd w:id="542"/>
      <w:bookmarkStart w:id="543" w:name="_Toc184310341"/>
      <w:bookmarkEnd w:id="543"/>
      <w:bookmarkStart w:id="544" w:name="_Toc184310319"/>
      <w:bookmarkEnd w:id="544"/>
      <w:bookmarkStart w:id="545" w:name="_Toc184310334"/>
      <w:bookmarkEnd w:id="545"/>
      <w:bookmarkStart w:id="546" w:name="_Toc184312081"/>
      <w:bookmarkEnd w:id="546"/>
      <w:bookmarkStart w:id="547" w:name="_Toc184310283"/>
      <w:bookmarkEnd w:id="547"/>
      <w:bookmarkStart w:id="548" w:name="_Toc184308086"/>
      <w:bookmarkEnd w:id="548"/>
      <w:bookmarkStart w:id="549" w:name="_Toc184310303"/>
      <w:bookmarkEnd w:id="549"/>
      <w:bookmarkStart w:id="550" w:name="_Toc184310331"/>
      <w:bookmarkEnd w:id="550"/>
      <w:bookmarkStart w:id="551" w:name="_Toc184313259"/>
      <w:bookmarkEnd w:id="551"/>
      <w:bookmarkStart w:id="552" w:name="_Toc184308096"/>
      <w:bookmarkEnd w:id="552"/>
      <w:bookmarkStart w:id="553" w:name="_Toc184314424"/>
      <w:bookmarkEnd w:id="553"/>
      <w:bookmarkStart w:id="554" w:name="_Toc184314427"/>
      <w:bookmarkEnd w:id="554"/>
      <w:bookmarkStart w:id="555" w:name="_Toc184313285"/>
      <w:bookmarkEnd w:id="555"/>
      <w:bookmarkStart w:id="556" w:name="_Toc184308075"/>
      <w:bookmarkEnd w:id="556"/>
      <w:bookmarkStart w:id="557" w:name="_Toc184314422"/>
      <w:bookmarkEnd w:id="557"/>
      <w:bookmarkStart w:id="558" w:name="_Toc184308097"/>
      <w:bookmarkEnd w:id="558"/>
      <w:bookmarkStart w:id="559" w:name="_Toc184313290"/>
      <w:bookmarkEnd w:id="559"/>
      <w:bookmarkStart w:id="560" w:name="_Toc184313250"/>
      <w:bookmarkEnd w:id="560"/>
      <w:bookmarkStart w:id="561" w:name="_Toc184310344"/>
      <w:bookmarkEnd w:id="561"/>
      <w:bookmarkStart w:id="562" w:name="_Toc184312082"/>
      <w:bookmarkEnd w:id="562"/>
      <w:bookmarkStart w:id="563" w:name="_Toc184308102"/>
      <w:bookmarkEnd w:id="563"/>
      <w:bookmarkStart w:id="564" w:name="_Toc184313265"/>
      <w:bookmarkEnd w:id="564"/>
      <w:bookmarkStart w:id="565" w:name="_Toc184308088"/>
      <w:bookmarkEnd w:id="565"/>
      <w:bookmarkStart w:id="566" w:name="_Toc184313268"/>
      <w:bookmarkEnd w:id="566"/>
      <w:bookmarkStart w:id="567" w:name="_Toc184313305"/>
      <w:bookmarkEnd w:id="567"/>
      <w:bookmarkStart w:id="568" w:name="_Toc184314471"/>
      <w:bookmarkEnd w:id="568"/>
      <w:bookmarkStart w:id="569" w:name="_Toc184312095"/>
      <w:bookmarkEnd w:id="569"/>
      <w:bookmarkStart w:id="570" w:name="_Toc184310300"/>
      <w:bookmarkEnd w:id="570"/>
      <w:bookmarkStart w:id="571" w:name="_Toc184312101"/>
      <w:bookmarkEnd w:id="571"/>
      <w:bookmarkStart w:id="572" w:name="_Toc184312103"/>
      <w:bookmarkEnd w:id="572"/>
      <w:bookmarkStart w:id="573" w:name="_Toc184308058"/>
      <w:bookmarkEnd w:id="573"/>
      <w:bookmarkStart w:id="574" w:name="_Toc184313253"/>
      <w:bookmarkEnd w:id="574"/>
      <w:bookmarkStart w:id="575" w:name="_Toc184312071"/>
      <w:bookmarkEnd w:id="575"/>
      <w:bookmarkStart w:id="576" w:name="_Toc184310329"/>
      <w:bookmarkEnd w:id="576"/>
      <w:bookmarkStart w:id="577" w:name="_Toc184308079"/>
      <w:bookmarkEnd w:id="577"/>
      <w:bookmarkStart w:id="578" w:name="_Toc184312073"/>
      <w:bookmarkEnd w:id="578"/>
      <w:bookmarkStart w:id="579" w:name="_Toc184310322"/>
      <w:bookmarkEnd w:id="579"/>
      <w:bookmarkStart w:id="580" w:name="_Toc184310287"/>
      <w:bookmarkEnd w:id="580"/>
      <w:bookmarkStart w:id="581" w:name="_Toc184312123"/>
      <w:bookmarkEnd w:id="581"/>
      <w:bookmarkStart w:id="582" w:name="_Toc184314464"/>
      <w:bookmarkEnd w:id="582"/>
      <w:bookmarkStart w:id="583" w:name="_Toc184313246"/>
      <w:bookmarkEnd w:id="583"/>
      <w:bookmarkStart w:id="584" w:name="_Toc184310318"/>
      <w:bookmarkEnd w:id="584"/>
      <w:bookmarkStart w:id="585" w:name="_Toc184310291"/>
      <w:bookmarkEnd w:id="585"/>
      <w:bookmarkStart w:id="586" w:name="_Toc184314477"/>
      <w:bookmarkEnd w:id="586"/>
      <w:bookmarkStart w:id="587" w:name="_Toc184310297"/>
      <w:bookmarkEnd w:id="587"/>
      <w:bookmarkStart w:id="588" w:name="_Toc184310343"/>
      <w:bookmarkEnd w:id="588"/>
      <w:bookmarkStart w:id="589" w:name="_Toc184312126"/>
      <w:bookmarkEnd w:id="589"/>
      <w:bookmarkStart w:id="590" w:name="_Toc184308068"/>
      <w:bookmarkEnd w:id="590"/>
      <w:bookmarkStart w:id="591" w:name="_Toc184314455"/>
      <w:bookmarkEnd w:id="591"/>
      <w:bookmarkStart w:id="592" w:name="_Toc184312130"/>
      <w:bookmarkEnd w:id="592"/>
      <w:bookmarkStart w:id="593" w:name="_Toc184314443"/>
      <w:bookmarkEnd w:id="593"/>
      <w:bookmarkStart w:id="594" w:name="_Toc184310279"/>
      <w:bookmarkEnd w:id="594"/>
      <w:bookmarkStart w:id="595" w:name="_Toc184310311"/>
      <w:bookmarkEnd w:id="595"/>
      <w:bookmarkStart w:id="596" w:name="_Toc184313271"/>
      <w:bookmarkEnd w:id="596"/>
      <w:bookmarkStart w:id="597" w:name="_Toc184312079"/>
      <w:bookmarkEnd w:id="597"/>
      <w:bookmarkStart w:id="598" w:name="_Toc184313243"/>
      <w:bookmarkEnd w:id="598"/>
      <w:bookmarkStart w:id="599" w:name="_Toc184314454"/>
      <w:bookmarkEnd w:id="599"/>
      <w:bookmarkStart w:id="600" w:name="_Toc184314473"/>
      <w:bookmarkEnd w:id="600"/>
      <w:bookmarkStart w:id="601" w:name="_Toc184314444"/>
      <w:bookmarkEnd w:id="601"/>
      <w:bookmarkStart w:id="602" w:name="_Toc184314435"/>
      <w:bookmarkEnd w:id="602"/>
      <w:bookmarkStart w:id="603" w:name="_Toc184312116"/>
      <w:bookmarkEnd w:id="603"/>
      <w:bookmarkStart w:id="604" w:name="_Toc184308041"/>
      <w:bookmarkEnd w:id="604"/>
      <w:bookmarkStart w:id="605" w:name="_Toc184313257"/>
      <w:bookmarkEnd w:id="605"/>
      <w:bookmarkStart w:id="606" w:name="_Toc184313300"/>
      <w:bookmarkEnd w:id="606"/>
      <w:bookmarkStart w:id="607" w:name="_Toc184308093"/>
      <w:bookmarkEnd w:id="607"/>
      <w:bookmarkStart w:id="608" w:name="_Toc184310328"/>
      <w:bookmarkEnd w:id="608"/>
      <w:bookmarkStart w:id="609" w:name="_Toc184308099"/>
      <w:bookmarkEnd w:id="609"/>
      <w:bookmarkStart w:id="610" w:name="_Toc184312090"/>
      <w:bookmarkEnd w:id="610"/>
      <w:bookmarkStart w:id="611" w:name="_Toc184312108"/>
      <w:bookmarkEnd w:id="611"/>
      <w:bookmarkStart w:id="612" w:name="_Toc184310310"/>
      <w:bookmarkEnd w:id="612"/>
      <w:bookmarkStart w:id="613" w:name="_Toc184312100"/>
      <w:bookmarkEnd w:id="613"/>
      <w:bookmarkStart w:id="614" w:name="_Toc184310292"/>
      <w:bookmarkEnd w:id="614"/>
      <w:bookmarkStart w:id="615" w:name="_Toc184312072"/>
      <w:bookmarkEnd w:id="615"/>
      <w:bookmarkStart w:id="616" w:name="_Toc184314433"/>
      <w:bookmarkEnd w:id="616"/>
      <w:bookmarkStart w:id="617" w:name="_Toc184313291"/>
      <w:bookmarkEnd w:id="617"/>
      <w:bookmarkStart w:id="618" w:name="_Toc184308062"/>
      <w:bookmarkEnd w:id="618"/>
      <w:bookmarkStart w:id="619" w:name="_Toc184313247"/>
      <w:bookmarkEnd w:id="619"/>
      <w:bookmarkStart w:id="620" w:name="_Toc184312097"/>
      <w:bookmarkEnd w:id="620"/>
      <w:bookmarkStart w:id="621" w:name="_Toc184310302"/>
      <w:bookmarkEnd w:id="621"/>
      <w:bookmarkStart w:id="622" w:name="_Toc184308036"/>
      <w:bookmarkEnd w:id="622"/>
      <w:bookmarkStart w:id="623" w:name="_Toc184310340"/>
      <w:bookmarkEnd w:id="623"/>
      <w:bookmarkStart w:id="624" w:name="_Toc184314450"/>
      <w:bookmarkEnd w:id="624"/>
      <w:bookmarkStart w:id="625" w:name="_Toc184312139"/>
      <w:bookmarkEnd w:id="625"/>
      <w:bookmarkStart w:id="626" w:name="_Toc184313278"/>
      <w:bookmarkEnd w:id="626"/>
      <w:bookmarkStart w:id="627" w:name="_Toc184310306"/>
      <w:bookmarkEnd w:id="627"/>
      <w:bookmarkStart w:id="628" w:name="_Toc184314472"/>
      <w:bookmarkEnd w:id="628"/>
      <w:bookmarkStart w:id="629" w:name="_Toc184314434"/>
      <w:bookmarkEnd w:id="629"/>
      <w:bookmarkStart w:id="630" w:name="_Toc184314461"/>
      <w:bookmarkEnd w:id="630"/>
      <w:bookmarkStart w:id="631" w:name="_Toc184313240"/>
      <w:bookmarkEnd w:id="631"/>
      <w:bookmarkStart w:id="632" w:name="_Toc184310324"/>
      <w:bookmarkEnd w:id="632"/>
      <w:bookmarkStart w:id="633" w:name="_Toc184310299"/>
      <w:bookmarkEnd w:id="633"/>
      <w:bookmarkStart w:id="634" w:name="_Toc184314414"/>
      <w:bookmarkEnd w:id="634"/>
      <w:bookmarkStart w:id="635" w:name="_Toc184313308"/>
      <w:bookmarkEnd w:id="635"/>
      <w:bookmarkStart w:id="636" w:name="_Toc184312107"/>
      <w:bookmarkEnd w:id="636"/>
      <w:bookmarkStart w:id="637" w:name="_Toc184312135"/>
      <w:bookmarkEnd w:id="637"/>
      <w:bookmarkStart w:id="638" w:name="_Toc184308066"/>
      <w:bookmarkEnd w:id="638"/>
      <w:bookmarkStart w:id="639" w:name="_Toc184314463"/>
      <w:bookmarkEnd w:id="639"/>
      <w:bookmarkStart w:id="640" w:name="_Toc184314437"/>
      <w:bookmarkEnd w:id="640"/>
      <w:bookmarkStart w:id="641" w:name="_Toc184310284"/>
      <w:bookmarkEnd w:id="641"/>
      <w:bookmarkStart w:id="642" w:name="_Toc184308085"/>
      <w:bookmarkEnd w:id="642"/>
      <w:bookmarkStart w:id="643" w:name="_Toc184308057"/>
      <w:bookmarkEnd w:id="643"/>
      <w:bookmarkStart w:id="644" w:name="_Toc184312128"/>
      <w:bookmarkEnd w:id="644"/>
      <w:r>
        <w:rPr>
          <w:rFonts w:hint="eastAsia" w:ascii="仿宋" w:hAnsi="仿宋" w:eastAsia="仿宋" w:cstheme="minorEastAsia"/>
          <w:color w:val="auto"/>
          <w:sz w:val="44"/>
          <w:highlight w:val="none"/>
        </w:rPr>
        <w:t>评标办法</w:t>
      </w:r>
      <w:bookmarkEnd w:id="272"/>
      <w:bookmarkEnd w:id="273"/>
      <w:bookmarkEnd w:id="274"/>
      <w:bookmarkEnd w:id="275"/>
      <w:bookmarkEnd w:id="276"/>
      <w:bookmarkEnd w:id="277"/>
      <w:bookmarkEnd w:id="278"/>
      <w:bookmarkEnd w:id="279"/>
    </w:p>
    <w:p>
      <w:pPr>
        <w:pStyle w:val="4"/>
        <w:jc w:val="center"/>
        <w:rPr>
          <w:rFonts w:ascii="仿宋" w:hAnsi="仿宋" w:eastAsia="仿宋"/>
          <w:color w:val="auto"/>
          <w:highlight w:val="none"/>
        </w:rPr>
      </w:pPr>
      <w:bookmarkStart w:id="645" w:name="_Toc30793"/>
      <w:bookmarkStart w:id="646" w:name="_Toc15382"/>
      <w:bookmarkStart w:id="647" w:name="_Toc30602"/>
      <w:bookmarkStart w:id="648" w:name="_Toc10534"/>
      <w:bookmarkStart w:id="649" w:name="_Hlk95733559"/>
      <w:bookmarkStart w:id="650" w:name="_Toc95312984"/>
      <w:bookmarkStart w:id="651" w:name="_Toc2378"/>
      <w:bookmarkStart w:id="652" w:name="_Toc880745451"/>
      <w:bookmarkStart w:id="653" w:name="_Toc30992"/>
      <w:r>
        <w:rPr>
          <w:rFonts w:hint="eastAsia" w:ascii="仿宋" w:hAnsi="仿宋" w:eastAsia="仿宋"/>
          <w:color w:val="auto"/>
          <w:highlight w:val="none"/>
        </w:rPr>
        <w:t>评标办法前附表</w:t>
      </w:r>
      <w:bookmarkEnd w:id="645"/>
      <w:bookmarkEnd w:id="646"/>
      <w:bookmarkEnd w:id="647"/>
      <w:bookmarkEnd w:id="648"/>
    </w:p>
    <w:bookmarkEnd w:id="649"/>
    <w:tbl>
      <w:tblPr>
        <w:tblStyle w:val="62"/>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181"/>
        <w:gridCol w:w="5966"/>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 w:type="dxa"/>
            <w:vAlign w:val="center"/>
          </w:tcPr>
          <w:p>
            <w:pPr>
              <w:spacing w:line="360" w:lineRule="auto"/>
              <w:jc w:val="center"/>
              <w:rPr>
                <w:rFonts w:ascii="仿宋" w:hAnsi="仿宋" w:eastAsia="仿宋" w:cs="宋体"/>
                <w:b/>
                <w:bCs/>
                <w:color w:val="auto"/>
                <w:sz w:val="24"/>
                <w:highlight w:val="none"/>
              </w:rPr>
            </w:pPr>
            <w:bookmarkStart w:id="654" w:name="_Toc21406"/>
            <w:bookmarkStart w:id="655" w:name="_Toc14521"/>
            <w:r>
              <w:rPr>
                <w:rFonts w:hint="eastAsia" w:ascii="仿宋" w:hAnsi="仿宋" w:eastAsia="仿宋" w:cs="宋体"/>
                <w:b/>
                <w:bCs/>
                <w:color w:val="auto"/>
                <w:sz w:val="24"/>
                <w:highlight w:val="none"/>
              </w:rPr>
              <w:t>序号</w:t>
            </w:r>
          </w:p>
        </w:tc>
        <w:tc>
          <w:tcPr>
            <w:tcW w:w="7147" w:type="dxa"/>
            <w:gridSpan w:val="2"/>
            <w:vAlign w:val="center"/>
          </w:tcPr>
          <w:p>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评审内容</w:t>
            </w:r>
          </w:p>
        </w:tc>
        <w:tc>
          <w:tcPr>
            <w:tcW w:w="1061" w:type="dxa"/>
            <w:vAlign w:val="center"/>
          </w:tcPr>
          <w:p>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rFonts w:ascii="仿宋" w:hAnsi="仿宋" w:eastAsia="仿宋" w:cs="宋体"/>
                <w:b/>
                <w:bCs/>
                <w:color w:val="auto"/>
                <w:sz w:val="24"/>
                <w:highlight w:val="none"/>
              </w:rPr>
            </w:pPr>
            <w:r>
              <w:rPr>
                <w:rFonts w:hint="eastAsia" w:ascii="仿宋" w:hAnsi="仿宋" w:eastAsia="仿宋" w:cs="宋体"/>
                <w:color w:val="auto"/>
                <w:sz w:val="24"/>
                <w:highlight w:val="none"/>
              </w:rPr>
              <w:t>1</w:t>
            </w:r>
          </w:p>
        </w:tc>
        <w:tc>
          <w:tcPr>
            <w:tcW w:w="1181"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投标报价（1</w:t>
            </w:r>
            <w:r>
              <w:rPr>
                <w:rFonts w:ascii="仿宋" w:hAnsi="仿宋" w:eastAsia="仿宋" w:cs="宋体"/>
                <w:color w:val="auto"/>
                <w:sz w:val="24"/>
                <w:highlight w:val="none"/>
              </w:rPr>
              <w:t>0</w:t>
            </w:r>
            <w:r>
              <w:rPr>
                <w:rFonts w:hint="eastAsia" w:ascii="仿宋" w:hAnsi="仿宋" w:eastAsia="仿宋" w:cs="宋体"/>
                <w:color w:val="auto"/>
                <w:sz w:val="24"/>
                <w:highlight w:val="none"/>
              </w:rPr>
              <w:t>分）</w:t>
            </w:r>
          </w:p>
        </w:tc>
        <w:tc>
          <w:tcPr>
            <w:tcW w:w="5966" w:type="dxa"/>
            <w:vAlign w:val="center"/>
          </w:tcPr>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价格分采用低价优先法计算，即满足招标文件要求且投标价格最低的投标报价为评标基准价，其他投标人的价格分按照下列公式计算：</w:t>
            </w:r>
          </w:p>
          <w:p>
            <w:pPr>
              <w:spacing w:line="360" w:lineRule="auto"/>
              <w:rPr>
                <w:rFonts w:ascii="仿宋" w:hAnsi="仿宋" w:eastAsia="仿宋" w:cs="宋体"/>
                <w:b/>
                <w:bCs/>
                <w:color w:val="auto"/>
                <w:sz w:val="24"/>
                <w:highlight w:val="none"/>
              </w:rPr>
            </w:pPr>
            <w:r>
              <w:rPr>
                <w:rFonts w:hint="eastAsia" w:ascii="仿宋" w:hAnsi="仿宋" w:eastAsia="仿宋" w:cs="宋体"/>
                <w:color w:val="auto"/>
                <w:sz w:val="24"/>
                <w:highlight w:val="none"/>
              </w:rPr>
              <w:t>价格分=（评标基准价/投标报价）×</w:t>
            </w:r>
            <w:r>
              <w:rPr>
                <w:rFonts w:ascii="仿宋" w:hAnsi="仿宋" w:eastAsia="仿宋" w:cs="宋体"/>
                <w:color w:val="auto"/>
                <w:sz w:val="24"/>
                <w:highlight w:val="none"/>
              </w:rPr>
              <w:t>1</w:t>
            </w:r>
            <w:r>
              <w:rPr>
                <w:rFonts w:hint="eastAsia" w:ascii="仿宋" w:hAnsi="仿宋" w:eastAsia="仿宋" w:cs="宋体"/>
                <w:color w:val="auto"/>
                <w:sz w:val="24"/>
                <w:highlight w:val="none"/>
              </w:rPr>
              <w:t>0%×100</w:t>
            </w:r>
          </w:p>
        </w:tc>
        <w:tc>
          <w:tcPr>
            <w:tcW w:w="1061" w:type="dxa"/>
            <w:vAlign w:val="center"/>
          </w:tcPr>
          <w:p>
            <w:pPr>
              <w:spacing w:line="360" w:lineRule="auto"/>
              <w:jc w:val="center"/>
              <w:rPr>
                <w:rFonts w:ascii="仿宋" w:hAnsi="仿宋" w:eastAsia="仿宋" w:cs="宋体"/>
                <w:b/>
                <w:bCs/>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rFonts w:ascii="仿宋" w:hAnsi="仿宋" w:eastAsia="仿宋" w:cs="宋体"/>
                <w:b/>
                <w:bCs/>
                <w:color w:val="auto"/>
                <w:sz w:val="24"/>
                <w:highlight w:val="none"/>
              </w:rPr>
            </w:pPr>
            <w:r>
              <w:rPr>
                <w:rFonts w:hint="eastAsia" w:ascii="仿宋" w:hAnsi="仿宋" w:eastAsia="仿宋" w:cs="宋体"/>
                <w:color w:val="auto"/>
                <w:sz w:val="24"/>
                <w:highlight w:val="none"/>
              </w:rPr>
              <w:t>2</w:t>
            </w:r>
          </w:p>
        </w:tc>
        <w:tc>
          <w:tcPr>
            <w:tcW w:w="118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业绩</w:t>
            </w:r>
          </w:p>
          <w:p>
            <w:pPr>
              <w:spacing w:line="360" w:lineRule="auto"/>
              <w:ind w:right="-21" w:rightChars="-10"/>
              <w:jc w:val="center"/>
              <w:rPr>
                <w:rFonts w:ascii="仿宋" w:hAnsi="仿宋" w:eastAsia="仿宋" w:cs="宋体"/>
                <w:b/>
                <w:bCs/>
                <w:color w:val="auto"/>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1</w:t>
            </w:r>
            <w:r>
              <w:rPr>
                <w:rFonts w:hint="eastAsia" w:ascii="仿宋" w:hAnsi="仿宋" w:eastAsia="仿宋"/>
                <w:color w:val="auto"/>
                <w:kern w:val="0"/>
                <w:sz w:val="24"/>
                <w:highlight w:val="none"/>
              </w:rPr>
              <w:t>分）</w:t>
            </w:r>
          </w:p>
        </w:tc>
        <w:tc>
          <w:tcPr>
            <w:tcW w:w="5966" w:type="dxa"/>
            <w:vAlign w:val="center"/>
          </w:tcPr>
          <w:p>
            <w:pPr>
              <w:spacing w:line="360" w:lineRule="auto"/>
              <w:rPr>
                <w:rFonts w:ascii="仿宋" w:hAnsi="仿宋" w:eastAsia="仿宋" w:cs="宋体"/>
                <w:b/>
                <w:bCs/>
                <w:color w:val="auto"/>
                <w:sz w:val="24"/>
                <w:highlight w:val="none"/>
              </w:rPr>
            </w:pPr>
            <w:r>
              <w:rPr>
                <w:rFonts w:hint="eastAsia" w:ascii="仿宋" w:hAnsi="仿宋" w:eastAsia="仿宋"/>
                <w:color w:val="auto"/>
                <w:kern w:val="0"/>
                <w:sz w:val="24"/>
                <w:highlight w:val="none"/>
              </w:rPr>
              <w:t>投标人自2019年1月1日至投标文件递交截止时间（以合同签订时间为准），实施过信息化项目（项目内容含应用软件开发），每个得0.5分，最多得</w:t>
            </w:r>
            <w:r>
              <w:rPr>
                <w:rFonts w:ascii="仿宋" w:hAnsi="仿宋" w:eastAsia="仿宋"/>
                <w:color w:val="auto"/>
                <w:kern w:val="0"/>
                <w:sz w:val="24"/>
                <w:highlight w:val="none"/>
              </w:rPr>
              <w:t>1</w:t>
            </w:r>
            <w:r>
              <w:rPr>
                <w:rFonts w:hint="eastAsia" w:ascii="仿宋" w:hAnsi="仿宋" w:eastAsia="仿宋"/>
                <w:color w:val="auto"/>
                <w:kern w:val="0"/>
                <w:sz w:val="24"/>
                <w:highlight w:val="none"/>
              </w:rPr>
              <w:t>分，提供合同和项目完成验收证明材料的扫描件，不符合要求不得分。</w:t>
            </w:r>
          </w:p>
        </w:tc>
        <w:tc>
          <w:tcPr>
            <w:tcW w:w="1061" w:type="dxa"/>
            <w:vAlign w:val="center"/>
          </w:tcPr>
          <w:p>
            <w:pPr>
              <w:spacing w:line="360" w:lineRule="auto"/>
              <w:jc w:val="center"/>
              <w:rPr>
                <w:rFonts w:ascii="仿宋" w:hAnsi="仿宋" w:eastAsia="仿宋" w:cs="宋体"/>
                <w:b/>
                <w:bCs/>
                <w:color w:val="auto"/>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1</w:t>
            </w:r>
            <w:r>
              <w:rPr>
                <w:rFonts w:hint="eastAsia" w:ascii="仿宋" w:hAnsi="仿宋" w:eastAsia="仿宋"/>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rFonts w:ascii="仿宋" w:hAnsi="仿宋" w:eastAsia="仿宋" w:cs="宋体"/>
                <w:b/>
                <w:bCs/>
                <w:color w:val="auto"/>
                <w:sz w:val="24"/>
                <w:highlight w:val="none"/>
              </w:rPr>
            </w:pPr>
            <w:r>
              <w:rPr>
                <w:rFonts w:hint="eastAsia" w:ascii="仿宋" w:hAnsi="仿宋" w:eastAsia="仿宋" w:cs="宋体"/>
                <w:color w:val="auto"/>
                <w:sz w:val="24"/>
                <w:highlight w:val="none"/>
              </w:rPr>
              <w:t>3</w:t>
            </w:r>
          </w:p>
        </w:tc>
        <w:tc>
          <w:tcPr>
            <w:tcW w:w="118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投标人认证</w:t>
            </w:r>
          </w:p>
          <w:p>
            <w:pPr>
              <w:spacing w:line="360" w:lineRule="auto"/>
              <w:ind w:right="-21" w:rightChars="-10"/>
              <w:jc w:val="center"/>
              <w:rPr>
                <w:rFonts w:ascii="仿宋" w:hAnsi="仿宋" w:eastAsia="仿宋" w:cs="宋体"/>
                <w:b/>
                <w:bCs/>
                <w:color w:val="auto"/>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2</w:t>
            </w:r>
            <w:r>
              <w:rPr>
                <w:rFonts w:hint="eastAsia" w:ascii="仿宋" w:hAnsi="仿宋" w:eastAsia="仿宋"/>
                <w:color w:val="auto"/>
                <w:kern w:val="0"/>
                <w:sz w:val="24"/>
                <w:highlight w:val="none"/>
              </w:rPr>
              <w:t>分）</w:t>
            </w:r>
          </w:p>
        </w:tc>
        <w:tc>
          <w:tcPr>
            <w:tcW w:w="5966" w:type="dxa"/>
            <w:vAlign w:val="center"/>
          </w:tcPr>
          <w:p>
            <w:pPr>
              <w:spacing w:line="360" w:lineRule="auto"/>
              <w:jc w:val="center"/>
              <w:rPr>
                <w:rFonts w:ascii="仿宋" w:hAnsi="仿宋" w:eastAsia="仿宋"/>
                <w:color w:val="auto"/>
                <w:kern w:val="0"/>
                <w:sz w:val="24"/>
                <w:highlight w:val="none"/>
              </w:rPr>
            </w:pPr>
            <w:r>
              <w:rPr>
                <w:rFonts w:hint="eastAsia" w:ascii="仿宋" w:hAnsi="仿宋" w:eastAsia="仿宋"/>
                <w:color w:val="auto"/>
                <w:kern w:val="0"/>
                <w:sz w:val="24"/>
                <w:highlight w:val="none"/>
              </w:rPr>
              <w:t>投标人具备有效期内IT服务管理体系认证证书、信息</w:t>
            </w:r>
          </w:p>
          <w:p>
            <w:pPr>
              <w:spacing w:line="360" w:lineRule="auto"/>
              <w:rPr>
                <w:rFonts w:ascii="仿宋" w:hAnsi="仿宋" w:eastAsia="仿宋" w:cs="宋体"/>
                <w:b/>
                <w:bCs/>
                <w:color w:val="auto"/>
                <w:sz w:val="24"/>
                <w:highlight w:val="none"/>
              </w:rPr>
            </w:pPr>
            <w:r>
              <w:rPr>
                <w:rFonts w:hint="eastAsia" w:ascii="仿宋" w:hAnsi="仿宋" w:eastAsia="仿宋"/>
                <w:color w:val="auto"/>
                <w:kern w:val="0"/>
                <w:sz w:val="24"/>
                <w:highlight w:val="none"/>
              </w:rPr>
              <w:t>安全管理体系认证证书的，每个得1分，最高得</w:t>
            </w:r>
            <w:r>
              <w:rPr>
                <w:rFonts w:ascii="仿宋" w:hAnsi="仿宋" w:eastAsia="仿宋"/>
                <w:color w:val="auto"/>
                <w:kern w:val="0"/>
                <w:sz w:val="24"/>
                <w:highlight w:val="none"/>
              </w:rPr>
              <w:t>2</w:t>
            </w:r>
            <w:r>
              <w:rPr>
                <w:rFonts w:hint="eastAsia" w:ascii="仿宋" w:hAnsi="仿宋" w:eastAsia="仿宋"/>
                <w:color w:val="auto"/>
                <w:kern w:val="0"/>
                <w:sz w:val="24"/>
                <w:highlight w:val="none"/>
              </w:rPr>
              <w:t>分，提供证书扫描件，不符合要求不得分。</w:t>
            </w:r>
          </w:p>
        </w:tc>
        <w:tc>
          <w:tcPr>
            <w:tcW w:w="1061" w:type="dxa"/>
            <w:vAlign w:val="center"/>
          </w:tcPr>
          <w:p>
            <w:pPr>
              <w:spacing w:line="360" w:lineRule="auto"/>
              <w:jc w:val="center"/>
              <w:rPr>
                <w:rFonts w:ascii="仿宋" w:hAnsi="仿宋" w:eastAsia="仿宋" w:cs="宋体"/>
                <w:b/>
                <w:bCs/>
                <w:color w:val="auto"/>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2</w:t>
            </w:r>
            <w:r>
              <w:rPr>
                <w:rFonts w:hint="eastAsia" w:ascii="仿宋" w:hAnsi="仿宋" w:eastAsia="仿宋"/>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vAlign w:val="center"/>
          </w:tcPr>
          <w:p>
            <w:pPr>
              <w:spacing w:line="360" w:lineRule="auto"/>
              <w:jc w:val="center"/>
              <w:rPr>
                <w:rFonts w:ascii="仿宋" w:hAnsi="仿宋" w:eastAsia="仿宋" w:cs="宋体"/>
                <w:b/>
                <w:bCs/>
                <w:color w:val="auto"/>
                <w:sz w:val="24"/>
                <w:highlight w:val="none"/>
              </w:rPr>
            </w:pPr>
            <w:r>
              <w:rPr>
                <w:rFonts w:ascii="仿宋" w:hAnsi="仿宋" w:eastAsia="仿宋" w:cs="宋体"/>
                <w:color w:val="auto"/>
                <w:sz w:val="24"/>
                <w:highlight w:val="none"/>
              </w:rPr>
              <w:t>4</w:t>
            </w:r>
          </w:p>
          <w:p>
            <w:pPr>
              <w:spacing w:line="360" w:lineRule="auto"/>
              <w:jc w:val="center"/>
              <w:rPr>
                <w:rFonts w:ascii="仿宋" w:hAnsi="仿宋" w:eastAsia="仿宋" w:cs="宋体"/>
                <w:b/>
                <w:bCs/>
                <w:color w:val="auto"/>
                <w:sz w:val="24"/>
                <w:highlight w:val="none"/>
              </w:rPr>
            </w:pPr>
          </w:p>
        </w:tc>
        <w:tc>
          <w:tcPr>
            <w:tcW w:w="1181" w:type="dxa"/>
            <w:vMerge w:val="restart"/>
            <w:vAlign w:val="center"/>
          </w:tcPr>
          <w:p>
            <w:pPr>
              <w:spacing w:line="360" w:lineRule="auto"/>
              <w:ind w:right="-21" w:rightChars="-10"/>
              <w:jc w:val="center"/>
              <w:rPr>
                <w:rFonts w:ascii="仿宋" w:hAnsi="仿宋" w:eastAsia="仿宋"/>
                <w:bCs/>
                <w:color w:val="auto"/>
                <w:sz w:val="24"/>
                <w:highlight w:val="none"/>
              </w:rPr>
            </w:pPr>
            <w:r>
              <w:rPr>
                <w:rFonts w:hint="eastAsia" w:ascii="仿宋" w:hAnsi="仿宋" w:eastAsia="仿宋"/>
                <w:bCs/>
                <w:color w:val="auto"/>
                <w:sz w:val="24"/>
                <w:highlight w:val="none"/>
              </w:rPr>
              <w:t>项目技术组织方案</w:t>
            </w:r>
          </w:p>
          <w:p>
            <w:pPr>
              <w:spacing w:line="360" w:lineRule="auto"/>
              <w:ind w:right="-21" w:rightChars="-10"/>
              <w:jc w:val="center"/>
              <w:rPr>
                <w:rFonts w:ascii="仿宋" w:hAnsi="仿宋" w:eastAsia="仿宋" w:cs="宋体"/>
                <w:b/>
                <w:bCs/>
                <w:color w:val="auto"/>
                <w:sz w:val="24"/>
                <w:highlight w:val="none"/>
              </w:rPr>
            </w:pPr>
            <w:r>
              <w:rPr>
                <w:rFonts w:hint="eastAsia" w:ascii="仿宋" w:hAnsi="仿宋" w:eastAsia="仿宋"/>
                <w:color w:val="auto"/>
                <w:kern w:val="0"/>
                <w:sz w:val="24"/>
                <w:highlight w:val="none"/>
              </w:rPr>
              <w:t>（4</w:t>
            </w:r>
            <w:r>
              <w:rPr>
                <w:rFonts w:ascii="仿宋" w:hAnsi="仿宋" w:eastAsia="仿宋"/>
                <w:color w:val="auto"/>
                <w:kern w:val="0"/>
                <w:sz w:val="24"/>
                <w:highlight w:val="none"/>
              </w:rPr>
              <w:t>3</w:t>
            </w:r>
            <w:r>
              <w:rPr>
                <w:rFonts w:hint="eastAsia" w:ascii="仿宋" w:hAnsi="仿宋" w:eastAsia="仿宋"/>
                <w:color w:val="auto"/>
                <w:kern w:val="0"/>
                <w:sz w:val="24"/>
                <w:highlight w:val="none"/>
              </w:rPr>
              <w:t>分）</w:t>
            </w:r>
          </w:p>
        </w:tc>
        <w:tc>
          <w:tcPr>
            <w:tcW w:w="5966" w:type="dxa"/>
            <w:vAlign w:val="center"/>
          </w:tcPr>
          <w:p>
            <w:pPr>
              <w:spacing w:line="360" w:lineRule="auto"/>
              <w:ind w:right="-21" w:rightChars="-10"/>
              <w:rPr>
                <w:rFonts w:ascii="仿宋" w:hAnsi="仿宋" w:eastAsia="仿宋"/>
                <w:color w:val="auto"/>
                <w:kern w:val="0"/>
                <w:sz w:val="24"/>
                <w:highlight w:val="none"/>
              </w:rPr>
            </w:pPr>
            <w:r>
              <w:rPr>
                <w:rFonts w:hint="eastAsia" w:ascii="仿宋" w:hAnsi="仿宋" w:eastAsia="仿宋"/>
                <w:color w:val="auto"/>
                <w:kern w:val="0"/>
                <w:sz w:val="24"/>
                <w:highlight w:val="none"/>
              </w:rPr>
              <w:t>（1）投标整体方案的科学性、合理性和可行性，</w:t>
            </w:r>
          </w:p>
          <w:p>
            <w:pPr>
              <w:spacing w:line="360" w:lineRule="auto"/>
              <w:ind w:right="-21" w:rightChars="-10"/>
              <w:rPr>
                <w:rFonts w:ascii="仿宋" w:hAnsi="仿宋" w:eastAsia="仿宋"/>
                <w:color w:val="auto"/>
                <w:sz w:val="24"/>
                <w:highlight w:val="none"/>
              </w:rPr>
            </w:pPr>
            <w:r>
              <w:rPr>
                <w:rFonts w:hint="eastAsia" w:ascii="仿宋" w:hAnsi="仿宋" w:eastAsia="仿宋"/>
                <w:color w:val="auto"/>
                <w:kern w:val="0"/>
                <w:sz w:val="24"/>
                <w:highlight w:val="none"/>
              </w:rPr>
              <w:t>包括①杭州交通网络架构、软件平台的现状、问题分析，阐述系统建设需求②整体架构(总体架构、业务架构、网络架构和网络信息安全架构等)设计③关键技术解决方案(数据共享等)；(每项</w:t>
            </w:r>
            <w:r>
              <w:rPr>
                <w:rFonts w:ascii="仿宋" w:hAnsi="仿宋" w:eastAsia="仿宋"/>
                <w:color w:val="auto"/>
                <w:kern w:val="0"/>
                <w:sz w:val="24"/>
                <w:highlight w:val="none"/>
              </w:rPr>
              <w:t>3</w:t>
            </w:r>
            <w:r>
              <w:rPr>
                <w:rFonts w:hint="eastAsia" w:ascii="仿宋" w:hAnsi="仿宋" w:eastAsia="仿宋"/>
                <w:color w:val="auto"/>
                <w:kern w:val="0"/>
                <w:sz w:val="24"/>
                <w:highlight w:val="none"/>
              </w:rPr>
              <w:t>分，符合采购人实际情况，合理可行，完全满足每项得</w:t>
            </w:r>
            <w:r>
              <w:rPr>
                <w:rFonts w:ascii="仿宋" w:hAnsi="仿宋" w:eastAsia="仿宋"/>
                <w:color w:val="auto"/>
                <w:kern w:val="0"/>
                <w:sz w:val="24"/>
                <w:highlight w:val="none"/>
              </w:rPr>
              <w:t>3</w:t>
            </w:r>
            <w:r>
              <w:rPr>
                <w:rFonts w:hint="eastAsia" w:ascii="仿宋" w:hAnsi="仿宋" w:eastAsia="仿宋"/>
                <w:color w:val="auto"/>
                <w:kern w:val="0"/>
                <w:sz w:val="24"/>
                <w:highlight w:val="none"/>
              </w:rPr>
              <w:t>分，基本符合采购人实际情况，较为合理可行，部分满足每项得1分，方案不合理或未提供方案不得分，共9分)</w:t>
            </w:r>
          </w:p>
        </w:tc>
        <w:tc>
          <w:tcPr>
            <w:tcW w:w="1061" w:type="dxa"/>
            <w:vAlign w:val="center"/>
          </w:tcPr>
          <w:p>
            <w:pPr>
              <w:spacing w:line="360" w:lineRule="auto"/>
              <w:ind w:right="-21" w:rightChars="-10"/>
              <w:jc w:val="center"/>
              <w:rPr>
                <w:rFonts w:ascii="仿宋" w:hAnsi="仿宋" w:eastAsia="仿宋" w:cs="宋体"/>
                <w:b/>
                <w:bCs/>
                <w:color w:val="auto"/>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9</w:t>
            </w:r>
            <w:r>
              <w:rPr>
                <w:rFonts w:hint="eastAsia" w:ascii="仿宋" w:hAnsi="仿宋" w:eastAsia="仿宋"/>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vAlign w:val="center"/>
          </w:tcPr>
          <w:p>
            <w:pPr>
              <w:spacing w:line="360" w:lineRule="auto"/>
              <w:jc w:val="center"/>
              <w:rPr>
                <w:rFonts w:ascii="仿宋" w:hAnsi="仿宋" w:eastAsia="仿宋" w:cs="宋体"/>
                <w:color w:val="auto"/>
                <w:sz w:val="24"/>
                <w:highlight w:val="none"/>
              </w:rPr>
            </w:pPr>
          </w:p>
        </w:tc>
        <w:tc>
          <w:tcPr>
            <w:tcW w:w="1181" w:type="dxa"/>
            <w:vMerge w:val="continue"/>
            <w:vAlign w:val="center"/>
          </w:tcPr>
          <w:p>
            <w:pPr>
              <w:spacing w:line="360" w:lineRule="auto"/>
              <w:ind w:right="-21" w:rightChars="-10"/>
              <w:jc w:val="center"/>
              <w:rPr>
                <w:rFonts w:ascii="仿宋" w:hAnsi="仿宋" w:eastAsia="仿宋"/>
                <w:color w:val="auto"/>
                <w:kern w:val="0"/>
                <w:sz w:val="24"/>
                <w:highlight w:val="none"/>
              </w:rPr>
            </w:pPr>
          </w:p>
        </w:tc>
        <w:tc>
          <w:tcPr>
            <w:tcW w:w="5966" w:type="dxa"/>
            <w:vAlign w:val="center"/>
          </w:tcPr>
          <w:p>
            <w:pPr>
              <w:pStyle w:val="119"/>
              <w:ind w:firstLine="0"/>
              <w:rPr>
                <w:color w:val="auto"/>
                <w:kern w:val="0"/>
                <w:highlight w:val="none"/>
              </w:rPr>
            </w:pPr>
            <w:r>
              <w:rPr>
                <w:rFonts w:hint="eastAsia"/>
                <w:color w:val="auto"/>
                <w:highlight w:val="none"/>
              </w:rPr>
              <w:t>（2）投标人对本次项目的技术难点分析、风险分析和解决难题、规避风险措施的合理性和可操作性描述完整、合理、可行、规范的得</w:t>
            </w:r>
            <w:r>
              <w:rPr>
                <w:color w:val="auto"/>
                <w:highlight w:val="none"/>
              </w:rPr>
              <w:t>5</w:t>
            </w:r>
            <w:r>
              <w:rPr>
                <w:rFonts w:hint="eastAsia"/>
                <w:color w:val="auto"/>
                <w:highlight w:val="none"/>
              </w:rPr>
              <w:t>分，对本次项目的技术难点分析、风险分析和解决难题、规避风险措施合理性、可行性、规范性、完整性较好得</w:t>
            </w:r>
            <w:r>
              <w:rPr>
                <w:color w:val="auto"/>
                <w:highlight w:val="none"/>
              </w:rPr>
              <w:t>3</w:t>
            </w:r>
            <w:r>
              <w:rPr>
                <w:rFonts w:hint="eastAsia"/>
                <w:color w:val="auto"/>
                <w:highlight w:val="none"/>
              </w:rPr>
              <w:t>分，对本次项目的技术难点分析、风险分析和解决难题、规避风险措施方案有一定不足、与项目实际有一定偏离得1分，方案不合理或未提供方案的得0分。</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5</w:t>
            </w:r>
            <w:r>
              <w:rPr>
                <w:rFonts w:hint="eastAsia" w:ascii="仿宋" w:hAnsi="仿宋" w:eastAsia="仿宋"/>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vAlign w:val="center"/>
          </w:tcPr>
          <w:p>
            <w:pPr>
              <w:spacing w:line="360" w:lineRule="auto"/>
              <w:jc w:val="center"/>
              <w:rPr>
                <w:rFonts w:ascii="仿宋" w:hAnsi="仿宋" w:eastAsia="仿宋" w:cs="宋体"/>
                <w:color w:val="auto"/>
                <w:sz w:val="24"/>
                <w:highlight w:val="none"/>
              </w:rPr>
            </w:pPr>
          </w:p>
        </w:tc>
        <w:tc>
          <w:tcPr>
            <w:tcW w:w="1181" w:type="dxa"/>
            <w:vMerge w:val="continue"/>
            <w:vAlign w:val="center"/>
          </w:tcPr>
          <w:p>
            <w:pPr>
              <w:spacing w:line="360" w:lineRule="auto"/>
              <w:ind w:right="-21" w:rightChars="-10"/>
              <w:jc w:val="center"/>
              <w:rPr>
                <w:rFonts w:ascii="仿宋" w:hAnsi="仿宋" w:eastAsia="仿宋"/>
                <w:color w:val="auto"/>
                <w:kern w:val="0"/>
                <w:sz w:val="24"/>
                <w:highlight w:val="none"/>
              </w:rPr>
            </w:pPr>
          </w:p>
        </w:tc>
        <w:tc>
          <w:tcPr>
            <w:tcW w:w="5966" w:type="dxa"/>
            <w:vAlign w:val="center"/>
          </w:tcPr>
          <w:p>
            <w:pPr>
              <w:spacing w:line="360" w:lineRule="auto"/>
              <w:ind w:right="-21" w:rightChars="-10"/>
              <w:rPr>
                <w:rFonts w:ascii="仿宋" w:hAnsi="仿宋" w:eastAsia="仿宋"/>
                <w:color w:val="auto"/>
                <w:kern w:val="0"/>
                <w:sz w:val="24"/>
                <w:highlight w:val="none"/>
              </w:rPr>
            </w:pPr>
            <w:r>
              <w:rPr>
                <w:rFonts w:hint="eastAsia" w:ascii="仿宋" w:hAnsi="仿宋" w:eastAsia="仿宋"/>
                <w:color w:val="auto"/>
                <w:sz w:val="24"/>
                <w:highlight w:val="none"/>
              </w:rPr>
              <w:t>（3）客运车辆违规上客治理（二期）方案：</w:t>
            </w:r>
            <w:r>
              <w:rPr>
                <w:rFonts w:hint="eastAsia" w:ascii="仿宋" w:hAnsi="仿宋" w:eastAsia="仿宋" w:cs="宋体"/>
                <w:color w:val="auto"/>
                <w:kern w:val="0"/>
                <w:sz w:val="24"/>
                <w:highlight w:val="none"/>
              </w:rPr>
              <w:t>充分理解系统的建设需求并提供详细的设计方案，</w:t>
            </w:r>
            <w:r>
              <w:rPr>
                <w:rFonts w:hint="eastAsia" w:ascii="仿宋" w:hAnsi="仿宋" w:eastAsia="仿宋"/>
                <w:color w:val="auto"/>
                <w:kern w:val="0"/>
                <w:sz w:val="24"/>
                <w:highlight w:val="none"/>
              </w:rPr>
              <w:t>符合采购人实际情况，合理可行，完全满足第三部分《采购需求》要求得</w:t>
            </w:r>
            <w:r>
              <w:rPr>
                <w:rFonts w:ascii="仿宋" w:hAnsi="仿宋" w:eastAsia="仿宋"/>
                <w:color w:val="auto"/>
                <w:kern w:val="0"/>
                <w:sz w:val="24"/>
                <w:highlight w:val="none"/>
              </w:rPr>
              <w:t>4</w:t>
            </w:r>
            <w:r>
              <w:rPr>
                <w:rFonts w:hint="eastAsia" w:ascii="仿宋" w:hAnsi="仿宋" w:eastAsia="仿宋"/>
                <w:color w:val="auto"/>
                <w:kern w:val="0"/>
                <w:sz w:val="24"/>
                <w:highlight w:val="none"/>
              </w:rPr>
              <w:t>分，较符合采购人实际情况，较合理可行，基本满足第三部分《采购需求》要求得</w:t>
            </w:r>
            <w:r>
              <w:rPr>
                <w:rFonts w:ascii="仿宋" w:hAnsi="仿宋" w:eastAsia="仿宋"/>
                <w:color w:val="auto"/>
                <w:kern w:val="0"/>
                <w:sz w:val="24"/>
                <w:highlight w:val="none"/>
              </w:rPr>
              <w:t>2</w:t>
            </w:r>
            <w:r>
              <w:rPr>
                <w:rFonts w:hint="eastAsia" w:ascii="仿宋" w:hAnsi="仿宋" w:eastAsia="仿宋"/>
                <w:color w:val="auto"/>
                <w:kern w:val="0"/>
                <w:sz w:val="24"/>
                <w:highlight w:val="none"/>
              </w:rPr>
              <w:t>分，基本符合采购人实际情况，较为合理可行，与第三部分《采购需求》要求有一定的偏离，需进一步完善得</w:t>
            </w:r>
            <w:r>
              <w:rPr>
                <w:rFonts w:ascii="仿宋" w:hAnsi="仿宋" w:eastAsia="仿宋"/>
                <w:color w:val="auto"/>
                <w:kern w:val="0"/>
                <w:sz w:val="24"/>
                <w:highlight w:val="none"/>
              </w:rPr>
              <w:t>1</w:t>
            </w:r>
            <w:r>
              <w:rPr>
                <w:rFonts w:hint="eastAsia" w:ascii="仿宋" w:hAnsi="仿宋" w:eastAsia="仿宋"/>
                <w:color w:val="auto"/>
                <w:kern w:val="0"/>
                <w:sz w:val="24"/>
                <w:highlight w:val="none"/>
              </w:rPr>
              <w:t>分，方案不合理或未提供方案不得分</w:t>
            </w:r>
            <w:r>
              <w:rPr>
                <w:rFonts w:hint="eastAsia" w:ascii="仿宋" w:hAnsi="仿宋" w:eastAsia="仿宋" w:cs="宋体"/>
                <w:color w:val="auto"/>
                <w:kern w:val="0"/>
                <w:sz w:val="24"/>
                <w:highlight w:val="none"/>
              </w:rPr>
              <w:t>。</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4</w:t>
            </w:r>
            <w:r>
              <w:rPr>
                <w:rFonts w:hint="eastAsia" w:ascii="仿宋" w:hAnsi="仿宋" w:eastAsia="仿宋"/>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vAlign w:val="center"/>
          </w:tcPr>
          <w:p>
            <w:pPr>
              <w:spacing w:line="360" w:lineRule="auto"/>
              <w:jc w:val="center"/>
              <w:rPr>
                <w:rFonts w:ascii="仿宋" w:hAnsi="仿宋" w:eastAsia="仿宋" w:cs="宋体"/>
                <w:color w:val="auto"/>
                <w:sz w:val="24"/>
                <w:highlight w:val="none"/>
              </w:rPr>
            </w:pPr>
          </w:p>
        </w:tc>
        <w:tc>
          <w:tcPr>
            <w:tcW w:w="1181" w:type="dxa"/>
            <w:vMerge w:val="continue"/>
            <w:vAlign w:val="center"/>
          </w:tcPr>
          <w:p>
            <w:pPr>
              <w:spacing w:line="360" w:lineRule="auto"/>
              <w:ind w:right="-21" w:rightChars="-10"/>
              <w:jc w:val="center"/>
              <w:rPr>
                <w:rFonts w:ascii="仿宋" w:hAnsi="仿宋" w:eastAsia="仿宋"/>
                <w:color w:val="auto"/>
                <w:kern w:val="0"/>
                <w:sz w:val="24"/>
                <w:highlight w:val="none"/>
              </w:rPr>
            </w:pPr>
          </w:p>
        </w:tc>
        <w:tc>
          <w:tcPr>
            <w:tcW w:w="5966" w:type="dxa"/>
            <w:vAlign w:val="center"/>
          </w:tcPr>
          <w:p>
            <w:pPr>
              <w:spacing w:line="360" w:lineRule="auto"/>
              <w:ind w:right="-21" w:rightChars="-10"/>
              <w:rPr>
                <w:rFonts w:ascii="仿宋" w:hAnsi="仿宋" w:eastAsia="仿宋"/>
                <w:color w:val="auto"/>
                <w:kern w:val="0"/>
                <w:sz w:val="24"/>
                <w:highlight w:val="none"/>
              </w:rPr>
            </w:pPr>
            <w:r>
              <w:rPr>
                <w:rFonts w:hint="eastAsia" w:ascii="仿宋" w:hAnsi="仿宋" w:eastAsia="仿宋"/>
                <w:color w:val="auto"/>
                <w:sz w:val="24"/>
                <w:highlight w:val="none"/>
              </w:rPr>
              <w:t>（4）杭州市出租汽车综合监管服务方案：</w:t>
            </w:r>
            <w:r>
              <w:rPr>
                <w:rFonts w:hint="eastAsia" w:ascii="仿宋" w:hAnsi="仿宋" w:eastAsia="仿宋" w:cs="宋体"/>
                <w:color w:val="auto"/>
                <w:kern w:val="0"/>
                <w:sz w:val="24"/>
                <w:highlight w:val="none"/>
              </w:rPr>
              <w:t>充分理解系统的建设需求并提供详细的设计方案，</w:t>
            </w:r>
            <w:r>
              <w:rPr>
                <w:rFonts w:hint="eastAsia" w:ascii="仿宋" w:hAnsi="仿宋" w:eastAsia="仿宋"/>
                <w:color w:val="auto"/>
                <w:kern w:val="0"/>
                <w:sz w:val="24"/>
                <w:highlight w:val="none"/>
              </w:rPr>
              <w:t>符合采购人实际情况，合理可行，完全满足第三部分《采购需求》要求得</w:t>
            </w:r>
            <w:r>
              <w:rPr>
                <w:rFonts w:ascii="仿宋" w:hAnsi="仿宋" w:eastAsia="仿宋"/>
                <w:color w:val="auto"/>
                <w:kern w:val="0"/>
                <w:sz w:val="24"/>
                <w:highlight w:val="none"/>
              </w:rPr>
              <w:t>4</w:t>
            </w:r>
            <w:r>
              <w:rPr>
                <w:rFonts w:hint="eastAsia" w:ascii="仿宋" w:hAnsi="仿宋" w:eastAsia="仿宋"/>
                <w:color w:val="auto"/>
                <w:kern w:val="0"/>
                <w:sz w:val="24"/>
                <w:highlight w:val="none"/>
              </w:rPr>
              <w:t>分，较符合采购人实际情况，较合理可行，基本满足第三部分《采购需求》要求得</w:t>
            </w:r>
            <w:r>
              <w:rPr>
                <w:rFonts w:ascii="仿宋" w:hAnsi="仿宋" w:eastAsia="仿宋"/>
                <w:color w:val="auto"/>
                <w:kern w:val="0"/>
                <w:sz w:val="24"/>
                <w:highlight w:val="none"/>
              </w:rPr>
              <w:t>2</w:t>
            </w:r>
            <w:r>
              <w:rPr>
                <w:rFonts w:hint="eastAsia" w:ascii="仿宋" w:hAnsi="仿宋" w:eastAsia="仿宋"/>
                <w:color w:val="auto"/>
                <w:kern w:val="0"/>
                <w:sz w:val="24"/>
                <w:highlight w:val="none"/>
              </w:rPr>
              <w:t>分，基本符合采购人实际情况，较为合理可行，与第三部分《采购需求》要求有一定的偏离，需进一步完善得</w:t>
            </w:r>
            <w:r>
              <w:rPr>
                <w:rFonts w:ascii="仿宋" w:hAnsi="仿宋" w:eastAsia="仿宋"/>
                <w:color w:val="auto"/>
                <w:kern w:val="0"/>
                <w:sz w:val="24"/>
                <w:highlight w:val="none"/>
              </w:rPr>
              <w:t>1</w:t>
            </w:r>
            <w:r>
              <w:rPr>
                <w:rFonts w:hint="eastAsia" w:ascii="仿宋" w:hAnsi="仿宋" w:eastAsia="仿宋"/>
                <w:color w:val="auto"/>
                <w:kern w:val="0"/>
                <w:sz w:val="24"/>
                <w:highlight w:val="none"/>
              </w:rPr>
              <w:t>分，方案不合理或未提供方案不得分</w:t>
            </w:r>
            <w:r>
              <w:rPr>
                <w:rFonts w:hint="eastAsia" w:ascii="仿宋" w:hAnsi="仿宋" w:eastAsia="仿宋" w:cs="宋体"/>
                <w:color w:val="auto"/>
                <w:kern w:val="0"/>
                <w:sz w:val="24"/>
                <w:highlight w:val="none"/>
              </w:rPr>
              <w:t>。</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4</w:t>
            </w:r>
            <w:r>
              <w:rPr>
                <w:rFonts w:hint="eastAsia" w:ascii="仿宋" w:hAnsi="仿宋" w:eastAsia="仿宋"/>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vAlign w:val="center"/>
          </w:tcPr>
          <w:p>
            <w:pPr>
              <w:spacing w:line="360" w:lineRule="auto"/>
              <w:jc w:val="center"/>
              <w:rPr>
                <w:rFonts w:ascii="仿宋" w:hAnsi="仿宋" w:eastAsia="仿宋" w:cs="宋体"/>
                <w:color w:val="auto"/>
                <w:sz w:val="24"/>
                <w:highlight w:val="none"/>
              </w:rPr>
            </w:pPr>
          </w:p>
        </w:tc>
        <w:tc>
          <w:tcPr>
            <w:tcW w:w="1181" w:type="dxa"/>
            <w:vMerge w:val="continue"/>
            <w:vAlign w:val="center"/>
          </w:tcPr>
          <w:p>
            <w:pPr>
              <w:spacing w:line="360" w:lineRule="auto"/>
              <w:ind w:right="-21" w:rightChars="-10"/>
              <w:jc w:val="center"/>
              <w:rPr>
                <w:rFonts w:ascii="仿宋" w:hAnsi="仿宋" w:eastAsia="仿宋"/>
                <w:color w:val="auto"/>
                <w:kern w:val="0"/>
                <w:sz w:val="24"/>
                <w:highlight w:val="none"/>
              </w:rPr>
            </w:pPr>
          </w:p>
        </w:tc>
        <w:tc>
          <w:tcPr>
            <w:tcW w:w="5966" w:type="dxa"/>
            <w:vAlign w:val="center"/>
          </w:tcPr>
          <w:p>
            <w:pPr>
              <w:spacing w:line="360" w:lineRule="auto"/>
              <w:ind w:right="-21" w:rightChars="-10"/>
              <w:rPr>
                <w:rFonts w:ascii="仿宋" w:hAnsi="仿宋" w:eastAsia="仿宋"/>
                <w:color w:val="auto"/>
                <w:kern w:val="0"/>
                <w:sz w:val="24"/>
                <w:highlight w:val="none"/>
              </w:rPr>
            </w:pPr>
            <w:r>
              <w:rPr>
                <w:rFonts w:hint="eastAsia" w:ascii="仿宋" w:hAnsi="仿宋" w:eastAsia="仿宋"/>
                <w:color w:val="auto"/>
                <w:sz w:val="24"/>
                <w:highlight w:val="none"/>
              </w:rPr>
              <w:t>（5）阳光驾培管理服务方案：</w:t>
            </w:r>
            <w:r>
              <w:rPr>
                <w:rFonts w:hint="eastAsia" w:ascii="仿宋" w:hAnsi="仿宋" w:eastAsia="仿宋" w:cs="宋体"/>
                <w:color w:val="auto"/>
                <w:kern w:val="0"/>
                <w:sz w:val="24"/>
                <w:highlight w:val="none"/>
              </w:rPr>
              <w:t>充分理解系统的建设需求并提供详细的设计方案，</w:t>
            </w:r>
            <w:r>
              <w:rPr>
                <w:rFonts w:hint="eastAsia" w:ascii="仿宋" w:hAnsi="仿宋" w:eastAsia="仿宋"/>
                <w:color w:val="auto"/>
                <w:kern w:val="0"/>
                <w:sz w:val="24"/>
                <w:highlight w:val="none"/>
              </w:rPr>
              <w:t>符合采购人实际情况，合理可行，完全满足第三部分《采购需求》要求得</w:t>
            </w:r>
            <w:r>
              <w:rPr>
                <w:rFonts w:ascii="仿宋" w:hAnsi="仿宋" w:eastAsia="仿宋"/>
                <w:color w:val="auto"/>
                <w:kern w:val="0"/>
                <w:sz w:val="24"/>
                <w:highlight w:val="none"/>
              </w:rPr>
              <w:t>4</w:t>
            </w:r>
            <w:r>
              <w:rPr>
                <w:rFonts w:hint="eastAsia" w:ascii="仿宋" w:hAnsi="仿宋" w:eastAsia="仿宋"/>
                <w:color w:val="auto"/>
                <w:kern w:val="0"/>
                <w:sz w:val="24"/>
                <w:highlight w:val="none"/>
              </w:rPr>
              <w:t>分，较符合采购人实际情况，较合理可行，基本满足第三部分《采购需求》要求得</w:t>
            </w:r>
            <w:r>
              <w:rPr>
                <w:rFonts w:ascii="仿宋" w:hAnsi="仿宋" w:eastAsia="仿宋"/>
                <w:color w:val="auto"/>
                <w:kern w:val="0"/>
                <w:sz w:val="24"/>
                <w:highlight w:val="none"/>
              </w:rPr>
              <w:t>2</w:t>
            </w:r>
            <w:r>
              <w:rPr>
                <w:rFonts w:hint="eastAsia" w:ascii="仿宋" w:hAnsi="仿宋" w:eastAsia="仿宋"/>
                <w:color w:val="auto"/>
                <w:kern w:val="0"/>
                <w:sz w:val="24"/>
                <w:highlight w:val="none"/>
              </w:rPr>
              <w:t>分，基本符合采购人实际情况，较为合理可行，与第三部分《采购需求》要求有一定的偏离，需进一步完善得</w:t>
            </w:r>
            <w:r>
              <w:rPr>
                <w:rFonts w:ascii="仿宋" w:hAnsi="仿宋" w:eastAsia="仿宋"/>
                <w:color w:val="auto"/>
                <w:kern w:val="0"/>
                <w:sz w:val="24"/>
                <w:highlight w:val="none"/>
              </w:rPr>
              <w:t>1</w:t>
            </w:r>
            <w:r>
              <w:rPr>
                <w:rFonts w:hint="eastAsia" w:ascii="仿宋" w:hAnsi="仿宋" w:eastAsia="仿宋"/>
                <w:color w:val="auto"/>
                <w:kern w:val="0"/>
                <w:sz w:val="24"/>
                <w:highlight w:val="none"/>
              </w:rPr>
              <w:t>分，方案不合理或未提供方案不得分</w:t>
            </w:r>
            <w:r>
              <w:rPr>
                <w:rFonts w:hint="eastAsia" w:ascii="仿宋" w:hAnsi="仿宋" w:eastAsia="仿宋" w:cs="宋体"/>
                <w:color w:val="auto"/>
                <w:kern w:val="0"/>
                <w:sz w:val="24"/>
                <w:highlight w:val="none"/>
              </w:rPr>
              <w:t>。</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4</w:t>
            </w:r>
            <w:r>
              <w:rPr>
                <w:rFonts w:hint="eastAsia" w:ascii="仿宋" w:hAnsi="仿宋" w:eastAsia="仿宋"/>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vAlign w:val="center"/>
          </w:tcPr>
          <w:p>
            <w:pPr>
              <w:spacing w:line="360" w:lineRule="auto"/>
              <w:jc w:val="center"/>
              <w:rPr>
                <w:rFonts w:ascii="仿宋" w:hAnsi="仿宋" w:eastAsia="仿宋" w:cs="宋体"/>
                <w:color w:val="auto"/>
                <w:sz w:val="24"/>
                <w:highlight w:val="none"/>
              </w:rPr>
            </w:pPr>
          </w:p>
        </w:tc>
        <w:tc>
          <w:tcPr>
            <w:tcW w:w="1181" w:type="dxa"/>
            <w:vMerge w:val="continue"/>
            <w:vAlign w:val="center"/>
          </w:tcPr>
          <w:p>
            <w:pPr>
              <w:spacing w:line="360" w:lineRule="auto"/>
              <w:ind w:right="-21" w:rightChars="-10"/>
              <w:jc w:val="center"/>
              <w:rPr>
                <w:rFonts w:ascii="仿宋" w:hAnsi="仿宋" w:eastAsia="仿宋"/>
                <w:color w:val="auto"/>
                <w:kern w:val="0"/>
                <w:sz w:val="24"/>
                <w:highlight w:val="none"/>
              </w:rPr>
            </w:pPr>
          </w:p>
        </w:tc>
        <w:tc>
          <w:tcPr>
            <w:tcW w:w="5966" w:type="dxa"/>
            <w:vAlign w:val="center"/>
          </w:tcPr>
          <w:p>
            <w:pPr>
              <w:spacing w:line="360" w:lineRule="auto"/>
              <w:ind w:right="-21" w:rightChars="-10"/>
              <w:rPr>
                <w:rFonts w:ascii="仿宋" w:hAnsi="仿宋" w:eastAsia="仿宋"/>
                <w:color w:val="auto"/>
                <w:kern w:val="0"/>
                <w:sz w:val="24"/>
                <w:highlight w:val="none"/>
              </w:rPr>
            </w:pPr>
            <w:r>
              <w:rPr>
                <w:rFonts w:hint="eastAsia" w:ascii="仿宋" w:hAnsi="仿宋" w:eastAsia="仿宋"/>
                <w:color w:val="auto"/>
                <w:sz w:val="24"/>
                <w:highlight w:val="none"/>
              </w:rPr>
              <w:t>（6）交通运输行业证照协同数字化改革方案：</w:t>
            </w:r>
            <w:r>
              <w:rPr>
                <w:rFonts w:hint="eastAsia" w:ascii="仿宋" w:hAnsi="仿宋" w:eastAsia="仿宋" w:cs="宋体"/>
                <w:color w:val="auto"/>
                <w:kern w:val="0"/>
                <w:sz w:val="24"/>
                <w:highlight w:val="none"/>
              </w:rPr>
              <w:t>充分理解系统的建设需求并提供详细的设计方案，</w:t>
            </w:r>
            <w:r>
              <w:rPr>
                <w:rFonts w:hint="eastAsia" w:ascii="仿宋" w:hAnsi="仿宋" w:eastAsia="仿宋"/>
                <w:color w:val="auto"/>
                <w:kern w:val="0"/>
                <w:sz w:val="24"/>
                <w:highlight w:val="none"/>
              </w:rPr>
              <w:t>符合采购人实际情况，合理可行，完全满足第三部分《采购需求》要求得</w:t>
            </w:r>
            <w:r>
              <w:rPr>
                <w:rFonts w:ascii="仿宋" w:hAnsi="仿宋" w:eastAsia="仿宋"/>
                <w:color w:val="auto"/>
                <w:kern w:val="0"/>
                <w:sz w:val="24"/>
                <w:highlight w:val="none"/>
              </w:rPr>
              <w:t>4</w:t>
            </w:r>
            <w:r>
              <w:rPr>
                <w:rFonts w:hint="eastAsia" w:ascii="仿宋" w:hAnsi="仿宋" w:eastAsia="仿宋"/>
                <w:color w:val="auto"/>
                <w:kern w:val="0"/>
                <w:sz w:val="24"/>
                <w:highlight w:val="none"/>
              </w:rPr>
              <w:t>分，较符合采购人实际情况，较合理可行，基本满足第三部分《采购需求》要求得</w:t>
            </w:r>
            <w:r>
              <w:rPr>
                <w:rFonts w:ascii="仿宋" w:hAnsi="仿宋" w:eastAsia="仿宋"/>
                <w:color w:val="auto"/>
                <w:kern w:val="0"/>
                <w:sz w:val="24"/>
                <w:highlight w:val="none"/>
              </w:rPr>
              <w:t>2</w:t>
            </w:r>
            <w:r>
              <w:rPr>
                <w:rFonts w:hint="eastAsia" w:ascii="仿宋" w:hAnsi="仿宋" w:eastAsia="仿宋"/>
                <w:color w:val="auto"/>
                <w:kern w:val="0"/>
                <w:sz w:val="24"/>
                <w:highlight w:val="none"/>
              </w:rPr>
              <w:t>分，基本符合采购人实际情况，较为合理可行，与第三部分《采购需求》要求有一定的偏离，需进一步完善得</w:t>
            </w:r>
            <w:r>
              <w:rPr>
                <w:rFonts w:ascii="仿宋" w:hAnsi="仿宋" w:eastAsia="仿宋"/>
                <w:color w:val="auto"/>
                <w:kern w:val="0"/>
                <w:sz w:val="24"/>
                <w:highlight w:val="none"/>
              </w:rPr>
              <w:t>1</w:t>
            </w:r>
            <w:r>
              <w:rPr>
                <w:rFonts w:hint="eastAsia" w:ascii="仿宋" w:hAnsi="仿宋" w:eastAsia="仿宋"/>
                <w:color w:val="auto"/>
                <w:kern w:val="0"/>
                <w:sz w:val="24"/>
                <w:highlight w:val="none"/>
              </w:rPr>
              <w:t>分，方案不合理或未提供方案不得分</w:t>
            </w:r>
            <w:r>
              <w:rPr>
                <w:rFonts w:hint="eastAsia" w:ascii="仿宋" w:hAnsi="仿宋" w:eastAsia="仿宋" w:cs="宋体"/>
                <w:color w:val="auto"/>
                <w:kern w:val="0"/>
                <w:sz w:val="24"/>
                <w:highlight w:val="none"/>
              </w:rPr>
              <w:t>。</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4</w:t>
            </w:r>
            <w:r>
              <w:rPr>
                <w:rFonts w:hint="eastAsia" w:ascii="仿宋" w:hAnsi="仿宋" w:eastAsia="仿宋"/>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12" w:type="dxa"/>
            <w:vMerge w:val="continue"/>
            <w:vAlign w:val="center"/>
          </w:tcPr>
          <w:p>
            <w:pPr>
              <w:spacing w:line="360" w:lineRule="auto"/>
              <w:jc w:val="center"/>
              <w:rPr>
                <w:rFonts w:ascii="仿宋" w:hAnsi="仿宋" w:eastAsia="仿宋" w:cs="宋体"/>
                <w:color w:val="auto"/>
                <w:sz w:val="24"/>
                <w:highlight w:val="none"/>
              </w:rPr>
            </w:pPr>
          </w:p>
        </w:tc>
        <w:tc>
          <w:tcPr>
            <w:tcW w:w="1181" w:type="dxa"/>
            <w:vMerge w:val="continue"/>
            <w:vAlign w:val="center"/>
          </w:tcPr>
          <w:p>
            <w:pPr>
              <w:spacing w:line="360" w:lineRule="auto"/>
              <w:ind w:right="-21" w:rightChars="-10"/>
              <w:jc w:val="center"/>
              <w:rPr>
                <w:rFonts w:ascii="仿宋" w:hAnsi="仿宋" w:eastAsia="仿宋"/>
                <w:color w:val="auto"/>
                <w:kern w:val="0"/>
                <w:sz w:val="24"/>
                <w:highlight w:val="none"/>
              </w:rPr>
            </w:pPr>
          </w:p>
        </w:tc>
        <w:tc>
          <w:tcPr>
            <w:tcW w:w="5966" w:type="dxa"/>
            <w:vAlign w:val="center"/>
          </w:tcPr>
          <w:p>
            <w:pPr>
              <w:spacing w:line="360" w:lineRule="auto"/>
              <w:ind w:right="-21" w:rightChars="-10"/>
              <w:rPr>
                <w:rFonts w:ascii="仿宋" w:hAnsi="仿宋" w:eastAsia="仿宋"/>
                <w:color w:val="auto"/>
                <w:kern w:val="0"/>
                <w:sz w:val="24"/>
                <w:highlight w:val="none"/>
              </w:rPr>
            </w:pPr>
            <w:r>
              <w:rPr>
                <w:rFonts w:hint="eastAsia" w:ascii="仿宋" w:hAnsi="仿宋" w:eastAsia="仿宋"/>
                <w:color w:val="auto"/>
                <w:sz w:val="24"/>
                <w:highlight w:val="none"/>
              </w:rPr>
              <w:t>（7）杭州综合交通流动态监测与协同方案：</w:t>
            </w:r>
            <w:r>
              <w:rPr>
                <w:rFonts w:hint="eastAsia" w:ascii="仿宋" w:hAnsi="仿宋" w:eastAsia="仿宋" w:cs="宋体"/>
                <w:color w:val="auto"/>
                <w:kern w:val="0"/>
                <w:sz w:val="24"/>
                <w:highlight w:val="none"/>
              </w:rPr>
              <w:t>充分理解系统的建设需求并提供详细的设计方案，</w:t>
            </w:r>
            <w:r>
              <w:rPr>
                <w:rFonts w:hint="eastAsia" w:ascii="仿宋" w:hAnsi="仿宋" w:eastAsia="仿宋"/>
                <w:color w:val="auto"/>
                <w:kern w:val="0"/>
                <w:sz w:val="24"/>
                <w:highlight w:val="none"/>
              </w:rPr>
              <w:t>符合采购人实际情况，合理可行，完全满足第三部分《采购需求》要求得</w:t>
            </w:r>
            <w:r>
              <w:rPr>
                <w:rFonts w:ascii="仿宋" w:hAnsi="仿宋" w:eastAsia="仿宋"/>
                <w:color w:val="auto"/>
                <w:kern w:val="0"/>
                <w:sz w:val="24"/>
                <w:highlight w:val="none"/>
              </w:rPr>
              <w:t>5</w:t>
            </w:r>
            <w:r>
              <w:rPr>
                <w:rFonts w:hint="eastAsia" w:ascii="仿宋" w:hAnsi="仿宋" w:eastAsia="仿宋"/>
                <w:color w:val="auto"/>
                <w:kern w:val="0"/>
                <w:sz w:val="24"/>
                <w:highlight w:val="none"/>
              </w:rPr>
              <w:t>分，较符合采购人实际情况，较合理可行，基本满足第三部分《采购需求》要求得</w:t>
            </w:r>
            <w:r>
              <w:rPr>
                <w:rFonts w:ascii="仿宋" w:hAnsi="仿宋" w:eastAsia="仿宋"/>
                <w:color w:val="auto"/>
                <w:kern w:val="0"/>
                <w:sz w:val="24"/>
                <w:highlight w:val="none"/>
              </w:rPr>
              <w:t>3</w:t>
            </w:r>
            <w:r>
              <w:rPr>
                <w:rFonts w:hint="eastAsia" w:ascii="仿宋" w:hAnsi="仿宋" w:eastAsia="仿宋"/>
                <w:color w:val="auto"/>
                <w:kern w:val="0"/>
                <w:sz w:val="24"/>
                <w:highlight w:val="none"/>
              </w:rPr>
              <w:t>分，基本符合采购人实际情况，较为合理可行，与第三部分《采购需求》要求有一定的偏离，需进一步完善得</w:t>
            </w:r>
            <w:r>
              <w:rPr>
                <w:rFonts w:ascii="仿宋" w:hAnsi="仿宋" w:eastAsia="仿宋"/>
                <w:color w:val="auto"/>
                <w:kern w:val="0"/>
                <w:sz w:val="24"/>
                <w:highlight w:val="none"/>
              </w:rPr>
              <w:t>1</w:t>
            </w:r>
            <w:r>
              <w:rPr>
                <w:rFonts w:hint="eastAsia" w:ascii="仿宋" w:hAnsi="仿宋" w:eastAsia="仿宋"/>
                <w:color w:val="auto"/>
                <w:kern w:val="0"/>
                <w:sz w:val="24"/>
                <w:highlight w:val="none"/>
              </w:rPr>
              <w:t>分，方案不合理或未提供方案不得分</w:t>
            </w:r>
            <w:r>
              <w:rPr>
                <w:rFonts w:hint="eastAsia" w:ascii="仿宋" w:hAnsi="仿宋" w:eastAsia="仿宋" w:cs="宋体"/>
                <w:color w:val="auto"/>
                <w:kern w:val="0"/>
                <w:sz w:val="24"/>
                <w:highlight w:val="none"/>
              </w:rPr>
              <w:t>。</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5</w:t>
            </w:r>
            <w:r>
              <w:rPr>
                <w:rFonts w:hint="eastAsia" w:ascii="仿宋" w:hAnsi="仿宋" w:eastAsia="仿宋"/>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vAlign w:val="center"/>
          </w:tcPr>
          <w:p>
            <w:pPr>
              <w:spacing w:line="360" w:lineRule="auto"/>
              <w:jc w:val="center"/>
              <w:rPr>
                <w:rFonts w:ascii="仿宋" w:hAnsi="仿宋" w:eastAsia="仿宋" w:cs="宋体"/>
                <w:color w:val="auto"/>
                <w:sz w:val="24"/>
                <w:highlight w:val="none"/>
              </w:rPr>
            </w:pPr>
          </w:p>
        </w:tc>
        <w:tc>
          <w:tcPr>
            <w:tcW w:w="1181" w:type="dxa"/>
            <w:vMerge w:val="continue"/>
            <w:vAlign w:val="center"/>
          </w:tcPr>
          <w:p>
            <w:pPr>
              <w:spacing w:line="360" w:lineRule="auto"/>
              <w:ind w:right="-21" w:rightChars="-10"/>
              <w:jc w:val="center"/>
              <w:rPr>
                <w:rFonts w:ascii="仿宋" w:hAnsi="仿宋" w:eastAsia="仿宋"/>
                <w:color w:val="auto"/>
                <w:kern w:val="0"/>
                <w:sz w:val="24"/>
                <w:highlight w:val="none"/>
              </w:rPr>
            </w:pPr>
          </w:p>
        </w:tc>
        <w:tc>
          <w:tcPr>
            <w:tcW w:w="5966" w:type="dxa"/>
            <w:vAlign w:val="center"/>
          </w:tcPr>
          <w:p>
            <w:pPr>
              <w:spacing w:line="360" w:lineRule="auto"/>
              <w:ind w:right="-21" w:rightChars="-10"/>
              <w:rPr>
                <w:rFonts w:ascii="仿宋" w:hAnsi="仿宋" w:eastAsia="仿宋"/>
                <w:color w:val="auto"/>
                <w:kern w:val="0"/>
                <w:sz w:val="24"/>
                <w:highlight w:val="none"/>
              </w:rPr>
            </w:pPr>
            <w:r>
              <w:rPr>
                <w:rFonts w:hint="eastAsia" w:ascii="仿宋" w:hAnsi="仿宋" w:eastAsia="仿宋"/>
                <w:color w:val="auto"/>
                <w:sz w:val="24"/>
                <w:highlight w:val="none"/>
              </w:rPr>
              <w:t>（8）交通“一张图”（二期）方案：</w:t>
            </w:r>
            <w:r>
              <w:rPr>
                <w:rFonts w:hint="eastAsia" w:ascii="仿宋" w:hAnsi="仿宋" w:eastAsia="仿宋" w:cs="宋体"/>
                <w:color w:val="auto"/>
                <w:kern w:val="0"/>
                <w:sz w:val="24"/>
                <w:highlight w:val="none"/>
              </w:rPr>
              <w:t>充分理解系统的建设需求并提供详细的设计方案，</w:t>
            </w:r>
            <w:r>
              <w:rPr>
                <w:rFonts w:hint="eastAsia" w:ascii="仿宋" w:hAnsi="仿宋" w:eastAsia="仿宋"/>
                <w:color w:val="auto"/>
                <w:kern w:val="0"/>
                <w:sz w:val="24"/>
                <w:highlight w:val="none"/>
              </w:rPr>
              <w:t>符合采购人实际情况，合理可行，完全满足第三部分《采购需求》要求得</w:t>
            </w:r>
            <w:r>
              <w:rPr>
                <w:rFonts w:ascii="仿宋" w:hAnsi="仿宋" w:eastAsia="仿宋"/>
                <w:color w:val="auto"/>
                <w:kern w:val="0"/>
                <w:sz w:val="24"/>
                <w:highlight w:val="none"/>
              </w:rPr>
              <w:t>4</w:t>
            </w:r>
            <w:r>
              <w:rPr>
                <w:rFonts w:hint="eastAsia" w:ascii="仿宋" w:hAnsi="仿宋" w:eastAsia="仿宋"/>
                <w:color w:val="auto"/>
                <w:kern w:val="0"/>
                <w:sz w:val="24"/>
                <w:highlight w:val="none"/>
              </w:rPr>
              <w:t>分，较符合采购人实际情况，较合理可行，基本满足第三部分《采购需求》要求得</w:t>
            </w:r>
            <w:r>
              <w:rPr>
                <w:rFonts w:ascii="仿宋" w:hAnsi="仿宋" w:eastAsia="仿宋"/>
                <w:color w:val="auto"/>
                <w:kern w:val="0"/>
                <w:sz w:val="24"/>
                <w:highlight w:val="none"/>
              </w:rPr>
              <w:t>2</w:t>
            </w:r>
            <w:r>
              <w:rPr>
                <w:rFonts w:hint="eastAsia" w:ascii="仿宋" w:hAnsi="仿宋" w:eastAsia="仿宋"/>
                <w:color w:val="auto"/>
                <w:kern w:val="0"/>
                <w:sz w:val="24"/>
                <w:highlight w:val="none"/>
              </w:rPr>
              <w:t>分，基本符合采购人实际情况，较为合理可行，与第三部分《采购需求》要求有一定的偏离，需进一步完善得</w:t>
            </w:r>
            <w:r>
              <w:rPr>
                <w:rFonts w:ascii="仿宋" w:hAnsi="仿宋" w:eastAsia="仿宋"/>
                <w:color w:val="auto"/>
                <w:kern w:val="0"/>
                <w:sz w:val="24"/>
                <w:highlight w:val="none"/>
              </w:rPr>
              <w:t>1</w:t>
            </w:r>
            <w:r>
              <w:rPr>
                <w:rFonts w:hint="eastAsia" w:ascii="仿宋" w:hAnsi="仿宋" w:eastAsia="仿宋"/>
                <w:color w:val="auto"/>
                <w:kern w:val="0"/>
                <w:sz w:val="24"/>
                <w:highlight w:val="none"/>
              </w:rPr>
              <w:t>分，方案不合理或未提供方案不得分</w:t>
            </w:r>
            <w:r>
              <w:rPr>
                <w:rFonts w:hint="eastAsia" w:ascii="仿宋" w:hAnsi="仿宋" w:eastAsia="仿宋" w:cs="宋体"/>
                <w:color w:val="auto"/>
                <w:kern w:val="0"/>
                <w:sz w:val="24"/>
                <w:highlight w:val="none"/>
              </w:rPr>
              <w:t>。</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4</w:t>
            </w:r>
            <w:r>
              <w:rPr>
                <w:rFonts w:hint="eastAsia" w:ascii="仿宋" w:hAnsi="仿宋" w:eastAsia="仿宋"/>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vAlign w:val="center"/>
          </w:tcPr>
          <w:p>
            <w:pPr>
              <w:spacing w:line="360" w:lineRule="auto"/>
              <w:jc w:val="center"/>
              <w:rPr>
                <w:rFonts w:ascii="仿宋" w:hAnsi="仿宋" w:eastAsia="仿宋" w:cs="宋体"/>
                <w:color w:val="auto"/>
                <w:sz w:val="24"/>
                <w:highlight w:val="none"/>
              </w:rPr>
            </w:pPr>
          </w:p>
        </w:tc>
        <w:tc>
          <w:tcPr>
            <w:tcW w:w="1181" w:type="dxa"/>
            <w:vMerge w:val="continue"/>
            <w:vAlign w:val="center"/>
          </w:tcPr>
          <w:p>
            <w:pPr>
              <w:spacing w:line="360" w:lineRule="auto"/>
              <w:ind w:right="-21" w:rightChars="-10"/>
              <w:jc w:val="center"/>
              <w:rPr>
                <w:rFonts w:ascii="仿宋" w:hAnsi="仿宋" w:eastAsia="仿宋"/>
                <w:color w:val="auto"/>
                <w:kern w:val="0"/>
                <w:sz w:val="24"/>
                <w:highlight w:val="none"/>
              </w:rPr>
            </w:pPr>
          </w:p>
        </w:tc>
        <w:tc>
          <w:tcPr>
            <w:tcW w:w="5966" w:type="dxa"/>
            <w:vAlign w:val="center"/>
          </w:tcPr>
          <w:p>
            <w:pPr>
              <w:spacing w:line="360" w:lineRule="auto"/>
              <w:ind w:right="-21" w:rightChars="-10"/>
              <w:rPr>
                <w:rFonts w:ascii="仿宋" w:hAnsi="仿宋" w:eastAsia="仿宋"/>
                <w:color w:val="auto"/>
                <w:sz w:val="24"/>
                <w:highlight w:val="none"/>
              </w:rPr>
            </w:pPr>
            <w:r>
              <w:rPr>
                <w:rFonts w:hint="eastAsia" w:ascii="仿宋" w:hAnsi="仿宋" w:eastAsia="仿宋"/>
                <w:color w:val="auto"/>
                <w:sz w:val="24"/>
                <w:highlight w:val="none"/>
              </w:rPr>
              <w:t>（9）综合交通数据建设方案：</w:t>
            </w:r>
            <w:r>
              <w:rPr>
                <w:rFonts w:hint="eastAsia" w:ascii="仿宋" w:hAnsi="仿宋" w:eastAsia="仿宋" w:cs="宋体"/>
                <w:color w:val="auto"/>
                <w:kern w:val="0"/>
                <w:sz w:val="24"/>
                <w:highlight w:val="none"/>
              </w:rPr>
              <w:t>充分理解系统的建设需求并提供详细的设计方案，</w:t>
            </w:r>
            <w:r>
              <w:rPr>
                <w:rFonts w:hint="eastAsia" w:ascii="仿宋" w:hAnsi="仿宋" w:eastAsia="仿宋"/>
                <w:color w:val="auto"/>
                <w:kern w:val="0"/>
                <w:sz w:val="24"/>
                <w:highlight w:val="none"/>
              </w:rPr>
              <w:t>符合采购人实际情况，合理可行，完全满足第三部分《采购需求》要求得</w:t>
            </w:r>
            <w:r>
              <w:rPr>
                <w:rFonts w:ascii="仿宋" w:hAnsi="仿宋" w:eastAsia="仿宋"/>
                <w:color w:val="auto"/>
                <w:kern w:val="0"/>
                <w:sz w:val="24"/>
                <w:highlight w:val="none"/>
              </w:rPr>
              <w:t>4</w:t>
            </w:r>
            <w:r>
              <w:rPr>
                <w:rFonts w:hint="eastAsia" w:ascii="仿宋" w:hAnsi="仿宋" w:eastAsia="仿宋"/>
                <w:color w:val="auto"/>
                <w:kern w:val="0"/>
                <w:sz w:val="24"/>
                <w:highlight w:val="none"/>
              </w:rPr>
              <w:t>分，较符合采购人实际情况，较合理可行，基本满足第三部分《采购需求》要求得</w:t>
            </w:r>
            <w:r>
              <w:rPr>
                <w:rFonts w:ascii="仿宋" w:hAnsi="仿宋" w:eastAsia="仿宋"/>
                <w:color w:val="auto"/>
                <w:kern w:val="0"/>
                <w:sz w:val="24"/>
                <w:highlight w:val="none"/>
              </w:rPr>
              <w:t>2</w:t>
            </w:r>
            <w:r>
              <w:rPr>
                <w:rFonts w:hint="eastAsia" w:ascii="仿宋" w:hAnsi="仿宋" w:eastAsia="仿宋"/>
                <w:color w:val="auto"/>
                <w:kern w:val="0"/>
                <w:sz w:val="24"/>
                <w:highlight w:val="none"/>
              </w:rPr>
              <w:t>分，基本符合采购人实际情况，较为合理可行，与第三部分《采购需求》要求有一定的偏离，需进一步完善得</w:t>
            </w:r>
            <w:r>
              <w:rPr>
                <w:rFonts w:ascii="仿宋" w:hAnsi="仿宋" w:eastAsia="仿宋"/>
                <w:color w:val="auto"/>
                <w:kern w:val="0"/>
                <w:sz w:val="24"/>
                <w:highlight w:val="none"/>
              </w:rPr>
              <w:t>1</w:t>
            </w:r>
            <w:r>
              <w:rPr>
                <w:rFonts w:hint="eastAsia" w:ascii="仿宋" w:hAnsi="仿宋" w:eastAsia="仿宋"/>
                <w:color w:val="auto"/>
                <w:kern w:val="0"/>
                <w:sz w:val="24"/>
                <w:highlight w:val="none"/>
              </w:rPr>
              <w:t>分，方案不合理或未提供方案不得分</w:t>
            </w:r>
            <w:r>
              <w:rPr>
                <w:rFonts w:hint="eastAsia" w:ascii="仿宋" w:hAnsi="仿宋" w:eastAsia="仿宋" w:cs="宋体"/>
                <w:color w:val="auto"/>
                <w:kern w:val="0"/>
                <w:sz w:val="24"/>
                <w:highlight w:val="none"/>
              </w:rPr>
              <w:t>。</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4</w:t>
            </w:r>
            <w:r>
              <w:rPr>
                <w:rFonts w:hint="eastAsia" w:ascii="仿宋" w:hAnsi="仿宋" w:eastAsia="仿宋"/>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118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硬件技术参数（</w:t>
            </w:r>
            <w:r>
              <w:rPr>
                <w:rFonts w:ascii="仿宋" w:hAnsi="仿宋" w:eastAsia="仿宋"/>
                <w:color w:val="auto"/>
                <w:kern w:val="0"/>
                <w:sz w:val="24"/>
                <w:highlight w:val="none"/>
              </w:rPr>
              <w:t>3</w:t>
            </w:r>
            <w:r>
              <w:rPr>
                <w:rFonts w:hint="eastAsia" w:ascii="仿宋" w:hAnsi="仿宋" w:eastAsia="仿宋"/>
                <w:color w:val="auto"/>
                <w:kern w:val="0"/>
                <w:sz w:val="24"/>
                <w:highlight w:val="none"/>
              </w:rPr>
              <w:t>分）</w:t>
            </w:r>
          </w:p>
        </w:tc>
        <w:tc>
          <w:tcPr>
            <w:tcW w:w="5966" w:type="dxa"/>
            <w:vAlign w:val="center"/>
          </w:tcPr>
          <w:p>
            <w:pPr>
              <w:spacing w:line="360" w:lineRule="auto"/>
              <w:rPr>
                <w:rFonts w:ascii="仿宋" w:hAnsi="仿宋" w:eastAsia="仿宋" w:cs="宋体"/>
                <w:iCs/>
                <w:color w:val="auto"/>
                <w:sz w:val="24"/>
                <w:highlight w:val="none"/>
              </w:rPr>
            </w:pPr>
            <w:r>
              <w:rPr>
                <w:rFonts w:hint="eastAsia" w:ascii="仿宋" w:hAnsi="仿宋" w:eastAsia="仿宋" w:cs="宋体"/>
                <w:iCs/>
                <w:color w:val="auto"/>
                <w:sz w:val="24"/>
                <w:highlight w:val="none"/>
              </w:rPr>
              <w:t>视频基础服务器、视频应用服务器、数据接入服务器</w:t>
            </w:r>
            <w:r>
              <w:rPr>
                <w:rFonts w:ascii="仿宋" w:hAnsi="仿宋" w:eastAsia="仿宋" w:cs="宋体"/>
                <w:iCs/>
                <w:color w:val="auto"/>
                <w:sz w:val="24"/>
                <w:highlight w:val="none"/>
              </w:rPr>
              <w:t>/</w:t>
            </w:r>
            <w:r>
              <w:rPr>
                <w:rFonts w:hint="eastAsia" w:ascii="仿宋" w:hAnsi="仿宋" w:eastAsia="仿宋" w:cs="宋体"/>
                <w:iCs/>
                <w:color w:val="auto"/>
                <w:sz w:val="24"/>
                <w:highlight w:val="none"/>
              </w:rPr>
              <w:t>流媒体服务器、数据存储服务器、</w:t>
            </w:r>
            <w:r>
              <w:rPr>
                <w:rFonts w:hint="eastAsia" w:ascii="仿宋" w:hAnsi="仿宋" w:eastAsia="仿宋" w:cs="宋体"/>
                <w:color w:val="auto"/>
                <w:sz w:val="24"/>
                <w:highlight w:val="none"/>
              </w:rPr>
              <w:t>安全密码设备签名验签服务器技术参数每偏离一项扣</w:t>
            </w:r>
            <w:r>
              <w:rPr>
                <w:rFonts w:ascii="仿宋" w:hAnsi="仿宋" w:eastAsia="仿宋" w:cs="宋体"/>
                <w:color w:val="auto"/>
                <w:sz w:val="24"/>
                <w:highlight w:val="none"/>
              </w:rPr>
              <w:t>0.5</w:t>
            </w:r>
            <w:r>
              <w:rPr>
                <w:rFonts w:hint="eastAsia" w:ascii="仿宋" w:hAnsi="仿宋" w:eastAsia="仿宋" w:cs="宋体"/>
                <w:color w:val="auto"/>
                <w:sz w:val="24"/>
                <w:highlight w:val="none"/>
              </w:rPr>
              <w:t>分，扣完为止。</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3</w:t>
            </w:r>
            <w:r>
              <w:rPr>
                <w:rFonts w:hint="eastAsia" w:ascii="仿宋" w:hAnsi="仿宋" w:eastAsia="仿宋"/>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6</w:t>
            </w:r>
          </w:p>
        </w:tc>
        <w:tc>
          <w:tcPr>
            <w:tcW w:w="1181" w:type="dxa"/>
            <w:vAlign w:val="center"/>
          </w:tcPr>
          <w:p>
            <w:pPr>
              <w:spacing w:line="360" w:lineRule="auto"/>
              <w:ind w:right="-21" w:rightChars="-10"/>
              <w:jc w:val="center"/>
              <w:rPr>
                <w:rFonts w:ascii="仿宋" w:hAnsi="仿宋" w:eastAsia="仿宋"/>
                <w:color w:val="auto"/>
                <w:sz w:val="24"/>
                <w:highlight w:val="none"/>
              </w:rPr>
            </w:pPr>
            <w:r>
              <w:rPr>
                <w:rFonts w:hint="eastAsia" w:ascii="仿宋" w:hAnsi="仿宋" w:eastAsia="仿宋"/>
                <w:color w:val="auto"/>
                <w:sz w:val="24"/>
                <w:highlight w:val="none"/>
              </w:rPr>
              <w:t>组织实施方案</w:t>
            </w:r>
          </w:p>
          <w:p>
            <w:pPr>
              <w:spacing w:line="360" w:lineRule="auto"/>
              <w:ind w:right="-21" w:rightChars="-10"/>
              <w:jc w:val="center"/>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2</w:t>
            </w:r>
            <w:r>
              <w:rPr>
                <w:rFonts w:hint="eastAsia" w:ascii="仿宋" w:hAnsi="仿宋" w:eastAsia="仿宋"/>
                <w:color w:val="auto"/>
                <w:sz w:val="24"/>
                <w:highlight w:val="none"/>
              </w:rPr>
              <w:t>分）</w:t>
            </w:r>
          </w:p>
        </w:tc>
        <w:tc>
          <w:tcPr>
            <w:tcW w:w="5966" w:type="dxa"/>
            <w:vAlign w:val="center"/>
          </w:tcPr>
          <w:p>
            <w:pPr>
              <w:spacing w:line="360" w:lineRule="auto"/>
              <w:ind w:right="-21" w:rightChars="-10"/>
              <w:rPr>
                <w:rFonts w:ascii="仿宋" w:hAnsi="仿宋" w:eastAsia="仿宋"/>
                <w:color w:val="auto"/>
                <w:kern w:val="0"/>
                <w:sz w:val="24"/>
                <w:highlight w:val="none"/>
              </w:rPr>
            </w:pPr>
            <w:r>
              <w:rPr>
                <w:rFonts w:hint="eastAsia" w:ascii="仿宋" w:hAnsi="仿宋" w:eastAsia="仿宋"/>
                <w:color w:val="auto"/>
                <w:kern w:val="0"/>
                <w:sz w:val="24"/>
                <w:highlight w:val="none"/>
              </w:rPr>
              <w:t>投标人提供以下方案或措施，方案或措施合理、可行，具有针对性，符合项目实际需求每项得</w:t>
            </w:r>
            <w:r>
              <w:rPr>
                <w:rFonts w:ascii="仿宋" w:hAnsi="仿宋" w:eastAsia="仿宋"/>
                <w:color w:val="auto"/>
                <w:kern w:val="0"/>
                <w:sz w:val="24"/>
                <w:highlight w:val="none"/>
              </w:rPr>
              <w:t>2</w:t>
            </w:r>
            <w:r>
              <w:rPr>
                <w:rFonts w:hint="eastAsia" w:ascii="仿宋" w:hAnsi="仿宋" w:eastAsia="仿宋"/>
                <w:color w:val="auto"/>
                <w:kern w:val="0"/>
                <w:sz w:val="24"/>
                <w:highlight w:val="none"/>
              </w:rPr>
              <w:t>分，方案或措施较为合理、可行，较具有针对性，较符合项目实际需求每项得</w:t>
            </w:r>
            <w:r>
              <w:rPr>
                <w:rFonts w:ascii="仿宋" w:hAnsi="仿宋" w:eastAsia="仿宋"/>
                <w:color w:val="auto"/>
                <w:kern w:val="0"/>
                <w:sz w:val="24"/>
                <w:highlight w:val="none"/>
              </w:rPr>
              <w:t>1</w:t>
            </w:r>
            <w:r>
              <w:rPr>
                <w:rFonts w:hint="eastAsia" w:ascii="仿宋" w:hAnsi="仿宋" w:eastAsia="仿宋"/>
                <w:color w:val="auto"/>
                <w:kern w:val="0"/>
                <w:sz w:val="24"/>
                <w:highlight w:val="none"/>
              </w:rPr>
              <w:t>分，方案或措施不合理或未提供方案或措施不得分。</w:t>
            </w:r>
          </w:p>
          <w:p>
            <w:pPr>
              <w:spacing w:line="360" w:lineRule="auto"/>
              <w:ind w:right="-21" w:rightChars="-10"/>
              <w:rPr>
                <w:rFonts w:ascii="仿宋" w:hAnsi="仿宋" w:eastAsia="仿宋"/>
                <w:color w:val="auto"/>
                <w:kern w:val="0"/>
                <w:sz w:val="24"/>
                <w:highlight w:val="none"/>
              </w:rPr>
            </w:pPr>
            <w:r>
              <w:rPr>
                <w:rFonts w:hint="eastAsia" w:ascii="仿宋" w:hAnsi="仿宋" w:eastAsia="仿宋"/>
                <w:color w:val="auto"/>
                <w:kern w:val="0"/>
                <w:sz w:val="24"/>
                <w:highlight w:val="none"/>
              </w:rPr>
              <w:t>（1）系统开发方案；</w:t>
            </w:r>
          </w:p>
          <w:p>
            <w:pPr>
              <w:spacing w:line="360" w:lineRule="auto"/>
              <w:ind w:right="-21" w:rightChars="-10"/>
              <w:rPr>
                <w:rFonts w:ascii="仿宋" w:hAnsi="仿宋" w:eastAsia="仿宋"/>
                <w:color w:val="auto"/>
                <w:kern w:val="0"/>
                <w:sz w:val="24"/>
                <w:highlight w:val="none"/>
              </w:rPr>
            </w:pPr>
            <w:r>
              <w:rPr>
                <w:rFonts w:hint="eastAsia" w:ascii="仿宋" w:hAnsi="仿宋" w:eastAsia="仿宋"/>
                <w:color w:val="auto"/>
                <w:kern w:val="0"/>
                <w:sz w:val="24"/>
                <w:highlight w:val="none"/>
              </w:rPr>
              <w:t>（2）安装调试及软硬件集成方案；</w:t>
            </w:r>
          </w:p>
          <w:p>
            <w:pPr>
              <w:spacing w:line="360" w:lineRule="auto"/>
              <w:ind w:right="-21" w:rightChars="-10"/>
              <w:rPr>
                <w:rFonts w:ascii="仿宋" w:hAnsi="仿宋" w:eastAsia="仿宋"/>
                <w:color w:val="auto"/>
                <w:kern w:val="0"/>
                <w:sz w:val="24"/>
                <w:highlight w:val="none"/>
              </w:rPr>
            </w:pPr>
            <w:r>
              <w:rPr>
                <w:rFonts w:hint="eastAsia" w:ascii="仿宋" w:hAnsi="仿宋" w:eastAsia="仿宋"/>
                <w:color w:val="auto"/>
                <w:kern w:val="0"/>
                <w:sz w:val="24"/>
                <w:highlight w:val="none"/>
              </w:rPr>
              <w:t>（3）系统上线运行及验收方案；</w:t>
            </w:r>
          </w:p>
          <w:p>
            <w:pPr>
              <w:spacing w:line="360" w:lineRule="auto"/>
              <w:ind w:right="-21" w:rightChars="-10"/>
              <w:rPr>
                <w:rFonts w:ascii="仿宋" w:hAnsi="仿宋" w:eastAsia="仿宋"/>
                <w:color w:val="auto"/>
                <w:kern w:val="0"/>
                <w:sz w:val="24"/>
                <w:highlight w:val="none"/>
              </w:rPr>
            </w:pPr>
            <w:r>
              <w:rPr>
                <w:rFonts w:hint="eastAsia" w:ascii="仿宋" w:hAnsi="仿宋" w:eastAsia="仿宋"/>
                <w:color w:val="auto"/>
                <w:kern w:val="0"/>
                <w:sz w:val="24"/>
                <w:highlight w:val="none"/>
              </w:rPr>
              <w:t>（4）系统网络及信息安全方案；</w:t>
            </w:r>
          </w:p>
          <w:p>
            <w:pPr>
              <w:spacing w:line="360" w:lineRule="auto"/>
              <w:ind w:right="-21" w:rightChars="-10"/>
              <w:rPr>
                <w:rFonts w:ascii="仿宋" w:hAnsi="仿宋" w:eastAsia="仿宋"/>
                <w:color w:val="auto"/>
                <w:kern w:val="0"/>
                <w:sz w:val="24"/>
                <w:highlight w:val="none"/>
              </w:rPr>
            </w:pPr>
            <w:r>
              <w:rPr>
                <w:rFonts w:hint="eastAsia" w:ascii="仿宋" w:hAnsi="仿宋" w:eastAsia="仿宋"/>
                <w:color w:val="auto"/>
                <w:kern w:val="0"/>
                <w:sz w:val="24"/>
                <w:highlight w:val="none"/>
              </w:rPr>
              <w:t>（5）功能测试及正常运维措施；</w:t>
            </w:r>
          </w:p>
          <w:p>
            <w:pPr>
              <w:spacing w:line="360" w:lineRule="auto"/>
              <w:ind w:right="-21" w:rightChars="-10"/>
              <w:rPr>
                <w:rFonts w:ascii="仿宋" w:hAnsi="仿宋" w:eastAsia="仿宋"/>
                <w:color w:val="auto"/>
                <w:highlight w:val="none"/>
              </w:rPr>
            </w:pPr>
            <w:r>
              <w:rPr>
                <w:rFonts w:hint="eastAsia" w:ascii="仿宋" w:hAnsi="仿宋" w:eastAsia="仿宋"/>
                <w:color w:val="auto"/>
                <w:kern w:val="0"/>
                <w:sz w:val="24"/>
                <w:highlight w:val="none"/>
              </w:rPr>
              <w:t>（6）IRS系统应用及组件上架方案。</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0-1</w:t>
            </w:r>
            <w:r>
              <w:rPr>
                <w:rFonts w:ascii="仿宋" w:hAnsi="仿宋" w:eastAsia="仿宋"/>
                <w:color w:val="auto"/>
                <w:kern w:val="0"/>
                <w:sz w:val="24"/>
                <w:highlight w:val="none"/>
              </w:rPr>
              <w:t>2</w:t>
            </w:r>
            <w:r>
              <w:rPr>
                <w:rFonts w:hint="eastAsia" w:ascii="仿宋" w:hAnsi="仿宋" w:eastAsia="仿宋"/>
                <w:color w:val="auto"/>
                <w:kern w:val="0"/>
                <w:sz w:val="24"/>
                <w:highlight w:val="none"/>
              </w:rPr>
              <w:t>分</w:t>
            </w:r>
          </w:p>
          <w:p>
            <w:pPr>
              <w:pStyle w:val="2"/>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pPr>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7</w:t>
            </w:r>
          </w:p>
        </w:tc>
        <w:tc>
          <w:tcPr>
            <w:tcW w:w="118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培训</w:t>
            </w:r>
          </w:p>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1</w:t>
            </w:r>
            <w:r>
              <w:rPr>
                <w:rFonts w:hint="eastAsia" w:ascii="仿宋" w:hAnsi="仿宋" w:eastAsia="仿宋"/>
                <w:color w:val="auto"/>
                <w:kern w:val="0"/>
                <w:sz w:val="24"/>
                <w:highlight w:val="none"/>
              </w:rPr>
              <w:t>分）</w:t>
            </w:r>
          </w:p>
        </w:tc>
        <w:tc>
          <w:tcPr>
            <w:tcW w:w="5966" w:type="dxa"/>
            <w:vAlign w:val="center"/>
          </w:tcPr>
          <w:p>
            <w:pPr>
              <w:spacing w:line="360" w:lineRule="auto"/>
              <w:ind w:right="-21" w:rightChars="-10"/>
              <w:rPr>
                <w:rFonts w:ascii="仿宋" w:hAnsi="仿宋" w:eastAsia="仿宋"/>
                <w:color w:val="auto"/>
                <w:sz w:val="24"/>
                <w:highlight w:val="none"/>
              </w:rPr>
            </w:pPr>
            <w:r>
              <w:rPr>
                <w:rFonts w:hint="eastAsia" w:ascii="仿宋" w:hAnsi="仿宋" w:eastAsia="仿宋"/>
                <w:color w:val="auto"/>
                <w:sz w:val="24"/>
                <w:highlight w:val="none"/>
              </w:rPr>
              <w:t>投标人对项目的培训方案：针对平台用户角色类型以及实际情况制定培训计划和课程内容进行培训服务，投标人提出的培训计划包含培训内容、培训材料、培训讲师等内容，符合实际，能有效保障采购人的培训需求得</w:t>
            </w:r>
            <w:r>
              <w:rPr>
                <w:rFonts w:ascii="仿宋" w:hAnsi="仿宋" w:eastAsia="仿宋"/>
                <w:color w:val="auto"/>
                <w:sz w:val="24"/>
                <w:highlight w:val="none"/>
              </w:rPr>
              <w:t>1</w:t>
            </w:r>
            <w:r>
              <w:rPr>
                <w:rFonts w:hint="eastAsia" w:ascii="仿宋" w:hAnsi="仿宋" w:eastAsia="仿宋"/>
                <w:color w:val="auto"/>
                <w:sz w:val="24"/>
                <w:highlight w:val="none"/>
              </w:rPr>
              <w:t>分；针对平台用户角色类型以及实际情况制定培训计划和课程内容进行培训服务，投标人提出的培训计划包含培训内容、培训材料、培训讲师等内容，与实际有一定不符，不能完全有效保障采购人的培训需求得</w:t>
            </w:r>
            <w:r>
              <w:rPr>
                <w:rFonts w:ascii="仿宋" w:hAnsi="仿宋" w:eastAsia="仿宋"/>
                <w:color w:val="auto"/>
                <w:sz w:val="24"/>
                <w:highlight w:val="none"/>
              </w:rPr>
              <w:t>0.5</w:t>
            </w:r>
            <w:r>
              <w:rPr>
                <w:rFonts w:hint="eastAsia" w:ascii="仿宋" w:hAnsi="仿宋" w:eastAsia="仿宋"/>
                <w:color w:val="auto"/>
                <w:sz w:val="24"/>
                <w:highlight w:val="none"/>
              </w:rPr>
              <w:t>分；方案不合理或未提供方案不得分。</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1</w:t>
            </w:r>
            <w:r>
              <w:rPr>
                <w:rFonts w:hint="eastAsia" w:ascii="仿宋" w:hAnsi="仿宋" w:eastAsia="仿宋"/>
                <w:color w:val="auto"/>
                <w:kern w:val="0"/>
                <w:sz w:val="24"/>
                <w:highlight w:val="none"/>
              </w:rPr>
              <w:t>分</w:t>
            </w:r>
          </w:p>
          <w:p>
            <w:pPr>
              <w:pStyle w:val="2"/>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vAlign w:val="center"/>
          </w:tcPr>
          <w:p>
            <w:pPr>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8</w:t>
            </w:r>
          </w:p>
          <w:p>
            <w:pPr>
              <w:spacing w:line="360" w:lineRule="auto"/>
              <w:jc w:val="center"/>
              <w:rPr>
                <w:rFonts w:ascii="仿宋" w:hAnsi="仿宋" w:eastAsia="仿宋" w:cs="宋体"/>
                <w:color w:val="auto"/>
                <w:sz w:val="24"/>
                <w:highlight w:val="none"/>
              </w:rPr>
            </w:pPr>
          </w:p>
        </w:tc>
        <w:tc>
          <w:tcPr>
            <w:tcW w:w="1181" w:type="dxa"/>
            <w:vMerge w:val="restart"/>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项目组人员</w:t>
            </w:r>
          </w:p>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5</w:t>
            </w:r>
            <w:r>
              <w:rPr>
                <w:rFonts w:hint="eastAsia" w:ascii="仿宋" w:hAnsi="仿宋" w:eastAsia="仿宋"/>
                <w:color w:val="auto"/>
                <w:sz w:val="24"/>
                <w:highlight w:val="none"/>
              </w:rPr>
              <w:t>分）</w:t>
            </w:r>
          </w:p>
        </w:tc>
        <w:tc>
          <w:tcPr>
            <w:tcW w:w="5966" w:type="dxa"/>
            <w:vAlign w:val="center"/>
          </w:tcPr>
          <w:p>
            <w:pPr>
              <w:spacing w:line="360" w:lineRule="auto"/>
              <w:ind w:right="-21" w:rightChars="-10"/>
              <w:rPr>
                <w:rFonts w:ascii="仿宋" w:hAnsi="仿宋" w:eastAsia="仿宋"/>
                <w:color w:val="auto"/>
                <w:sz w:val="24"/>
                <w:highlight w:val="none"/>
              </w:rPr>
            </w:pPr>
            <w:r>
              <w:rPr>
                <w:rFonts w:hint="eastAsia" w:ascii="仿宋" w:hAnsi="仿宋" w:eastAsia="仿宋"/>
                <w:color w:val="auto"/>
                <w:sz w:val="24"/>
                <w:highlight w:val="none"/>
              </w:rPr>
              <w:t>（1）拟派项目负责人：</w:t>
            </w:r>
          </w:p>
          <w:p>
            <w:pPr>
              <w:spacing w:line="360" w:lineRule="auto"/>
              <w:ind w:right="-21" w:rightChars="-10"/>
              <w:rPr>
                <w:rFonts w:ascii="仿宋" w:hAnsi="仿宋" w:eastAsia="仿宋"/>
                <w:color w:val="auto"/>
                <w:sz w:val="24"/>
                <w:highlight w:val="none"/>
              </w:rPr>
            </w:pPr>
            <w:r>
              <w:rPr>
                <w:rFonts w:hint="eastAsia" w:ascii="仿宋" w:hAnsi="仿宋" w:eastAsia="仿宋"/>
                <w:color w:val="auto"/>
                <w:sz w:val="24"/>
                <w:highlight w:val="none"/>
              </w:rPr>
              <w:t>具有信息系统项目管理师证书、IT服务项目经理证书，每提供一个证书得1</w:t>
            </w:r>
            <w:r>
              <w:rPr>
                <w:rFonts w:ascii="仿宋" w:hAnsi="仿宋" w:eastAsia="仿宋"/>
                <w:color w:val="auto"/>
                <w:sz w:val="24"/>
                <w:highlight w:val="none"/>
              </w:rPr>
              <w:t>.5</w:t>
            </w:r>
            <w:r>
              <w:rPr>
                <w:rFonts w:hint="eastAsia" w:ascii="仿宋" w:hAnsi="仿宋" w:eastAsia="仿宋"/>
                <w:color w:val="auto"/>
                <w:sz w:val="24"/>
                <w:highlight w:val="none"/>
              </w:rPr>
              <w:t>分，最高得</w:t>
            </w:r>
            <w:r>
              <w:rPr>
                <w:rFonts w:ascii="仿宋" w:hAnsi="仿宋" w:eastAsia="仿宋"/>
                <w:color w:val="auto"/>
                <w:sz w:val="24"/>
                <w:highlight w:val="none"/>
              </w:rPr>
              <w:t>3</w:t>
            </w:r>
            <w:r>
              <w:rPr>
                <w:rFonts w:hint="eastAsia" w:ascii="仿宋" w:hAnsi="仿宋" w:eastAsia="仿宋"/>
                <w:color w:val="auto"/>
                <w:sz w:val="24"/>
                <w:highlight w:val="none"/>
              </w:rPr>
              <w:t>分。</w:t>
            </w:r>
          </w:p>
          <w:p>
            <w:pPr>
              <w:spacing w:line="360" w:lineRule="auto"/>
              <w:ind w:right="-21" w:rightChars="-10"/>
              <w:rPr>
                <w:rFonts w:ascii="仿宋" w:hAnsi="仿宋" w:eastAsia="仿宋"/>
                <w:color w:val="auto"/>
                <w:sz w:val="24"/>
                <w:highlight w:val="none"/>
              </w:rPr>
            </w:pPr>
            <w:r>
              <w:rPr>
                <w:rFonts w:hint="eastAsia" w:ascii="仿宋" w:hAnsi="仿宋" w:eastAsia="仿宋"/>
                <w:color w:val="auto"/>
                <w:sz w:val="24"/>
                <w:highlight w:val="none"/>
              </w:rPr>
              <w:t>注：提供项目负责人相关证书扫描件以及近三个月内任意一个月在本单位缴纳有社保部门盖章的社保证明材料，近一个月新成立的公司提供说明，不符合要求不得分。</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vAlign w:val="center"/>
          </w:tcPr>
          <w:p>
            <w:pPr>
              <w:spacing w:line="360" w:lineRule="auto"/>
              <w:jc w:val="center"/>
              <w:rPr>
                <w:rFonts w:ascii="仿宋" w:hAnsi="仿宋" w:eastAsia="仿宋" w:cs="宋体"/>
                <w:color w:val="auto"/>
                <w:sz w:val="24"/>
                <w:highlight w:val="none"/>
              </w:rPr>
            </w:pPr>
          </w:p>
        </w:tc>
        <w:tc>
          <w:tcPr>
            <w:tcW w:w="1181" w:type="dxa"/>
            <w:vMerge w:val="continue"/>
            <w:vAlign w:val="center"/>
          </w:tcPr>
          <w:p>
            <w:pPr>
              <w:spacing w:line="360" w:lineRule="auto"/>
              <w:ind w:right="-21" w:rightChars="-10"/>
              <w:jc w:val="center"/>
              <w:rPr>
                <w:rFonts w:ascii="仿宋" w:hAnsi="仿宋" w:eastAsia="仿宋"/>
                <w:color w:val="auto"/>
                <w:kern w:val="0"/>
                <w:sz w:val="24"/>
                <w:highlight w:val="none"/>
              </w:rPr>
            </w:pPr>
          </w:p>
        </w:tc>
        <w:tc>
          <w:tcPr>
            <w:tcW w:w="5966" w:type="dxa"/>
            <w:vAlign w:val="center"/>
          </w:tcPr>
          <w:p>
            <w:pPr>
              <w:spacing w:line="360" w:lineRule="auto"/>
              <w:ind w:right="-21" w:rightChars="-10"/>
              <w:rPr>
                <w:rFonts w:ascii="仿宋" w:hAnsi="仿宋" w:eastAsia="仿宋"/>
                <w:color w:val="auto"/>
                <w:sz w:val="24"/>
                <w:highlight w:val="none"/>
              </w:rPr>
            </w:pPr>
            <w:r>
              <w:rPr>
                <w:rFonts w:hint="eastAsia" w:ascii="仿宋" w:hAnsi="仿宋" w:eastAsia="仿宋"/>
                <w:color w:val="auto"/>
                <w:sz w:val="24"/>
                <w:highlight w:val="none"/>
              </w:rPr>
              <w:t>（2）拟派技术负责人：</w:t>
            </w:r>
          </w:p>
          <w:p>
            <w:pPr>
              <w:spacing w:line="360" w:lineRule="auto"/>
              <w:ind w:right="-21" w:rightChars="-10"/>
              <w:rPr>
                <w:rFonts w:ascii="仿宋" w:hAnsi="仿宋" w:eastAsia="仿宋"/>
                <w:color w:val="auto"/>
                <w:sz w:val="24"/>
                <w:highlight w:val="none"/>
              </w:rPr>
            </w:pPr>
            <w:r>
              <w:rPr>
                <w:rFonts w:hint="eastAsia" w:ascii="仿宋" w:hAnsi="仿宋" w:eastAsia="仿宋"/>
                <w:color w:val="auto"/>
                <w:sz w:val="24"/>
                <w:highlight w:val="none"/>
              </w:rPr>
              <w:t>具有系统分析师证书、系统架构设计师证书证书，每提供一个证书得</w:t>
            </w:r>
            <w:r>
              <w:rPr>
                <w:rFonts w:ascii="仿宋" w:hAnsi="仿宋" w:eastAsia="仿宋"/>
                <w:color w:val="auto"/>
                <w:sz w:val="24"/>
                <w:highlight w:val="none"/>
              </w:rPr>
              <w:t>1.5</w:t>
            </w:r>
            <w:r>
              <w:rPr>
                <w:rFonts w:hint="eastAsia" w:ascii="仿宋" w:hAnsi="仿宋" w:eastAsia="仿宋"/>
                <w:color w:val="auto"/>
                <w:sz w:val="24"/>
                <w:highlight w:val="none"/>
              </w:rPr>
              <w:t>分，最高得</w:t>
            </w:r>
            <w:r>
              <w:rPr>
                <w:rFonts w:ascii="仿宋" w:hAnsi="仿宋" w:eastAsia="仿宋"/>
                <w:color w:val="auto"/>
                <w:sz w:val="24"/>
                <w:highlight w:val="none"/>
              </w:rPr>
              <w:t>3</w:t>
            </w:r>
            <w:r>
              <w:rPr>
                <w:rFonts w:hint="eastAsia" w:ascii="仿宋" w:hAnsi="仿宋" w:eastAsia="仿宋"/>
                <w:color w:val="auto"/>
                <w:sz w:val="24"/>
                <w:highlight w:val="none"/>
              </w:rPr>
              <w:t>分。</w:t>
            </w:r>
          </w:p>
          <w:p>
            <w:pPr>
              <w:spacing w:line="360" w:lineRule="auto"/>
              <w:ind w:right="-21" w:rightChars="-10"/>
              <w:rPr>
                <w:rFonts w:ascii="仿宋" w:hAnsi="仿宋" w:eastAsia="仿宋"/>
                <w:color w:val="auto"/>
                <w:sz w:val="24"/>
                <w:highlight w:val="none"/>
              </w:rPr>
            </w:pPr>
            <w:r>
              <w:rPr>
                <w:rFonts w:hint="eastAsia" w:ascii="仿宋" w:hAnsi="仿宋" w:eastAsia="仿宋"/>
                <w:color w:val="auto"/>
                <w:sz w:val="24"/>
                <w:highlight w:val="none"/>
              </w:rPr>
              <w:t>注：提供技术负责人相关证书扫描件以及近三个月内任意一个月在本单位缴纳有社保部门盖章的社保证明材料，近一个月新成立的公司提供说明，不符合要求不得分。</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vAlign w:val="center"/>
          </w:tcPr>
          <w:p>
            <w:pPr>
              <w:spacing w:line="360" w:lineRule="auto"/>
              <w:jc w:val="center"/>
              <w:rPr>
                <w:rFonts w:ascii="仿宋" w:hAnsi="仿宋" w:eastAsia="仿宋" w:cs="宋体"/>
                <w:color w:val="auto"/>
                <w:sz w:val="24"/>
                <w:highlight w:val="none"/>
              </w:rPr>
            </w:pPr>
          </w:p>
        </w:tc>
        <w:tc>
          <w:tcPr>
            <w:tcW w:w="1181" w:type="dxa"/>
            <w:vMerge w:val="continue"/>
            <w:vAlign w:val="center"/>
          </w:tcPr>
          <w:p>
            <w:pPr>
              <w:spacing w:line="360" w:lineRule="auto"/>
              <w:ind w:right="-21" w:rightChars="-10"/>
              <w:jc w:val="center"/>
              <w:rPr>
                <w:rFonts w:ascii="仿宋" w:hAnsi="仿宋" w:eastAsia="仿宋"/>
                <w:color w:val="auto"/>
                <w:kern w:val="0"/>
                <w:sz w:val="24"/>
                <w:highlight w:val="none"/>
              </w:rPr>
            </w:pPr>
          </w:p>
        </w:tc>
        <w:tc>
          <w:tcPr>
            <w:tcW w:w="5966" w:type="dxa"/>
            <w:vAlign w:val="center"/>
          </w:tcPr>
          <w:p>
            <w:pPr>
              <w:spacing w:line="360" w:lineRule="auto"/>
              <w:ind w:right="-21" w:rightChars="-10"/>
              <w:rPr>
                <w:rFonts w:ascii="仿宋" w:hAnsi="仿宋" w:eastAsia="仿宋"/>
                <w:color w:val="auto"/>
                <w:sz w:val="24"/>
                <w:highlight w:val="none"/>
              </w:rPr>
            </w:pPr>
            <w:r>
              <w:rPr>
                <w:rFonts w:hint="eastAsia" w:ascii="仿宋" w:hAnsi="仿宋" w:eastAsia="仿宋"/>
                <w:color w:val="auto"/>
                <w:sz w:val="24"/>
                <w:highlight w:val="none"/>
              </w:rPr>
              <w:t>（3）①项目实施团队成员（项目负责人及技术负责人除外）不少于</w:t>
            </w:r>
            <w:r>
              <w:rPr>
                <w:rFonts w:ascii="仿宋" w:hAnsi="仿宋" w:eastAsia="仿宋"/>
                <w:color w:val="auto"/>
                <w:sz w:val="24"/>
                <w:highlight w:val="none"/>
              </w:rPr>
              <w:t>14</w:t>
            </w:r>
            <w:r>
              <w:rPr>
                <w:rFonts w:hint="eastAsia" w:ascii="仿宋" w:hAnsi="仿宋" w:eastAsia="仿宋"/>
                <w:color w:val="auto"/>
                <w:sz w:val="24"/>
                <w:highlight w:val="none"/>
              </w:rPr>
              <w:t>人得2分，不符合要求不得分。提供人员名单。</w:t>
            </w:r>
          </w:p>
          <w:p>
            <w:pPr>
              <w:spacing w:line="360" w:lineRule="auto"/>
              <w:ind w:right="-21" w:rightChars="-10"/>
              <w:rPr>
                <w:rFonts w:ascii="仿宋" w:hAnsi="仿宋" w:eastAsia="仿宋"/>
                <w:color w:val="auto"/>
                <w:sz w:val="24"/>
                <w:highlight w:val="none"/>
              </w:rPr>
            </w:pPr>
            <w:r>
              <w:rPr>
                <w:rFonts w:hint="eastAsia" w:ascii="仿宋" w:hAnsi="仿宋" w:eastAsia="仿宋"/>
                <w:color w:val="auto"/>
                <w:sz w:val="24"/>
                <w:highlight w:val="none"/>
              </w:rPr>
              <w:t>②项目实施团队成员（项目负责人及技术负责人除外）：具备系统分析师证书、系统规划与管理师证书、网络工程师证书、数据库系统工程师证书、软件评测师证书、系统架构设计师证书、信息安全保障人员认证（风险管理专业级）证书的，每提供一个证书得1分，最高得7分。提供人员相关证书扫描件以及近三个月内任意一个月在本单位缴纳有社保部门盖章的社保证明材料，近一个月新成立的公司提供说明，不符合要求不得分。</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vAlign w:val="center"/>
          </w:tcPr>
          <w:p>
            <w:pPr>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8</w:t>
            </w:r>
          </w:p>
        </w:tc>
        <w:tc>
          <w:tcPr>
            <w:tcW w:w="1181" w:type="dxa"/>
            <w:vMerge w:val="restart"/>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售后服务</w:t>
            </w:r>
          </w:p>
          <w:p>
            <w:pPr>
              <w:pStyle w:val="2"/>
              <w:spacing w:line="360" w:lineRule="auto"/>
              <w:ind w:firstLine="0" w:firstLineChars="0"/>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3</w:t>
            </w:r>
            <w:r>
              <w:rPr>
                <w:rFonts w:hint="eastAsia" w:ascii="仿宋" w:hAnsi="仿宋" w:eastAsia="仿宋"/>
                <w:color w:val="auto"/>
                <w:highlight w:val="none"/>
              </w:rPr>
              <w:t>分）</w:t>
            </w:r>
          </w:p>
        </w:tc>
        <w:tc>
          <w:tcPr>
            <w:tcW w:w="5966" w:type="dxa"/>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软件维护期内提供不少于2人驻场服务，项目验收后</w:t>
            </w:r>
            <w:r>
              <w:rPr>
                <w:rFonts w:hint="eastAsia" w:ascii="仿宋" w:hAnsi="仿宋" w:eastAsia="仿宋" w:cs="宋体"/>
                <w:bCs/>
                <w:color w:val="auto"/>
                <w:sz w:val="24"/>
                <w:highlight w:val="none"/>
              </w:rPr>
              <w:t>提供不低于7*24小时的现场质保和技术支持服务，若发生紧急故障，需在30分钟内做出响应、2小时内派技术人员到现场，8小时内排除。（符合得</w:t>
            </w:r>
            <w:r>
              <w:rPr>
                <w:rFonts w:ascii="仿宋" w:hAnsi="仿宋" w:eastAsia="仿宋" w:cs="宋体"/>
                <w:bCs/>
                <w:color w:val="auto"/>
                <w:sz w:val="24"/>
                <w:highlight w:val="none"/>
              </w:rPr>
              <w:t>1</w:t>
            </w:r>
            <w:r>
              <w:rPr>
                <w:rFonts w:hint="eastAsia" w:ascii="仿宋" w:hAnsi="仿宋" w:eastAsia="仿宋" w:cs="宋体"/>
                <w:bCs/>
                <w:color w:val="auto"/>
                <w:sz w:val="24"/>
                <w:highlight w:val="none"/>
              </w:rPr>
              <w:t>分，不符合不得分，共</w:t>
            </w:r>
            <w:r>
              <w:rPr>
                <w:rFonts w:ascii="仿宋" w:hAnsi="仿宋" w:eastAsia="仿宋" w:cs="宋体"/>
                <w:bCs/>
                <w:color w:val="auto"/>
                <w:sz w:val="24"/>
                <w:highlight w:val="none"/>
              </w:rPr>
              <w:t>1</w:t>
            </w:r>
            <w:r>
              <w:rPr>
                <w:rFonts w:hint="eastAsia" w:ascii="仿宋" w:hAnsi="仿宋" w:eastAsia="仿宋" w:cs="宋体"/>
                <w:bCs/>
                <w:color w:val="auto"/>
                <w:sz w:val="24"/>
                <w:highlight w:val="none"/>
              </w:rPr>
              <w:t>分）</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w:t>
            </w:r>
            <w:r>
              <w:rPr>
                <w:rFonts w:ascii="仿宋" w:hAnsi="仿宋" w:eastAsia="仿宋"/>
                <w:color w:val="auto"/>
                <w:kern w:val="0"/>
                <w:sz w:val="24"/>
                <w:highlight w:val="none"/>
              </w:rPr>
              <w:t>1</w:t>
            </w:r>
            <w:r>
              <w:rPr>
                <w:rFonts w:hint="eastAsia" w:ascii="仿宋" w:hAnsi="仿宋" w:eastAsia="仿宋"/>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vAlign w:val="center"/>
          </w:tcPr>
          <w:p>
            <w:pPr>
              <w:spacing w:line="360" w:lineRule="auto"/>
              <w:jc w:val="center"/>
              <w:rPr>
                <w:rFonts w:ascii="仿宋" w:hAnsi="仿宋" w:eastAsia="仿宋" w:cs="宋体"/>
                <w:color w:val="auto"/>
                <w:sz w:val="24"/>
                <w:highlight w:val="none"/>
              </w:rPr>
            </w:pPr>
          </w:p>
        </w:tc>
        <w:tc>
          <w:tcPr>
            <w:tcW w:w="1181" w:type="dxa"/>
            <w:vMerge w:val="continue"/>
            <w:vAlign w:val="center"/>
          </w:tcPr>
          <w:p>
            <w:pPr>
              <w:spacing w:line="360" w:lineRule="auto"/>
              <w:ind w:right="-21" w:rightChars="-10"/>
              <w:jc w:val="center"/>
              <w:rPr>
                <w:rFonts w:ascii="仿宋" w:hAnsi="仿宋" w:eastAsia="仿宋"/>
                <w:color w:val="auto"/>
                <w:kern w:val="0"/>
                <w:sz w:val="24"/>
                <w:highlight w:val="none"/>
              </w:rPr>
            </w:pPr>
          </w:p>
        </w:tc>
        <w:tc>
          <w:tcPr>
            <w:tcW w:w="5966" w:type="dxa"/>
            <w:vAlign w:val="center"/>
          </w:tcPr>
          <w:p>
            <w:pPr>
              <w:spacing w:line="360" w:lineRule="auto"/>
              <w:ind w:right="-21" w:rightChars="-10"/>
              <w:rPr>
                <w:rFonts w:ascii="仿宋" w:hAnsi="仿宋" w:eastAsia="仿宋"/>
                <w:color w:val="auto"/>
                <w:sz w:val="24"/>
                <w:highlight w:val="none"/>
              </w:rPr>
            </w:pPr>
            <w:r>
              <w:rPr>
                <w:rFonts w:hint="eastAsia" w:ascii="仿宋" w:hAnsi="仿宋" w:eastAsia="仿宋"/>
                <w:color w:val="auto"/>
                <w:sz w:val="24"/>
                <w:highlight w:val="none"/>
              </w:rPr>
              <w:t>投标人对项目售后服务方案：针对本项目及采购人实际需求提供明确、详细、具体、可行的服务方案得</w:t>
            </w:r>
            <w:r>
              <w:rPr>
                <w:rFonts w:ascii="仿宋" w:hAnsi="仿宋" w:eastAsia="仿宋"/>
                <w:color w:val="auto"/>
                <w:sz w:val="24"/>
                <w:highlight w:val="none"/>
              </w:rPr>
              <w:t>2</w:t>
            </w:r>
            <w:r>
              <w:rPr>
                <w:rFonts w:hint="eastAsia" w:ascii="仿宋" w:hAnsi="仿宋" w:eastAsia="仿宋"/>
                <w:color w:val="auto"/>
                <w:sz w:val="24"/>
                <w:highlight w:val="none"/>
              </w:rPr>
              <w:t>分；针对本项目及采购人实际需求提供较为明确、详细、具体、可行的服务方案得</w:t>
            </w:r>
            <w:r>
              <w:rPr>
                <w:rFonts w:ascii="仿宋" w:hAnsi="仿宋" w:eastAsia="仿宋"/>
                <w:color w:val="auto"/>
                <w:sz w:val="24"/>
                <w:highlight w:val="none"/>
              </w:rPr>
              <w:t>1</w:t>
            </w:r>
            <w:r>
              <w:rPr>
                <w:rFonts w:hint="eastAsia" w:ascii="仿宋" w:hAnsi="仿宋" w:eastAsia="仿宋"/>
                <w:color w:val="auto"/>
                <w:sz w:val="24"/>
                <w:highlight w:val="none"/>
              </w:rPr>
              <w:t>分；针对本项目及采购人实际需求提供的服务方案不够明确、详细、具体、可行得</w:t>
            </w:r>
            <w:r>
              <w:rPr>
                <w:rFonts w:ascii="仿宋" w:hAnsi="仿宋" w:eastAsia="仿宋"/>
                <w:color w:val="auto"/>
                <w:sz w:val="24"/>
                <w:highlight w:val="none"/>
              </w:rPr>
              <w:t>0.5</w:t>
            </w:r>
            <w:r>
              <w:rPr>
                <w:rFonts w:hint="eastAsia" w:ascii="仿宋" w:hAnsi="仿宋" w:eastAsia="仿宋"/>
                <w:color w:val="auto"/>
                <w:sz w:val="24"/>
                <w:highlight w:val="none"/>
              </w:rPr>
              <w:t>分，有一定不足；方案不合理或未提供方案不得分。</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vAlign w:val="center"/>
          </w:tcPr>
          <w:p>
            <w:pPr>
              <w:spacing w:line="360" w:lineRule="auto"/>
              <w:jc w:val="center"/>
              <w:rPr>
                <w:rFonts w:ascii="仿宋" w:hAnsi="仿宋" w:eastAsia="仿宋" w:cs="宋体"/>
                <w:color w:val="auto"/>
                <w:sz w:val="24"/>
                <w:highlight w:val="none"/>
              </w:rPr>
            </w:pPr>
            <w:r>
              <w:rPr>
                <w:rFonts w:ascii="仿宋" w:hAnsi="仿宋" w:eastAsia="仿宋" w:cs="宋体"/>
                <w:color w:val="auto"/>
                <w:sz w:val="24"/>
                <w:highlight w:val="none"/>
              </w:rPr>
              <w:t>10</w:t>
            </w:r>
          </w:p>
          <w:p>
            <w:pPr>
              <w:spacing w:line="360" w:lineRule="auto"/>
              <w:jc w:val="center"/>
              <w:rPr>
                <w:rFonts w:ascii="仿宋" w:hAnsi="仿宋" w:eastAsia="仿宋" w:cs="宋体"/>
                <w:color w:val="auto"/>
                <w:sz w:val="24"/>
                <w:highlight w:val="none"/>
              </w:rPr>
            </w:pPr>
          </w:p>
        </w:tc>
        <w:tc>
          <w:tcPr>
            <w:tcW w:w="1181" w:type="dxa"/>
            <w:vMerge w:val="restart"/>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演示</w:t>
            </w:r>
          </w:p>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0</w:t>
            </w:r>
            <w:r>
              <w:rPr>
                <w:rFonts w:hint="eastAsia" w:ascii="仿宋" w:hAnsi="仿宋" w:eastAsia="仿宋"/>
                <w:color w:val="auto"/>
                <w:sz w:val="24"/>
                <w:highlight w:val="none"/>
              </w:rPr>
              <w:t>分）</w:t>
            </w:r>
          </w:p>
        </w:tc>
        <w:tc>
          <w:tcPr>
            <w:tcW w:w="5966" w:type="dxa"/>
            <w:vAlign w:val="center"/>
          </w:tcPr>
          <w:p>
            <w:pPr>
              <w:spacing w:line="360" w:lineRule="auto"/>
              <w:ind w:right="-21" w:rightChars="-10"/>
              <w:rPr>
                <w:rFonts w:ascii="仿宋" w:hAnsi="仿宋" w:eastAsia="仿宋"/>
                <w:color w:val="auto"/>
                <w:sz w:val="24"/>
                <w:highlight w:val="none"/>
              </w:rPr>
            </w:pPr>
            <w:r>
              <w:rPr>
                <w:rFonts w:hint="eastAsia" w:ascii="仿宋" w:hAnsi="仿宋" w:eastAsia="仿宋"/>
                <w:color w:val="auto"/>
                <w:sz w:val="24"/>
                <w:highlight w:val="none"/>
              </w:rPr>
              <w:t>演示时间1</w:t>
            </w:r>
            <w:r>
              <w:rPr>
                <w:rFonts w:ascii="仿宋" w:hAnsi="仿宋" w:eastAsia="仿宋"/>
                <w:color w:val="auto"/>
                <w:sz w:val="24"/>
                <w:highlight w:val="none"/>
              </w:rPr>
              <w:t>5</w:t>
            </w:r>
            <w:r>
              <w:rPr>
                <w:rFonts w:hint="eastAsia" w:ascii="仿宋" w:hAnsi="仿宋" w:eastAsia="仿宋"/>
                <w:color w:val="auto"/>
                <w:sz w:val="24"/>
                <w:highlight w:val="none"/>
              </w:rPr>
              <w:t>分钟，真实系统或demo演示均认可，</w:t>
            </w:r>
            <w:r>
              <w:rPr>
                <w:rFonts w:hint="eastAsia" w:ascii="仿宋" w:hAnsi="仿宋" w:eastAsia="仿宋" w:cs="仿宋"/>
                <w:color w:val="auto"/>
                <w:kern w:val="0"/>
                <w:sz w:val="24"/>
                <w:highlight w:val="none"/>
                <w:lang w:bidi="ar"/>
              </w:rPr>
              <w:t>投标人自行准备演示用电脑，</w:t>
            </w:r>
            <w:r>
              <w:rPr>
                <w:rFonts w:hint="eastAsia" w:ascii="仿宋" w:hAnsi="仿宋" w:eastAsia="仿宋"/>
                <w:color w:val="auto"/>
                <w:sz w:val="24"/>
                <w:highlight w:val="none"/>
              </w:rPr>
              <w:t>系统现场演示内容齐全、运行流畅、操作方便、功能与采购要求一致，采用图片、PPT、PDF等文本演示方式则不得分，具体演示功能点如下：</w:t>
            </w:r>
          </w:p>
        </w:tc>
        <w:tc>
          <w:tcPr>
            <w:tcW w:w="1061" w:type="dxa"/>
            <w:vAlign w:val="center"/>
          </w:tcPr>
          <w:p>
            <w:pPr>
              <w:spacing w:line="360" w:lineRule="auto"/>
              <w:ind w:right="-21" w:rightChars="-10"/>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vAlign w:val="center"/>
          </w:tcPr>
          <w:p>
            <w:pPr>
              <w:spacing w:line="360" w:lineRule="auto"/>
              <w:jc w:val="center"/>
              <w:rPr>
                <w:rFonts w:ascii="仿宋" w:hAnsi="仿宋" w:eastAsia="仿宋" w:cs="宋体"/>
                <w:color w:val="auto"/>
                <w:sz w:val="24"/>
                <w:highlight w:val="none"/>
              </w:rPr>
            </w:pPr>
          </w:p>
        </w:tc>
        <w:tc>
          <w:tcPr>
            <w:tcW w:w="1181" w:type="dxa"/>
            <w:vMerge w:val="continue"/>
            <w:vAlign w:val="center"/>
          </w:tcPr>
          <w:p>
            <w:pPr>
              <w:spacing w:line="360" w:lineRule="auto"/>
              <w:ind w:right="-21" w:rightChars="-10"/>
              <w:jc w:val="center"/>
              <w:rPr>
                <w:rFonts w:ascii="仿宋" w:hAnsi="仿宋" w:eastAsia="仿宋"/>
                <w:color w:val="auto"/>
                <w:kern w:val="0"/>
                <w:sz w:val="24"/>
                <w:highlight w:val="none"/>
              </w:rPr>
            </w:pPr>
          </w:p>
        </w:tc>
        <w:tc>
          <w:tcPr>
            <w:tcW w:w="5966"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仿宋" w:hAnsi="仿宋" w:eastAsia="仿宋"/>
                <w:color w:val="auto"/>
                <w:sz w:val="24"/>
                <w:highlight w:val="none"/>
              </w:rPr>
              <w:t>）综合交通流动态监测与协同演示内容：</w:t>
            </w:r>
            <w:r>
              <w:rPr>
                <w:rFonts w:ascii="仿宋" w:hAnsi="仿宋" w:eastAsia="仿宋"/>
                <w:color w:val="auto"/>
                <w:sz w:val="24"/>
                <w:highlight w:val="none"/>
              </w:rPr>
              <w:t>5</w:t>
            </w:r>
            <w:r>
              <w:rPr>
                <w:rFonts w:hint="eastAsia" w:ascii="仿宋" w:hAnsi="仿宋" w:eastAsia="仿宋"/>
                <w:color w:val="auto"/>
                <w:sz w:val="24"/>
                <w:highlight w:val="none"/>
              </w:rPr>
              <w:t>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投标人自行选取杭州中心城区（西湖区、拱墅区、滨江区、上城区）内任一区域（以街道范围为宜），演示该区域内的交通运行情况：</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①路网运行情况，展示拥堵指数与拥堵时长的定量变化关系，符合得</w:t>
            </w:r>
            <w:r>
              <w:rPr>
                <w:rFonts w:ascii="仿宋" w:hAnsi="仿宋" w:eastAsia="仿宋"/>
                <w:color w:val="auto"/>
                <w:sz w:val="24"/>
                <w:highlight w:val="none"/>
              </w:rPr>
              <w:t>2.5</w:t>
            </w:r>
            <w:r>
              <w:rPr>
                <w:rFonts w:hint="eastAsia" w:ascii="仿宋" w:hAnsi="仿宋" w:eastAsia="仿宋"/>
                <w:color w:val="auto"/>
                <w:sz w:val="24"/>
                <w:highlight w:val="none"/>
              </w:rPr>
              <w:t>分，不符合不得分。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②两网融合情况，以轨道交通站为基准，定量分析轨道交通与常规公交的接驳关系。符合得</w:t>
            </w:r>
            <w:r>
              <w:rPr>
                <w:rFonts w:ascii="仿宋" w:hAnsi="仿宋" w:eastAsia="仿宋"/>
                <w:color w:val="auto"/>
                <w:sz w:val="24"/>
                <w:highlight w:val="none"/>
              </w:rPr>
              <w:t>2.5</w:t>
            </w:r>
            <w:r>
              <w:rPr>
                <w:rFonts w:hint="eastAsia" w:ascii="仿宋" w:hAnsi="仿宋" w:eastAsia="仿宋"/>
                <w:color w:val="auto"/>
                <w:sz w:val="24"/>
                <w:highlight w:val="none"/>
              </w:rPr>
              <w:t>分，不符合不得分。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）出租汽车综合监管服务演示内容：</w:t>
            </w:r>
            <w:r>
              <w:rPr>
                <w:rFonts w:ascii="仿宋" w:hAnsi="仿宋" w:eastAsia="仿宋"/>
                <w:color w:val="auto"/>
                <w:sz w:val="24"/>
                <w:highlight w:val="none"/>
              </w:rPr>
              <w:t>3</w:t>
            </w:r>
            <w:r>
              <w:rPr>
                <w:rFonts w:hint="eastAsia" w:ascii="仿宋" w:hAnsi="仿宋" w:eastAsia="仿宋"/>
                <w:color w:val="auto"/>
                <w:sz w:val="24"/>
                <w:highlight w:val="none"/>
              </w:rPr>
              <w:t>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①展示通过车载监控对营运车辆进行实时远程监控的画面，针对巡查过程中发现的问题，抓图、录像取证的过程。符合得</w:t>
            </w:r>
            <w:r>
              <w:rPr>
                <w:rFonts w:ascii="仿宋" w:hAnsi="仿宋" w:eastAsia="仿宋"/>
                <w:color w:val="auto"/>
                <w:sz w:val="24"/>
                <w:highlight w:val="none"/>
              </w:rPr>
              <w:t>1.5</w:t>
            </w:r>
            <w:r>
              <w:rPr>
                <w:rFonts w:hint="eastAsia" w:ascii="仿宋" w:hAnsi="仿宋" w:eastAsia="仿宋"/>
                <w:color w:val="auto"/>
                <w:sz w:val="24"/>
                <w:highlight w:val="none"/>
              </w:rPr>
              <w:t>分，不符合不得分。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②展示对出租车司机不良驾驶行为的预警告警过程。符合得</w:t>
            </w:r>
            <w:r>
              <w:rPr>
                <w:rFonts w:ascii="仿宋" w:hAnsi="仿宋" w:eastAsia="仿宋"/>
                <w:color w:val="auto"/>
                <w:sz w:val="24"/>
                <w:highlight w:val="none"/>
              </w:rPr>
              <w:t>1.5</w:t>
            </w:r>
            <w:r>
              <w:rPr>
                <w:rFonts w:hint="eastAsia" w:ascii="仿宋" w:hAnsi="仿宋" w:eastAsia="仿宋"/>
                <w:color w:val="auto"/>
                <w:sz w:val="24"/>
                <w:highlight w:val="none"/>
              </w:rPr>
              <w:t>分，不符合不得分。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）客运车辆违规上客治理演示内容：</w:t>
            </w:r>
            <w:r>
              <w:rPr>
                <w:rFonts w:ascii="仿宋" w:hAnsi="仿宋" w:eastAsia="仿宋"/>
                <w:color w:val="auto"/>
                <w:sz w:val="24"/>
                <w:highlight w:val="none"/>
              </w:rPr>
              <w:t>2</w:t>
            </w:r>
            <w:r>
              <w:rPr>
                <w:rFonts w:hint="eastAsia" w:ascii="仿宋" w:hAnsi="仿宋" w:eastAsia="仿宋"/>
                <w:color w:val="auto"/>
                <w:sz w:val="24"/>
                <w:highlight w:val="none"/>
              </w:rPr>
              <w:t>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①展示研究发现客流量较大的站外组客点的分布，并说明判断依据。符合得</w:t>
            </w:r>
            <w:r>
              <w:rPr>
                <w:rFonts w:ascii="仿宋" w:hAnsi="仿宋" w:eastAsia="仿宋"/>
                <w:color w:val="auto"/>
                <w:sz w:val="24"/>
                <w:highlight w:val="none"/>
              </w:rPr>
              <w:t>2</w:t>
            </w:r>
            <w:r>
              <w:rPr>
                <w:rFonts w:hint="eastAsia" w:ascii="仿宋" w:hAnsi="仿宋" w:eastAsia="仿宋"/>
                <w:color w:val="auto"/>
                <w:sz w:val="24"/>
                <w:highlight w:val="none"/>
              </w:rPr>
              <w:t>分，不符合不得分。</w:t>
            </w:r>
          </w:p>
        </w:tc>
        <w:tc>
          <w:tcPr>
            <w:tcW w:w="1061" w:type="dxa"/>
            <w:vAlign w:val="center"/>
          </w:tcPr>
          <w:p>
            <w:pPr>
              <w:spacing w:line="360" w:lineRule="auto"/>
              <w:ind w:right="-21" w:rightChars="-10"/>
              <w:jc w:val="center"/>
              <w:rPr>
                <w:rFonts w:ascii="仿宋" w:hAnsi="仿宋" w:eastAsia="仿宋"/>
                <w:color w:val="auto"/>
                <w:kern w:val="0"/>
                <w:sz w:val="24"/>
                <w:highlight w:val="none"/>
              </w:rPr>
            </w:pPr>
            <w:r>
              <w:rPr>
                <w:rFonts w:hint="eastAsia" w:ascii="仿宋" w:hAnsi="仿宋" w:eastAsia="仿宋"/>
                <w:color w:val="auto"/>
                <w:kern w:val="0"/>
                <w:sz w:val="24"/>
                <w:highlight w:val="none"/>
              </w:rPr>
              <w:t>0-1</w:t>
            </w:r>
            <w:r>
              <w:rPr>
                <w:rFonts w:ascii="仿宋" w:hAnsi="仿宋" w:eastAsia="仿宋"/>
                <w:color w:val="auto"/>
                <w:kern w:val="0"/>
                <w:sz w:val="24"/>
                <w:highlight w:val="none"/>
              </w:rPr>
              <w:t>0</w:t>
            </w:r>
            <w:r>
              <w:rPr>
                <w:rFonts w:hint="eastAsia" w:ascii="仿宋" w:hAnsi="仿宋" w:eastAsia="仿宋"/>
                <w:color w:val="auto"/>
                <w:kern w:val="0"/>
                <w:sz w:val="24"/>
                <w:highlight w:val="none"/>
              </w:rPr>
              <w:t>分</w:t>
            </w:r>
          </w:p>
        </w:tc>
      </w:tr>
    </w:tbl>
    <w:p>
      <w:pPr>
        <w:pStyle w:val="4"/>
        <w:rPr>
          <w:rFonts w:ascii="仿宋" w:hAnsi="仿宋" w:eastAsia="仿宋"/>
          <w:color w:val="auto"/>
          <w:highlight w:val="none"/>
        </w:rPr>
      </w:pPr>
      <w:bookmarkStart w:id="656" w:name="_Toc10644"/>
      <w:bookmarkStart w:id="657" w:name="_Toc19256"/>
      <w:r>
        <w:rPr>
          <w:rFonts w:hint="eastAsia" w:ascii="仿宋" w:hAnsi="仿宋" w:eastAsia="仿宋"/>
          <w:color w:val="auto"/>
          <w:highlight w:val="none"/>
        </w:rPr>
        <w:t>一、评标方法</w:t>
      </w:r>
      <w:bookmarkEnd w:id="650"/>
      <w:bookmarkEnd w:id="651"/>
      <w:bookmarkEnd w:id="652"/>
      <w:bookmarkEnd w:id="653"/>
      <w:bookmarkEnd w:id="654"/>
      <w:bookmarkEnd w:id="655"/>
      <w:bookmarkEnd w:id="656"/>
      <w:bookmarkEnd w:id="657"/>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综合评分法，是指投标文件满足采购文件全部实质性要求，且按照评审因素的量化指标评审得分最高的供应商为中标候选人的评标方法。</w:t>
      </w:r>
    </w:p>
    <w:p>
      <w:pPr>
        <w:pStyle w:val="4"/>
        <w:rPr>
          <w:rFonts w:ascii="仿宋" w:hAnsi="仿宋" w:eastAsia="仿宋"/>
          <w:color w:val="auto"/>
          <w:highlight w:val="none"/>
        </w:rPr>
      </w:pPr>
      <w:bookmarkStart w:id="658" w:name="_Toc6022"/>
      <w:bookmarkStart w:id="659" w:name="_Toc1143"/>
      <w:bookmarkStart w:id="660" w:name="_Toc84016186"/>
      <w:bookmarkStart w:id="661" w:name="_Toc19878"/>
      <w:bookmarkStart w:id="662" w:name="_Toc30739"/>
      <w:bookmarkStart w:id="663" w:name="_Toc95312985"/>
      <w:bookmarkStart w:id="664" w:name="_Toc31436"/>
      <w:bookmarkStart w:id="665" w:name="_Toc4348"/>
      <w:r>
        <w:rPr>
          <w:rFonts w:hint="eastAsia" w:ascii="仿宋" w:hAnsi="仿宋" w:eastAsia="仿宋"/>
          <w:color w:val="auto"/>
          <w:highlight w:val="none"/>
        </w:rPr>
        <w:t>二、评标标准</w:t>
      </w:r>
      <w:bookmarkEnd w:id="658"/>
      <w:bookmarkEnd w:id="659"/>
      <w:bookmarkEnd w:id="660"/>
      <w:bookmarkEnd w:id="661"/>
      <w:bookmarkEnd w:id="662"/>
      <w:bookmarkEnd w:id="663"/>
      <w:bookmarkEnd w:id="664"/>
      <w:bookmarkEnd w:id="665"/>
    </w:p>
    <w:p>
      <w:pPr>
        <w:snapToGrid w:val="0"/>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ascii="仿宋" w:hAnsi="仿宋" w:eastAsia="仿宋"/>
          <w:color w:val="auto"/>
          <w:highlight w:val="none"/>
        </w:rPr>
        <w:t xml:space="preserve"> </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pStyle w:val="4"/>
        <w:rPr>
          <w:rFonts w:ascii="仿宋" w:hAnsi="仿宋" w:eastAsia="仿宋"/>
          <w:color w:val="auto"/>
          <w:highlight w:val="none"/>
        </w:rPr>
      </w:pPr>
      <w:bookmarkStart w:id="666" w:name="_Toc669"/>
      <w:bookmarkStart w:id="667" w:name="_Toc95312986"/>
      <w:bookmarkStart w:id="668" w:name="_Toc12144"/>
      <w:bookmarkStart w:id="669" w:name="_Toc1163282023"/>
      <w:bookmarkStart w:id="670" w:name="_Toc9804"/>
      <w:bookmarkStart w:id="671" w:name="_Toc9072"/>
      <w:bookmarkStart w:id="672" w:name="_Toc4422"/>
      <w:bookmarkStart w:id="673" w:name="_Toc19750"/>
      <w:r>
        <w:rPr>
          <w:rFonts w:hint="eastAsia" w:ascii="仿宋" w:hAnsi="仿宋" w:eastAsia="仿宋"/>
          <w:color w:val="auto"/>
          <w:highlight w:val="none"/>
        </w:rPr>
        <w:t>三、评标程序</w:t>
      </w:r>
      <w:bookmarkEnd w:id="666"/>
      <w:bookmarkEnd w:id="667"/>
      <w:bookmarkEnd w:id="668"/>
      <w:bookmarkEnd w:id="669"/>
      <w:bookmarkEnd w:id="670"/>
      <w:bookmarkEnd w:id="671"/>
      <w:bookmarkEnd w:id="672"/>
      <w:bookmarkEnd w:id="673"/>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w:t>
      </w:r>
      <w:r>
        <w:rPr>
          <w:rFonts w:hint="eastAsia" w:ascii="仿宋" w:hAnsi="仿宋" w:eastAsia="仿宋" w:cs="Arial"/>
          <w:color w:val="auto"/>
          <w:kern w:val="0"/>
          <w:sz w:val="24"/>
          <w:highlight w:val="none"/>
        </w:rPr>
        <w:t>投标人</w:t>
      </w:r>
      <w:r>
        <w:rPr>
          <w:rFonts w:ascii="仿宋" w:hAnsi="仿宋" w:eastAsia="仿宋" w:cs="Arial"/>
          <w:color w:val="auto"/>
          <w:kern w:val="0"/>
          <w:sz w:val="24"/>
          <w:highlight w:val="none"/>
        </w:rPr>
        <w:t>的投标文件进行符合性审查，以确定其是否满足采购文件的实质性要求。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满足采购文件的实质性要求</w:t>
      </w:r>
      <w:r>
        <w:rPr>
          <w:rFonts w:hint="eastAsia" w:ascii="仿宋" w:hAnsi="仿宋" w:eastAsia="仿宋" w:cs="Arial"/>
          <w:color w:val="auto"/>
          <w:kern w:val="0"/>
          <w:sz w:val="24"/>
          <w:highlight w:val="none"/>
        </w:rPr>
        <w:t>的，投标无效。</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评标委员会应当按照采购文件中规定的评标方法和标准，对符合性审查合格的投标文件进行商务和技术评估，综合比较与评价。</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161"/>
        <w:snapToGrid w:val="0"/>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16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w:t>
      </w:r>
      <w:r>
        <w:rPr>
          <w:rFonts w:hint="eastAsia" w:ascii="仿宋" w:hAnsi="仿宋" w:eastAsia="仿宋" w:cs="仿宋"/>
          <w:color w:val="auto"/>
          <w:kern w:val="0"/>
          <w:szCs w:val="24"/>
          <w:highlight w:val="none"/>
        </w:rPr>
        <w:t>投标文件中开标一览表（报价表）内容与投标文件中相应内容不一致的，以开标一览表（报价表）为准；</w:t>
      </w:r>
    </w:p>
    <w:p>
      <w:pPr>
        <w:pStyle w:val="16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6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6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r>
        <w:rPr>
          <w:rFonts w:hint="eastAsia" w:ascii="仿宋" w:hAnsi="仿宋" w:eastAsia="仿宋" w:cs="仿宋"/>
          <w:color w:val="auto"/>
          <w:kern w:val="0"/>
          <w:szCs w:val="24"/>
          <w:highlight w:val="none"/>
        </w:rPr>
        <w:t>：</w:t>
      </w:r>
    </w:p>
    <w:p>
      <w:pPr>
        <w:pStyle w:val="16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投标报价超过采购文件中规定的预算金额或者最高限价的，投标无效。</w:t>
      </w:r>
    </w:p>
    <w:p>
      <w:pPr>
        <w:pStyle w:val="16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 xml:space="preserve"> 投标人</w:t>
      </w:r>
      <w:r>
        <w:rPr>
          <w:rFonts w:ascii="仿宋" w:hAnsi="仿宋" w:eastAsia="仿宋" w:cs="仿宋"/>
          <w:color w:val="auto"/>
          <w:kern w:val="0"/>
          <w:szCs w:val="24"/>
          <w:highlight w:val="none"/>
        </w:rPr>
        <w:t>不能证明其报价合理性的，评标委员会应当将其作为无效投标处理。</w:t>
      </w:r>
    </w:p>
    <w:p>
      <w:pPr>
        <w:pStyle w:val="16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20%的扣除，用扣除后的价格参与评审。接受大中型企业与小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30%以上的，对联合体或者大中型企业的报价给予6%的扣除，用扣除后的价格参加评审。组成联合体或者接受分包的小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napToGrid w:val="0"/>
        <w:spacing w:line="360" w:lineRule="auto"/>
        <w:ind w:firstLine="482" w:firstLineChars="200"/>
        <w:rPr>
          <w:rFonts w:ascii="仿宋" w:hAnsi="仿宋" w:eastAsia="仿宋" w:cs="Arial"/>
          <w:b/>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p>
    <w:p>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w:t>
      </w:r>
      <w:r>
        <w:rPr>
          <w:rFonts w:hint="eastAsia" w:ascii="仿宋" w:hAnsi="仿宋" w:eastAsia="仿宋" w:cs="仿宋"/>
          <w:color w:val="auto"/>
          <w:kern w:val="0"/>
          <w:highlight w:val="none"/>
        </w:rPr>
        <w:t>投标人</w:t>
      </w:r>
      <w:r>
        <w:rPr>
          <w:rFonts w:ascii="仿宋" w:hAnsi="仿宋" w:eastAsia="仿宋" w:cs="Arial"/>
          <w:color w:val="auto"/>
          <w:kern w:val="0"/>
          <w:sz w:val="24"/>
          <w:highlight w:val="none"/>
        </w:rPr>
        <w:t>为排名第一的中标候选人</w:t>
      </w:r>
      <w:r>
        <w:rPr>
          <w:rFonts w:hint="eastAsia" w:ascii="仿宋" w:hAnsi="仿宋" w:eastAsia="仿宋" w:cs="Arial"/>
          <w:color w:val="auto"/>
          <w:kern w:val="0"/>
          <w:sz w:val="24"/>
          <w:highlight w:val="none"/>
        </w:rPr>
        <w:t>。</w:t>
      </w:r>
    </w:p>
    <w:p>
      <w:pPr>
        <w:snapToGrid w:val="0"/>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3.6编写评标报告。</w:t>
      </w:r>
    </w:p>
    <w:p>
      <w:pPr>
        <w:snapToGrid w:val="0"/>
        <w:spacing w:line="360" w:lineRule="auto"/>
        <w:ind w:firstLine="470" w:firstLineChars="196"/>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4"/>
        <w:rPr>
          <w:rFonts w:ascii="仿宋" w:hAnsi="仿宋" w:eastAsia="仿宋"/>
          <w:color w:val="auto"/>
          <w:highlight w:val="none"/>
        </w:rPr>
      </w:pPr>
      <w:bookmarkStart w:id="674" w:name="_Toc27172"/>
      <w:bookmarkStart w:id="675" w:name="_Toc28215"/>
      <w:bookmarkStart w:id="676" w:name="_Toc28344"/>
      <w:bookmarkStart w:id="677" w:name="_Toc3708"/>
      <w:bookmarkStart w:id="678" w:name="_Toc27289"/>
      <w:bookmarkStart w:id="679" w:name="_Toc589838273"/>
      <w:bookmarkStart w:id="680" w:name="_Toc15886"/>
      <w:bookmarkStart w:id="681" w:name="_Toc95312987"/>
      <w:r>
        <w:rPr>
          <w:rFonts w:hint="eastAsia" w:ascii="仿宋" w:hAnsi="仿宋" w:eastAsia="仿宋"/>
          <w:color w:val="auto"/>
          <w:highlight w:val="none"/>
        </w:rPr>
        <w:t>四、评标中的其他事项</w:t>
      </w:r>
      <w:bookmarkEnd w:id="674"/>
      <w:bookmarkEnd w:id="675"/>
      <w:bookmarkEnd w:id="676"/>
      <w:bookmarkEnd w:id="677"/>
      <w:bookmarkEnd w:id="678"/>
      <w:bookmarkEnd w:id="679"/>
      <w:bookmarkEnd w:id="680"/>
      <w:bookmarkEnd w:id="681"/>
    </w:p>
    <w:p>
      <w:pPr>
        <w:pStyle w:val="161"/>
        <w:snapToGrid w:val="0"/>
        <w:spacing w:before="0"/>
        <w:ind w:firstLine="472" w:firstLineChars="196"/>
        <w:rPr>
          <w:rFonts w:ascii="仿宋" w:hAnsi="仿宋" w:eastAsia="仿宋" w:cs="Arial"/>
          <w:b/>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p>
    <w:p>
      <w:pPr>
        <w:pStyle w:val="161"/>
        <w:snapToGrid w:val="0"/>
        <w:spacing w:before="0"/>
        <w:ind w:firstLine="470" w:firstLineChars="196"/>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1"/>
        <w:snapToGrid w:val="0"/>
        <w:spacing w:before="0"/>
        <w:ind w:firstLine="472" w:firstLineChars="196"/>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未提供有效的资格文件的，视为</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4.2.2投标文件未按照采购文件要求签署、盖章的；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4.2.3采购人拟采购的产品属于政府强制采购的节能产品品目清单范围的，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未按采购文件要求提供国家确定的认证机构出具的、处于有效期之内的节能产品认证证书</w:t>
      </w:r>
      <w:r>
        <w:rPr>
          <w:rFonts w:hint="eastAsia" w:ascii="仿宋" w:hAnsi="仿宋" w:eastAsia="仿宋" w:cs="Arial"/>
          <w:b/>
          <w:bCs/>
          <w:color w:val="auto"/>
          <w:kern w:val="0"/>
          <w:sz w:val="24"/>
          <w:highlight w:val="none"/>
        </w:rPr>
        <w:t>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4.2.4投标文件含有采购人不能接受的附加条件的；</w:t>
      </w:r>
    </w:p>
    <w:p>
      <w:pPr>
        <w:snapToGrid w:val="0"/>
        <w:spacing w:line="360" w:lineRule="auto"/>
        <w:ind w:firstLine="120" w:firstLineChars="50"/>
        <w:jc w:val="left"/>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w:t>
      </w:r>
      <w:r>
        <w:rPr>
          <w:rFonts w:hint="eastAsia" w:ascii="仿宋" w:hAnsi="仿宋" w:eastAsia="仿宋" w:cs="Arial"/>
          <w:b/>
          <w:bCs/>
          <w:color w:val="auto"/>
          <w:kern w:val="0"/>
          <w:sz w:val="24"/>
          <w:highlight w:val="none"/>
        </w:rPr>
        <w:t xml:space="preserve"> </w:t>
      </w:r>
      <w:r>
        <w:rPr>
          <w:rFonts w:ascii="仿宋" w:hAnsi="仿宋" w:eastAsia="仿宋" w:cs="Arial"/>
          <w:b/>
          <w:bCs/>
          <w:color w:val="auto"/>
          <w:kern w:val="0"/>
          <w:sz w:val="24"/>
          <w:highlight w:val="none"/>
        </w:rPr>
        <w:t>4.2.5投标文件出现不是唯一的、有选择性投标报价的;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4.2.6投标报价超过采购文件中规定的预算金额或者最高限价的;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4.2.7报价明显低于其他通过符合性审查</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的报价，有可能影响产品质量或者不能诚信履约的，未能按要求提供书面说明或者提交相关证明材料，不能证明其报价合理性的;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4.2.8</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对根据修正原则修正后的报价不确认的；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4.2.9</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提供虚假材料投标的；</w:t>
      </w:r>
    </w:p>
    <w:p>
      <w:pPr>
        <w:snapToGrid w:val="0"/>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4.2.10</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有恶意串通、妨碍其他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的竞争行为、损害采购人或者其他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的合法权益情形的；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仅提交备份投标文件，没有在电子交易平台传输递交投标文件的，投标无效；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4.2.12 </w:t>
      </w:r>
      <w:r>
        <w:rPr>
          <w:rFonts w:hint="eastAsia" w:ascii="仿宋" w:hAnsi="仿宋" w:eastAsia="仿宋" w:cs="Arial"/>
          <w:b/>
          <w:bCs/>
          <w:color w:val="auto"/>
          <w:kern w:val="0"/>
          <w:sz w:val="24"/>
          <w:highlight w:val="none"/>
        </w:rPr>
        <w:t>投标文件不满足采购文件的其它实质性要求的；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4.2.13法律、法规、规章（适用本市的）及省级以上规范性文件（适用本市的）规定的其他无效情形。</w:t>
      </w:r>
    </w:p>
    <w:p>
      <w:pPr>
        <w:pStyle w:val="2"/>
        <w:numPr>
          <w:ilvl w:val="0"/>
          <w:numId w:val="4"/>
        </w:numPr>
        <w:snapToGrid w:val="0"/>
        <w:spacing w:line="360" w:lineRule="auto"/>
        <w:ind w:firstLine="472" w:firstLineChars="196"/>
        <w:rPr>
          <w:rFonts w:ascii="仿宋" w:hAnsi="仿宋" w:eastAsia="仿宋" w:cs="仿宋_GB2312"/>
          <w:b/>
          <w:color w:val="auto"/>
          <w:highlight w:val="none"/>
        </w:rPr>
      </w:pPr>
      <w:r>
        <w:rPr>
          <w:rFonts w:ascii="仿宋" w:hAnsi="仿宋" w:eastAsia="仿宋" w:cs="仿宋_GB2312"/>
          <w:b/>
          <w:color w:val="auto"/>
          <w:highlight w:val="none"/>
        </w:rPr>
        <w:t>废标。</w:t>
      </w:r>
    </w:p>
    <w:p>
      <w:pPr>
        <w:pStyle w:val="2"/>
        <w:snapToGrid w:val="0"/>
        <w:spacing w:line="360" w:lineRule="auto"/>
        <w:rPr>
          <w:rFonts w:ascii="仿宋" w:hAnsi="仿宋" w:eastAsia="仿宋" w:cs="仿宋_GB2312"/>
          <w:color w:val="auto"/>
          <w:highlight w:val="none"/>
        </w:rPr>
      </w:pPr>
      <w:r>
        <w:rPr>
          <w:rFonts w:hint="eastAsia" w:ascii="仿宋" w:hAnsi="仿宋" w:eastAsia="仿宋" w:cs="Arial"/>
          <w:color w:val="auto"/>
          <w:kern w:val="0"/>
          <w:highlight w:val="none"/>
        </w:rPr>
        <w:t>根据《中华人民共和国政府采购法》第三十六条之规定，在采购中，出现下列</w:t>
      </w:r>
      <w:r>
        <w:rPr>
          <w:rFonts w:hint="eastAsia" w:ascii="仿宋" w:hAnsi="仿宋" w:eastAsia="仿宋" w:cs="仿宋_GB2312"/>
          <w:color w:val="auto"/>
          <w:highlight w:val="none"/>
        </w:rPr>
        <w:t>情形之一的，应予废标：</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5.1符合专业条件的供应商或者对采购文件作实质响应的供应商不足3家的；</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5.3供应商的报价均超过了采购预算，采购人不能支付的；</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2"/>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废标后，采购代理机构应当将废标理由通知所有供应商。</w:t>
      </w:r>
    </w:p>
    <w:p>
      <w:pPr>
        <w:pStyle w:val="2"/>
        <w:numPr>
          <w:ilvl w:val="0"/>
          <w:numId w:val="4"/>
        </w:numPr>
        <w:snapToGrid w:val="0"/>
        <w:spacing w:line="360" w:lineRule="auto"/>
        <w:ind w:firstLine="472" w:firstLineChars="196"/>
        <w:rPr>
          <w:rFonts w:ascii="仿宋" w:hAnsi="仿宋" w:eastAsia="仿宋" w:cs="仿宋_GB2312"/>
          <w:b/>
          <w:color w:val="auto"/>
          <w:highlight w:val="none"/>
        </w:rPr>
      </w:pPr>
      <w:r>
        <w:rPr>
          <w:rFonts w:ascii="仿宋" w:hAnsi="仿宋" w:eastAsia="仿宋" w:cs="仿宋_GB2312"/>
          <w:b/>
          <w:color w:val="auto"/>
          <w:highlight w:val="none"/>
        </w:rPr>
        <w:t>修改采购文件，重新组织采购活动。</w:t>
      </w:r>
    </w:p>
    <w:p>
      <w:pPr>
        <w:pStyle w:val="2"/>
        <w:snapToGrid w:val="0"/>
        <w:spacing w:line="360" w:lineRule="auto"/>
        <w:ind w:left="652" w:leftChars="196" w:hanging="240" w:hangingChars="100"/>
        <w:rPr>
          <w:rFonts w:ascii="仿宋" w:hAnsi="仿宋" w:eastAsia="仿宋" w:cs="Arial"/>
          <w:color w:val="auto"/>
          <w:kern w:val="0"/>
          <w:highlight w:val="none"/>
        </w:rPr>
      </w:pPr>
      <w:r>
        <w:rPr>
          <w:rFonts w:hint="eastAsia" w:ascii="仿宋" w:hAnsi="仿宋" w:eastAsia="仿宋" w:cs="Arial"/>
          <w:color w:val="auto"/>
          <w:kern w:val="0"/>
          <w:highlight w:val="none"/>
        </w:rPr>
        <w:t>评标委员会发现采购文件存在歧义、重大缺陷导致评标工作无法进行，或</w:t>
      </w:r>
    </w:p>
    <w:p>
      <w:pPr>
        <w:pStyle w:val="2"/>
        <w:snapToGrid w:val="0"/>
        <w:spacing w:line="360" w:lineRule="auto"/>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者采购文件内容违反国家有关强制性规定的，将停止评标工作，并与采购人、采购代理机构沟通并作书面记录。采购人、采购代理机构确认后，将修改采购文件，重新组织采购活动。</w:t>
      </w:r>
    </w:p>
    <w:p>
      <w:pPr>
        <w:pStyle w:val="2"/>
        <w:numPr>
          <w:ilvl w:val="0"/>
          <w:numId w:val="4"/>
        </w:numPr>
        <w:snapToGrid w:val="0"/>
        <w:spacing w:line="360" w:lineRule="auto"/>
        <w:ind w:firstLine="472" w:firstLineChars="196"/>
        <w:rPr>
          <w:rFonts w:ascii="仿宋" w:hAnsi="仿宋" w:eastAsia="仿宋" w:cs="仿宋_GB2312"/>
          <w:b/>
          <w:color w:val="auto"/>
          <w:highlight w:val="none"/>
        </w:rPr>
      </w:pPr>
      <w:r>
        <w:rPr>
          <w:rFonts w:hint="eastAsia" w:ascii="仿宋" w:hAnsi="仿宋" w:eastAsia="仿宋" w:cs="仿宋_GB2312"/>
          <w:b/>
          <w:color w:val="auto"/>
          <w:highlight w:val="none"/>
        </w:rPr>
        <w:t>重新开展采购。</w:t>
      </w:r>
    </w:p>
    <w:p>
      <w:pPr>
        <w:pStyle w:val="2"/>
        <w:snapToGrid w:val="0"/>
        <w:spacing w:line="360" w:lineRule="auto"/>
        <w:ind w:left="412" w:leftChars="196"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有政府采购法第七十一条、第七十二条规定的违法行为之一，影响或者可</w:t>
      </w:r>
    </w:p>
    <w:p>
      <w:pPr>
        <w:pStyle w:val="2"/>
        <w:snapToGrid w:val="0"/>
        <w:spacing w:line="360" w:lineRule="auto"/>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能影响中标、成交结果的，依照下列规定处理：</w:t>
      </w:r>
    </w:p>
    <w:p>
      <w:pPr>
        <w:pStyle w:val="2"/>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2"/>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p>
    <w:bookmarkEnd w:id="226"/>
    <w:p>
      <w:pPr>
        <w:spacing w:line="360" w:lineRule="auto"/>
        <w:rPr>
          <w:rFonts w:ascii="仿宋" w:hAnsi="仿宋" w:eastAsia="仿宋"/>
          <w:color w:val="auto"/>
          <w:highlight w:val="none"/>
        </w:rPr>
      </w:pPr>
    </w:p>
    <w:p>
      <w:pPr>
        <w:rPr>
          <w:rFonts w:ascii="仿宋" w:hAnsi="仿宋" w:eastAsia="仿宋"/>
          <w:color w:val="auto"/>
          <w:highlight w:val="none"/>
        </w:rPr>
      </w:pPr>
      <w:bookmarkStart w:id="682" w:name="_Toc31065"/>
      <w:bookmarkStart w:id="683" w:name="_Toc627339759"/>
      <w:bookmarkStart w:id="684" w:name="_Toc95312988"/>
      <w:bookmarkStart w:id="685" w:name="_Toc1028"/>
      <w:bookmarkStart w:id="686" w:name="_Toc13721"/>
      <w:bookmarkStart w:id="687" w:name="第五部分"/>
      <w:bookmarkStart w:id="688" w:name="_Toc86217003"/>
    </w:p>
    <w:p>
      <w:pPr>
        <w:tabs>
          <w:tab w:val="left" w:pos="432"/>
        </w:tabs>
        <w:jc w:val="center"/>
        <w:rPr>
          <w:rFonts w:ascii="仿宋" w:hAnsi="仿宋" w:eastAsia="仿宋"/>
          <w:color w:val="auto"/>
          <w:highlight w:val="none"/>
        </w:rPr>
      </w:pPr>
    </w:p>
    <w:p>
      <w:pPr>
        <w:pStyle w:val="3"/>
        <w:jc w:val="center"/>
        <w:rPr>
          <w:rFonts w:ascii="仿宋" w:hAnsi="仿宋" w:eastAsia="仿宋"/>
          <w:color w:val="auto"/>
          <w:highlight w:val="none"/>
        </w:rPr>
      </w:pPr>
      <w:bookmarkStart w:id="689" w:name="_Toc27213"/>
    </w:p>
    <w:p>
      <w:pPr>
        <w:pStyle w:val="3"/>
        <w:jc w:val="center"/>
        <w:rPr>
          <w:rFonts w:ascii="仿宋" w:hAnsi="仿宋" w:eastAsia="仿宋"/>
          <w:color w:val="auto"/>
          <w:highlight w:val="none"/>
        </w:rPr>
      </w:pPr>
      <w:bookmarkStart w:id="690" w:name="_Toc3022"/>
      <w:bookmarkStart w:id="691" w:name="_Toc22258"/>
      <w:r>
        <w:rPr>
          <w:rFonts w:hint="eastAsia" w:ascii="仿宋" w:hAnsi="仿宋" w:eastAsia="仿宋"/>
          <w:color w:val="auto"/>
          <w:highlight w:val="none"/>
        </w:rPr>
        <w:t>第五部分</w:t>
      </w:r>
      <w:r>
        <w:rPr>
          <w:rFonts w:ascii="仿宋" w:hAnsi="仿宋" w:eastAsia="仿宋"/>
          <w:color w:val="auto"/>
          <w:highlight w:val="none"/>
        </w:rPr>
        <w:t xml:space="preserve"> </w:t>
      </w:r>
      <w:r>
        <w:rPr>
          <w:rFonts w:hint="eastAsia" w:ascii="仿宋" w:hAnsi="仿宋" w:eastAsia="仿宋"/>
          <w:color w:val="auto"/>
          <w:highlight w:val="none"/>
        </w:rPr>
        <w:t>拟签订的合同文本</w:t>
      </w:r>
      <w:bookmarkEnd w:id="682"/>
      <w:bookmarkEnd w:id="683"/>
      <w:bookmarkEnd w:id="684"/>
      <w:bookmarkEnd w:id="685"/>
      <w:bookmarkEnd w:id="686"/>
      <w:bookmarkEnd w:id="689"/>
      <w:bookmarkEnd w:id="690"/>
      <w:bookmarkEnd w:id="691"/>
    </w:p>
    <w:p>
      <w:pPr>
        <w:spacing w:line="360" w:lineRule="auto"/>
        <w:rPr>
          <w:rFonts w:ascii="仿宋" w:hAnsi="仿宋" w:eastAsia="仿宋"/>
          <w:b/>
          <w:color w:val="auto"/>
          <w:sz w:val="24"/>
          <w:highlight w:val="none"/>
        </w:rPr>
      </w:pPr>
      <w:bookmarkStart w:id="692" w:name="_Toc95313008"/>
      <w:bookmarkStart w:id="693" w:name="_Toc27118"/>
      <w:bookmarkStart w:id="694" w:name="_Toc25786"/>
      <w:bookmarkStart w:id="695" w:name="_Toc377774437"/>
      <w:bookmarkStart w:id="696" w:name="_Toc1750"/>
      <w:r>
        <w:rPr>
          <w:rFonts w:hint="eastAsia" w:ascii="仿宋" w:hAnsi="仿宋" w:eastAsia="仿宋"/>
          <w:b/>
          <w:color w:val="auto"/>
          <w:sz w:val="24"/>
          <w:highlight w:val="none"/>
        </w:rPr>
        <w:t>甲方：杭州市公路与港航管理服务中心</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地址：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授权代表：</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联系人/项目负责人：</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电子邮件：</w:t>
      </w:r>
    </w:p>
    <w:p>
      <w:pPr>
        <w:tabs>
          <w:tab w:val="left" w:pos="6237"/>
          <w:tab w:val="left" w:pos="6521"/>
        </w:tabs>
        <w:spacing w:line="360" w:lineRule="auto"/>
        <w:rPr>
          <w:rFonts w:ascii="仿宋" w:hAnsi="仿宋" w:eastAsia="仿宋"/>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乙方：</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地址：</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法定代表人：</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统一社会信用代码：</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授权代表：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联系人/项目负责人：</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电子邮件：</w:t>
      </w:r>
    </w:p>
    <w:p>
      <w:pPr>
        <w:spacing w:line="360" w:lineRule="auto"/>
        <w:textAlignment w:val="bottom"/>
        <w:rPr>
          <w:rFonts w:ascii="仿宋" w:hAnsi="仿宋" w:eastAsia="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甲方通过公开招标方式，向乙方采购</w:t>
      </w:r>
      <w:r>
        <w:rPr>
          <w:rFonts w:hint="eastAsia" w:ascii="仿宋" w:hAnsi="仿宋" w:eastAsia="仿宋" w:cs="仿宋"/>
          <w:bCs/>
          <w:color w:val="auto"/>
          <w:sz w:val="24"/>
          <w:highlight w:val="none"/>
        </w:rPr>
        <w:t>【</w:t>
      </w:r>
      <w:r>
        <w:rPr>
          <w:rFonts w:hint="eastAsia" w:ascii="仿宋" w:hAnsi="仿宋" w:eastAsia="仿宋" w:cs="宋体"/>
          <w:color w:val="auto"/>
          <w:sz w:val="24"/>
          <w:highlight w:val="none"/>
          <w:u w:val="single"/>
        </w:rPr>
        <w:t>杭州市交通运输局交通强国示范城市数字交通建设试点项目（二期）</w:t>
      </w:r>
      <w:r>
        <w:rPr>
          <w:rFonts w:hint="eastAsia" w:ascii="仿宋" w:hAnsi="仿宋" w:eastAsia="仿宋" w:cs="仿宋"/>
          <w:bCs/>
          <w:color w:val="auto"/>
          <w:sz w:val="24"/>
          <w:highlight w:val="none"/>
        </w:rPr>
        <w:t>】，统称</w:t>
      </w:r>
      <w:r>
        <w:rPr>
          <w:rFonts w:hint="eastAsia" w:ascii="仿宋" w:hAnsi="仿宋" w:eastAsia="仿宋" w:cs="宋体"/>
          <w:color w:val="auto"/>
          <w:sz w:val="24"/>
          <w:highlight w:val="none"/>
          <w:u w:val="single"/>
        </w:rPr>
        <w:t>交通强国示范城市数字交通建设试点（二期），下同</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，为明确双方权利义务，依据《中华人民共和国民法典》等有关法律规定，经甲、乙双方友好协商，签订本合同</w:t>
      </w:r>
      <w:r>
        <w:rPr>
          <w:rFonts w:ascii="仿宋" w:hAnsi="仿宋" w:eastAsia="仿宋" w:cs="仿宋"/>
          <w:color w:val="auto"/>
          <w:sz w:val="24"/>
          <w:highlight w:val="none"/>
        </w:rPr>
        <w:t>，</w:t>
      </w:r>
      <w:r>
        <w:rPr>
          <w:rFonts w:hint="eastAsia" w:ascii="仿宋" w:hAnsi="仿宋" w:eastAsia="仿宋" w:cs="仿宋"/>
          <w:color w:val="auto"/>
          <w:sz w:val="24"/>
          <w:highlight w:val="none"/>
        </w:rPr>
        <w:t>并遵照执行。</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1、定义</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1．1  “</w:t>
      </w:r>
      <w:r>
        <w:rPr>
          <w:rFonts w:hint="eastAsia" w:ascii="仿宋" w:hAnsi="仿宋" w:eastAsia="仿宋" w:cs="宋体"/>
          <w:color w:val="auto"/>
          <w:kern w:val="0"/>
          <w:sz w:val="24"/>
          <w:highlight w:val="none"/>
          <w:lang w:val="zh-CN"/>
        </w:rPr>
        <w:t>合同”</w:t>
      </w:r>
      <w:r>
        <w:rPr>
          <w:rFonts w:hint="eastAsia" w:ascii="仿宋" w:hAnsi="仿宋" w:eastAsia="仿宋" w:cs="宋体"/>
          <w:color w:val="auto"/>
          <w:sz w:val="24"/>
          <w:highlight w:val="none"/>
        </w:rPr>
        <w:t>即由</w:t>
      </w:r>
      <w:r>
        <w:rPr>
          <w:rFonts w:hint="eastAsia" w:ascii="仿宋" w:hAnsi="仿宋" w:eastAsia="仿宋" w:cs="宋体"/>
          <w:color w:val="auto"/>
          <w:kern w:val="0"/>
          <w:sz w:val="24"/>
          <w:highlight w:val="none"/>
          <w:lang w:val="zh-CN"/>
        </w:rPr>
        <w:t>甲乙方</w:t>
      </w:r>
      <w:r>
        <w:rPr>
          <w:rFonts w:hint="eastAsia" w:ascii="仿宋" w:hAnsi="仿宋" w:eastAsia="仿宋" w:cs="宋体"/>
          <w:color w:val="auto"/>
          <w:sz w:val="24"/>
          <w:highlight w:val="none"/>
        </w:rPr>
        <w:t>双方签订的合同格式中的文件，包括所有的附件、附录和组成合同部分的所有其他文件。</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合同将由杭州市公路与港航管理服务中心（以下简称甲方）与经评审最终确定的中标人（以下简称乙方）结合本项目具体情况协商后签订</w:t>
      </w:r>
      <w:r>
        <w:rPr>
          <w:rFonts w:hint="eastAsia" w:ascii="仿宋" w:hAnsi="仿宋" w:eastAsia="仿宋" w:cs="宋体"/>
          <w:color w:val="auto"/>
          <w:kern w:val="0"/>
          <w:sz w:val="24"/>
          <w:highlight w:val="none"/>
          <w:lang w:val="zh-CN"/>
        </w:rPr>
        <w:t>。以下为招标人提出涉及乙方的主要条款，投标人在投标文件中应对其进行确认或拒绝。如投标人在其投标文件中未做拒绝或提出修改要求的，招标人将视作认同</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1．2 “合同价格”系指根据合同规定，在供应商全面正确地履行合同义务时，招标人应支付给供应商的款项。</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1．3“服务”系指采购文件规定供应商须承担的安装、调试、技术协助、校准、培训以及其它类似的义务。</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1．4“甲方”系指通过采购接受合同及服务的杭州市公路与港航管理服务中心。</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1．5“乙方”系指</w:t>
      </w:r>
      <w:r>
        <w:rPr>
          <w:rFonts w:hint="eastAsia" w:ascii="仿宋" w:hAnsi="仿宋" w:eastAsia="仿宋" w:cs="宋体"/>
          <w:color w:val="auto"/>
          <w:kern w:val="0"/>
          <w:sz w:val="24"/>
          <w:highlight w:val="none"/>
          <w:lang w:val="zh-CN"/>
        </w:rPr>
        <w:t>经评审最终确定的中标人</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1．6“现场”系指将要进行系统安装和运转的地点。</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1．7“验收”系指招标人依据技术规格规定接受合同所依据的程序和条件。</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2．适用范围</w:t>
      </w:r>
    </w:p>
    <w:p>
      <w:pPr>
        <w:autoSpaceDE w:val="0"/>
        <w:autoSpaceDN w:val="0"/>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本合同条款适用与本次采购活动。项目实施范围详见附件——采购文件和投标文件及补充文件、承诺书等。</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3．项目实施与要求</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3.1乙方必须进一步优化需求分析、概要设计、详细设计，并细化系统建设计划、目标任务书和测试验收方案，向招标人提供上述文档并需经招标人审查。</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3.2本项目的最终招标人为甲方，乙方必须提供项目的所有实施方案文档。乙方对甲方提供的业务资料、技术资料应严格保密，不得扩散。</w:t>
      </w:r>
    </w:p>
    <w:p>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sz w:val="24"/>
          <w:highlight w:val="none"/>
        </w:rPr>
        <w:t>3.3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w:t>
      </w:r>
      <w:r>
        <w:rPr>
          <w:rFonts w:hint="eastAsia" w:ascii="仿宋" w:hAnsi="仿宋" w:eastAsia="仿宋" w:cs="宋体"/>
          <w:color w:val="auto"/>
          <w:kern w:val="0"/>
          <w:sz w:val="24"/>
          <w:highlight w:val="none"/>
          <w:lang w:val="zh-CN"/>
        </w:rPr>
        <w:t>乙方</w:t>
      </w:r>
      <w:r>
        <w:rPr>
          <w:rFonts w:hint="eastAsia" w:ascii="仿宋" w:hAnsi="仿宋" w:eastAsia="仿宋" w:cs="宋体"/>
          <w:color w:val="auto"/>
          <w:sz w:val="24"/>
          <w:highlight w:val="none"/>
        </w:rPr>
        <w:t>要承担相应后果，</w:t>
      </w:r>
      <w:r>
        <w:rPr>
          <w:rFonts w:hint="eastAsia" w:ascii="仿宋" w:hAnsi="仿宋" w:eastAsia="仿宋" w:cs="宋体"/>
          <w:color w:val="auto"/>
          <w:kern w:val="0"/>
          <w:sz w:val="24"/>
          <w:highlight w:val="none"/>
          <w:lang w:val="zh-CN"/>
        </w:rPr>
        <w:t>并负责赔偿。乙方</w:t>
      </w:r>
      <w:r>
        <w:rPr>
          <w:rFonts w:hint="eastAsia" w:ascii="仿宋" w:hAnsi="仿宋" w:eastAsia="仿宋" w:cs="宋体"/>
          <w:color w:val="auto"/>
          <w:sz w:val="24"/>
          <w:highlight w:val="none"/>
        </w:rPr>
        <w:t>为执行本项目合同而提供的技术资料等归甲方所有。</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 乙方提供的设备及有关产品部件等货物必须是符合国家技术规范和质量标准，经国家“3C”认证或通过国家有关部门检测的原产地合格产品。采购前需经甲方和监理单位的认可。</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3.5 乙方在投标文件中所列产品的名称、型号应与安装实施中实际使用的产品完全一致，都必须是报价中的产地，并提供相关证明，需原装封箱包装。如发现实物与投标报价书等资料不符，甲方有权更换，其一切后果及费用由乙方承担。如发现不符合质量要求或破裂、损坏等情况由乙方负责调换或补足，并不得影响工期。</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3.6乙方必须按照本项目进度进场实施，按照项目需求、国家技术规范和质量标准实施项目和系统集成。</w:t>
      </w:r>
    </w:p>
    <w:p>
      <w:pPr>
        <w:autoSpaceDE w:val="0"/>
        <w:autoSpaceDN w:val="0"/>
        <w:spacing w:line="360" w:lineRule="auto"/>
        <w:ind w:firstLine="480"/>
        <w:rPr>
          <w:rFonts w:ascii="仿宋" w:hAnsi="仿宋" w:eastAsia="仿宋" w:cs="宋体"/>
          <w:color w:val="auto"/>
          <w:kern w:val="0"/>
          <w:sz w:val="24"/>
          <w:highlight w:val="none"/>
          <w:lang w:val="zh-CN"/>
        </w:rPr>
      </w:pPr>
      <w:r>
        <w:rPr>
          <w:rFonts w:hint="eastAsia" w:ascii="仿宋" w:hAnsi="仿宋" w:eastAsia="仿宋" w:cs="宋体"/>
          <w:color w:val="auto"/>
          <w:sz w:val="24"/>
          <w:highlight w:val="none"/>
        </w:rPr>
        <w:t xml:space="preserve">3.7 </w:t>
      </w:r>
      <w:r>
        <w:rPr>
          <w:rFonts w:hint="eastAsia" w:ascii="仿宋" w:hAnsi="仿宋" w:eastAsia="仿宋" w:cs="宋体"/>
          <w:color w:val="auto"/>
          <w:kern w:val="0"/>
          <w:sz w:val="24"/>
          <w:highlight w:val="none"/>
          <w:lang w:val="zh-CN"/>
        </w:rPr>
        <w:t>乙方对在项目建设期间所获得的甲方的情报和资料有保密义务，泄漏秘密应承担的责任。不论本合同是否变更、解除、终止，本条款均有效。</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4．项目实施</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ascii="仿宋" w:hAnsi="仿宋" w:eastAsia="仿宋" w:cs="宋体"/>
          <w:color w:val="auto"/>
          <w:sz w:val="24"/>
          <w:highlight w:val="none"/>
        </w:rPr>
        <w:t>.1</w:t>
      </w:r>
      <w:r>
        <w:rPr>
          <w:rFonts w:hint="eastAsia" w:ascii="仿宋" w:hAnsi="仿宋" w:eastAsia="仿宋" w:cs="宋体"/>
          <w:color w:val="auto"/>
          <w:sz w:val="24"/>
          <w:highlight w:val="none"/>
        </w:rPr>
        <w:t>项目完成时间：合同签订后，2023年4月底前完成开发和部署相关工作，系统上线试运行；2023年6月底前完成等保等技术评测、结算审计及项目终验。</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ascii="仿宋" w:hAnsi="仿宋" w:eastAsia="仿宋" w:cs="宋体"/>
          <w:color w:val="auto"/>
          <w:sz w:val="24"/>
          <w:highlight w:val="none"/>
        </w:rPr>
        <w:t>2</w:t>
      </w:r>
      <w:r>
        <w:rPr>
          <w:rFonts w:hint="eastAsia" w:ascii="仿宋" w:hAnsi="仿宋" w:eastAsia="仿宋" w:cs="宋体"/>
          <w:color w:val="auto"/>
          <w:sz w:val="24"/>
          <w:highlight w:val="none"/>
        </w:rPr>
        <w:t xml:space="preserve"> 甲方提供项目所需的设备资源和必要场地。</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ascii="仿宋" w:hAnsi="仿宋" w:eastAsia="仿宋" w:cs="宋体"/>
          <w:color w:val="auto"/>
          <w:sz w:val="24"/>
          <w:highlight w:val="none"/>
        </w:rPr>
        <w:t>3</w:t>
      </w:r>
      <w:r>
        <w:rPr>
          <w:rFonts w:hint="eastAsia" w:ascii="仿宋" w:hAnsi="仿宋" w:eastAsia="仿宋" w:cs="宋体"/>
          <w:color w:val="auto"/>
          <w:sz w:val="24"/>
          <w:highlight w:val="none"/>
        </w:rPr>
        <w:t>乙方项目实施人员须服从甲方管理人员管理。乙方项目实施人员必须遵守现场的各项规章制度。</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ascii="仿宋" w:hAnsi="仿宋" w:eastAsia="仿宋" w:cs="宋体"/>
          <w:color w:val="auto"/>
          <w:sz w:val="24"/>
          <w:highlight w:val="none"/>
        </w:rPr>
        <w:t>4</w:t>
      </w:r>
      <w:r>
        <w:rPr>
          <w:rFonts w:hint="eastAsia" w:ascii="仿宋" w:hAnsi="仿宋" w:eastAsia="仿宋" w:cs="宋体"/>
          <w:color w:val="auto"/>
          <w:sz w:val="24"/>
          <w:highlight w:val="none"/>
        </w:rPr>
        <w:t xml:space="preserve"> 乙方应根据项目情况提供软件开发、安装调试计划，项目实施进度计划，经甲、乙双方共同确定后作为双方共同执行的合同条款，乙方应按计划完工交付验收，若超过计划完工日15天以上的天数按超期处罚。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ascii="仿宋" w:hAnsi="仿宋" w:eastAsia="仿宋" w:cs="宋体"/>
          <w:color w:val="auto"/>
          <w:sz w:val="24"/>
          <w:highlight w:val="none"/>
        </w:rPr>
        <w:t>5</w:t>
      </w:r>
      <w:r>
        <w:rPr>
          <w:rFonts w:hint="eastAsia" w:ascii="仿宋" w:hAnsi="仿宋" w:eastAsia="仿宋" w:cs="宋体"/>
          <w:color w:val="auto"/>
          <w:sz w:val="24"/>
          <w:highlight w:val="none"/>
        </w:rPr>
        <w:t xml:space="preserve"> 如项目验收达到合同规定的质量标准，履约保证金在项目验收合格后，15个工作日内无息退还。</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5．</w:t>
      </w:r>
      <w:r>
        <w:rPr>
          <w:rFonts w:hint="eastAsia" w:ascii="仿宋" w:hAnsi="仿宋" w:eastAsia="仿宋" w:cs="宋体"/>
          <w:b/>
          <w:bCs/>
          <w:color w:val="auto"/>
          <w:kern w:val="0"/>
          <w:sz w:val="24"/>
          <w:highlight w:val="none"/>
          <w:lang w:val="zh-CN"/>
        </w:rPr>
        <w:t>系统维护</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5.1 乙方对甲方提供操作维护、管理等培训，至熟练操作为止。</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5.2提供必要的免费技术服务，包括免费升级、故障排除、性能调优、技术咨询等，提供不少于</w:t>
      </w:r>
      <w:r>
        <w:rPr>
          <w:rFonts w:ascii="仿宋" w:hAnsi="仿宋" w:eastAsia="仿宋" w:cs="宋体"/>
          <w:color w:val="auto"/>
          <w:sz w:val="24"/>
          <w:highlight w:val="none"/>
        </w:rPr>
        <w:t>1</w:t>
      </w:r>
      <w:r>
        <w:rPr>
          <w:rFonts w:hint="eastAsia" w:ascii="仿宋" w:hAnsi="仿宋" w:eastAsia="仿宋" w:cs="宋体"/>
          <w:color w:val="auto"/>
          <w:sz w:val="24"/>
          <w:highlight w:val="none"/>
        </w:rPr>
        <w:t>年7*24免费现场技术服务。</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w:t>
      </w:r>
      <w:r>
        <w:rPr>
          <w:rFonts w:ascii="仿宋" w:hAnsi="仿宋" w:eastAsia="仿宋" w:cs="宋体"/>
          <w:color w:val="auto"/>
          <w:sz w:val="24"/>
          <w:highlight w:val="none"/>
        </w:rPr>
        <w:t xml:space="preserve">.3 </w:t>
      </w:r>
      <w:r>
        <w:rPr>
          <w:rFonts w:hint="eastAsia" w:ascii="仿宋" w:hAnsi="仿宋" w:eastAsia="仿宋" w:cs="宋体"/>
          <w:color w:val="auto"/>
          <w:sz w:val="24"/>
          <w:highlight w:val="none"/>
        </w:rPr>
        <w:t>软件维护期内提供不少于2人驻场服务。</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w:t>
      </w:r>
      <w:r>
        <w:rPr>
          <w:rFonts w:ascii="仿宋" w:hAnsi="仿宋" w:eastAsia="仿宋" w:cs="宋体"/>
          <w:color w:val="auto"/>
          <w:sz w:val="24"/>
          <w:highlight w:val="none"/>
        </w:rPr>
        <w:t>4</w:t>
      </w:r>
      <w:r>
        <w:rPr>
          <w:rFonts w:hint="eastAsia" w:ascii="仿宋" w:hAnsi="仿宋" w:eastAsia="仿宋" w:cs="宋体"/>
          <w:color w:val="auto"/>
          <w:sz w:val="24"/>
          <w:highlight w:val="none"/>
        </w:rPr>
        <w:t xml:space="preserve"> 系统维护期内，乙方提供7*24小时应急响应服务， 30分钟内做出响应、2小时内派技术人员到现场，8小时内排除。</w:t>
      </w:r>
    </w:p>
    <w:p>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6．验收</w:t>
      </w:r>
    </w:p>
    <w:p>
      <w:pPr>
        <w:pStyle w:val="965"/>
        <w:ind w:firstLine="199" w:firstLineChars="83"/>
        <w:rPr>
          <w:rFonts w:ascii="仿宋" w:hAnsi="仿宋" w:eastAsia="仿宋" w:cs="仿宋"/>
          <w:color w:val="auto"/>
          <w:highlight w:val="none"/>
        </w:rPr>
      </w:pPr>
      <w:bookmarkStart w:id="697" w:name="_Hlk103618444"/>
      <w:r>
        <w:rPr>
          <w:rFonts w:ascii="仿宋" w:hAnsi="仿宋" w:eastAsia="仿宋" w:cs="仿宋"/>
          <w:color w:val="auto"/>
          <w:highlight w:val="none"/>
        </w:rPr>
        <w:t>6.1</w:t>
      </w:r>
      <w:r>
        <w:rPr>
          <w:rFonts w:hint="eastAsia" w:ascii="仿宋" w:hAnsi="仿宋" w:eastAsia="仿宋" w:cs="仿宋"/>
          <w:color w:val="auto"/>
          <w:highlight w:val="none"/>
        </w:rPr>
        <w:t>验收组织和程序</w:t>
      </w:r>
    </w:p>
    <w:p>
      <w:pPr>
        <w:pStyle w:val="965"/>
        <w:ind w:firstLineChars="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1）根据《中华人民共和国政府采购法》、《中华人民共和国民法典》、《中华</w:t>
      </w:r>
      <w:r>
        <w:rPr>
          <w:rFonts w:hint="eastAsia" w:ascii="仿宋" w:hAnsi="仿宋" w:eastAsia="仿宋" w:cs="仿宋"/>
          <w:color w:val="auto"/>
          <w:highlight w:val="none"/>
        </w:rPr>
        <w:t>人民共和国政府采购法实施条例》、财政部《财政部关于进一步加强政府采购需求和履约验收管理的指导意见》（财库</w:t>
      </w:r>
      <w:r>
        <w:rPr>
          <w:rFonts w:ascii="仿宋" w:hAnsi="仿宋" w:eastAsia="仿宋" w:cs="仿宋"/>
          <w:color w:val="auto"/>
          <w:highlight w:val="none"/>
        </w:rPr>
        <w:t>[2016]205号）、杭州市财政局《杭州市政府采购履约验收暂行办法》（</w:t>
      </w:r>
      <w:r>
        <w:rPr>
          <w:rFonts w:hint="eastAsia" w:ascii="仿宋" w:hAnsi="仿宋" w:eastAsia="仿宋" w:cs="仿宋"/>
          <w:color w:val="auto"/>
          <w:highlight w:val="none"/>
        </w:rPr>
        <w:t>杭财采监</w:t>
      </w:r>
      <w:r>
        <w:rPr>
          <w:rFonts w:ascii="仿宋" w:hAnsi="仿宋" w:eastAsia="仿宋" w:cs="仿宋"/>
          <w:color w:val="auto"/>
          <w:highlight w:val="none"/>
        </w:rPr>
        <w:t>[2019]10号）等相关法律、法规、规范性文件要求组织验收。</w:t>
      </w:r>
    </w:p>
    <w:p>
      <w:pPr>
        <w:pStyle w:val="965"/>
        <w:ind w:firstLine="199" w:firstLineChars="83"/>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2）验收方法：验收小组验收。</w:t>
      </w:r>
    </w:p>
    <w:p>
      <w:pPr>
        <w:pStyle w:val="965"/>
        <w:ind w:firstLineChars="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3）验收小组组建方式：</w:t>
      </w:r>
      <w:r>
        <w:rPr>
          <w:rFonts w:hint="eastAsia" w:ascii="仿宋" w:hAnsi="仿宋" w:eastAsia="仿宋" w:cs="仿宋"/>
          <w:color w:val="auto"/>
          <w:highlight w:val="none"/>
        </w:rPr>
        <w:t>项目验收负责人组织</w:t>
      </w:r>
      <w:r>
        <w:rPr>
          <w:rFonts w:ascii="仿宋" w:hAnsi="仿宋" w:eastAsia="仿宋" w:cs="仿宋"/>
          <w:color w:val="auto"/>
          <w:highlight w:val="none"/>
        </w:rPr>
        <w:t>验收小组，验收小组由</w:t>
      </w:r>
      <w:r>
        <w:rPr>
          <w:rFonts w:hint="eastAsia" w:ascii="仿宋" w:hAnsi="仿宋" w:eastAsia="仿宋" w:cs="仿宋"/>
          <w:color w:val="auto"/>
          <w:highlight w:val="none"/>
        </w:rPr>
        <w:t>相关</w:t>
      </w:r>
      <w:r>
        <w:rPr>
          <w:rFonts w:ascii="仿宋" w:hAnsi="仿宋" w:eastAsia="仿宋" w:cs="仿宋"/>
          <w:color w:val="auto"/>
          <w:highlight w:val="none"/>
        </w:rPr>
        <w:t>专家和用户代表</w:t>
      </w:r>
      <w:r>
        <w:rPr>
          <w:rFonts w:hint="eastAsia" w:ascii="仿宋" w:hAnsi="仿宋" w:eastAsia="仿宋" w:cs="仿宋"/>
          <w:color w:val="auto"/>
          <w:highlight w:val="none"/>
        </w:rPr>
        <w:t>按相关规定</w:t>
      </w:r>
      <w:r>
        <w:rPr>
          <w:rFonts w:ascii="仿宋" w:hAnsi="仿宋" w:eastAsia="仿宋" w:cs="仿宋"/>
          <w:color w:val="auto"/>
          <w:highlight w:val="none"/>
        </w:rPr>
        <w:t>组成。验收小组负责实施具体的验收活动。甲方可以邀请其他单位的相关专业人员参加验收小组。验收小组推选一名组长，主持验收小组的工作。</w:t>
      </w:r>
    </w:p>
    <w:p>
      <w:pPr>
        <w:pStyle w:val="965"/>
        <w:ind w:firstLine="199" w:firstLineChars="83"/>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4）验收流程：</w:t>
      </w:r>
    </w:p>
    <w:p>
      <w:pPr>
        <w:pStyle w:val="965"/>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项目验收负责人</w:t>
      </w:r>
      <w:r>
        <w:rPr>
          <w:rFonts w:ascii="仿宋" w:hAnsi="仿宋" w:eastAsia="仿宋" w:cs="仿宋"/>
          <w:color w:val="auto"/>
          <w:highlight w:val="none"/>
        </w:rPr>
        <w:t>根据验收方案组织验收小组现场验收，并准备验收材料并通知各验收参与方在指定时间指定地点联合验收，包括甲方、乙方、验收小组、其他验收参与方等。</w:t>
      </w:r>
    </w:p>
    <w:p>
      <w:pPr>
        <w:pStyle w:val="965"/>
        <w:ind w:firstLine="480"/>
        <w:rPr>
          <w:rFonts w:ascii="仿宋" w:hAnsi="仿宋" w:eastAsia="仿宋" w:cs="仿宋"/>
          <w:color w:val="auto"/>
          <w:highlight w:val="none"/>
        </w:rPr>
      </w:pPr>
      <w:r>
        <w:rPr>
          <w:rFonts w:ascii="仿宋" w:hAnsi="仿宋" w:eastAsia="仿宋" w:cs="仿宋"/>
          <w:color w:val="auto"/>
          <w:highlight w:val="none"/>
        </w:rPr>
        <w:t>2）验收小组应当按照验收方案独立开展验收，对乙方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仿宋" w:hAnsi="仿宋" w:eastAsia="仿宋" w:cs="仿宋"/>
          <w:color w:val="auto"/>
          <w:highlight w:val="none"/>
        </w:rPr>
        <w:t>作出实质性修改的，应当报经甲方同意。</w:t>
      </w:r>
    </w:p>
    <w:p>
      <w:pPr>
        <w:pStyle w:val="965"/>
        <w:ind w:firstLine="480"/>
        <w:rPr>
          <w:rFonts w:ascii="仿宋" w:hAnsi="仿宋" w:eastAsia="仿宋" w:cs="仿宋"/>
          <w:color w:val="auto"/>
          <w:highlight w:val="none"/>
        </w:rPr>
      </w:pPr>
      <w:r>
        <w:rPr>
          <w:rFonts w:ascii="仿宋" w:hAnsi="仿宋" w:eastAsia="仿宋" w:cs="仿宋"/>
          <w:color w:val="auto"/>
          <w:highlight w:val="none"/>
        </w:rPr>
        <w:t>3）乙方配合验收工作，并就验收实施过程中的疑问进行解答和澄清。项目验收过程中，乙方不认可验收意见的，按照合同的约定的方式解决，合同未作约定的，按照《中华人民共和国民法典》等相关规定处理。</w:t>
      </w:r>
    </w:p>
    <w:p>
      <w:pPr>
        <w:pStyle w:val="965"/>
        <w:ind w:firstLine="480"/>
        <w:rPr>
          <w:rFonts w:ascii="仿宋" w:hAnsi="仿宋" w:eastAsia="仿宋" w:cs="仿宋"/>
          <w:color w:val="auto"/>
          <w:highlight w:val="none"/>
        </w:rPr>
      </w:pPr>
      <w:r>
        <w:rPr>
          <w:rFonts w:ascii="仿宋" w:hAnsi="仿宋" w:eastAsia="仿宋" w:cs="仿宋"/>
          <w:color w:val="auto"/>
          <w:highlight w:val="none"/>
        </w:rPr>
        <w:t>4）出具验收报告。验收结束后，验收小组应当出具验收报告，报告甲方。验收报告应当根据验收方案制作，以书面形式</w:t>
      </w:r>
      <w:r>
        <w:rPr>
          <w:rFonts w:hint="eastAsia" w:ascii="仿宋" w:hAnsi="仿宋" w:eastAsia="仿宋" w:cs="仿宋"/>
          <w:color w:val="auto"/>
          <w:highlight w:val="none"/>
        </w:rPr>
        <w:t>作出结论性意见，并经验收小组全体成员签字。验收小组成员对验收报告载明的结论有异议的，应当在验收报告上签署不同意并说明理由，否则视为同意验收结论。</w:t>
      </w:r>
    </w:p>
    <w:p>
      <w:pPr>
        <w:pStyle w:val="965"/>
        <w:ind w:firstLine="480"/>
        <w:rPr>
          <w:rFonts w:ascii="仿宋" w:hAnsi="仿宋" w:eastAsia="仿宋" w:cs="仿宋"/>
          <w:color w:val="auto"/>
          <w:highlight w:val="none"/>
        </w:rPr>
      </w:pPr>
      <w:r>
        <w:rPr>
          <w:rFonts w:ascii="仿宋" w:hAnsi="仿宋" w:eastAsia="仿宋" w:cs="仿宋"/>
          <w:color w:val="auto"/>
          <w:highlight w:val="none"/>
        </w:rPr>
        <w:t>5）验收不合格的，甲方应责令乙方采取补救措施，向乙方发出整改通知书，并依法及时处理。整改结束后，由乙方通知甲方或其委托的验收组织机构重新验收。</w:t>
      </w:r>
    </w:p>
    <w:p>
      <w:pPr>
        <w:pStyle w:val="2"/>
        <w:spacing w:line="360" w:lineRule="auto"/>
        <w:rPr>
          <w:rFonts w:ascii="仿宋" w:hAnsi="仿宋" w:eastAsia="仿宋" w:cs="宋体"/>
          <w:color w:val="auto"/>
          <w:highlight w:val="none"/>
        </w:rPr>
      </w:pPr>
      <w:r>
        <w:rPr>
          <w:rFonts w:ascii="仿宋" w:hAnsi="仿宋" w:eastAsia="仿宋" w:cs="宋体"/>
          <w:color w:val="auto"/>
          <w:highlight w:val="none"/>
        </w:rPr>
        <w:t>6.2</w:t>
      </w:r>
      <w:r>
        <w:rPr>
          <w:rFonts w:hint="eastAsia" w:ascii="仿宋" w:hAnsi="仿宋" w:eastAsia="仿宋" w:cs="宋体"/>
          <w:color w:val="auto"/>
          <w:highlight w:val="none"/>
        </w:rPr>
        <w:t>履约验收内容</w:t>
      </w:r>
    </w:p>
    <w:p>
      <w:pPr>
        <w:pStyle w:val="965"/>
        <w:ind w:firstLine="439" w:firstLineChars="183"/>
        <w:rPr>
          <w:rFonts w:ascii="仿宋" w:hAnsi="仿宋" w:eastAsia="仿宋" w:cs="仿宋"/>
          <w:color w:val="auto"/>
          <w:highlight w:val="none"/>
        </w:rPr>
      </w:pPr>
      <w:r>
        <w:rPr>
          <w:rFonts w:hint="eastAsia" w:ascii="仿宋" w:hAnsi="仿宋" w:eastAsia="仿宋" w:cs="仿宋"/>
          <w:color w:val="auto"/>
          <w:highlight w:val="none"/>
        </w:rPr>
        <w:t>1</w:t>
      </w:r>
      <w:r>
        <w:rPr>
          <w:rFonts w:ascii="仿宋" w:hAnsi="仿宋" w:eastAsia="仿宋" w:cs="仿宋"/>
          <w:color w:val="auto"/>
          <w:highlight w:val="none"/>
        </w:rPr>
        <w:t>.</w:t>
      </w:r>
      <w:r>
        <w:rPr>
          <w:rFonts w:hint="eastAsia" w:ascii="仿宋" w:hAnsi="仿宋" w:eastAsia="仿宋" w:cs="仿宋"/>
          <w:color w:val="auto"/>
          <w:highlight w:val="none"/>
        </w:rPr>
        <w:t>技术履约内容</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after="120"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ascii="仿宋" w:hAnsi="仿宋" w:eastAsia="仿宋" w:cs="仿宋"/>
          <w:color w:val="auto"/>
          <w:highlight w:val="none"/>
        </w:rPr>
        <w:t>拟投服务团队人员全部到位，与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965"/>
        <w:ind w:firstLine="439" w:firstLineChars="183"/>
        <w:rPr>
          <w:rFonts w:ascii="仿宋" w:hAnsi="仿宋" w:eastAsia="仿宋" w:cs="仿宋"/>
          <w:color w:val="auto"/>
          <w:highlight w:val="none"/>
        </w:rPr>
      </w:pPr>
      <w:r>
        <w:rPr>
          <w:rFonts w:hint="eastAsia" w:ascii="仿宋" w:hAnsi="仿宋" w:eastAsia="仿宋" w:cs="仿宋"/>
          <w:color w:val="auto"/>
          <w:highlight w:val="none"/>
        </w:rPr>
        <w:t>2.商务履约内容</w:t>
      </w:r>
    </w:p>
    <w:p>
      <w:pPr>
        <w:pStyle w:val="997"/>
        <w:spacing w:line="360" w:lineRule="auto"/>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）服务周期满足采购要求。</w:t>
      </w:r>
    </w:p>
    <w:p>
      <w:pPr>
        <w:pStyle w:val="997"/>
        <w:spacing w:after="120" w:line="360" w:lineRule="auto"/>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验收标准</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after="120"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ascii="仿宋" w:hAnsi="仿宋" w:eastAsia="仿宋" w:cs="仿宋"/>
          <w:color w:val="auto"/>
          <w:highlight w:val="none"/>
        </w:rPr>
        <w:t>拟投服务团队人员全部到位，与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文件人员信息清单一致；</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）项目验收资料齐全；</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ascii="仿宋" w:hAnsi="仿宋" w:eastAsia="仿宋" w:cs="仿宋"/>
          <w:color w:val="auto"/>
          <w:sz w:val="24"/>
          <w:highlight w:val="none"/>
        </w:rPr>
        <w:t>.</w:t>
      </w:r>
      <w:r>
        <w:rPr>
          <w:rFonts w:hint="eastAsia" w:ascii="仿宋" w:hAnsi="仿宋" w:eastAsia="仿宋" w:cs="仿宋"/>
          <w:color w:val="auto"/>
          <w:sz w:val="24"/>
          <w:highlight w:val="none"/>
        </w:rPr>
        <w:t>履约验收其他事项</w:t>
      </w:r>
    </w:p>
    <w:p>
      <w:pPr>
        <w:pStyle w:val="997"/>
        <w:spacing w:after="120"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（1）甲方在乙方提供相关服务的过程中，有权不定期对服务内容和质量进行考核。乙方提供相关服务过程中有违反合同约定、不达约定标准情况的，甲方有权要求乙方限期整改，乙方未按甲方</w:t>
      </w:r>
      <w:r>
        <w:rPr>
          <w:rFonts w:ascii="仿宋" w:hAnsi="仿宋" w:eastAsia="仿宋" w:cs="仿宋"/>
          <w:color w:val="auto"/>
          <w:sz w:val="24"/>
          <w:szCs w:val="24"/>
          <w:highlight w:val="none"/>
        </w:rPr>
        <w:t>要求整改的，甲方有权拒绝验收，乙方应承担相应的违约责任。</w:t>
      </w:r>
    </w:p>
    <w:p>
      <w:pPr>
        <w:pStyle w:val="997"/>
        <w:spacing w:after="120"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ascii="仿宋" w:hAnsi="仿宋" w:eastAsia="仿宋" w:cs="仿宋"/>
          <w:color w:val="auto"/>
          <w:sz w:val="24"/>
          <w:szCs w:val="24"/>
          <w:highlight w:val="none"/>
        </w:rPr>
        <w:t>乙方服务成果未通过甲方验收，甲方有权要求乙方进行整改，相关费用</w:t>
      </w:r>
      <w:r>
        <w:rPr>
          <w:rFonts w:hint="eastAsia" w:ascii="仿宋" w:hAnsi="仿宋" w:eastAsia="仿宋" w:cs="仿宋"/>
          <w:color w:val="auto"/>
          <w:sz w:val="24"/>
          <w:szCs w:val="24"/>
          <w:highlight w:val="none"/>
        </w:rPr>
        <w:t>（包括但不限于重新组织验收等费用）</w:t>
      </w:r>
      <w:r>
        <w:rPr>
          <w:rFonts w:ascii="仿宋" w:hAnsi="仿宋" w:eastAsia="仿宋" w:cs="仿宋"/>
          <w:color w:val="auto"/>
          <w:sz w:val="24"/>
          <w:szCs w:val="24"/>
          <w:highlight w:val="none"/>
        </w:rPr>
        <w:t>由乙方承担；如乙方</w:t>
      </w:r>
      <w:r>
        <w:rPr>
          <w:rFonts w:hint="eastAsia" w:ascii="仿宋" w:hAnsi="仿宋" w:eastAsia="仿宋" w:cs="仿宋"/>
          <w:color w:val="auto"/>
          <w:sz w:val="24"/>
          <w:szCs w:val="24"/>
          <w:highlight w:val="none"/>
        </w:rPr>
        <w:t>未在甲方要求期限内整改或整改后仍不合格或已经无法整改的，甲方有权要求乙方承担相应的违约责任。</w:t>
      </w:r>
    </w:p>
    <w:bookmarkEnd w:id="697"/>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7．履约保证金及付款方式</w:t>
      </w:r>
    </w:p>
    <w:p>
      <w:pPr>
        <w:snapToGrid w:val="0"/>
        <w:spacing w:line="360" w:lineRule="auto"/>
        <w:ind w:firstLine="480" w:firstLineChars="200"/>
        <w:rPr>
          <w:rFonts w:ascii="仿宋" w:hAnsi="仿宋" w:eastAsia="仿宋" w:cs="Arial"/>
          <w:snapToGrid w:val="0"/>
          <w:color w:val="auto"/>
          <w:kern w:val="0"/>
          <w:sz w:val="24"/>
          <w:highlight w:val="none"/>
        </w:rPr>
      </w:pPr>
      <w:r>
        <w:rPr>
          <w:rFonts w:ascii="仿宋" w:hAnsi="仿宋" w:eastAsia="仿宋" w:cs="Arial"/>
          <w:snapToGrid w:val="0"/>
          <w:color w:val="auto"/>
          <w:kern w:val="0"/>
          <w:sz w:val="24"/>
          <w:highlight w:val="none"/>
        </w:rPr>
        <w:t>7.1</w:t>
      </w:r>
      <w:r>
        <w:rPr>
          <w:rFonts w:hint="eastAsia" w:ascii="仿宋" w:hAnsi="仿宋" w:eastAsia="仿宋"/>
          <w:color w:val="auto"/>
          <w:sz w:val="24"/>
          <w:highlight w:val="none"/>
        </w:rPr>
        <w:t>合同签订后</w:t>
      </w:r>
      <w:r>
        <w:rPr>
          <w:rFonts w:ascii="仿宋" w:hAnsi="仿宋" w:eastAsia="仿宋"/>
          <w:color w:val="auto"/>
          <w:sz w:val="24"/>
          <w:highlight w:val="none"/>
        </w:rPr>
        <w:t>15</w:t>
      </w:r>
      <w:r>
        <w:rPr>
          <w:rFonts w:hint="eastAsia" w:ascii="仿宋" w:hAnsi="仿宋" w:eastAsia="仿宋"/>
          <w:color w:val="auto"/>
          <w:sz w:val="24"/>
          <w:highlight w:val="none"/>
        </w:rPr>
        <w:t>个工作日内，乙方可</w:t>
      </w:r>
      <w:r>
        <w:rPr>
          <w:rFonts w:hint="eastAsia" w:ascii="仿宋" w:hAnsi="仿宋" w:eastAsia="仿宋" w:cs="Arial"/>
          <w:snapToGrid w:val="0"/>
          <w:color w:val="auto"/>
          <w:kern w:val="0"/>
          <w:sz w:val="24"/>
          <w:highlight w:val="none"/>
        </w:rPr>
        <w:t>根据杭州市政府采购网公布的供应商履约评价情况减免履约保证金。供应商履约验收评价总分为100分的，甲方免收履约保证金；评价总分在90分以上的，</w:t>
      </w:r>
      <w:bookmarkStart w:id="698" w:name="_Hlk113434090"/>
      <w:r>
        <w:rPr>
          <w:rFonts w:hint="eastAsia" w:ascii="仿宋" w:hAnsi="仿宋" w:eastAsia="仿宋" w:cs="Arial"/>
          <w:snapToGrid w:val="0"/>
          <w:color w:val="auto"/>
          <w:kern w:val="0"/>
          <w:sz w:val="24"/>
          <w:highlight w:val="none"/>
        </w:rPr>
        <w:t>乙方缴纳合同金额0.5%的履约保证金；</w:t>
      </w:r>
      <w:bookmarkEnd w:id="698"/>
      <w:r>
        <w:rPr>
          <w:rFonts w:hint="eastAsia" w:ascii="仿宋" w:hAnsi="仿宋" w:eastAsia="仿宋" w:cs="Arial"/>
          <w:snapToGrid w:val="0"/>
          <w:color w:val="auto"/>
          <w:kern w:val="0"/>
          <w:sz w:val="24"/>
          <w:highlight w:val="none"/>
        </w:rPr>
        <w:t>评价总分在90分以下或者暂无评分的，乙方缴纳合同金额</w:t>
      </w:r>
      <w:r>
        <w:rPr>
          <w:rFonts w:ascii="仿宋" w:hAnsi="仿宋" w:eastAsia="仿宋" w:cs="Arial"/>
          <w:snapToGrid w:val="0"/>
          <w:color w:val="auto"/>
          <w:kern w:val="0"/>
          <w:sz w:val="24"/>
          <w:highlight w:val="none"/>
        </w:rPr>
        <w:t>1</w:t>
      </w:r>
      <w:r>
        <w:rPr>
          <w:rFonts w:hint="eastAsia" w:ascii="仿宋" w:hAnsi="仿宋" w:eastAsia="仿宋" w:cs="Arial"/>
          <w:snapToGrid w:val="0"/>
          <w:color w:val="auto"/>
          <w:kern w:val="0"/>
          <w:sz w:val="24"/>
          <w:highlight w:val="none"/>
        </w:rPr>
        <w:t>%的履约保证金。</w:t>
      </w:r>
    </w:p>
    <w:p>
      <w:pPr>
        <w:snapToGrid w:val="0"/>
        <w:spacing w:line="360" w:lineRule="auto"/>
        <w:ind w:firstLine="424" w:firstLineChars="177"/>
        <w:rPr>
          <w:rFonts w:ascii="仿宋" w:hAnsi="仿宋" w:eastAsia="仿宋" w:cs="Arial"/>
          <w:snapToGrid w:val="0"/>
          <w:color w:val="auto"/>
          <w:kern w:val="0"/>
          <w:sz w:val="24"/>
          <w:highlight w:val="none"/>
        </w:rPr>
      </w:pPr>
      <w:r>
        <w:rPr>
          <w:rFonts w:ascii="仿宋" w:hAnsi="仿宋" w:eastAsia="仿宋" w:cs="Arial"/>
          <w:snapToGrid w:val="0"/>
          <w:color w:val="auto"/>
          <w:kern w:val="0"/>
          <w:sz w:val="24"/>
          <w:highlight w:val="none"/>
        </w:rPr>
        <w:t>7.</w:t>
      </w:r>
      <w:r>
        <w:rPr>
          <w:rFonts w:hint="eastAsia" w:ascii="仿宋" w:hAnsi="仿宋" w:eastAsia="仿宋" w:cs="Arial"/>
          <w:snapToGrid w:val="0"/>
          <w:color w:val="auto"/>
          <w:kern w:val="0"/>
          <w:sz w:val="24"/>
          <w:highlight w:val="none"/>
        </w:rPr>
        <w:t>2甲方有权从履约保证金中扣除用于因乙方违约而导致损失的金额和违约金，且乙方应在接到扣除履约保证金通知后一周内补足扣除差额，保证承包期间履约保证金的完整。</w:t>
      </w:r>
    </w:p>
    <w:p>
      <w:pPr>
        <w:snapToGrid w:val="0"/>
        <w:spacing w:line="360" w:lineRule="auto"/>
        <w:ind w:firstLine="480" w:firstLineChars="200"/>
        <w:rPr>
          <w:rFonts w:ascii="仿宋" w:hAnsi="仿宋" w:eastAsia="仿宋" w:cs="Arial"/>
          <w:snapToGrid w:val="0"/>
          <w:color w:val="auto"/>
          <w:kern w:val="0"/>
          <w:sz w:val="24"/>
          <w:highlight w:val="none"/>
        </w:rPr>
      </w:pPr>
      <w:r>
        <w:rPr>
          <w:rFonts w:ascii="仿宋" w:hAnsi="仿宋" w:eastAsia="仿宋" w:cs="Arial"/>
          <w:snapToGrid w:val="0"/>
          <w:color w:val="auto"/>
          <w:kern w:val="0"/>
          <w:sz w:val="24"/>
          <w:highlight w:val="none"/>
        </w:rPr>
        <w:t>7.3</w:t>
      </w:r>
      <w:r>
        <w:rPr>
          <w:rFonts w:hint="eastAsia" w:ascii="仿宋" w:hAnsi="仿宋" w:eastAsia="仿宋" w:cs="Arial"/>
          <w:snapToGrid w:val="0"/>
          <w:color w:val="auto"/>
          <w:kern w:val="0"/>
          <w:sz w:val="24"/>
          <w:highlight w:val="none"/>
        </w:rPr>
        <w:t>项目通过验收后，甲方于收到乙方退还履约保证金申请之日起1</w:t>
      </w:r>
      <w:r>
        <w:rPr>
          <w:rFonts w:hint="eastAsia" w:ascii="仿宋" w:hAnsi="仿宋" w:eastAsia="仿宋" w:cs="Arial"/>
          <w:snapToGrid w:val="0"/>
          <w:color w:val="auto"/>
          <w:kern w:val="0"/>
          <w:sz w:val="24"/>
          <w:highlight w:val="none"/>
          <w:u w:val="single"/>
        </w:rPr>
        <w:t>5</w:t>
      </w:r>
      <w:r>
        <w:rPr>
          <w:rFonts w:hint="eastAsia" w:ascii="仿宋" w:hAnsi="仿宋" w:eastAsia="仿宋" w:cs="Arial"/>
          <w:snapToGrid w:val="0"/>
          <w:color w:val="auto"/>
          <w:kern w:val="0"/>
          <w:sz w:val="24"/>
          <w:highlight w:val="none"/>
        </w:rPr>
        <w:t>个工作日内退还乙方履约保证金。</w:t>
      </w:r>
    </w:p>
    <w:p>
      <w:pPr>
        <w:autoSpaceDE w:val="0"/>
        <w:autoSpaceDN w:val="0"/>
        <w:spacing w:line="360" w:lineRule="auto"/>
        <w:ind w:firstLine="360" w:firstLineChars="15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7</w:t>
      </w:r>
      <w:r>
        <w:rPr>
          <w:rFonts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rPr>
        <w:t>4</w:t>
      </w:r>
      <w:r>
        <w:rPr>
          <w:rFonts w:hint="eastAsia" w:ascii="仿宋" w:hAnsi="仿宋" w:eastAsia="仿宋" w:cs="宋体"/>
          <w:color w:val="auto"/>
          <w:kern w:val="0"/>
          <w:sz w:val="24"/>
          <w:highlight w:val="none"/>
          <w:lang w:val="zh-CN"/>
        </w:rPr>
        <w:t>本次项目合同总价为人民币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    元），采用分期付款方式</w:t>
      </w:r>
      <w:r>
        <w:rPr>
          <w:rFonts w:hint="eastAsia" w:ascii="仿宋" w:hAnsi="仿宋" w:eastAsia="仿宋" w:cs="宋体"/>
          <w:color w:val="auto"/>
          <w:kern w:val="0"/>
          <w:sz w:val="24"/>
          <w:highlight w:val="none"/>
        </w:rPr>
        <w:t>：</w:t>
      </w:r>
    </w:p>
    <w:p>
      <w:pPr>
        <w:snapToGrid w:val="0"/>
        <w:spacing w:line="360" w:lineRule="auto"/>
        <w:ind w:firstLine="424" w:firstLineChars="177"/>
        <w:rPr>
          <w:rFonts w:ascii="仿宋" w:hAnsi="仿宋" w:eastAsia="仿宋" w:cs="Arial"/>
          <w:snapToGrid w:val="0"/>
          <w:color w:val="auto"/>
          <w:kern w:val="0"/>
          <w:sz w:val="24"/>
          <w:highlight w:val="none"/>
        </w:rPr>
      </w:pPr>
      <w:bookmarkStart w:id="699" w:name="_Hlk114349629"/>
      <w:r>
        <w:rPr>
          <w:rFonts w:hint="eastAsia" w:ascii="仿宋" w:hAnsi="仿宋" w:eastAsia="仿宋" w:cs="Arial"/>
          <w:snapToGrid w:val="0"/>
          <w:color w:val="auto"/>
          <w:kern w:val="0"/>
          <w:sz w:val="24"/>
          <w:highlight w:val="none"/>
        </w:rPr>
        <w:t>签订合同后，具备支付条件，5个工作日内甲方向乙方支付</w:t>
      </w:r>
      <w:bookmarkStart w:id="700" w:name="_Hlk117848342"/>
      <w:r>
        <w:rPr>
          <w:rFonts w:hint="eastAsia" w:ascii="仿宋" w:hAnsi="仿宋" w:eastAsia="仿宋" w:cs="Arial"/>
          <w:snapToGrid w:val="0"/>
          <w:color w:val="auto"/>
          <w:kern w:val="0"/>
          <w:sz w:val="24"/>
          <w:highlight w:val="none"/>
        </w:rPr>
        <w:t>合同金额的</w:t>
      </w:r>
      <w:r>
        <w:rPr>
          <w:rFonts w:ascii="仿宋" w:hAnsi="仿宋" w:eastAsia="仿宋" w:cs="Arial"/>
          <w:snapToGrid w:val="0"/>
          <w:color w:val="auto"/>
          <w:kern w:val="0"/>
          <w:sz w:val="24"/>
          <w:highlight w:val="none"/>
        </w:rPr>
        <w:t>40%</w:t>
      </w:r>
      <w:bookmarkEnd w:id="699"/>
      <w:bookmarkEnd w:id="700"/>
      <w:r>
        <w:rPr>
          <w:rFonts w:hint="eastAsia" w:ascii="仿宋" w:hAnsi="仿宋" w:eastAsia="仿宋" w:cs="Arial"/>
          <w:snapToGrid w:val="0"/>
          <w:color w:val="auto"/>
          <w:kern w:val="0"/>
          <w:sz w:val="24"/>
          <w:highlight w:val="none"/>
        </w:rPr>
        <w:t>；项目通过初验，上线试运行后，支付合同金额的40%；</w:t>
      </w:r>
      <w:bookmarkStart w:id="701" w:name="_Hlk114349678"/>
      <w:r>
        <w:rPr>
          <w:rFonts w:hint="eastAsia" w:ascii="仿宋" w:hAnsi="仿宋" w:eastAsia="仿宋" w:cs="Arial"/>
          <w:snapToGrid w:val="0"/>
          <w:color w:val="auto"/>
          <w:kern w:val="0"/>
          <w:sz w:val="24"/>
          <w:highlight w:val="none"/>
        </w:rPr>
        <w:t>项目通过甲方组织的终验，具备支付条件，5个工作日内甲方向乙方支付剩余尾款。</w:t>
      </w:r>
      <w:bookmarkEnd w:id="701"/>
    </w:p>
    <w:p>
      <w:pPr>
        <w:autoSpaceDE w:val="0"/>
        <w:autoSpaceDN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8．延期交付与核定损失额</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如果</w:t>
      </w:r>
      <w:r>
        <w:rPr>
          <w:rFonts w:hint="eastAsia" w:ascii="仿宋" w:hAnsi="仿宋" w:eastAsia="仿宋" w:cs="宋体"/>
          <w:color w:val="auto"/>
          <w:kern w:val="0"/>
          <w:sz w:val="24"/>
          <w:highlight w:val="none"/>
          <w:lang w:val="zh-CN"/>
        </w:rPr>
        <w:t>乙方</w:t>
      </w:r>
      <w:r>
        <w:rPr>
          <w:rFonts w:hint="eastAsia" w:ascii="仿宋" w:hAnsi="仿宋" w:eastAsia="仿宋" w:cs="宋体"/>
          <w:color w:val="auto"/>
          <w:sz w:val="24"/>
          <w:highlight w:val="none"/>
        </w:rPr>
        <w:t>在正常情况下未能按合同规定的时间按期交付使用，</w:t>
      </w:r>
      <w:r>
        <w:rPr>
          <w:rFonts w:hint="eastAsia" w:ascii="仿宋" w:hAnsi="仿宋" w:eastAsia="仿宋" w:cs="宋体"/>
          <w:color w:val="auto"/>
          <w:kern w:val="0"/>
          <w:sz w:val="24"/>
          <w:highlight w:val="none"/>
          <w:lang w:val="zh-CN"/>
        </w:rPr>
        <w:t>乙方</w:t>
      </w:r>
      <w:r>
        <w:rPr>
          <w:rFonts w:hint="eastAsia" w:ascii="仿宋" w:hAnsi="仿宋" w:eastAsia="仿宋" w:cs="宋体"/>
          <w:color w:val="auto"/>
          <w:sz w:val="24"/>
          <w:highlight w:val="none"/>
        </w:rPr>
        <w:t>应承担相应后果。</w:t>
      </w:r>
      <w:r>
        <w:rPr>
          <w:rFonts w:hint="eastAsia" w:ascii="仿宋" w:hAnsi="仿宋" w:eastAsia="仿宋" w:cs="宋体"/>
          <w:color w:val="auto"/>
          <w:kern w:val="0"/>
          <w:sz w:val="24"/>
          <w:highlight w:val="none"/>
          <w:lang w:val="zh-CN"/>
        </w:rPr>
        <w:t>如果乙方未能按合同规定履行其义务，甲方有权从履约保证金中取得补偿。</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9．不可抗力</w:t>
      </w:r>
    </w:p>
    <w:p>
      <w:pPr>
        <w:autoSpaceDE w:val="0"/>
        <w:autoSpaceDN w:val="0"/>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spacing w:line="360" w:lineRule="auto"/>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10. 乙方的责任与义务</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10</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1 根据投标文件的承诺向甲方委派</w:t>
      </w:r>
      <w:r>
        <w:rPr>
          <w:rFonts w:hint="eastAsia" w:ascii="仿宋" w:hAnsi="仿宋" w:eastAsia="仿宋" w:cs="宋体"/>
          <w:color w:val="auto"/>
          <w:sz w:val="24"/>
          <w:highlight w:val="none"/>
        </w:rPr>
        <w:t>项目负责人、技术负责人</w:t>
      </w:r>
      <w:r>
        <w:rPr>
          <w:rFonts w:hint="eastAsia" w:ascii="仿宋" w:hAnsi="仿宋" w:eastAsia="仿宋" w:cs="宋体"/>
          <w:color w:val="auto"/>
          <w:kern w:val="0"/>
          <w:sz w:val="24"/>
          <w:highlight w:val="none"/>
          <w:lang w:val="zh-CN"/>
        </w:rPr>
        <w:t>和专业技术人员。</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10</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2 在履行本合同义务的期间，应运用合理的技能，认真、勤奋的工作。</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10</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 xml:space="preserve">3 </w:t>
      </w:r>
      <w:bookmarkStart w:id="702" w:name="_Hlk112945052"/>
      <w:r>
        <w:rPr>
          <w:rFonts w:hint="eastAsia" w:ascii="仿宋" w:hAnsi="仿宋" w:eastAsia="仿宋" w:cs="宋体"/>
          <w:color w:val="auto"/>
          <w:kern w:val="0"/>
          <w:sz w:val="24"/>
          <w:highlight w:val="none"/>
          <w:lang w:val="zh-CN"/>
        </w:rPr>
        <w:t>在本合同期内或合同终止后，未征得有关方同意，不得泄漏与本项目、本合同有关的技术、资料等，不得以任何形式侵害甲方的知识产权。乙方应保证提供服务过程中不会侵犯任何第三方的知识产权。本项目服务所产生的数据所有权归甲方所有。</w:t>
      </w:r>
      <w:bookmarkEnd w:id="702"/>
    </w:p>
    <w:p>
      <w:pPr>
        <w:autoSpaceDE w:val="0"/>
        <w:autoSpaceDN w:val="0"/>
        <w:spacing w:line="360" w:lineRule="auto"/>
        <w:ind w:firstLine="48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10</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 xml:space="preserve">4 </w:t>
      </w:r>
      <w:r>
        <w:rPr>
          <w:rFonts w:hint="eastAsia" w:ascii="仿宋" w:hAnsi="仿宋" w:eastAsia="仿宋" w:cs="宋体"/>
          <w:color w:val="auto"/>
          <w:sz w:val="24"/>
          <w:highlight w:val="none"/>
        </w:rPr>
        <w:t>负责本系统项目建设及整体联动，负责处理好与其他项目实施单位的协调。</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10</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5 项目建设有关事项包括：项目规划、设计标准、规范和使用功能要求，向甲方的建议权；</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10</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6 项目设计中的技术问题，按照安全和优化的原则，提出建议，并向甲方提出书面报告。如果由于拟提出的建议会提高项目造价，或延长工期，应当事先取的甲方的同意；</w:t>
      </w:r>
    </w:p>
    <w:p>
      <w:pPr>
        <w:autoSpaceDE w:val="0"/>
        <w:autoSpaceDN w:val="0"/>
        <w:spacing w:line="360" w:lineRule="auto"/>
        <w:ind w:firstLine="48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10</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7 项目实施组织设计和技术方案，按照保质量、保工期和降低成本的原则，向甲方提出书面报告。如果由于拟提出的建议会提高项目造价，或延长工期，应当事先取得甲方的同意。</w:t>
      </w:r>
    </w:p>
    <w:p>
      <w:pPr>
        <w:autoSpaceDE w:val="0"/>
        <w:autoSpaceDN w:val="0"/>
        <w:spacing w:line="360" w:lineRule="auto"/>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11. 甲方的责任与义务</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11</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1甲方应当主要负责项目建设的所有外部关系的联系与协调，为乙方工作提供良好的外部条件。</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11</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2 甲方应当按合同专用条款双方约定的内容和时间，向乙方提供与项目建设有关的项目等资料。</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11</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3 甲方应当按合同专用条款约定的时间就乙方书面提交并要求做出决定的一切事宜做出书面决定。逾期应视为甲方同意。</w:t>
      </w:r>
    </w:p>
    <w:p>
      <w:pPr>
        <w:autoSpaceDE w:val="0"/>
        <w:autoSpaceDN w:val="0"/>
        <w:spacing w:line="360" w:lineRule="auto"/>
        <w:ind w:firstLine="48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11</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4 甲方应授权一名熟悉本项目情况、能迅速做出决定的项目代表，负责与乙方联系。更换代表，要提前通知乙方。</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11</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5 甲方有与乙方订立补充合同的签订权。</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11</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6 甲方有对项目规模、设计标准、规范和设计使用功能要求的认定权，以及对项目建设、设计变更的审批权。</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11</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7 甲方有权要求乙方提交工作月度报告及专项报告等。</w:t>
      </w:r>
    </w:p>
    <w:p>
      <w:pPr>
        <w:autoSpaceDE w:val="0"/>
        <w:autoSpaceDN w:val="0"/>
        <w:spacing w:line="360" w:lineRule="auto"/>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12. 合同生效、变更和终止</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 xml:space="preserve">1 </w:t>
      </w:r>
      <w:r>
        <w:rPr>
          <w:rFonts w:hint="eastAsia" w:ascii="仿宋" w:hAnsi="仿宋" w:eastAsia="仿宋" w:cs="宋体"/>
          <w:color w:val="auto"/>
          <w:sz w:val="24"/>
          <w:highlight w:val="none"/>
        </w:rPr>
        <w:t>本合同经甲乙双方法定代表人或其委托人签字盖章</w:t>
      </w:r>
      <w:r>
        <w:rPr>
          <w:rFonts w:hint="eastAsia" w:ascii="仿宋" w:hAnsi="仿宋" w:eastAsia="仿宋" w:cs="宋体"/>
          <w:color w:val="auto"/>
          <w:sz w:val="24"/>
          <w:highlight w:val="none"/>
          <w:lang w:val="zh-CN"/>
        </w:rPr>
        <w:t>后生效</w:t>
      </w:r>
      <w:r>
        <w:rPr>
          <w:rFonts w:hint="eastAsia" w:ascii="仿宋" w:hAnsi="仿宋" w:eastAsia="仿宋" w:cs="宋体"/>
          <w:color w:val="auto"/>
          <w:sz w:val="24"/>
          <w:highlight w:val="none"/>
        </w:rPr>
        <w:t>。</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2 在甲乙双方的责任期即合同的有效期，经双方协商，如因项目建设进度的推迟或延误而超过约定的日期，双方应重新约定相应延长的合同期。</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3 在合同签订后，实际情况发生变化，使得乙方不能全部或部分执行项目时，乙方应当立即通知甲方。该项目的完成时间应延长。当恢复执行项目时，是否需增加时间用于恢复执行，由双方协商确定。</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spacing w:line="360" w:lineRule="auto"/>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13. 违约责任</w:t>
      </w:r>
    </w:p>
    <w:p>
      <w:pPr>
        <w:autoSpaceDE w:val="0"/>
        <w:autoSpaceDN w:val="0"/>
        <w:spacing w:line="360" w:lineRule="auto"/>
        <w:ind w:firstLine="480" w:firstLineChars="200"/>
        <w:jc w:val="left"/>
        <w:rPr>
          <w:rFonts w:ascii="仿宋" w:hAnsi="仿宋" w:eastAsia="仿宋" w:cs="宋体"/>
          <w:b/>
          <w:color w:val="auto"/>
          <w:kern w:val="0"/>
          <w:sz w:val="24"/>
          <w:highlight w:val="none"/>
          <w:lang w:val="zh-CN"/>
        </w:rPr>
      </w:pPr>
      <w:bookmarkStart w:id="703" w:name="_Hlk103618532"/>
      <w:r>
        <w:rPr>
          <w:rFonts w:hint="eastAsia" w:ascii="仿宋" w:hAnsi="仿宋" w:eastAsia="仿宋" w:cs="宋体"/>
          <w:color w:val="auto"/>
          <w:kern w:val="0"/>
          <w:sz w:val="24"/>
          <w:highlight w:val="none"/>
          <w:lang w:val="zh-CN"/>
        </w:rPr>
        <w:t>甲方应当履行合同约定的义务，如有违反，须承担相应的违约责任。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13</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 xml:space="preserve">1 </w:t>
      </w:r>
      <w:r>
        <w:rPr>
          <w:rFonts w:hint="eastAsia" w:ascii="仿宋" w:hAnsi="仿宋" w:eastAsia="仿宋" w:cs="宋体"/>
          <w:color w:val="auto"/>
          <w:sz w:val="24"/>
          <w:highlight w:val="none"/>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sz w:val="24"/>
          <w:highlight w:val="none"/>
        </w:rPr>
        <w:t>13.2 如</w:t>
      </w:r>
      <w:r>
        <w:rPr>
          <w:rFonts w:hint="eastAsia" w:ascii="仿宋" w:hAnsi="仿宋" w:eastAsia="仿宋" w:cs="宋体"/>
          <w:color w:val="auto"/>
          <w:kern w:val="0"/>
          <w:sz w:val="24"/>
          <w:highlight w:val="none"/>
          <w:lang w:val="zh-CN"/>
        </w:rPr>
        <w:t>在合同规定的工期内，达不到项目规定的技术指标，乙方应当承担违约责任。承担方式和违约金额如下：超期30天内，每天扣合同金额的0.5‰；累计超期30天，甲方有权终止执行合同，并没收履约保证金。</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val="zh-CN"/>
        </w:rPr>
        <w:t>13.3 如因乙方原因达不到合格等级的，则必须无条件返工至合格，并全额没收履约保证金。</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13.4未经甲方同意，乙方不得在任何时期擅自更换投标文件中规定的项目负责人和技术负责人，同时必须确保项目技术人员的数量和水平与投标文件一致，否则</w:t>
      </w:r>
      <w:r>
        <w:rPr>
          <w:rFonts w:hint="eastAsia" w:ascii="仿宋" w:hAnsi="仿宋" w:eastAsia="仿宋" w:cs="宋体"/>
          <w:color w:val="auto"/>
          <w:kern w:val="0"/>
          <w:sz w:val="24"/>
          <w:highlight w:val="none"/>
        </w:rPr>
        <w:t>甲方有权放弃或终止合同，并没收投标保证金或履约保证金。</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13.5因乙方原因造成采购单位其他系统不能正常运行，酿成重大事故（正常工作日系统中断一天或一天以上）的，将承担全部法律责任。</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sz w:val="24"/>
          <w:highlight w:val="none"/>
        </w:rPr>
        <w:t xml:space="preserve">13.6 </w:t>
      </w:r>
      <w:r>
        <w:rPr>
          <w:rFonts w:hint="eastAsia" w:ascii="仿宋" w:hAnsi="仿宋" w:eastAsia="仿宋" w:cs="宋体"/>
          <w:color w:val="auto"/>
          <w:kern w:val="0"/>
          <w:sz w:val="24"/>
          <w:highlight w:val="none"/>
          <w:lang w:val="zh-CN"/>
        </w:rPr>
        <w:t>履行本合同的过程中，确因在现有水平和条件下难以克服的技术困难，导致部分或全部失败所造成的损失，风险责任由乙方全部承担。</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sz w:val="24"/>
          <w:highlight w:val="none"/>
        </w:rPr>
        <w:t xml:space="preserve">13.7 </w:t>
      </w:r>
      <w:r>
        <w:rPr>
          <w:rFonts w:hint="eastAsia" w:ascii="仿宋" w:hAnsi="仿宋" w:eastAsia="仿宋" w:cs="宋体"/>
          <w:color w:val="auto"/>
          <w:kern w:val="0"/>
          <w:sz w:val="24"/>
          <w:highlight w:val="none"/>
          <w:lang w:val="zh-CN"/>
        </w:rPr>
        <w:t>因不可抗力导致合同不能全部或部分履行，</w:t>
      </w:r>
      <w:r>
        <w:rPr>
          <w:rFonts w:hint="eastAsia" w:ascii="仿宋" w:hAnsi="仿宋" w:eastAsia="仿宋" w:cs="宋体"/>
          <w:color w:val="auto"/>
          <w:sz w:val="24"/>
          <w:highlight w:val="none"/>
        </w:rPr>
        <w:t>甲、</w:t>
      </w:r>
      <w:r>
        <w:rPr>
          <w:rFonts w:hint="eastAsia" w:ascii="仿宋" w:hAnsi="仿宋" w:eastAsia="仿宋" w:cs="宋体"/>
          <w:color w:val="auto"/>
          <w:kern w:val="0"/>
          <w:sz w:val="24"/>
          <w:highlight w:val="none"/>
          <w:lang w:val="zh-CN"/>
        </w:rPr>
        <w:t>乙双方协商解决。</w:t>
      </w:r>
    </w:p>
    <w:bookmarkEnd w:id="703"/>
    <w:p>
      <w:pPr>
        <w:autoSpaceDE w:val="0"/>
        <w:autoSpaceDN w:val="0"/>
        <w:spacing w:line="360" w:lineRule="auto"/>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14．项目质量</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14.1 乙方保证按相应的质量管理和质量保证体系，对项目实施、调试、检测等各个环节进行严格的质量和质量控制。</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14.2 乙方须严格按设计方案和国家现行项目实施验收规范有关规定，精心组织实施、记录、检测。</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14.3 项目的质量、技术标准如在采购文件和投标文件中无相应说明，则按中华人民共和国有关部门颁布的最新的国家或专业（部）标准或相应的国际标准执行。没有国家或专业（部）标准的，按企业标准执行。</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14.4 项目验收：应按设计方案、技术交底、会审纪要、设计变更通知单、国家和（部）颁发的有关规范和质量检验评定标准、相关的国际标准为依据，并有相关专业测试单位出具相应的测验结论报告。</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14.5 项目实施过程中应严格做好安全防范措施，如乙方项目实施人员在实施中违反操作规定造成人员伤亡事故或实施现场防范措施设置不明造成人员伤害事故，一切责任均有乙方负责。</w:t>
      </w:r>
    </w:p>
    <w:p>
      <w:pPr>
        <w:autoSpaceDE w:val="0"/>
        <w:autoSpaceDN w:val="0"/>
        <w:spacing w:line="360" w:lineRule="auto"/>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1</w:t>
      </w:r>
      <w:r>
        <w:rPr>
          <w:rFonts w:ascii="仿宋" w:hAnsi="仿宋" w:eastAsia="仿宋" w:cs="宋体"/>
          <w:b/>
          <w:color w:val="auto"/>
          <w:kern w:val="0"/>
          <w:sz w:val="24"/>
          <w:highlight w:val="none"/>
          <w:lang w:val="zh-CN"/>
        </w:rPr>
        <w:t>5</w:t>
      </w:r>
      <w:r>
        <w:rPr>
          <w:rFonts w:hint="eastAsia" w:ascii="仿宋" w:hAnsi="仿宋" w:eastAsia="仿宋" w:cs="宋体"/>
          <w:b/>
          <w:color w:val="auto"/>
          <w:kern w:val="0"/>
          <w:sz w:val="24"/>
          <w:highlight w:val="none"/>
          <w:lang w:val="zh-CN"/>
        </w:rPr>
        <w:t>. 争议处理</w:t>
      </w:r>
    </w:p>
    <w:p>
      <w:pPr>
        <w:snapToGrid w:val="0"/>
        <w:spacing w:line="360" w:lineRule="auto"/>
        <w:ind w:firstLine="480" w:firstLineChars="200"/>
        <w:outlineLvl w:val="0"/>
        <w:rPr>
          <w:rFonts w:ascii="仿宋" w:hAnsi="仿宋" w:eastAsia="仿宋" w:cs="宋体"/>
          <w:color w:val="auto"/>
          <w:kern w:val="0"/>
          <w:sz w:val="24"/>
          <w:highlight w:val="none"/>
          <w:lang w:val="zh-CN"/>
        </w:rPr>
      </w:pPr>
      <w:bookmarkStart w:id="704" w:name="_Toc21047"/>
      <w:bookmarkStart w:id="705" w:name="_Toc27011"/>
      <w:r>
        <w:rPr>
          <w:rFonts w:hint="eastAsia" w:ascii="仿宋" w:hAnsi="仿宋" w:eastAsia="仿宋" w:cs="宋体"/>
          <w:color w:val="auto"/>
          <w:kern w:val="0"/>
          <w:sz w:val="24"/>
          <w:highlight w:val="none"/>
          <w:lang w:val="zh-CN"/>
        </w:rPr>
        <w:t>1</w:t>
      </w:r>
      <w:r>
        <w:rPr>
          <w:rFonts w:ascii="仿宋" w:hAnsi="仿宋" w:eastAsia="仿宋" w:cs="宋体"/>
          <w:color w:val="auto"/>
          <w:kern w:val="0"/>
          <w:sz w:val="24"/>
          <w:highlight w:val="none"/>
          <w:lang w:val="zh-CN"/>
        </w:rPr>
        <w:t>5</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1 双方在执行合同中所发生的一切争议，应通过协商解决。如协商不成，双方均有权向法院起诉。</w:t>
      </w:r>
      <w:bookmarkEnd w:id="704"/>
      <w:bookmarkEnd w:id="705"/>
    </w:p>
    <w:p>
      <w:pPr>
        <w:autoSpaceDE w:val="0"/>
        <w:autoSpaceDN w:val="0"/>
        <w:spacing w:line="360" w:lineRule="auto"/>
        <w:ind w:firstLine="482" w:firstLineChars="200"/>
        <w:jc w:val="left"/>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1</w:t>
      </w:r>
      <w:r>
        <w:rPr>
          <w:rFonts w:ascii="仿宋" w:hAnsi="仿宋" w:eastAsia="仿宋" w:cs="宋体"/>
          <w:b/>
          <w:color w:val="auto"/>
          <w:kern w:val="0"/>
          <w:sz w:val="24"/>
          <w:highlight w:val="none"/>
          <w:lang w:val="zh-CN"/>
        </w:rPr>
        <w:t>6</w:t>
      </w:r>
      <w:r>
        <w:rPr>
          <w:rFonts w:hint="eastAsia" w:ascii="仿宋" w:hAnsi="仿宋" w:eastAsia="仿宋" w:cs="宋体"/>
          <w:b/>
          <w:color w:val="auto"/>
          <w:kern w:val="0"/>
          <w:sz w:val="24"/>
          <w:highlight w:val="none"/>
          <w:lang w:val="zh-CN"/>
        </w:rPr>
        <w:t>. 其他</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bookmarkStart w:id="706" w:name="_Hlk103618557"/>
      <w:r>
        <w:rPr>
          <w:rFonts w:hint="eastAsia" w:ascii="仿宋" w:hAnsi="仿宋" w:eastAsia="仿宋" w:cs="宋体"/>
          <w:color w:val="auto"/>
          <w:kern w:val="0"/>
          <w:sz w:val="24"/>
          <w:highlight w:val="none"/>
          <w:lang w:val="zh-CN"/>
        </w:rPr>
        <w:t>1</w:t>
      </w:r>
      <w:r>
        <w:rPr>
          <w:rFonts w:ascii="仿宋" w:hAnsi="仿宋" w:eastAsia="仿宋" w:cs="宋体"/>
          <w:color w:val="auto"/>
          <w:kern w:val="0"/>
          <w:sz w:val="24"/>
          <w:highlight w:val="none"/>
          <w:lang w:val="zh-CN"/>
        </w:rPr>
        <w:t>6</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1 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w:t>
      </w:r>
      <w:r>
        <w:rPr>
          <w:rFonts w:ascii="仿宋" w:hAnsi="仿宋" w:eastAsia="仿宋" w:cs="宋体"/>
          <w:color w:val="auto"/>
          <w:kern w:val="0"/>
          <w:sz w:val="24"/>
          <w:highlight w:val="none"/>
          <w:lang w:val="zh-CN"/>
        </w:rPr>
        <w:t>6</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2 乙方不得参与可能与合同规定的与甲方的利益相冲突的任何活动。</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w:t>
      </w:r>
      <w:r>
        <w:rPr>
          <w:rFonts w:ascii="仿宋" w:hAnsi="仿宋" w:eastAsia="仿宋" w:cs="宋体"/>
          <w:color w:val="auto"/>
          <w:kern w:val="0"/>
          <w:sz w:val="24"/>
          <w:highlight w:val="none"/>
          <w:lang w:val="zh-CN"/>
        </w:rPr>
        <w:t>6</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3 乙方人员在甲方场地工作时，应遵守甲方相关规章、制度。</w:t>
      </w:r>
    </w:p>
    <w:p>
      <w:pPr>
        <w:autoSpaceDE w:val="0"/>
        <w:autoSpaceDN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1</w:t>
      </w:r>
      <w:r>
        <w:rPr>
          <w:rFonts w:ascii="仿宋" w:hAnsi="仿宋" w:eastAsia="仿宋" w:cs="宋体"/>
          <w:color w:val="auto"/>
          <w:kern w:val="0"/>
          <w:sz w:val="24"/>
          <w:highlight w:val="none"/>
          <w:lang w:val="zh-CN"/>
        </w:rPr>
        <w:t>6</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 xml:space="preserve">4 </w:t>
      </w:r>
      <w:r>
        <w:rPr>
          <w:rFonts w:hint="eastAsia" w:ascii="仿宋" w:hAnsi="仿宋" w:eastAsia="仿宋" w:cs="宋体"/>
          <w:color w:val="auto"/>
          <w:sz w:val="24"/>
          <w:highlight w:val="none"/>
        </w:rPr>
        <w:t>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1</w:t>
      </w:r>
      <w:r>
        <w:rPr>
          <w:rFonts w:ascii="仿宋" w:hAnsi="仿宋" w:eastAsia="仿宋" w:cs="宋体"/>
          <w:color w:val="auto"/>
          <w:kern w:val="0"/>
          <w:sz w:val="24"/>
          <w:highlight w:val="none"/>
          <w:lang w:val="zh-CN"/>
        </w:rPr>
        <w:t>6</w:t>
      </w:r>
      <w:r>
        <w:rPr>
          <w:rFonts w:ascii="仿宋" w:hAnsi="仿宋" w:eastAsia="仿宋" w:cs="仿宋_GB2312"/>
          <w:color w:val="auto"/>
          <w:kern w:val="0"/>
          <w:sz w:val="24"/>
          <w:highlight w:val="none"/>
        </w:rPr>
        <w:t>.</w:t>
      </w:r>
      <w:r>
        <w:rPr>
          <w:rFonts w:hint="eastAsia" w:ascii="仿宋" w:hAnsi="仿宋" w:eastAsia="仿宋" w:cs="宋体"/>
          <w:color w:val="auto"/>
          <w:kern w:val="0"/>
          <w:sz w:val="24"/>
          <w:highlight w:val="none"/>
          <w:lang w:val="zh-CN"/>
        </w:rPr>
        <w:t xml:space="preserve">5 </w:t>
      </w:r>
      <w:r>
        <w:rPr>
          <w:rFonts w:hint="eastAsia" w:ascii="仿宋" w:hAnsi="仿宋" w:eastAsia="仿宋" w:cs="宋体"/>
          <w:color w:val="auto"/>
          <w:sz w:val="24"/>
          <w:highlight w:val="none"/>
        </w:rPr>
        <w:t>合同执行中涉及采购资金和采购内容修改或补充的，须经财政部门审批，并签书面补充协议报政府采购监督管理部门备案，方可作为主合同不可分割的一部分。</w:t>
      </w:r>
    </w:p>
    <w:p>
      <w:pPr>
        <w:autoSpaceDE w:val="0"/>
        <w:autoSpaceDN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1</w:t>
      </w:r>
      <w:r>
        <w:rPr>
          <w:rFonts w:ascii="仿宋" w:hAnsi="仿宋" w:eastAsia="仿宋" w:cs="宋体"/>
          <w:color w:val="auto"/>
          <w:kern w:val="0"/>
          <w:sz w:val="24"/>
          <w:highlight w:val="none"/>
          <w:lang w:val="zh-CN"/>
        </w:rPr>
        <w:t>6</w:t>
      </w:r>
      <w:r>
        <w:rPr>
          <w:rFonts w:ascii="仿宋" w:hAnsi="仿宋" w:eastAsia="仿宋" w:cs="仿宋_GB2312"/>
          <w:color w:val="auto"/>
          <w:kern w:val="0"/>
          <w:sz w:val="24"/>
          <w:highlight w:val="none"/>
        </w:rPr>
        <w:t>.</w:t>
      </w:r>
      <w:r>
        <w:rPr>
          <w:rFonts w:hint="eastAsia" w:ascii="仿宋" w:hAnsi="仿宋" w:eastAsia="仿宋" w:cs="宋体"/>
          <w:color w:val="auto"/>
          <w:sz w:val="24"/>
          <w:highlight w:val="none"/>
        </w:rPr>
        <w:t>6 采购文件（编号：</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）、投标文件及评标过程中形成的文字资料、询标纪要均作为本合同的组成部分，具有同等效力。</w:t>
      </w:r>
    </w:p>
    <w:p>
      <w:pPr>
        <w:autoSpaceDE w:val="0"/>
        <w:autoSpaceDN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6</w:t>
      </w:r>
      <w:r>
        <w:rPr>
          <w:rFonts w:ascii="仿宋" w:hAnsi="仿宋" w:eastAsia="仿宋" w:cs="仿宋_GB2312"/>
          <w:color w:val="auto"/>
          <w:kern w:val="0"/>
          <w:sz w:val="24"/>
          <w:highlight w:val="none"/>
        </w:rPr>
        <w:t>.</w:t>
      </w:r>
      <w:r>
        <w:rPr>
          <w:rFonts w:hint="eastAsia" w:ascii="仿宋" w:hAnsi="仿宋" w:eastAsia="仿宋" w:cs="宋体"/>
          <w:color w:val="auto"/>
          <w:sz w:val="24"/>
          <w:highlight w:val="none"/>
        </w:rPr>
        <w:t>7 合同经双方法定代表人或授权代表签字并加盖单位公章后生效。</w:t>
      </w:r>
    </w:p>
    <w:p>
      <w:pPr>
        <w:autoSpaceDE w:val="0"/>
        <w:autoSpaceDN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6</w:t>
      </w:r>
      <w:r>
        <w:rPr>
          <w:rFonts w:ascii="仿宋" w:hAnsi="仿宋" w:eastAsia="仿宋" w:cs="仿宋_GB2312"/>
          <w:color w:val="auto"/>
          <w:kern w:val="0"/>
          <w:sz w:val="24"/>
          <w:highlight w:val="none"/>
        </w:rPr>
        <w:t>.</w:t>
      </w:r>
      <w:r>
        <w:rPr>
          <w:rFonts w:hint="eastAsia" w:ascii="仿宋" w:hAnsi="仿宋" w:eastAsia="仿宋" w:cs="宋体"/>
          <w:color w:val="auto"/>
          <w:sz w:val="24"/>
          <w:highlight w:val="none"/>
        </w:rPr>
        <w:t>8本合同壹式肆份，甲方、乙方各执贰份。</w:t>
      </w:r>
    </w:p>
    <w:p>
      <w:pPr>
        <w:autoSpaceDE w:val="0"/>
        <w:autoSpaceDN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6</w:t>
      </w:r>
      <w:r>
        <w:rPr>
          <w:rFonts w:ascii="仿宋" w:hAnsi="仿宋" w:eastAsia="仿宋" w:cs="仿宋_GB2312"/>
          <w:color w:val="auto"/>
          <w:kern w:val="0"/>
          <w:sz w:val="24"/>
          <w:highlight w:val="none"/>
        </w:rPr>
        <w:t>.</w:t>
      </w:r>
      <w:r>
        <w:rPr>
          <w:rFonts w:hint="eastAsia" w:ascii="仿宋" w:hAnsi="仿宋" w:eastAsia="仿宋" w:cs="宋体"/>
          <w:color w:val="auto"/>
          <w:sz w:val="24"/>
          <w:highlight w:val="none"/>
        </w:rPr>
        <w:t>9适用法律：本合同应按照中华人民共和国的法律进行解释。</w:t>
      </w:r>
    </w:p>
    <w:bookmarkEnd w:id="706"/>
    <w:p>
      <w:pPr>
        <w:spacing w:line="360" w:lineRule="auto"/>
        <w:ind w:firstLine="480" w:firstLineChars="200"/>
        <w:rPr>
          <w:rFonts w:ascii="仿宋" w:hAnsi="仿宋" w:eastAsia="仿宋" w:cs="宋体"/>
          <w:color w:val="auto"/>
          <w:sz w:val="24"/>
          <w:highlight w:val="none"/>
        </w:rPr>
      </w:pPr>
    </w:p>
    <w:p>
      <w:pPr>
        <w:spacing w:line="360" w:lineRule="auto"/>
        <w:rPr>
          <w:rFonts w:ascii="仿宋" w:hAnsi="仿宋" w:eastAsia="仿宋" w:cs="宋体"/>
          <w:color w:val="auto"/>
          <w:sz w:val="24"/>
          <w:highlight w:val="none"/>
        </w:rPr>
      </w:pP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（本页无正文，为本协议签署页）（注：如另起签署页的，需保留该内容）</w:t>
      </w:r>
    </w:p>
    <w:p>
      <w:pPr>
        <w:spacing w:line="360" w:lineRule="auto"/>
        <w:rPr>
          <w:rFonts w:ascii="仿宋" w:hAnsi="仿宋" w:eastAsia="仿宋"/>
          <w:color w:val="auto"/>
          <w:sz w:val="24"/>
          <w:highlight w:val="none"/>
        </w:rPr>
      </w:pP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甲方（盖章）：</w:t>
      </w:r>
      <w:r>
        <w:rPr>
          <w:rFonts w:ascii="仿宋" w:hAnsi="仿宋" w:eastAsia="仿宋" w:cs="宋体"/>
          <w:color w:val="auto"/>
          <w:sz w:val="24"/>
          <w:highlight w:val="none"/>
        </w:rPr>
        <w:t xml:space="preserve">                            乙方（盖章）：        </w:t>
      </w:r>
    </w:p>
    <w:p>
      <w:pPr>
        <w:snapToGrid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法定代表人：</w:t>
      </w:r>
      <w:r>
        <w:rPr>
          <w:rFonts w:ascii="仿宋" w:hAnsi="仿宋" w:eastAsia="仿宋" w:cs="宋体"/>
          <w:color w:val="auto"/>
          <w:sz w:val="24"/>
          <w:highlight w:val="none"/>
        </w:rPr>
        <w:t xml:space="preserve">                              法定代表人：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或受委托人（签字）：</w:t>
      </w:r>
      <w:r>
        <w:rPr>
          <w:rFonts w:ascii="仿宋" w:hAnsi="仿宋" w:eastAsia="仿宋" w:cs="宋体"/>
          <w:color w:val="auto"/>
          <w:sz w:val="24"/>
          <w:highlight w:val="none"/>
        </w:rPr>
        <w:t xml:space="preserve">                      或受委托人（签字）：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联系人：</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联系人：</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地址：</w:t>
      </w:r>
      <w:r>
        <w:rPr>
          <w:rFonts w:ascii="仿宋" w:hAnsi="仿宋" w:eastAsia="仿宋" w:cs="宋体"/>
          <w:color w:val="auto"/>
          <w:sz w:val="24"/>
          <w:highlight w:val="none"/>
        </w:rPr>
        <w:t xml:space="preserve">                                    地址：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电话：</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电话：</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传真：</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传真：</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开户银行：</w:t>
      </w:r>
      <w:r>
        <w:rPr>
          <w:rFonts w:ascii="仿宋" w:hAnsi="仿宋" w:eastAsia="仿宋" w:cs="宋体"/>
          <w:color w:val="auto"/>
          <w:sz w:val="24"/>
          <w:highlight w:val="none"/>
        </w:rPr>
        <w:t xml:space="preserve">                                开户银行：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帐号：</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帐号：</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签订时间：</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签订时间：</w:t>
      </w:r>
    </w:p>
    <w:p>
      <w:pPr>
        <w:spacing w:line="360" w:lineRule="auto"/>
        <w:rPr>
          <w:rFonts w:ascii="仿宋" w:hAnsi="仿宋" w:eastAsia="仿宋"/>
          <w:color w:val="auto"/>
          <w:highlight w:val="none"/>
        </w:rPr>
      </w:pPr>
    </w:p>
    <w:p>
      <w:pPr>
        <w:tabs>
          <w:tab w:val="left" w:pos="432"/>
        </w:tabs>
        <w:jc w:val="center"/>
        <w:rPr>
          <w:rFonts w:ascii="仿宋" w:hAnsi="仿宋" w:eastAsia="仿宋"/>
          <w:color w:val="auto"/>
          <w:highlight w:val="none"/>
        </w:rPr>
      </w:pPr>
    </w:p>
    <w:p>
      <w:pPr>
        <w:tabs>
          <w:tab w:val="left" w:pos="432"/>
        </w:tabs>
        <w:jc w:val="center"/>
        <w:rPr>
          <w:rFonts w:ascii="仿宋" w:hAnsi="仿宋" w:eastAsia="仿宋"/>
          <w:color w:val="auto"/>
          <w:highlight w:val="none"/>
        </w:rPr>
      </w:pPr>
    </w:p>
    <w:p>
      <w:pPr>
        <w:tabs>
          <w:tab w:val="left" w:pos="432"/>
        </w:tabs>
        <w:jc w:val="center"/>
        <w:rPr>
          <w:rFonts w:ascii="仿宋" w:hAnsi="仿宋" w:eastAsia="仿宋"/>
          <w:color w:val="auto"/>
          <w:highlight w:val="none"/>
        </w:rPr>
      </w:pPr>
    </w:p>
    <w:p>
      <w:pPr>
        <w:tabs>
          <w:tab w:val="left" w:pos="432"/>
        </w:tabs>
        <w:jc w:val="cente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2"/>
        <w:rPr>
          <w:rFonts w:ascii="仿宋" w:hAnsi="仿宋" w:eastAsia="仿宋"/>
          <w:color w:val="auto"/>
          <w:highlight w:val="none"/>
        </w:rPr>
      </w:pPr>
    </w:p>
    <w:p>
      <w:pPr>
        <w:rPr>
          <w:rFonts w:ascii="仿宋" w:hAnsi="仿宋" w:eastAsia="仿宋"/>
          <w:color w:val="auto"/>
          <w:highlight w:val="none"/>
        </w:rPr>
      </w:pPr>
    </w:p>
    <w:p>
      <w:pPr>
        <w:pStyle w:val="3"/>
        <w:jc w:val="center"/>
        <w:rPr>
          <w:rFonts w:ascii="仿宋" w:hAnsi="仿宋" w:eastAsia="仿宋"/>
          <w:color w:val="auto"/>
          <w:highlight w:val="none"/>
        </w:rPr>
      </w:pPr>
      <w:bookmarkStart w:id="707" w:name="_Toc3003"/>
      <w:bookmarkStart w:id="708" w:name="_Toc25570"/>
      <w:bookmarkStart w:id="709" w:name="_Toc22468"/>
      <w:r>
        <w:rPr>
          <w:rFonts w:hint="eastAsia" w:ascii="仿宋" w:hAnsi="仿宋" w:eastAsia="仿宋"/>
          <w:color w:val="auto"/>
          <w:highlight w:val="none"/>
        </w:rPr>
        <w:t>第六部分</w:t>
      </w:r>
      <w:bookmarkEnd w:id="687"/>
      <w:r>
        <w:rPr>
          <w:rFonts w:ascii="仿宋" w:hAnsi="仿宋" w:eastAsia="仿宋"/>
          <w:color w:val="auto"/>
          <w:highlight w:val="none"/>
        </w:rPr>
        <w:t xml:space="preserve"> </w:t>
      </w:r>
      <w:bookmarkEnd w:id="688"/>
      <w:r>
        <w:rPr>
          <w:rFonts w:hint="eastAsia" w:ascii="仿宋" w:hAnsi="仿宋" w:eastAsia="仿宋"/>
          <w:color w:val="auto"/>
          <w:highlight w:val="none"/>
        </w:rPr>
        <w:t>应提交的有关格式范例</w:t>
      </w:r>
      <w:bookmarkEnd w:id="692"/>
      <w:bookmarkEnd w:id="693"/>
      <w:bookmarkEnd w:id="694"/>
      <w:bookmarkEnd w:id="695"/>
      <w:bookmarkEnd w:id="696"/>
      <w:bookmarkEnd w:id="707"/>
      <w:bookmarkEnd w:id="708"/>
      <w:bookmarkEnd w:id="709"/>
    </w:p>
    <w:p>
      <w:pPr>
        <w:snapToGrid w:val="0"/>
        <w:spacing w:line="360" w:lineRule="auto"/>
        <w:jc w:val="center"/>
        <w:rPr>
          <w:rFonts w:ascii="仿宋" w:hAnsi="仿宋" w:eastAsia="仿宋" w:cs="仿宋_GB2312"/>
          <w:b/>
          <w:color w:val="auto"/>
          <w:kern w:val="0"/>
          <w:sz w:val="36"/>
          <w:szCs w:val="36"/>
          <w:highlight w:val="none"/>
        </w:rPr>
      </w:pPr>
    </w:p>
    <w:p>
      <w:pPr>
        <w:pStyle w:val="4"/>
        <w:jc w:val="center"/>
        <w:rPr>
          <w:rFonts w:ascii="仿宋" w:hAnsi="仿宋" w:eastAsia="仿宋"/>
          <w:color w:val="auto"/>
          <w:szCs w:val="28"/>
          <w:highlight w:val="none"/>
        </w:rPr>
      </w:pPr>
      <w:bookmarkStart w:id="710" w:name="_Toc15133"/>
      <w:bookmarkStart w:id="711" w:name="_Toc95313009"/>
      <w:bookmarkStart w:id="712" w:name="_Toc21599"/>
      <w:bookmarkStart w:id="713" w:name="_Toc1293302127"/>
      <w:bookmarkStart w:id="714" w:name="_Toc8673"/>
      <w:bookmarkStart w:id="715" w:name="_Toc7821"/>
      <w:bookmarkStart w:id="716" w:name="_Toc30943"/>
      <w:bookmarkStart w:id="717" w:name="_Toc17426"/>
      <w:r>
        <w:rPr>
          <w:rFonts w:hint="eastAsia" w:ascii="仿宋" w:hAnsi="仿宋" w:eastAsia="仿宋"/>
          <w:color w:val="auto"/>
          <w:szCs w:val="28"/>
          <w:highlight w:val="none"/>
        </w:rPr>
        <w:t>资格文件部分</w:t>
      </w:r>
      <w:bookmarkEnd w:id="710"/>
      <w:bookmarkEnd w:id="711"/>
      <w:bookmarkEnd w:id="712"/>
      <w:bookmarkEnd w:id="713"/>
      <w:bookmarkEnd w:id="714"/>
      <w:bookmarkEnd w:id="715"/>
      <w:bookmarkEnd w:id="716"/>
      <w:bookmarkEnd w:id="717"/>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pStyle w:val="984"/>
        <w:numPr>
          <w:ilvl w:val="0"/>
          <w:numId w:val="5"/>
        </w:numPr>
        <w:snapToGrid w:val="0"/>
        <w:spacing w:line="360" w:lineRule="auto"/>
        <w:ind w:firstLineChars="0"/>
        <w:rPr>
          <w:rFonts w:ascii="仿宋" w:hAnsi="仿宋" w:eastAsia="仿宋" w:cs="仿宋_GB2312"/>
          <w:color w:val="auto"/>
          <w:sz w:val="24"/>
          <w:highlight w:val="none"/>
        </w:rPr>
      </w:pPr>
      <w:r>
        <w:rPr>
          <w:rFonts w:ascii="仿宋" w:hAnsi="仿宋" w:eastAsia="仿宋" w:cs="仿宋_GB2312"/>
          <w:color w:val="auto"/>
          <w:sz w:val="24"/>
          <w:highlight w:val="none"/>
        </w:rPr>
        <w:t>符合参加政府采购活动应当具备的一般条件的承诺函……</w:t>
      </w:r>
      <w:r>
        <w:rPr>
          <w:rFonts w:hint="eastAsia" w:ascii="仿宋" w:hAnsi="仿宋" w:eastAsia="仿宋" w:cs="仿宋_GB2312"/>
          <w:color w:val="auto"/>
          <w:sz w:val="24"/>
          <w:highlight w:val="none"/>
        </w:rPr>
        <w:t>……（页码）</w:t>
      </w:r>
    </w:p>
    <w:p>
      <w:pPr>
        <w:pStyle w:val="984"/>
        <w:numPr>
          <w:ilvl w:val="0"/>
          <w:numId w:val="5"/>
        </w:numPr>
        <w:snapToGrid w:val="0"/>
        <w:spacing w:line="360" w:lineRule="auto"/>
        <w:ind w:firstLineChars="0"/>
        <w:rPr>
          <w:rFonts w:ascii="仿宋" w:hAnsi="仿宋" w:eastAsia="仿宋" w:cs="仿宋"/>
          <w:color w:val="auto"/>
          <w:sz w:val="24"/>
          <w:highlight w:val="none"/>
        </w:rPr>
      </w:pPr>
      <w:r>
        <w:rPr>
          <w:rFonts w:ascii="仿宋" w:hAnsi="仿宋" w:eastAsia="仿宋" w:cs="仿宋"/>
          <w:color w:val="auto"/>
          <w:sz w:val="24"/>
          <w:highlight w:val="none"/>
        </w:rPr>
        <w:t>联合协议（如果有）………………………………………………（页码）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4）本项目的特定资格要求……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p>
    <w:p>
      <w:pPr>
        <w:pStyle w:val="5"/>
        <w:tabs>
          <w:tab w:val="left" w:pos="432"/>
          <w:tab w:val="clear" w:pos="900"/>
        </w:tabs>
        <w:jc w:val="center"/>
        <w:rPr>
          <w:rStyle w:val="988"/>
          <w:rFonts w:ascii="仿宋" w:hAnsi="仿宋" w:eastAsia="仿宋"/>
          <w:color w:val="auto"/>
          <w:highlight w:val="none"/>
        </w:rPr>
      </w:pPr>
      <w:r>
        <w:rPr>
          <w:rFonts w:ascii="仿宋" w:hAnsi="仿宋" w:eastAsia="仿宋" w:cs="仿宋_GB2312"/>
          <w:color w:val="auto"/>
          <w:kern w:val="0"/>
          <w:highlight w:val="none"/>
        </w:rPr>
        <w:br w:type="page"/>
      </w:r>
      <w:bookmarkStart w:id="718" w:name="_Toc1846857202"/>
      <w:bookmarkStart w:id="719" w:name="_Toc7977"/>
      <w:bookmarkStart w:id="720" w:name="_Toc16246"/>
      <w:bookmarkStart w:id="721" w:name="_Toc12769"/>
      <w:bookmarkStart w:id="722" w:name="_Toc8296"/>
      <w:bookmarkStart w:id="723" w:name="_Toc8035"/>
      <w:bookmarkStart w:id="724" w:name="_Toc95313010"/>
      <w:bookmarkStart w:id="725" w:name="_Toc2927"/>
      <w:r>
        <w:rPr>
          <w:rStyle w:val="988"/>
          <w:rFonts w:ascii="仿宋" w:hAnsi="仿宋" w:eastAsia="仿宋"/>
          <w:color w:val="auto"/>
          <w:highlight w:val="none"/>
        </w:rPr>
        <w:t>一、符合参加政府采购活动应当具备的一般条件的承诺函</w:t>
      </w:r>
      <w:bookmarkEnd w:id="718"/>
      <w:bookmarkEnd w:id="719"/>
      <w:bookmarkEnd w:id="720"/>
      <w:bookmarkEnd w:id="721"/>
      <w:bookmarkEnd w:id="722"/>
      <w:bookmarkEnd w:id="723"/>
      <w:bookmarkEnd w:id="724"/>
      <w:bookmarkEnd w:id="725"/>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杭州市公路与港航管理服务中心、浙江省成套招标代理有限公司</w:t>
      </w:r>
      <w:r>
        <w:rPr>
          <w:rFonts w:hint="eastAsia" w:ascii="仿宋" w:hAnsi="仿宋" w:eastAsia="仿宋" w:cs="仿宋_GB2312"/>
          <w:color w:val="auto"/>
          <w:sz w:val="24"/>
          <w:highlight w:val="none"/>
        </w:rPr>
        <w:t>：</w:t>
      </w:r>
    </w:p>
    <w:p>
      <w:pPr>
        <w:snapToGrid w:val="0"/>
        <w:spacing w:line="360" w:lineRule="auto"/>
        <w:ind w:firstLine="42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lang w:eastAsia="zh-CN"/>
        </w:rPr>
        <w:t>杭州市交通运输局交通强国示范城市数字交通建设试点项目（二期）</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CTZB-2022090046</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pStyle w:val="2"/>
        <w:snapToGrid w:val="0"/>
        <w:spacing w:line="360" w:lineRule="auto"/>
        <w:rPr>
          <w:rFonts w:ascii="仿宋" w:hAnsi="仿宋" w:eastAsia="仿宋" w:cs="仿宋_GB2312"/>
          <w:color w:val="auto"/>
          <w:highlight w:val="none"/>
        </w:rPr>
      </w:pPr>
    </w:p>
    <w:p>
      <w:pPr>
        <w:snapToGrid w:val="0"/>
        <w:spacing w:line="360" w:lineRule="auto"/>
        <w:rPr>
          <w:rFonts w:ascii="仿宋" w:hAnsi="仿宋" w:eastAsia="仿宋"/>
          <w:color w:val="auto"/>
          <w:highlight w:val="none"/>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snapToGrid w:val="0"/>
        <w:spacing w:line="360" w:lineRule="auto"/>
        <w:ind w:right="480"/>
        <w:jc w:val="center"/>
        <w:outlineLvl w:val="2"/>
        <w:rPr>
          <w:rFonts w:ascii="仿宋" w:hAnsi="仿宋" w:eastAsia="仿宋" w:cs="仿宋"/>
          <w:b/>
          <w:color w:val="auto"/>
          <w:kern w:val="0"/>
          <w:sz w:val="32"/>
          <w:szCs w:val="32"/>
          <w:highlight w:val="none"/>
        </w:rPr>
      </w:pPr>
      <w:bookmarkStart w:id="726" w:name="_Toc7759"/>
      <w:bookmarkStart w:id="727" w:name="_Toc9229"/>
      <w:bookmarkStart w:id="728" w:name="_Toc9961"/>
      <w:bookmarkStart w:id="729" w:name="_Toc95313011"/>
      <w:bookmarkStart w:id="730" w:name="_Toc11361"/>
      <w:bookmarkStart w:id="731" w:name="_Toc400360276"/>
      <w:bookmarkStart w:id="732" w:name="_Toc21250"/>
      <w:r>
        <w:rPr>
          <w:rFonts w:hint="eastAsia" w:ascii="仿宋" w:hAnsi="仿宋" w:eastAsia="仿宋" w:cs="仿宋"/>
          <w:b/>
          <w:color w:val="auto"/>
          <w:kern w:val="0"/>
          <w:sz w:val="32"/>
          <w:szCs w:val="32"/>
          <w:highlight w:val="none"/>
        </w:rPr>
        <w:t>二、联合协议（如果有）</w:t>
      </w:r>
      <w:bookmarkEnd w:id="726"/>
    </w:p>
    <w:p>
      <w:pPr>
        <w:snapToGrid w:val="0"/>
        <w:spacing w:line="360" w:lineRule="auto"/>
        <w:ind w:right="84"/>
        <w:jc w:val="center"/>
        <w:rPr>
          <w:rFonts w:ascii="仿宋" w:hAnsi="仿宋" w:eastAsia="仿宋" w:cs="仿宋"/>
          <w:bCs/>
          <w:color w:val="auto"/>
          <w:kern w:val="0"/>
          <w:sz w:val="24"/>
          <w:highlight w:val="none"/>
        </w:rPr>
      </w:pPr>
      <w:r>
        <w:rPr>
          <w:rFonts w:ascii="仿宋" w:hAnsi="仿宋" w:eastAsia="仿宋" w:cs="仿宋"/>
          <w:bCs/>
          <w:color w:val="auto"/>
          <w:kern w:val="0"/>
          <w:sz w:val="24"/>
          <w:highlight w:val="none"/>
        </w:rPr>
        <w:t>[以联合体形式参与响应的，提供联合协议；供应商不以联合体形式响应的，</w:t>
      </w:r>
    </w:p>
    <w:p>
      <w:pPr>
        <w:snapToGrid w:val="0"/>
        <w:spacing w:line="360" w:lineRule="auto"/>
        <w:ind w:right="84"/>
        <w:rPr>
          <w:rFonts w:ascii="仿宋" w:hAnsi="仿宋" w:eastAsia="仿宋" w:cs="仿宋"/>
          <w:bCs/>
          <w:color w:val="auto"/>
          <w:kern w:val="0"/>
          <w:sz w:val="24"/>
          <w:highlight w:val="none"/>
        </w:rPr>
      </w:pPr>
      <w:r>
        <w:rPr>
          <w:rFonts w:ascii="仿宋" w:hAnsi="仿宋" w:eastAsia="仿宋" w:cs="仿宋"/>
          <w:bCs/>
          <w:color w:val="auto"/>
          <w:kern w:val="0"/>
          <w:sz w:val="24"/>
          <w:highlight w:val="none"/>
        </w:rPr>
        <w:t>则不需要提供）]</w:t>
      </w:r>
    </w:p>
    <w:p>
      <w:pPr>
        <w:autoSpaceDE w:val="0"/>
        <w:autoSpaceDN w:val="0"/>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联合协议</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（项目名称）【项目编号：】</w:t>
      </w:r>
      <w:r>
        <w:rPr>
          <w:rFonts w:hint="eastAsia" w:ascii="仿宋" w:hAnsi="仿宋" w:eastAsia="仿宋" w:cs="仿宋"/>
          <w:color w:val="auto"/>
          <w:kern w:val="0"/>
          <w:sz w:val="24"/>
          <w:highlight w:val="none"/>
          <w:lang w:val="zh-CN"/>
        </w:rPr>
        <w:t>响应。</w:t>
      </w:r>
      <w:r>
        <w:rPr>
          <w:rFonts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，代表所有联合体成员负责参与响应和合同实施阶段的主办、协调工作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授权代表根据采购文件规定及响应内容而对采购人、采购机构所作的任何合法承诺，包括书面澄清及相应等均对联合响应各方产生约束力。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三、本次联合响应中，分工如下：</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w:t>
      </w:r>
      <w:r>
        <w:rPr>
          <w:rFonts w:ascii="仿宋" w:hAnsi="仿宋" w:eastAsia="仿宋" w:cs="仿宋"/>
          <w:color w:val="auto"/>
          <w:kern w:val="0"/>
          <w:sz w:val="24"/>
          <w:highlight w:val="none"/>
          <w:u w:val="single"/>
        </w:rPr>
        <w:t>1）</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w:t>
      </w:r>
      <w:r>
        <w:rPr>
          <w:rFonts w:ascii="仿宋" w:hAnsi="仿宋" w:eastAsia="仿宋" w:cs="仿宋"/>
          <w:color w:val="auto"/>
          <w:kern w:val="0"/>
          <w:sz w:val="24"/>
          <w:highlight w:val="none"/>
          <w:u w:val="single"/>
        </w:rPr>
        <w:t>2）</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ascii="仿宋" w:hAnsi="仿宋" w:eastAsia="仿宋" w:cs="仿宋"/>
          <w:b/>
          <w:color w:val="auto"/>
          <w:kern w:val="0"/>
          <w:sz w:val="24"/>
          <w:highlight w:val="none"/>
          <w:lang w:val="zh-CN"/>
        </w:rPr>
      </w:pPr>
      <w:r>
        <w:rPr>
          <w:rFonts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733" w:name="_Hlk101131882"/>
      <w:r>
        <w:rPr>
          <w:rFonts w:hint="eastAsia" w:ascii="仿宋" w:hAnsi="仿宋" w:eastAsia="仿宋" w:cs="仿宋"/>
          <w:color w:val="auto"/>
          <w:kern w:val="0"/>
          <w:sz w:val="24"/>
          <w:highlight w:val="none"/>
          <w:u w:val="single"/>
        </w:rPr>
        <w:t>联合体成员</w:t>
      </w:r>
      <w:r>
        <w:rPr>
          <w:rFonts w:ascii="仿宋" w:hAnsi="仿宋" w:eastAsia="仿宋" w:cs="仿宋"/>
          <w:color w:val="auto"/>
          <w:kern w:val="0"/>
          <w:sz w:val="24"/>
          <w:highlight w:val="none"/>
          <w:u w:val="single"/>
        </w:rPr>
        <w:t>X,……</w:t>
      </w:r>
      <w:bookmarkEnd w:id="73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73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未预留份额专门面向中小企业采购的的采购项目，以及预留份额中的非预留部分采购包，接受联合体响应的，联合协议约定小微企业的合同份额占到合同总金额</w:t>
      </w:r>
      <w:r>
        <w:rPr>
          <w:rFonts w:ascii="仿宋" w:hAnsi="仿宋" w:eastAsia="仿宋" w:cs="仿宋"/>
          <w:b/>
          <w:color w:val="auto"/>
          <w:kern w:val="0"/>
          <w:sz w:val="24"/>
          <w:highlight w:val="none"/>
          <w:lang w:val="zh-CN"/>
        </w:rPr>
        <w:t>30%以上的，对联合体报价给予</w:t>
      </w:r>
      <w:r>
        <w:rPr>
          <w:rFonts w:ascii="仿宋" w:hAnsi="仿宋" w:eastAsia="仿宋" w:cs="仿宋"/>
          <w:b/>
          <w:color w:val="auto"/>
          <w:kern w:val="0"/>
          <w:sz w:val="24"/>
          <w:highlight w:val="none"/>
        </w:rPr>
        <w:t>6</w:t>
      </w:r>
      <w:r>
        <w:rPr>
          <w:rFonts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bookmarkEnd w:id="734"/>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ascii="仿宋" w:hAnsi="仿宋" w:eastAsia="仿宋" w:cs="仿宋"/>
          <w:color w:val="auto"/>
          <w:sz w:val="24"/>
          <w:highlight w:val="none"/>
        </w:rPr>
        <w:t>2、</w:t>
      </w:r>
      <w:bookmarkStart w:id="735" w:name="_Hlk101133173"/>
      <w:r>
        <w:rPr>
          <w:rFonts w:hint="eastAsia" w:ascii="仿宋" w:hAnsi="仿宋" w:eastAsia="仿宋" w:cs="仿宋"/>
          <w:color w:val="auto"/>
          <w:sz w:val="24"/>
          <w:highlight w:val="none"/>
        </w:rPr>
        <w:t>中小企业合同金额达到</w:t>
      </w:r>
      <w:r>
        <w:rPr>
          <w:rFonts w:ascii="仿宋" w:hAnsi="仿宋" w:eastAsia="仿宋" w:cs="仿宋"/>
          <w:color w:val="auto"/>
          <w:sz w:val="24"/>
          <w:highlight w:val="none"/>
        </w:rPr>
        <w:t>%，小微企业合同金额达到%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要求以联合体形式参加的项目或采购包，供应商按采购文件第一部分采购公告申请人的资格要求中规定的联合协议中中小企业、小微企业合同金额应当达到的比例要求填写。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735"/>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六、有关本次联合响应的其他事宜：</w:t>
      </w:r>
    </w:p>
    <w:p>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w:t>
      </w:r>
    </w:p>
    <w:p>
      <w:pPr>
        <w:snapToGrid w:val="0"/>
        <w:spacing w:line="360" w:lineRule="auto"/>
        <w:jc w:val="right"/>
        <w:rPr>
          <w:rFonts w:ascii="仿宋" w:hAnsi="仿宋" w:eastAsia="仿宋" w:cs="仿宋"/>
          <w:color w:val="auto"/>
          <w:kern w:val="0"/>
          <w:sz w:val="24"/>
          <w:highlight w:val="none"/>
          <w:lang w:val="zh-CN"/>
        </w:rPr>
      </w:pPr>
    </w:p>
    <w:p>
      <w:pPr>
        <w:snapToGrid w:val="0"/>
        <w:spacing w:line="360" w:lineRule="auto"/>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 xml:space="preserve">                                               日期：  年  月   日</w:t>
      </w:r>
    </w:p>
    <w:p>
      <w:pPr>
        <w:spacing w:line="360" w:lineRule="auto"/>
        <w:ind w:right="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snapToGrid w:val="0"/>
        <w:spacing w:line="360" w:lineRule="auto"/>
        <w:jc w:val="center"/>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p>
    <w:p>
      <w:pPr>
        <w:snapToGrid w:val="0"/>
        <w:spacing w:line="360" w:lineRule="auto"/>
        <w:jc w:val="center"/>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杭州市公路与港航管理服务中心、浙江省成套招标代理有限公司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lang w:eastAsia="zh-CN"/>
        </w:rPr>
        <w:t>杭州市交通运输局交通强国示范城市数字交通建设试点项目（二期）</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CTZB-2022090046</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pPr>
        <w:pStyle w:val="2"/>
        <w:rPr>
          <w:color w:val="auto"/>
          <w:highlight w:val="none"/>
        </w:rPr>
        <w:sectPr>
          <w:footerReference r:id="rId5" w:type="default"/>
          <w:pgSz w:w="11906" w:h="16838"/>
          <w:pgMar w:top="1440" w:right="1800" w:bottom="1440" w:left="1800" w:header="930" w:footer="992" w:gutter="0"/>
          <w:pgNumType w:start="1"/>
          <w:cols w:space="425" w:num="1"/>
          <w:docGrid w:type="lines" w:linePitch="312" w:charSpace="0"/>
        </w:sectPr>
      </w:pPr>
    </w:p>
    <w:p>
      <w:pPr>
        <w:pStyle w:val="5"/>
        <w:tabs>
          <w:tab w:val="left" w:pos="432"/>
          <w:tab w:val="clear" w:pos="900"/>
        </w:tabs>
        <w:jc w:val="center"/>
        <w:rPr>
          <w:rStyle w:val="988"/>
          <w:rFonts w:ascii="仿宋" w:hAnsi="仿宋" w:eastAsia="仿宋"/>
          <w:color w:val="auto"/>
          <w:highlight w:val="none"/>
        </w:rPr>
      </w:pPr>
      <w:bookmarkStart w:id="736" w:name="_Toc23837"/>
      <w:bookmarkStart w:id="737" w:name="_Toc24138"/>
      <w:r>
        <w:rPr>
          <w:rStyle w:val="988"/>
          <w:rFonts w:hint="eastAsia" w:ascii="仿宋" w:hAnsi="仿宋" w:eastAsia="仿宋"/>
          <w:color w:val="auto"/>
          <w:highlight w:val="none"/>
        </w:rPr>
        <w:t>三、落实政府采购政策需满足的资格要求</w:t>
      </w:r>
      <w:bookmarkEnd w:id="727"/>
      <w:bookmarkEnd w:id="728"/>
      <w:bookmarkEnd w:id="729"/>
      <w:bookmarkEnd w:id="730"/>
      <w:bookmarkEnd w:id="731"/>
      <w:bookmarkEnd w:id="732"/>
      <w:bookmarkEnd w:id="736"/>
      <w:bookmarkEnd w:id="737"/>
    </w:p>
    <w:p>
      <w:pPr>
        <w:tabs>
          <w:tab w:val="left" w:pos="432"/>
        </w:tabs>
        <w:jc w:val="center"/>
        <w:rPr>
          <w:rStyle w:val="988"/>
          <w:rFonts w:ascii="仿宋" w:hAnsi="仿宋" w:eastAsia="仿宋"/>
          <w:color w:val="auto"/>
          <w:highlight w:val="none"/>
          <w:lang w:val="en-US"/>
        </w:rPr>
      </w:pPr>
      <w:bookmarkStart w:id="738" w:name="_Toc23043"/>
      <w:bookmarkStart w:id="739" w:name="_Toc24080"/>
      <w:r>
        <w:rPr>
          <w:rStyle w:val="988"/>
          <w:rFonts w:hint="eastAsia" w:ascii="仿宋" w:hAnsi="仿宋" w:eastAsia="仿宋"/>
          <w:color w:val="auto"/>
          <w:highlight w:val="none"/>
          <w:lang w:val="en-US"/>
        </w:rPr>
        <w:t>无</w:t>
      </w:r>
    </w:p>
    <w:bookmarkEnd w:id="738"/>
    <w:bookmarkEnd w:id="739"/>
    <w:p>
      <w:pPr>
        <w:rPr>
          <w:rFonts w:ascii="仿宋" w:hAnsi="仿宋" w:eastAsia="仿宋"/>
          <w:color w:val="auto"/>
          <w:highlight w:val="none"/>
        </w:rPr>
      </w:pPr>
    </w:p>
    <w:p>
      <w:pPr>
        <w:pStyle w:val="5"/>
        <w:tabs>
          <w:tab w:val="left" w:pos="432"/>
          <w:tab w:val="clear" w:pos="900"/>
        </w:tabs>
        <w:jc w:val="center"/>
        <w:rPr>
          <w:rStyle w:val="988"/>
          <w:rFonts w:ascii="仿宋" w:hAnsi="仿宋" w:eastAsia="仿宋"/>
          <w:color w:val="auto"/>
          <w:highlight w:val="none"/>
        </w:rPr>
      </w:pPr>
      <w:bookmarkStart w:id="740" w:name="_Toc6151"/>
      <w:bookmarkStart w:id="741" w:name="_Toc750"/>
      <w:r>
        <w:rPr>
          <w:rStyle w:val="988"/>
          <w:rFonts w:hint="eastAsia" w:ascii="仿宋" w:hAnsi="仿宋" w:eastAsia="仿宋"/>
          <w:color w:val="auto"/>
          <w:highlight w:val="none"/>
          <w:lang w:val="en-US"/>
        </w:rPr>
        <w:t>四、</w:t>
      </w:r>
      <w:r>
        <w:rPr>
          <w:rStyle w:val="988"/>
          <w:rFonts w:hint="eastAsia" w:ascii="仿宋" w:hAnsi="仿宋" w:eastAsia="仿宋"/>
          <w:color w:val="auto"/>
          <w:highlight w:val="none"/>
        </w:rPr>
        <w:t>本项目的特定资格要求</w:t>
      </w:r>
      <w:bookmarkEnd w:id="740"/>
      <w:bookmarkEnd w:id="741"/>
    </w:p>
    <w:p>
      <w:pPr>
        <w:tabs>
          <w:tab w:val="left" w:pos="432"/>
        </w:tabs>
        <w:jc w:val="center"/>
        <w:rPr>
          <w:rStyle w:val="988"/>
          <w:rFonts w:ascii="仿宋" w:hAnsi="仿宋" w:eastAsia="仿宋"/>
          <w:color w:val="auto"/>
          <w:highlight w:val="none"/>
          <w:lang w:val="en-US"/>
        </w:rPr>
      </w:pPr>
      <w:bookmarkStart w:id="742" w:name="_Toc19998"/>
      <w:bookmarkStart w:id="743" w:name="_Toc24034"/>
      <w:r>
        <w:rPr>
          <w:rStyle w:val="988"/>
          <w:rFonts w:ascii="仿宋" w:hAnsi="仿宋" w:eastAsia="仿宋"/>
          <w:color w:val="auto"/>
          <w:highlight w:val="none"/>
          <w:lang w:val="en-US"/>
        </w:rPr>
        <w:t>无</w:t>
      </w:r>
    </w:p>
    <w:bookmarkEnd w:id="742"/>
    <w:bookmarkEnd w:id="743"/>
    <w:p>
      <w:pPr>
        <w:snapToGrid w:val="0"/>
        <w:spacing w:line="360" w:lineRule="auto"/>
        <w:jc w:val="center"/>
        <w:rPr>
          <w:rFonts w:ascii="仿宋" w:hAnsi="仿宋" w:eastAsia="仿宋" w:cs="仿宋_GB2312"/>
          <w:b/>
          <w:color w:val="auto"/>
          <w:kern w:val="0"/>
          <w:sz w:val="36"/>
          <w:szCs w:val="36"/>
          <w:highlight w:val="none"/>
        </w:rPr>
      </w:pPr>
    </w:p>
    <w:p>
      <w:pPr>
        <w:spacing w:line="360" w:lineRule="auto"/>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pStyle w:val="4"/>
        <w:jc w:val="center"/>
        <w:rPr>
          <w:rFonts w:ascii="仿宋" w:hAnsi="仿宋" w:eastAsia="仿宋"/>
          <w:color w:val="auto"/>
          <w:szCs w:val="28"/>
          <w:highlight w:val="none"/>
        </w:rPr>
      </w:pPr>
      <w:bookmarkStart w:id="744" w:name="_Toc10212"/>
      <w:bookmarkStart w:id="745" w:name="_Toc27746"/>
      <w:bookmarkStart w:id="746" w:name="_Toc7510"/>
      <w:bookmarkStart w:id="747" w:name="_Toc355252989"/>
      <w:bookmarkStart w:id="748" w:name="_Toc5790"/>
      <w:bookmarkStart w:id="749" w:name="_Toc95313013"/>
      <w:bookmarkStart w:id="750" w:name="_Toc4688"/>
      <w:bookmarkStart w:id="751" w:name="_Toc26670"/>
      <w:r>
        <w:rPr>
          <w:rFonts w:hint="eastAsia" w:ascii="仿宋" w:hAnsi="仿宋" w:eastAsia="仿宋"/>
          <w:color w:val="auto"/>
          <w:szCs w:val="28"/>
          <w:highlight w:val="none"/>
        </w:rPr>
        <w:t>商务技术文件部分</w:t>
      </w:r>
      <w:bookmarkEnd w:id="744"/>
      <w:bookmarkEnd w:id="745"/>
      <w:bookmarkEnd w:id="746"/>
      <w:bookmarkEnd w:id="747"/>
      <w:bookmarkEnd w:id="748"/>
      <w:bookmarkEnd w:id="749"/>
      <w:bookmarkEnd w:id="750"/>
      <w:bookmarkEnd w:id="751"/>
    </w:p>
    <w:p>
      <w:pPr>
        <w:snapToGrid w:val="0"/>
        <w:spacing w:line="360" w:lineRule="auto"/>
        <w:jc w:val="center"/>
        <w:rPr>
          <w:rFonts w:ascii="仿宋" w:hAnsi="仿宋" w:eastAsia="仿宋" w:cs="仿宋_GB2312"/>
          <w:b/>
          <w:color w:val="auto"/>
          <w:kern w:val="0"/>
          <w:sz w:val="24"/>
          <w:highlight w:val="none"/>
        </w:rPr>
      </w:pPr>
    </w:p>
    <w:p>
      <w:pPr>
        <w:snapToGrid w:val="0"/>
        <w:spacing w:line="360" w:lineRule="auto"/>
        <w:jc w:val="center"/>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（2）授权委托书</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宋体"/>
          <w:color w:val="auto"/>
          <w:sz w:val="24"/>
          <w:highlight w:val="none"/>
        </w:rPr>
        <w:t>（3）法定代表人和授权委托代表的有效身份证复印件</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4）分包意向协议（如果有）…………………………………………（页码）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w:t>
      </w:r>
      <w:r>
        <w:rPr>
          <w:rFonts w:hint="eastAsia" w:ascii="仿宋" w:hAnsi="仿宋" w:eastAsia="仿宋" w:cs="宋体"/>
          <w:snapToGrid w:val="0"/>
          <w:color w:val="auto"/>
          <w:kern w:val="0"/>
          <w:sz w:val="24"/>
          <w:highlight w:val="none"/>
        </w:rPr>
        <w:t>公司情况介绍</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w:t>
      </w:r>
      <w:r>
        <w:rPr>
          <w:rFonts w:hint="eastAsia" w:ascii="仿宋" w:hAnsi="仿宋" w:eastAsia="仿宋" w:cs="宋体"/>
          <w:snapToGrid w:val="0"/>
          <w:color w:val="auto"/>
          <w:kern w:val="0"/>
          <w:sz w:val="24"/>
          <w:highlight w:val="none"/>
          <w:lang w:val="zh-CN"/>
        </w:rPr>
        <w:t>供应商成功案例</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w:t>
      </w:r>
      <w:r>
        <w:rPr>
          <w:rFonts w:hint="eastAsia" w:ascii="仿宋" w:hAnsi="仿宋" w:eastAsia="仿宋" w:cs="宋体"/>
          <w:snapToGrid w:val="0"/>
          <w:color w:val="auto"/>
          <w:kern w:val="0"/>
          <w:sz w:val="24"/>
          <w:highlight w:val="none"/>
        </w:rPr>
        <w:t>相关资质文件（如有）</w:t>
      </w:r>
      <w:r>
        <w:rPr>
          <w:rFonts w:hint="eastAsia" w:ascii="仿宋" w:hAnsi="仿宋" w:eastAsia="仿宋" w:cs="仿宋_GB2312"/>
          <w:color w:val="auto"/>
          <w:sz w:val="24"/>
          <w:highlight w:val="none"/>
        </w:rPr>
        <w:t>……………………………………………（页码）</w:t>
      </w:r>
    </w:p>
    <w:p>
      <w:pPr>
        <w:pStyle w:val="24"/>
        <w:snapToGrid w:val="0"/>
        <w:rPr>
          <w:rFonts w:ascii="仿宋" w:hAnsi="仿宋" w:eastAsia="仿宋" w:cs="宋体"/>
          <w:color w:val="auto"/>
          <w:szCs w:val="24"/>
          <w:highlight w:val="none"/>
        </w:rPr>
      </w:pPr>
      <w:r>
        <w:rPr>
          <w:rFonts w:hint="eastAsia" w:ascii="仿宋" w:hAnsi="仿宋" w:eastAsia="仿宋" w:cs="宋体"/>
          <w:color w:val="auto"/>
          <w:szCs w:val="24"/>
          <w:highlight w:val="none"/>
        </w:rPr>
        <w:t>（</w:t>
      </w:r>
      <w:r>
        <w:rPr>
          <w:rFonts w:ascii="仿宋" w:hAnsi="仿宋" w:eastAsia="仿宋" w:cs="宋体"/>
          <w:color w:val="auto"/>
          <w:szCs w:val="24"/>
          <w:highlight w:val="none"/>
        </w:rPr>
        <w:t>8</w:t>
      </w:r>
      <w:r>
        <w:rPr>
          <w:rFonts w:hint="eastAsia" w:ascii="仿宋" w:hAnsi="仿宋" w:eastAsia="仿宋" w:cs="宋体"/>
          <w:color w:val="auto"/>
          <w:szCs w:val="24"/>
          <w:highlight w:val="none"/>
        </w:rPr>
        <w:t>）</w:t>
      </w:r>
      <w:r>
        <w:rPr>
          <w:rFonts w:hint="eastAsia" w:ascii="仿宋" w:hAnsi="仿宋" w:eastAsia="仿宋" w:cs="宋体"/>
          <w:color w:val="auto"/>
          <w:kern w:val="0"/>
          <w:szCs w:val="24"/>
          <w:highlight w:val="none"/>
        </w:rPr>
        <w:t>供应商应提供针对项目的完整服务解决方案</w:t>
      </w:r>
      <w:r>
        <w:rPr>
          <w:rFonts w:hint="eastAsia" w:ascii="仿宋" w:hAnsi="仿宋" w:eastAsia="仿宋" w:cs="仿宋_GB2312"/>
          <w:color w:val="auto"/>
          <w:szCs w:val="24"/>
          <w:highlight w:val="none"/>
        </w:rPr>
        <w:t>……………………（页码）</w:t>
      </w:r>
    </w:p>
    <w:p>
      <w:pPr>
        <w:pStyle w:val="32"/>
        <w:snapToGrid w:val="0"/>
        <w:spacing w:line="360" w:lineRule="auto"/>
        <w:rPr>
          <w:rFonts w:ascii="仿宋" w:hAnsi="仿宋" w:eastAsia="仿宋" w:cs="宋体"/>
          <w:bCs/>
          <w:color w:val="auto"/>
          <w:kern w:val="0"/>
          <w:sz w:val="24"/>
          <w:szCs w:val="24"/>
          <w:highlight w:val="none"/>
        </w:rPr>
      </w:pP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9</w:t>
      </w:r>
      <w:r>
        <w:rPr>
          <w:rFonts w:hint="eastAsia" w:ascii="仿宋" w:hAnsi="仿宋" w:eastAsia="仿宋" w:cs="宋体"/>
          <w:color w:val="auto"/>
          <w:sz w:val="24"/>
          <w:szCs w:val="24"/>
          <w:highlight w:val="none"/>
        </w:rPr>
        <w:t>）</w:t>
      </w:r>
      <w:r>
        <w:rPr>
          <w:rFonts w:hint="eastAsia" w:ascii="仿宋" w:hAnsi="仿宋" w:eastAsia="仿宋" w:cs="宋体"/>
          <w:bCs/>
          <w:color w:val="auto"/>
          <w:kern w:val="0"/>
          <w:sz w:val="24"/>
          <w:szCs w:val="24"/>
          <w:highlight w:val="none"/>
        </w:rPr>
        <w:t>项目组人员介绍、职责分配</w:t>
      </w:r>
      <w:r>
        <w:rPr>
          <w:rFonts w:hint="eastAsia" w:ascii="仿宋" w:hAnsi="仿宋" w:eastAsia="仿宋" w:cs="仿宋_GB2312"/>
          <w:color w:val="auto"/>
          <w:sz w:val="24"/>
          <w:szCs w:val="24"/>
          <w:highlight w:val="none"/>
        </w:rPr>
        <w:t>………………………………………（页码）</w:t>
      </w:r>
    </w:p>
    <w:p>
      <w:pPr>
        <w:pStyle w:val="32"/>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w:t>
      </w:r>
      <w:r>
        <w:rPr>
          <w:rFonts w:ascii="仿宋" w:hAnsi="仿宋" w:eastAsia="仿宋" w:cs="宋体"/>
          <w:color w:val="auto"/>
          <w:sz w:val="24"/>
          <w:szCs w:val="24"/>
          <w:highlight w:val="none"/>
        </w:rPr>
        <w:t>10</w:t>
      </w:r>
      <w:r>
        <w:rPr>
          <w:rFonts w:hint="eastAsia" w:ascii="仿宋" w:hAnsi="仿宋" w:eastAsia="仿宋" w:cs="宋体"/>
          <w:color w:val="auto"/>
          <w:sz w:val="24"/>
          <w:szCs w:val="24"/>
          <w:highlight w:val="none"/>
        </w:rPr>
        <w:t>）商务技术偏离表……………………………………………………（页码）</w:t>
      </w:r>
    </w:p>
    <w:p>
      <w:pPr>
        <w:pStyle w:val="32"/>
        <w:snapToGrid w:val="0"/>
        <w:spacing w:line="360" w:lineRule="auto"/>
        <w:rPr>
          <w:rFonts w:ascii="仿宋" w:hAnsi="仿宋" w:eastAsia="仿宋" w:cs="仿宋_GB2312"/>
          <w:color w:val="auto"/>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w:t>
      </w:r>
      <w:r>
        <w:rPr>
          <w:rFonts w:hint="eastAsia" w:ascii="仿宋" w:hAnsi="仿宋" w:eastAsia="仿宋" w:cs="宋体"/>
          <w:bCs/>
          <w:color w:val="auto"/>
          <w:kern w:val="0"/>
          <w:sz w:val="24"/>
          <w:highlight w:val="none"/>
        </w:rPr>
        <w:t>其他商务技术文件或说明</w:t>
      </w:r>
      <w:r>
        <w:rPr>
          <w:rFonts w:hint="eastAsia" w:ascii="仿宋" w:hAnsi="仿宋" w:eastAsia="仿宋" w:cs="仿宋_GB2312"/>
          <w:color w:val="auto"/>
          <w:sz w:val="24"/>
          <w:szCs w:val="24"/>
          <w:highlight w:val="none"/>
        </w:rPr>
        <w:t>………………………………………（页码）</w:t>
      </w:r>
    </w:p>
    <w:p>
      <w:pPr>
        <w:pStyle w:val="32"/>
        <w:snapToGrid w:val="0"/>
        <w:spacing w:line="360" w:lineRule="auto"/>
        <w:rPr>
          <w:rFonts w:ascii="仿宋" w:hAnsi="仿宋" w:eastAsia="仿宋" w:cs="宋体"/>
          <w:bCs/>
          <w:color w:val="auto"/>
          <w:kern w:val="0"/>
          <w:sz w:val="24"/>
          <w:szCs w:val="24"/>
          <w:highlight w:val="none"/>
        </w:rPr>
      </w:pPr>
      <w:r>
        <w:rPr>
          <w:rFonts w:hint="eastAsia" w:ascii="仿宋" w:hAnsi="仿宋" w:eastAsia="仿宋" w:cs="宋体"/>
          <w:color w:val="auto"/>
          <w:sz w:val="24"/>
          <w:szCs w:val="24"/>
          <w:highlight w:val="none"/>
        </w:rPr>
        <w:t>（1</w:t>
      </w: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w:t>
      </w:r>
      <w:r>
        <w:rPr>
          <w:rFonts w:hint="eastAsia" w:ascii="仿宋" w:hAnsi="仿宋" w:eastAsia="仿宋" w:cs="宋体"/>
          <w:bCs/>
          <w:color w:val="auto"/>
          <w:kern w:val="0"/>
          <w:sz w:val="24"/>
          <w:szCs w:val="24"/>
          <w:highlight w:val="none"/>
        </w:rPr>
        <w:t>政府采购供应商廉洁自律承诺书</w:t>
      </w:r>
      <w:r>
        <w:rPr>
          <w:rFonts w:hint="eastAsia" w:ascii="仿宋" w:hAnsi="仿宋" w:eastAsia="仿宋" w:cs="仿宋_GB2312"/>
          <w:color w:val="auto"/>
          <w:sz w:val="24"/>
          <w:szCs w:val="24"/>
          <w:highlight w:val="none"/>
        </w:rPr>
        <w:t>………………………………（页码）</w:t>
      </w:r>
    </w:p>
    <w:p>
      <w:pPr>
        <w:snapToGrid w:val="0"/>
        <w:spacing w:line="360" w:lineRule="auto"/>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rPr>
          <w:rFonts w:ascii="仿宋" w:hAnsi="仿宋" w:eastAsia="仿宋"/>
          <w:color w:val="auto"/>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rPr>
          <w:rFonts w:ascii="仿宋" w:hAnsi="仿宋" w:eastAsia="仿宋" w:cs="仿宋_GB2312"/>
          <w:b/>
          <w:color w:val="auto"/>
          <w:kern w:val="0"/>
          <w:sz w:val="32"/>
          <w:szCs w:val="32"/>
          <w:highlight w:val="none"/>
        </w:rPr>
      </w:pPr>
    </w:p>
    <w:p>
      <w:pPr>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pStyle w:val="5"/>
        <w:tabs>
          <w:tab w:val="left" w:pos="432"/>
          <w:tab w:val="clear" w:pos="900"/>
        </w:tabs>
        <w:jc w:val="center"/>
        <w:rPr>
          <w:rStyle w:val="988"/>
          <w:rFonts w:ascii="仿宋" w:hAnsi="仿宋" w:eastAsia="仿宋"/>
          <w:color w:val="auto"/>
          <w:highlight w:val="none"/>
          <w:lang w:val="en-US"/>
        </w:rPr>
      </w:pPr>
      <w:bookmarkStart w:id="752" w:name="_Toc732447463"/>
      <w:bookmarkStart w:id="753" w:name="_Toc29904"/>
      <w:bookmarkStart w:id="754" w:name="_Toc13297"/>
      <w:bookmarkStart w:id="755" w:name="_Toc4602"/>
      <w:bookmarkStart w:id="756" w:name="_Toc95313014"/>
      <w:bookmarkStart w:id="757" w:name="_Toc21925"/>
      <w:bookmarkStart w:id="758" w:name="_Toc19084"/>
      <w:bookmarkStart w:id="759" w:name="_Toc18272"/>
      <w:r>
        <w:rPr>
          <w:rStyle w:val="988"/>
          <w:rFonts w:hint="eastAsia" w:ascii="仿宋" w:hAnsi="仿宋" w:eastAsia="仿宋"/>
          <w:color w:val="auto"/>
          <w:highlight w:val="none"/>
          <w:lang w:val="en-US"/>
        </w:rPr>
        <w:t>一、投标函</w:t>
      </w:r>
      <w:bookmarkEnd w:id="752"/>
      <w:bookmarkEnd w:id="753"/>
      <w:bookmarkEnd w:id="754"/>
      <w:bookmarkEnd w:id="755"/>
      <w:bookmarkEnd w:id="756"/>
      <w:bookmarkEnd w:id="757"/>
      <w:bookmarkEnd w:id="758"/>
      <w:bookmarkEnd w:id="759"/>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杭州市公路与港航管理服务中心、浙江省成套招标代理有限公司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w:t>
      </w:r>
      <w:r>
        <w:rPr>
          <w:rFonts w:hint="eastAsia" w:ascii="仿宋" w:hAnsi="仿宋" w:eastAsia="仿宋" w:cs="仿宋_GB2312"/>
          <w:color w:val="auto"/>
          <w:sz w:val="24"/>
          <w:highlight w:val="none"/>
          <w:lang w:eastAsia="zh-CN"/>
        </w:rPr>
        <w:t>杭州市交通运输局交通强国示范城市数字交通建设试点项目（二期）</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CTZB-2022090046</w:t>
      </w:r>
      <w:r>
        <w:rPr>
          <w:rFonts w:hint="eastAsia" w:ascii="仿宋" w:hAnsi="仿宋" w:eastAsia="仿宋" w:cs="仿宋_GB2312"/>
          <w:color w:val="auto"/>
          <w:sz w:val="24"/>
          <w:highlight w:val="none"/>
        </w:rPr>
        <w:t>】招标的有关活动，并对此项目进行投标。为此：</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1、我方承诺投标有效期从提交投标文件的截止之日起</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2、我方的投标文件包括以下内容：</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2.1资格文件：</w:t>
      </w:r>
    </w:p>
    <w:p>
      <w:pPr>
        <w:snapToGrid w:val="0"/>
        <w:spacing w:line="360" w:lineRule="auto"/>
        <w:ind w:firstLine="480" w:firstLineChars="200"/>
        <w:rPr>
          <w:rFonts w:hint="eastAsia" w:ascii="仿宋" w:hAnsi="仿宋" w:eastAsia="仿宋" w:cs="仿宋_GB2312"/>
          <w:color w:val="auto"/>
          <w:sz w:val="24"/>
          <w:highlight w:val="none"/>
        </w:rPr>
      </w:pPr>
      <w:r>
        <w:rPr>
          <w:rFonts w:ascii="仿宋" w:hAnsi="仿宋" w:eastAsia="仿宋" w:cs="仿宋_GB2312"/>
          <w:color w:val="auto"/>
          <w:sz w:val="24"/>
          <w:highlight w:val="none"/>
        </w:rPr>
        <w:t>2.1.1</w:t>
      </w:r>
      <w:r>
        <w:rPr>
          <w:rFonts w:hint="eastAsia" w:ascii="仿宋" w:hAnsi="仿宋" w:eastAsia="仿宋" w:cs="仿宋_GB2312"/>
          <w:color w:val="auto"/>
          <w:sz w:val="24"/>
          <w:highlight w:val="none"/>
        </w:rPr>
        <w:t>承诺函；</w:t>
      </w:r>
    </w:p>
    <w:p>
      <w:pPr>
        <w:snapToGrid w:val="0"/>
        <w:spacing w:line="360" w:lineRule="auto"/>
        <w:ind w:firstLine="480" w:firstLineChars="200"/>
        <w:rPr>
          <w:rFonts w:hint="eastAsia"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lang w:val="en-US" w:eastAsia="zh-CN"/>
        </w:rPr>
        <w:t>2.1.2</w:t>
      </w:r>
      <w:r>
        <w:rPr>
          <w:rFonts w:ascii="仿宋" w:hAnsi="仿宋" w:eastAsia="仿宋" w:cs="仿宋_GB2312"/>
          <w:color w:val="auto"/>
          <w:sz w:val="24"/>
          <w:highlight w:val="none"/>
        </w:rPr>
        <w:t>联合协议（如果有）</w:t>
      </w:r>
      <w:r>
        <w:rPr>
          <w:rFonts w:hint="eastAsia" w:ascii="仿宋" w:hAnsi="仿宋" w:eastAsia="仿宋" w:cs="仿宋_GB2312"/>
          <w:color w:val="auto"/>
          <w:sz w:val="24"/>
          <w:highlight w:val="none"/>
          <w:lang w:eastAsia="zh-CN"/>
        </w:rPr>
        <w:t>；</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w:t>
      </w:r>
      <w:r>
        <w:rPr>
          <w:rFonts w:hint="eastAsia" w:ascii="仿宋" w:hAnsi="仿宋" w:eastAsia="仿宋" w:cs="仿宋_GB2312"/>
          <w:color w:val="auto"/>
          <w:sz w:val="24"/>
          <w:highlight w:val="none"/>
          <w:lang w:val="en-US" w:eastAsia="zh-CN"/>
        </w:rPr>
        <w:t>3</w:t>
      </w:r>
      <w:r>
        <w:rPr>
          <w:rFonts w:ascii="仿宋" w:hAnsi="仿宋" w:eastAsia="仿宋" w:cs="仿宋_GB2312"/>
          <w:color w:val="auto"/>
          <w:sz w:val="24"/>
          <w:highlight w:val="none"/>
        </w:rPr>
        <w:t>落实政府采购政策需满足的资格要求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w:t>
      </w:r>
      <w:r>
        <w:rPr>
          <w:rFonts w:hint="eastAsia" w:ascii="仿宋" w:hAnsi="仿宋" w:eastAsia="仿宋" w:cs="仿宋_GB2312"/>
          <w:color w:val="auto"/>
          <w:sz w:val="24"/>
          <w:highlight w:val="none"/>
          <w:lang w:val="en-US" w:eastAsia="zh-CN"/>
        </w:rPr>
        <w:t>4</w:t>
      </w:r>
      <w:r>
        <w:rPr>
          <w:rFonts w:ascii="仿宋" w:hAnsi="仿宋" w:eastAsia="仿宋" w:cs="仿宋_GB2312"/>
          <w:color w:val="auto"/>
          <w:sz w:val="24"/>
          <w:highlight w:val="none"/>
        </w:rPr>
        <w:t>本项目的特定资格要求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r>
        <w:rPr>
          <w:rFonts w:ascii="仿宋" w:hAnsi="仿宋" w:eastAsia="仿宋" w:cs="仿宋_GB2312"/>
          <w:color w:val="auto"/>
          <w:sz w:val="24"/>
          <w:highlight w:val="none"/>
          <w:lang w:val="zh-CN"/>
        </w:rPr>
        <w:t xml:space="preserve">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w:t>
      </w:r>
      <w:r>
        <w:rPr>
          <w:rFonts w:hint="eastAsia" w:ascii="仿宋" w:hAnsi="仿宋" w:eastAsia="仿宋" w:cs="仿宋_GB2312"/>
          <w:color w:val="auto"/>
          <w:sz w:val="24"/>
          <w:highlight w:val="none"/>
        </w:rPr>
        <w:t>授权委托书；</w:t>
      </w:r>
    </w:p>
    <w:p>
      <w:pPr>
        <w:snapToGrid w:val="0"/>
        <w:spacing w:line="360" w:lineRule="auto"/>
        <w:ind w:firstLine="480" w:firstLineChars="200"/>
        <w:rPr>
          <w:rFonts w:hint="eastAsia" w:ascii="仿宋" w:hAnsi="仿宋" w:eastAsia="仿宋" w:cs="仿宋_GB2312"/>
          <w:color w:val="auto"/>
          <w:sz w:val="24"/>
          <w:highlight w:val="none"/>
        </w:rPr>
      </w:pPr>
      <w:r>
        <w:rPr>
          <w:rFonts w:ascii="仿宋" w:hAnsi="仿宋" w:eastAsia="仿宋" w:cs="仿宋_GB2312"/>
          <w:color w:val="auto"/>
          <w:sz w:val="24"/>
          <w:highlight w:val="none"/>
        </w:rPr>
        <w:t>2.2.3</w:t>
      </w:r>
      <w:r>
        <w:rPr>
          <w:rFonts w:hint="eastAsia" w:ascii="仿宋" w:hAnsi="仿宋" w:eastAsia="仿宋" w:cs="仿宋_GB2312"/>
          <w:color w:val="auto"/>
          <w:sz w:val="24"/>
          <w:highlight w:val="none"/>
        </w:rPr>
        <w:t>法定代表人和授权委托代表的有效身份证复印件（法定代表人直接参加投标并对相应文件签字的，只需提供前者）；</w:t>
      </w:r>
    </w:p>
    <w:p>
      <w:pPr>
        <w:snapToGrid w:val="0"/>
        <w:spacing w:line="360" w:lineRule="auto"/>
        <w:ind w:firstLine="480" w:firstLineChars="200"/>
        <w:rPr>
          <w:rFonts w:hint="default" w:ascii="仿宋" w:hAnsi="仿宋" w:eastAsia="仿宋" w:cs="仿宋_GB2312"/>
          <w:color w:val="auto"/>
          <w:sz w:val="24"/>
          <w:highlight w:val="none"/>
          <w:lang w:val="en-US" w:eastAsia="zh-CN"/>
        </w:rPr>
      </w:pPr>
      <w:r>
        <w:rPr>
          <w:rFonts w:hint="default" w:ascii="仿宋" w:hAnsi="仿宋" w:eastAsia="仿宋" w:cs="仿宋_GB2312"/>
          <w:color w:val="auto"/>
          <w:sz w:val="24"/>
          <w:highlight w:val="none"/>
          <w:lang w:val="en-US" w:eastAsia="zh-CN"/>
        </w:rPr>
        <w:t>2.2.4</w:t>
      </w:r>
      <w:r>
        <w:rPr>
          <w:rFonts w:ascii="仿宋" w:hAnsi="仿宋" w:eastAsia="仿宋" w:cs="仿宋_GB2312"/>
          <w:color w:val="auto"/>
          <w:sz w:val="24"/>
          <w:highlight w:val="none"/>
        </w:rPr>
        <w:t>分包意向协议（如果有）</w:t>
      </w:r>
      <w:r>
        <w:rPr>
          <w:rFonts w:hint="default" w:ascii="仿宋" w:hAnsi="仿宋" w:eastAsia="仿宋" w:cs="仿宋_GB2312"/>
          <w:color w:val="auto"/>
          <w:sz w:val="24"/>
          <w:highlight w:val="none"/>
          <w:lang w:eastAsia="zh-CN"/>
        </w:rPr>
        <w:t>；</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公司情况介绍；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lang w:val="zh-CN"/>
        </w:rPr>
        <w:t>供应商成功案例；</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相关资质文件（如有）；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lang w:val="en-US" w:eastAsia="zh-CN"/>
        </w:rPr>
        <w:t>8</w:t>
      </w:r>
      <w:r>
        <w:rPr>
          <w:rFonts w:hint="eastAsia" w:ascii="仿宋" w:hAnsi="仿宋" w:eastAsia="仿宋" w:cs="仿宋_GB2312"/>
          <w:color w:val="auto"/>
          <w:sz w:val="24"/>
          <w:highlight w:val="none"/>
        </w:rPr>
        <w:t>供应商应提供针对项目的完整服务解决方案；</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lang w:val="en-US" w:eastAsia="zh-CN"/>
        </w:rPr>
        <w:t>9</w:t>
      </w:r>
      <w:r>
        <w:rPr>
          <w:rFonts w:hint="eastAsia" w:ascii="仿宋" w:hAnsi="仿宋" w:eastAsia="仿宋" w:cs="仿宋_GB2312"/>
          <w:color w:val="auto"/>
          <w:sz w:val="24"/>
          <w:highlight w:val="none"/>
        </w:rPr>
        <w:t>项目组人员介绍、职责分配；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lang w:val="en-US" w:eastAsia="zh-CN"/>
        </w:rPr>
        <w:t>10</w:t>
      </w:r>
      <w:r>
        <w:rPr>
          <w:rFonts w:hint="eastAsia" w:ascii="仿宋" w:hAnsi="仿宋" w:eastAsia="仿宋" w:cs="仿宋_GB2312"/>
          <w:color w:val="auto"/>
          <w:sz w:val="24"/>
          <w:highlight w:val="none"/>
        </w:rPr>
        <w:t>商务技术偏离表；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其他商务技术文件或说明；</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2.2.1</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政府采购供应商廉洁自律承诺书。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2.3报价文件</w:t>
      </w:r>
    </w:p>
    <w:p>
      <w:pPr>
        <w:snapToGrid w:val="0"/>
        <w:spacing w:line="360" w:lineRule="auto"/>
        <w:ind w:firstLine="480" w:firstLineChars="200"/>
        <w:rPr>
          <w:rFonts w:ascii="仿宋" w:hAnsi="仿宋" w:eastAsia="仿宋" w:cs="宋体"/>
          <w:bCs/>
          <w:snapToGrid w:val="0"/>
          <w:color w:val="auto"/>
          <w:kern w:val="0"/>
          <w:sz w:val="24"/>
          <w:szCs w:val="21"/>
          <w:highlight w:val="none"/>
        </w:rPr>
      </w:pPr>
      <w:r>
        <w:rPr>
          <w:rFonts w:ascii="仿宋" w:hAnsi="仿宋" w:eastAsia="仿宋" w:cs="宋体"/>
          <w:bCs/>
          <w:snapToGrid w:val="0"/>
          <w:color w:val="auto"/>
          <w:kern w:val="0"/>
          <w:sz w:val="24"/>
          <w:szCs w:val="21"/>
          <w:highlight w:val="none"/>
        </w:rPr>
        <w:t>2.3.1开标一览表（报价表）；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2.3.2中小企业声明函</w:t>
      </w:r>
      <w:r>
        <w:rPr>
          <w:rFonts w:hint="eastAsia" w:ascii="仿宋" w:hAnsi="仿宋" w:eastAsia="仿宋" w:cs="仿宋_GB2312"/>
          <w:color w:val="auto"/>
          <w:sz w:val="24"/>
          <w:highlight w:val="none"/>
        </w:rPr>
        <w:t>（如果有）。</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3、我方承诺除商务技术偏离表列出的偏离外，我方响应采购文件的全部要求。</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4、如我方中标，我方承诺：</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4.3在合同约定的期限内完成合同规定的全部义务。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5、其他补充说明:</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p>
      <w:pPr>
        <w:snapToGrid w:val="0"/>
        <w:spacing w:line="360" w:lineRule="auto"/>
        <w:ind w:firstLine="3600" w:firstLineChars="1500"/>
        <w:rPr>
          <w:rFonts w:ascii="仿宋" w:hAnsi="仿宋" w:eastAsia="仿宋" w:cs="仿宋_GB2312"/>
          <w:color w:val="auto"/>
          <w:sz w:val="24"/>
          <w:highlight w:val="none"/>
        </w:rPr>
      </w:pPr>
    </w:p>
    <w:p>
      <w:pPr>
        <w:snapToGrid w:val="0"/>
        <w:spacing w:line="360" w:lineRule="auto"/>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投标人名称(电子签名)：</w:t>
      </w:r>
      <w:r>
        <w:rPr>
          <w:rFonts w:ascii="仿宋" w:hAnsi="仿宋" w:eastAsia="仿宋" w:cs="仿宋_GB2312"/>
          <w:color w:val="auto"/>
          <w:sz w:val="24"/>
          <w:highlight w:val="none"/>
        </w:rPr>
        <w:t xml:space="preserve">                          </w:t>
      </w:r>
    </w:p>
    <w:p>
      <w:pPr>
        <w:snapToGrid w:val="0"/>
        <w:spacing w:line="360" w:lineRule="auto"/>
        <w:jc w:val="center"/>
        <w:rPr>
          <w:rFonts w:ascii="仿宋" w:hAnsi="仿宋" w:eastAsia="仿宋" w:cs="仿宋_GB2312"/>
          <w:color w:val="auto"/>
          <w:kern w:val="0"/>
          <w:sz w:val="24"/>
          <w:highlight w:val="none"/>
          <w:u w:val="single"/>
          <w:lang w:val="zh-CN"/>
        </w:rPr>
      </w:pPr>
      <w:r>
        <w:rPr>
          <w:rFonts w:ascii="仿宋" w:hAnsi="仿宋" w:eastAsia="仿宋" w:cs="仿宋_GB2312"/>
          <w:color w:val="auto"/>
          <w:sz w:val="24"/>
          <w:highlight w:val="none"/>
        </w:rPr>
        <w:t xml:space="preserve">            日期：  年   月   日</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pStyle w:val="5"/>
        <w:tabs>
          <w:tab w:val="left" w:pos="432"/>
          <w:tab w:val="clear" w:pos="900"/>
        </w:tabs>
        <w:jc w:val="center"/>
        <w:rPr>
          <w:rStyle w:val="988"/>
          <w:rFonts w:ascii="仿宋" w:hAnsi="仿宋" w:eastAsia="仿宋"/>
          <w:color w:val="auto"/>
          <w:highlight w:val="none"/>
          <w:lang w:val="en-US"/>
        </w:rPr>
      </w:pPr>
      <w:bookmarkStart w:id="760" w:name="_Toc16025"/>
      <w:bookmarkStart w:id="761" w:name="_Toc15176"/>
      <w:bookmarkStart w:id="762" w:name="_Toc7133"/>
      <w:bookmarkStart w:id="763" w:name="_Toc868246037"/>
      <w:bookmarkStart w:id="764" w:name="_Toc3251"/>
      <w:bookmarkStart w:id="765" w:name="_Toc28498"/>
      <w:bookmarkStart w:id="766" w:name="_Toc95313015"/>
      <w:bookmarkStart w:id="767" w:name="_Toc23100"/>
      <w:r>
        <w:rPr>
          <w:rStyle w:val="988"/>
          <w:rFonts w:hint="eastAsia" w:ascii="仿宋" w:hAnsi="仿宋" w:eastAsia="仿宋"/>
          <w:color w:val="auto"/>
          <w:highlight w:val="none"/>
          <w:lang w:val="en-US"/>
        </w:rPr>
        <w:t>二、授权委托书</w:t>
      </w:r>
      <w:bookmarkEnd w:id="760"/>
      <w:bookmarkEnd w:id="761"/>
      <w:bookmarkEnd w:id="762"/>
      <w:bookmarkEnd w:id="763"/>
      <w:bookmarkEnd w:id="764"/>
      <w:bookmarkEnd w:id="765"/>
      <w:bookmarkEnd w:id="766"/>
      <w:bookmarkEnd w:id="767"/>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p>
    <w:p>
      <w:pPr>
        <w:snapToGrid w:val="0"/>
        <w:spacing w:line="360" w:lineRule="auto"/>
        <w:jc w:val="center"/>
        <w:rPr>
          <w:rFonts w:ascii="仿宋" w:hAnsi="仿宋" w:eastAsia="仿宋"/>
          <w:color w:val="auto"/>
          <w:sz w:val="28"/>
          <w:szCs w:val="28"/>
          <w:highlight w:val="none"/>
        </w:rPr>
      </w:pPr>
      <w:r>
        <w:rPr>
          <w:rFonts w:hint="eastAsia" w:ascii="仿宋" w:hAnsi="仿宋" w:eastAsia="仿宋" w:cs="仿宋_GB2312"/>
          <w:b/>
          <w:color w:val="auto"/>
          <w:kern w:val="0"/>
          <w:sz w:val="28"/>
          <w:szCs w:val="28"/>
          <w:highlight w:val="none"/>
          <w:lang w:val="zh-CN"/>
        </w:rPr>
        <w:t>授权委托书（适用于非联合体投标）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杭州市公路与港航管理服务中心、浙江省成套招标代理有限公司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lang w:eastAsia="zh-CN"/>
        </w:rPr>
        <w:t>杭州市交通运输局交通强国示范城市数字交通建设试点项目（二期）</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CTZB-2022090046</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jc w:val="center"/>
        <w:rPr>
          <w:rFonts w:ascii="仿宋" w:hAnsi="仿宋" w:eastAsia="仿宋" w:cs="仿宋_GB2312"/>
          <w:b/>
          <w:color w:val="auto"/>
          <w:kern w:val="0"/>
          <w:sz w:val="28"/>
          <w:szCs w:val="28"/>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r>
        <w:rPr>
          <w:rFonts w:hint="eastAsia" w:ascii="仿宋" w:hAnsi="仿宋" w:eastAsia="仿宋" w:cs="仿宋_GB2312"/>
          <w:b/>
          <w:color w:val="auto"/>
          <w:kern w:val="0"/>
          <w:sz w:val="28"/>
          <w:szCs w:val="28"/>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杭州市公路与港航管理服务中心、浙江省成套招标代理有限公司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lang w:eastAsia="zh-CN"/>
        </w:rPr>
        <w:t>杭州市交通运输局交通强国示范城市数字交通建设试点项目（二期）</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CTZB-2022090046</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pStyle w:val="5"/>
        <w:tabs>
          <w:tab w:val="left" w:pos="432"/>
          <w:tab w:val="clear" w:pos="900"/>
        </w:tabs>
        <w:jc w:val="center"/>
        <w:rPr>
          <w:rStyle w:val="988"/>
          <w:rFonts w:ascii="仿宋" w:hAnsi="仿宋" w:eastAsia="仿宋"/>
          <w:color w:val="auto"/>
          <w:highlight w:val="none"/>
          <w:lang w:val="en-US"/>
        </w:rPr>
      </w:pPr>
      <w:bookmarkStart w:id="768" w:name="_Toc8294"/>
      <w:bookmarkStart w:id="769" w:name="_Toc26804"/>
      <w:bookmarkStart w:id="770" w:name="_Toc24687"/>
      <w:bookmarkStart w:id="771" w:name="_Toc11524"/>
      <w:bookmarkStart w:id="772" w:name="_Toc459762494"/>
      <w:r>
        <w:rPr>
          <w:rStyle w:val="988"/>
          <w:rFonts w:hint="eastAsia" w:ascii="仿宋" w:hAnsi="仿宋" w:eastAsia="仿宋"/>
          <w:color w:val="auto"/>
          <w:highlight w:val="none"/>
          <w:lang w:val="en-US"/>
        </w:rPr>
        <w:t>三、法定代表人和授权委托代表的有效身份证复印件</w:t>
      </w:r>
      <w:bookmarkEnd w:id="768"/>
      <w:bookmarkEnd w:id="769"/>
      <w:bookmarkEnd w:id="770"/>
      <w:bookmarkEnd w:id="771"/>
      <w:bookmarkEnd w:id="772"/>
    </w:p>
    <w:p>
      <w:pPr>
        <w:pStyle w:val="177"/>
        <w:adjustRightInd w:val="0"/>
        <w:snapToGrid w:val="0"/>
        <w:spacing w:line="360" w:lineRule="auto"/>
        <w:rPr>
          <w:rFonts w:ascii="仿宋" w:hAnsi="仿宋" w:eastAsia="仿宋"/>
          <w:bCs/>
          <w:color w:val="auto"/>
          <w:sz w:val="24"/>
          <w:szCs w:val="24"/>
          <w:highlight w:val="none"/>
        </w:rPr>
      </w:pPr>
      <w:r>
        <w:rPr>
          <w:rFonts w:hint="eastAsia" w:ascii="仿宋" w:hAnsi="仿宋" w:eastAsia="仿宋" w:cs="宋体"/>
          <w:color w:val="auto"/>
          <w:sz w:val="24"/>
          <w:highlight w:val="none"/>
          <w:lang w:val="zh-CN"/>
        </w:rPr>
        <w:t>法定代表人和授权委托代表的有效身份证扫描件</w:t>
      </w:r>
      <w:r>
        <w:rPr>
          <w:rFonts w:ascii="仿宋" w:hAnsi="仿宋" w:eastAsia="仿宋" w:cs="宋体"/>
          <w:color w:val="auto"/>
          <w:sz w:val="24"/>
          <w:highlight w:val="none"/>
          <w:lang w:val="zh-CN"/>
        </w:rPr>
        <w:t xml:space="preserve"> (法定代表人直接参加投标并对相应文件签字的，只需提供前者)</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7"/>
              <w:adjustRightInd w:val="0"/>
              <w:snapToGri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w:t>
            </w:r>
            <w:r>
              <w:rPr>
                <w:rFonts w:ascii="仿宋" w:hAnsi="仿宋" w:eastAsia="仿宋"/>
                <w:bCs/>
                <w:color w:val="auto"/>
                <w:sz w:val="24"/>
                <w:highlight w:val="none"/>
              </w:rPr>
              <w:t xml:space="preserve">                                 </w:t>
            </w:r>
            <w:r>
              <w:rPr>
                <w:rFonts w:hint="eastAsia" w:ascii="仿宋" w:hAnsi="仿宋" w:eastAsia="仿宋"/>
                <w:bCs/>
                <w:color w:val="auto"/>
                <w:sz w:val="24"/>
                <w:highlight w:val="none"/>
              </w:rPr>
              <w:t>反面：</w:t>
            </w:r>
          </w:p>
          <w:p>
            <w:pPr>
              <w:pStyle w:val="177"/>
              <w:adjustRightInd w:val="0"/>
              <w:snapToGri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w:t>
      </w: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napToGrid w:val="0"/>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pStyle w:val="5"/>
        <w:tabs>
          <w:tab w:val="left" w:pos="432"/>
          <w:tab w:val="clear" w:pos="900"/>
        </w:tabs>
        <w:jc w:val="center"/>
        <w:rPr>
          <w:rStyle w:val="988"/>
          <w:rFonts w:ascii="仿宋" w:hAnsi="仿宋" w:eastAsia="仿宋"/>
          <w:color w:val="auto"/>
          <w:highlight w:val="none"/>
          <w:lang w:val="en-US"/>
        </w:rPr>
      </w:pPr>
      <w:bookmarkStart w:id="773" w:name="_Toc5373"/>
      <w:bookmarkStart w:id="774" w:name="_Toc13656"/>
      <w:bookmarkStart w:id="775" w:name="_Toc95313016"/>
      <w:bookmarkStart w:id="776" w:name="_Toc10331"/>
      <w:bookmarkStart w:id="777" w:name="_Toc582074752"/>
      <w:bookmarkStart w:id="778" w:name="_Toc29937"/>
      <w:bookmarkStart w:id="779" w:name="_Toc9974"/>
      <w:bookmarkStart w:id="780" w:name="_Toc28197"/>
      <w:r>
        <w:rPr>
          <w:rStyle w:val="988"/>
          <w:rFonts w:ascii="仿宋" w:hAnsi="仿宋" w:eastAsia="仿宋"/>
          <w:color w:val="auto"/>
          <w:highlight w:val="none"/>
          <w:lang w:val="en-US"/>
        </w:rPr>
        <w:t>四、</w:t>
      </w:r>
      <w:r>
        <w:rPr>
          <w:rStyle w:val="988"/>
          <w:rFonts w:hint="eastAsia" w:ascii="仿宋" w:hAnsi="仿宋" w:eastAsia="仿宋"/>
          <w:color w:val="auto"/>
          <w:highlight w:val="none"/>
          <w:lang w:val="en-US"/>
        </w:rPr>
        <w:t>分包意向协议</w:t>
      </w:r>
      <w:bookmarkEnd w:id="773"/>
      <w:bookmarkEnd w:id="774"/>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（成交后以分包方式履行合同的，提供分包意向协议</w:t>
      </w:r>
      <w:r>
        <w:rPr>
          <w:rFonts w:ascii="仿宋" w:hAnsi="仿宋" w:eastAsia="仿宋" w:cs="仿宋"/>
          <w:b/>
          <w:bCs/>
          <w:color w:val="auto"/>
          <w:sz w:val="24"/>
          <w:highlight w:val="none"/>
        </w:rPr>
        <w:t>；供应商成交后不以分包方式履行合同的，则不需要提供。）</w:t>
      </w:r>
    </w:p>
    <w:p>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（项目名称）【项目编号：】</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r>
        <w:rPr>
          <w:rFonts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ascii="仿宋" w:hAnsi="仿宋" w:eastAsia="仿宋" w:cs="仿宋"/>
          <w:color w:val="auto"/>
          <w:kern w:val="0"/>
          <w:sz w:val="24"/>
          <w:highlight w:val="none"/>
          <w:u w:val="single"/>
        </w:rPr>
        <w:t>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ascii="仿宋" w:hAnsi="仿宋" w:eastAsia="仿宋" w:cs="仿宋"/>
          <w:color w:val="auto"/>
          <w:kern w:val="0"/>
          <w:sz w:val="24"/>
          <w:highlight w:val="none"/>
          <w:u w:val="single"/>
        </w:rPr>
        <w:t>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tabs>
          <w:tab w:val="left" w:pos="432"/>
          <w:tab w:val="left" w:pos="864"/>
          <w:tab w:val="left" w:pos="900"/>
        </w:tabs>
        <w:ind w:left="664" w:leftChars="316" w:firstLine="228" w:firstLineChars="95"/>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ascii="仿宋" w:hAnsi="仿宋" w:eastAsia="仿宋" w:cs="仿宋"/>
          <w:b/>
          <w:color w:val="auto"/>
          <w:kern w:val="0"/>
          <w:sz w:val="24"/>
          <w:highlight w:val="none"/>
          <w:lang w:val="zh-CN"/>
        </w:rPr>
      </w:pP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w:t>
      </w:r>
      <w:r>
        <w:rPr>
          <w:rFonts w:ascii="仿宋" w:hAnsi="仿宋" w:eastAsia="仿宋" w:cs="仿宋"/>
          <w:color w:val="auto"/>
          <w:kern w:val="0"/>
          <w:sz w:val="24"/>
          <w:highlight w:val="none"/>
          <w:u w:val="single"/>
        </w:rPr>
        <w:t>X,……）提供的服务全部由小微企业承接，</w:t>
      </w:r>
      <w:r>
        <w:rPr>
          <w:rFonts w:hint="eastAsia" w:ascii="仿宋" w:hAnsi="仿宋" w:eastAsia="仿宋" w:cs="仿宋"/>
          <w:color w:val="auto"/>
          <w:kern w:val="0"/>
          <w:sz w:val="24"/>
          <w:highlight w:val="none"/>
        </w:rPr>
        <w:t>其合同份额占到合同总金额</w:t>
      </w:r>
      <w:r>
        <w:rPr>
          <w:rFonts w:ascii="仿宋" w:hAnsi="仿宋" w:eastAsia="仿宋" w:cs="仿宋"/>
          <w:color w:val="auto"/>
          <w:kern w:val="0"/>
          <w:sz w:val="24"/>
          <w:highlight w:val="none"/>
        </w:rPr>
        <w:t xml:space="preserve"> %以上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w:t>
      </w:r>
      <w:r>
        <w:rPr>
          <w:rFonts w:ascii="仿宋" w:hAnsi="仿宋" w:eastAsia="仿宋" w:cs="仿宋"/>
          <w:b/>
          <w:color w:val="auto"/>
          <w:kern w:val="0"/>
          <w:sz w:val="24"/>
          <w:highlight w:val="none"/>
          <w:lang w:val="zh-CN"/>
        </w:rPr>
        <w:t>30%以上的，对大中型企业的报价给予</w:t>
      </w:r>
      <w:r>
        <w:rPr>
          <w:rFonts w:ascii="仿宋" w:hAnsi="仿宋" w:eastAsia="仿宋" w:cs="仿宋"/>
          <w:b/>
          <w:color w:val="auto"/>
          <w:kern w:val="0"/>
          <w:sz w:val="24"/>
          <w:highlight w:val="none"/>
        </w:rPr>
        <w:t>6</w:t>
      </w:r>
      <w:r>
        <w:rPr>
          <w:rFonts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ascii="仿宋" w:hAnsi="仿宋" w:eastAsia="仿宋" w:cs="仿宋"/>
          <w:color w:val="auto"/>
          <w:sz w:val="24"/>
          <w:highlight w:val="none"/>
        </w:rPr>
        <w:t>2、中小企业合同金额达到 %，小微企业合同金额达到 %</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要求合同分包形式参加的项目或采购包，供应商按采购文件第一部分采购公告申请人的资格要求中规定的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宋体"/>
          <w:color w:val="auto"/>
          <w:highlight w:val="none"/>
          <w:u w:val="single"/>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宋体"/>
          <w:color w:val="auto"/>
          <w:highlight w:val="none"/>
          <w:u w:val="single"/>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firstLine="576"/>
        <w:rPr>
          <w:rFonts w:ascii="仿宋" w:hAnsi="仿宋" w:eastAsia="仿宋" w:cs="宋体"/>
          <w:color w:val="auto"/>
          <w:highlight w:val="none"/>
          <w:u w:val="single"/>
        </w:rPr>
      </w:pP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宋体"/>
          <w:color w:val="auto"/>
          <w:highlight w:val="none"/>
          <w:u w:val="single"/>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ascii="仿宋" w:hAnsi="仿宋" w:eastAsia="仿宋" w:cs="宋体"/>
          <w:color w:val="auto"/>
          <w:highlight w:val="none"/>
          <w:u w:val="single"/>
        </w:rPr>
      </w:pP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 xml:space="preserve">                                         供应商名称(电子签名)：</w:t>
      </w:r>
    </w:p>
    <w:p>
      <w:pPr>
        <w:snapToGrid w:val="0"/>
        <w:spacing w:line="360" w:lineRule="auto"/>
        <w:ind w:firstLine="4560" w:firstLineChars="19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r>
        <w:rPr>
          <w:rFonts w:ascii="仿宋" w:hAnsi="仿宋" w:eastAsia="仿宋" w:cs="宋体"/>
          <w:color w:val="auto"/>
          <w:kern w:val="0"/>
          <w:sz w:val="24"/>
          <w:highlight w:val="none"/>
          <w:lang w:val="zh-CN"/>
        </w:rPr>
        <w:t>(电子签名/公章)：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autoSpaceDE w:val="0"/>
        <w:autoSpaceDN w:val="0"/>
        <w:jc w:val="center"/>
        <w:rPr>
          <w:rFonts w:ascii="仿宋" w:hAnsi="仿宋" w:eastAsia="仿宋" w:cs="仿宋"/>
          <w:b/>
          <w:color w:val="auto"/>
          <w:spacing w:val="6"/>
          <w:sz w:val="32"/>
          <w:szCs w:val="32"/>
          <w:highlight w:val="none"/>
        </w:rPr>
      </w:pPr>
      <w:r>
        <w:rPr>
          <w:rFonts w:ascii="仿宋" w:hAnsi="仿宋" w:eastAsia="仿宋" w:cs="仿宋"/>
          <w:color w:val="auto"/>
          <w:kern w:val="0"/>
          <w:sz w:val="24"/>
          <w:highlight w:val="none"/>
          <w:lang w:val="zh-CN"/>
        </w:rPr>
        <w:t xml:space="preserve">                                        日期：  年  月   日</w:t>
      </w:r>
    </w:p>
    <w:p>
      <w:pPr>
        <w:pStyle w:val="5"/>
        <w:tabs>
          <w:tab w:val="left" w:pos="432"/>
          <w:tab w:val="clear" w:pos="900"/>
        </w:tabs>
        <w:jc w:val="center"/>
        <w:rPr>
          <w:rStyle w:val="988"/>
          <w:rFonts w:ascii="仿宋" w:hAnsi="仿宋" w:eastAsia="仿宋"/>
          <w:color w:val="auto"/>
          <w:highlight w:val="none"/>
          <w:lang w:val="en-US"/>
        </w:rPr>
      </w:pPr>
    </w:p>
    <w:p>
      <w:pPr>
        <w:pStyle w:val="5"/>
        <w:tabs>
          <w:tab w:val="left" w:pos="432"/>
          <w:tab w:val="clear" w:pos="900"/>
        </w:tabs>
        <w:jc w:val="center"/>
        <w:rPr>
          <w:rStyle w:val="988"/>
          <w:rFonts w:ascii="仿宋" w:hAnsi="仿宋" w:eastAsia="仿宋"/>
          <w:color w:val="auto"/>
          <w:highlight w:val="none"/>
          <w:lang w:val="en-US"/>
        </w:rPr>
      </w:pPr>
      <w:bookmarkStart w:id="781" w:name="_Toc10798"/>
      <w:bookmarkStart w:id="782" w:name="_Toc8391"/>
      <w:r>
        <w:rPr>
          <w:rStyle w:val="988"/>
          <w:rFonts w:hint="eastAsia" w:ascii="仿宋" w:hAnsi="仿宋" w:eastAsia="仿宋"/>
          <w:color w:val="auto"/>
          <w:highlight w:val="none"/>
          <w:lang w:val="en-US"/>
        </w:rPr>
        <w:t>五、公司情况介绍</w:t>
      </w:r>
      <w:bookmarkEnd w:id="775"/>
      <w:bookmarkEnd w:id="776"/>
      <w:bookmarkEnd w:id="777"/>
      <w:bookmarkEnd w:id="778"/>
      <w:bookmarkEnd w:id="779"/>
      <w:bookmarkEnd w:id="780"/>
      <w:bookmarkEnd w:id="781"/>
      <w:bookmarkEnd w:id="782"/>
    </w:p>
    <w:p>
      <w:pPr>
        <w:pStyle w:val="5"/>
        <w:tabs>
          <w:tab w:val="left" w:pos="432"/>
          <w:tab w:val="clear" w:pos="900"/>
        </w:tabs>
        <w:jc w:val="center"/>
        <w:rPr>
          <w:rStyle w:val="988"/>
          <w:rFonts w:ascii="仿宋" w:hAnsi="仿宋" w:eastAsia="仿宋"/>
          <w:color w:val="auto"/>
          <w:highlight w:val="none"/>
          <w:lang w:val="en-US"/>
        </w:rPr>
      </w:pPr>
      <w:bookmarkStart w:id="783" w:name="_Toc95313017"/>
      <w:bookmarkStart w:id="784" w:name="_Toc16359"/>
      <w:bookmarkStart w:id="785" w:name="_Toc549"/>
      <w:bookmarkStart w:id="786" w:name="_Toc9447"/>
      <w:bookmarkStart w:id="787" w:name="_Toc7852"/>
      <w:bookmarkStart w:id="788" w:name="_Toc32164"/>
      <w:bookmarkStart w:id="789" w:name="_Toc1142344779"/>
      <w:bookmarkStart w:id="790" w:name="_Toc15640"/>
      <w:r>
        <w:rPr>
          <w:rStyle w:val="988"/>
          <w:rFonts w:hint="eastAsia" w:ascii="仿宋" w:hAnsi="仿宋" w:eastAsia="仿宋"/>
          <w:color w:val="auto"/>
          <w:highlight w:val="none"/>
          <w:lang w:val="en-US"/>
        </w:rPr>
        <w:t>六、供应商成功案例</w:t>
      </w:r>
      <w:bookmarkEnd w:id="783"/>
      <w:bookmarkEnd w:id="784"/>
      <w:bookmarkEnd w:id="785"/>
      <w:bookmarkEnd w:id="786"/>
      <w:bookmarkEnd w:id="787"/>
      <w:bookmarkEnd w:id="788"/>
      <w:bookmarkEnd w:id="789"/>
      <w:bookmarkEnd w:id="790"/>
    </w:p>
    <w:p>
      <w:pPr>
        <w:pStyle w:val="5"/>
        <w:tabs>
          <w:tab w:val="left" w:pos="432"/>
          <w:tab w:val="clear" w:pos="900"/>
        </w:tabs>
        <w:jc w:val="center"/>
        <w:rPr>
          <w:rStyle w:val="988"/>
          <w:rFonts w:ascii="仿宋" w:hAnsi="仿宋" w:eastAsia="仿宋"/>
          <w:color w:val="auto"/>
          <w:highlight w:val="none"/>
          <w:lang w:val="en-US"/>
        </w:rPr>
      </w:pPr>
      <w:bookmarkStart w:id="791" w:name="_Toc6462"/>
      <w:bookmarkStart w:id="792" w:name="_Toc2706"/>
      <w:bookmarkStart w:id="793" w:name="_Toc884896473"/>
      <w:bookmarkStart w:id="794" w:name="_Toc95313018"/>
      <w:bookmarkStart w:id="795" w:name="_Toc32544"/>
      <w:bookmarkStart w:id="796" w:name="_Toc4043"/>
      <w:bookmarkStart w:id="797" w:name="_Toc9921"/>
      <w:bookmarkStart w:id="798" w:name="_Toc2650"/>
      <w:r>
        <w:rPr>
          <w:rStyle w:val="988"/>
          <w:rFonts w:hint="eastAsia" w:ascii="仿宋" w:hAnsi="仿宋" w:eastAsia="仿宋"/>
          <w:color w:val="auto"/>
          <w:highlight w:val="none"/>
          <w:lang w:val="en-US"/>
        </w:rPr>
        <w:t>七、相关资质文件（如有）</w:t>
      </w:r>
      <w:bookmarkEnd w:id="791"/>
      <w:bookmarkEnd w:id="792"/>
      <w:bookmarkEnd w:id="793"/>
      <w:bookmarkEnd w:id="794"/>
      <w:bookmarkEnd w:id="795"/>
      <w:bookmarkEnd w:id="796"/>
      <w:bookmarkEnd w:id="797"/>
      <w:bookmarkEnd w:id="798"/>
    </w:p>
    <w:p>
      <w:pPr>
        <w:pStyle w:val="5"/>
        <w:tabs>
          <w:tab w:val="left" w:pos="432"/>
          <w:tab w:val="clear" w:pos="900"/>
        </w:tabs>
        <w:jc w:val="center"/>
        <w:rPr>
          <w:rStyle w:val="988"/>
          <w:rFonts w:ascii="仿宋" w:hAnsi="仿宋" w:eastAsia="仿宋"/>
          <w:color w:val="auto"/>
          <w:highlight w:val="none"/>
          <w:lang w:val="en-US"/>
        </w:rPr>
      </w:pPr>
      <w:bookmarkStart w:id="799" w:name="_Toc95313019"/>
      <w:bookmarkStart w:id="800" w:name="_Toc7479"/>
      <w:bookmarkStart w:id="801" w:name="_Toc11724"/>
      <w:bookmarkStart w:id="802" w:name="_Toc8911"/>
      <w:bookmarkStart w:id="803" w:name="_Toc16172"/>
      <w:bookmarkStart w:id="804" w:name="_Toc12619"/>
      <w:bookmarkStart w:id="805" w:name="_Toc17051"/>
      <w:bookmarkStart w:id="806" w:name="_Toc1130766236"/>
      <w:r>
        <w:rPr>
          <w:rStyle w:val="988"/>
          <w:rFonts w:hint="eastAsia" w:ascii="仿宋" w:hAnsi="仿宋" w:eastAsia="仿宋"/>
          <w:color w:val="auto"/>
          <w:highlight w:val="none"/>
          <w:lang w:val="en-US"/>
        </w:rPr>
        <w:t>八、供应商应提供针对项目的完整服务解决方案</w:t>
      </w:r>
      <w:bookmarkEnd w:id="799"/>
      <w:bookmarkEnd w:id="800"/>
      <w:bookmarkEnd w:id="801"/>
      <w:bookmarkEnd w:id="802"/>
      <w:bookmarkEnd w:id="803"/>
      <w:bookmarkEnd w:id="804"/>
      <w:bookmarkEnd w:id="805"/>
      <w:bookmarkEnd w:id="806"/>
    </w:p>
    <w:p>
      <w:pPr>
        <w:pStyle w:val="5"/>
        <w:tabs>
          <w:tab w:val="left" w:pos="432"/>
          <w:tab w:val="clear" w:pos="900"/>
        </w:tabs>
        <w:jc w:val="center"/>
        <w:rPr>
          <w:rStyle w:val="988"/>
          <w:rFonts w:ascii="仿宋" w:hAnsi="仿宋" w:eastAsia="仿宋"/>
          <w:color w:val="auto"/>
          <w:highlight w:val="none"/>
          <w:lang w:val="en-US"/>
        </w:rPr>
      </w:pPr>
      <w:bookmarkStart w:id="807" w:name="_Toc95313020"/>
      <w:bookmarkStart w:id="808" w:name="_Toc585"/>
      <w:bookmarkStart w:id="809" w:name="_Toc20862"/>
      <w:bookmarkStart w:id="810" w:name="_Toc1705336149"/>
      <w:bookmarkStart w:id="811" w:name="_Toc12132"/>
      <w:bookmarkStart w:id="812" w:name="_Toc18170"/>
      <w:bookmarkStart w:id="813" w:name="_Toc6456"/>
      <w:bookmarkStart w:id="814" w:name="_Toc18749"/>
      <w:r>
        <w:rPr>
          <w:rStyle w:val="988"/>
          <w:rFonts w:hint="eastAsia" w:ascii="仿宋" w:hAnsi="仿宋" w:eastAsia="仿宋"/>
          <w:color w:val="auto"/>
          <w:highlight w:val="none"/>
          <w:lang w:val="en-US"/>
        </w:rPr>
        <w:t>九、项目组人员介绍、职责分配</w:t>
      </w:r>
      <w:bookmarkEnd w:id="807"/>
      <w:bookmarkEnd w:id="808"/>
      <w:bookmarkEnd w:id="809"/>
      <w:bookmarkEnd w:id="810"/>
      <w:bookmarkEnd w:id="811"/>
      <w:bookmarkEnd w:id="812"/>
      <w:bookmarkEnd w:id="813"/>
      <w:bookmarkEnd w:id="814"/>
    </w:p>
    <w:p>
      <w:pPr>
        <w:snapToGrid w:val="0"/>
        <w:spacing w:line="360" w:lineRule="auto"/>
        <w:rPr>
          <w:rFonts w:ascii="仿宋" w:hAnsi="仿宋" w:eastAsia="仿宋"/>
          <w:color w:val="auto"/>
          <w:highlight w:val="none"/>
        </w:rPr>
      </w:pPr>
    </w:p>
    <w:p>
      <w:pPr>
        <w:snapToGrid w:val="0"/>
        <w:spacing w:line="360" w:lineRule="auto"/>
        <w:jc w:val="center"/>
        <w:rPr>
          <w:rFonts w:ascii="仿宋" w:hAnsi="仿宋" w:eastAsia="仿宋" w:cs="仿宋_GB2312"/>
          <w:b/>
          <w:color w:val="auto"/>
          <w:kern w:val="0"/>
          <w:sz w:val="32"/>
          <w:szCs w:val="32"/>
          <w:highlight w:val="none"/>
        </w:rPr>
      </w:pPr>
    </w:p>
    <w:p>
      <w:pPr>
        <w:pStyle w:val="5"/>
        <w:tabs>
          <w:tab w:val="left" w:pos="432"/>
          <w:tab w:val="clear" w:pos="900"/>
        </w:tabs>
        <w:jc w:val="center"/>
        <w:rPr>
          <w:rStyle w:val="988"/>
          <w:rFonts w:ascii="仿宋" w:hAnsi="仿宋" w:eastAsia="仿宋"/>
          <w:color w:val="auto"/>
          <w:highlight w:val="none"/>
          <w:lang w:val="en-US"/>
        </w:rPr>
      </w:pPr>
      <w:bookmarkStart w:id="815" w:name="_Toc19138"/>
      <w:bookmarkStart w:id="816" w:name="_Toc95313021"/>
      <w:bookmarkStart w:id="817" w:name="_Toc1267903381"/>
      <w:bookmarkStart w:id="818" w:name="_Toc31609"/>
      <w:bookmarkStart w:id="819" w:name="_Toc18936"/>
      <w:bookmarkStart w:id="820" w:name="_Toc14563"/>
      <w:bookmarkStart w:id="821" w:name="_Toc2689"/>
      <w:bookmarkStart w:id="822" w:name="_Toc16667"/>
      <w:r>
        <w:rPr>
          <w:rStyle w:val="988"/>
          <w:rFonts w:hint="eastAsia" w:ascii="仿宋" w:hAnsi="仿宋" w:eastAsia="仿宋"/>
          <w:color w:val="auto"/>
          <w:highlight w:val="none"/>
          <w:lang w:val="en-US"/>
        </w:rPr>
        <w:t>十、商务技术偏离表</w:t>
      </w:r>
      <w:bookmarkEnd w:id="815"/>
      <w:bookmarkEnd w:id="816"/>
      <w:bookmarkEnd w:id="817"/>
      <w:bookmarkEnd w:id="818"/>
      <w:bookmarkEnd w:id="819"/>
      <w:bookmarkEnd w:id="820"/>
      <w:bookmarkEnd w:id="821"/>
      <w:bookmarkEnd w:id="822"/>
    </w:p>
    <w:p>
      <w:pPr>
        <w:snapToGrid w:val="0"/>
        <w:spacing w:line="360" w:lineRule="auto"/>
        <w:jc w:val="center"/>
        <w:rPr>
          <w:rFonts w:ascii="仿宋" w:hAnsi="仿宋" w:eastAsia="仿宋"/>
          <w:b/>
          <w:bCs/>
          <w:color w:val="auto"/>
          <w:sz w:val="24"/>
          <w:highlight w:val="none"/>
        </w:rPr>
      </w:pP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283"/>
        <w:gridCol w:w="316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283"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采购文件章节及具体内容</w:t>
            </w:r>
          </w:p>
        </w:tc>
        <w:tc>
          <w:tcPr>
            <w:tcW w:w="3160"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227"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bl>
    <w:p>
      <w:pPr>
        <w:snapToGrid w:val="0"/>
        <w:spacing w:line="360" w:lineRule="auto"/>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投标人保证：除商务技术偏离表列出的偏离外，投标人响应采购文件的全部要求</w:t>
      </w:r>
    </w:p>
    <w:p>
      <w:pPr>
        <w:pStyle w:val="32"/>
        <w:snapToGrid w:val="0"/>
        <w:spacing w:line="360" w:lineRule="auto"/>
        <w:rPr>
          <w:rFonts w:ascii="仿宋" w:hAnsi="仿宋" w:eastAsia="仿宋" w:cs="宋体"/>
          <w:b/>
          <w:bCs/>
          <w:color w:val="auto"/>
          <w:sz w:val="32"/>
          <w:szCs w:val="32"/>
          <w:highlight w:val="none"/>
        </w:rPr>
      </w:pPr>
    </w:p>
    <w:p>
      <w:pPr>
        <w:pStyle w:val="5"/>
        <w:tabs>
          <w:tab w:val="left" w:pos="432"/>
          <w:tab w:val="clear" w:pos="900"/>
        </w:tabs>
        <w:jc w:val="center"/>
        <w:rPr>
          <w:rStyle w:val="988"/>
          <w:rFonts w:ascii="仿宋" w:hAnsi="仿宋" w:eastAsia="仿宋"/>
          <w:color w:val="auto"/>
          <w:highlight w:val="none"/>
          <w:lang w:val="en-US"/>
        </w:rPr>
      </w:pPr>
      <w:bookmarkStart w:id="823" w:name="_Toc171895286"/>
      <w:bookmarkStart w:id="824" w:name="_Toc23202"/>
      <w:bookmarkStart w:id="825" w:name="_Toc31041"/>
      <w:bookmarkStart w:id="826" w:name="_Toc25986"/>
      <w:bookmarkStart w:id="827" w:name="_Toc19072"/>
      <w:r>
        <w:rPr>
          <w:rStyle w:val="988"/>
          <w:rFonts w:hint="eastAsia" w:ascii="仿宋" w:hAnsi="仿宋" w:eastAsia="仿宋"/>
          <w:color w:val="auto"/>
          <w:highlight w:val="none"/>
          <w:lang w:val="en-US"/>
        </w:rPr>
        <w:t>十一、其他商务技术文件或说明</w:t>
      </w:r>
      <w:bookmarkEnd w:id="823"/>
      <w:bookmarkEnd w:id="824"/>
      <w:bookmarkEnd w:id="825"/>
      <w:bookmarkEnd w:id="826"/>
      <w:bookmarkEnd w:id="827"/>
      <w:bookmarkStart w:id="828" w:name="_Toc14486"/>
      <w:bookmarkStart w:id="829" w:name="_Toc95313022"/>
      <w:bookmarkStart w:id="830" w:name="_Toc685"/>
      <w:bookmarkStart w:id="831" w:name="_Toc678566587"/>
    </w:p>
    <w:p>
      <w:pPr>
        <w:spacing w:line="360" w:lineRule="auto"/>
        <w:rPr>
          <w:rFonts w:ascii="仿宋" w:hAnsi="仿宋" w:eastAsia="仿宋"/>
          <w:color w:val="auto"/>
          <w:highlight w:val="none"/>
        </w:rPr>
      </w:pPr>
    </w:p>
    <w:p>
      <w:pPr>
        <w:tabs>
          <w:tab w:val="left" w:pos="432"/>
        </w:tabs>
        <w:jc w:val="center"/>
        <w:rPr>
          <w:rStyle w:val="988"/>
          <w:rFonts w:ascii="仿宋" w:hAnsi="仿宋" w:eastAsia="仿宋"/>
          <w:color w:val="auto"/>
          <w:highlight w:val="none"/>
          <w:lang w:val="en-US"/>
        </w:rPr>
      </w:pPr>
      <w:bookmarkStart w:id="832" w:name="_Toc7937"/>
    </w:p>
    <w:p>
      <w:pPr>
        <w:tabs>
          <w:tab w:val="left" w:pos="432"/>
        </w:tabs>
        <w:jc w:val="center"/>
        <w:rPr>
          <w:rStyle w:val="988"/>
          <w:rFonts w:ascii="仿宋" w:hAnsi="仿宋" w:eastAsia="仿宋"/>
          <w:color w:val="auto"/>
          <w:highlight w:val="none"/>
          <w:lang w:val="en-US"/>
        </w:rPr>
      </w:pPr>
    </w:p>
    <w:p>
      <w:pPr>
        <w:tabs>
          <w:tab w:val="left" w:pos="432"/>
        </w:tabs>
        <w:jc w:val="center"/>
        <w:rPr>
          <w:rStyle w:val="988"/>
          <w:rFonts w:ascii="仿宋" w:hAnsi="仿宋" w:eastAsia="仿宋"/>
          <w:color w:val="auto"/>
          <w:highlight w:val="none"/>
          <w:lang w:val="en-US"/>
        </w:rPr>
      </w:pPr>
    </w:p>
    <w:p>
      <w:pPr>
        <w:pStyle w:val="5"/>
        <w:tabs>
          <w:tab w:val="left" w:pos="432"/>
          <w:tab w:val="clear" w:pos="900"/>
        </w:tabs>
        <w:jc w:val="center"/>
        <w:rPr>
          <w:rStyle w:val="988"/>
          <w:rFonts w:ascii="仿宋" w:hAnsi="仿宋" w:eastAsia="仿宋"/>
          <w:color w:val="auto"/>
          <w:highlight w:val="none"/>
          <w:lang w:val="en-US"/>
        </w:rPr>
      </w:pPr>
      <w:bookmarkStart w:id="833" w:name="_Toc4425"/>
      <w:bookmarkStart w:id="834" w:name="_Toc17074"/>
      <w:bookmarkStart w:id="835" w:name="_Toc3006"/>
      <w:r>
        <w:rPr>
          <w:rStyle w:val="988"/>
          <w:rFonts w:hint="eastAsia" w:ascii="仿宋" w:hAnsi="仿宋" w:eastAsia="仿宋"/>
          <w:color w:val="auto"/>
          <w:highlight w:val="none"/>
          <w:lang w:val="en-US"/>
        </w:rPr>
        <w:t>十二、政府采购供应商廉洁自律承诺书</w:t>
      </w:r>
      <w:bookmarkEnd w:id="828"/>
      <w:bookmarkEnd w:id="829"/>
      <w:bookmarkEnd w:id="830"/>
      <w:bookmarkEnd w:id="831"/>
      <w:bookmarkEnd w:id="832"/>
      <w:bookmarkEnd w:id="833"/>
      <w:bookmarkEnd w:id="834"/>
      <w:bookmarkEnd w:id="835"/>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杭州市公路与港航管理服务中心、浙江省成套招标代理有限公司</w:t>
      </w:r>
      <w:r>
        <w:rPr>
          <w:rFonts w:hint="eastAsia" w:ascii="仿宋" w:hAnsi="仿宋" w:eastAsia="仿宋" w:cs="仿宋_GB2312"/>
          <w:color w:val="auto"/>
          <w:kern w:val="0"/>
          <w:sz w:val="24"/>
          <w:highlight w:val="none"/>
          <w:lang w:val="zh-CN"/>
        </w:rPr>
        <w:t>：</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五、不为项目有关人员个人装修住房、婚丧嫁娶、配偶子女工作安排等提供好处；</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六、严格遵守《中华人民共和国政府采购法》《中华人民共和国招标投标</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法》《中华人民共和国民法典》等法律法规，诚实守信，合法经营，坚决抵制各种违法违纪行为。</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进行项目建设或其他经营活动，并通报市财政局。由此引起的相应损失均由我单位承担。</w:t>
      </w: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ind w:right="-197" w:rightChars="-94" w:firstLine="5760" w:firstLineChars="24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投标人名称(电子签名)：</w:t>
      </w:r>
      <w:r>
        <w:rPr>
          <w:rFonts w:ascii="仿宋" w:hAnsi="仿宋" w:eastAsia="仿宋" w:cs="仿宋_GB2312"/>
          <w:color w:val="auto"/>
          <w:kern w:val="0"/>
          <w:sz w:val="24"/>
          <w:highlight w:val="none"/>
          <w:lang w:val="zh-CN"/>
        </w:rPr>
        <w:t xml:space="preserve">                                                                                                                                                                                                               </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pPr>
        <w:snapToGrid w:val="0"/>
        <w:spacing w:line="360" w:lineRule="auto"/>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pStyle w:val="4"/>
        <w:jc w:val="center"/>
        <w:rPr>
          <w:rFonts w:ascii="仿宋" w:hAnsi="仿宋" w:eastAsia="仿宋"/>
          <w:color w:val="auto"/>
          <w:szCs w:val="28"/>
          <w:highlight w:val="none"/>
        </w:rPr>
      </w:pPr>
      <w:bookmarkStart w:id="836" w:name="_Toc28502"/>
      <w:bookmarkStart w:id="837" w:name="_Toc1530462139"/>
      <w:bookmarkStart w:id="838" w:name="_Toc25434"/>
      <w:bookmarkStart w:id="839" w:name="_Toc13284"/>
      <w:bookmarkStart w:id="840" w:name="_Toc7258"/>
      <w:bookmarkStart w:id="841" w:name="_Toc5356"/>
      <w:bookmarkStart w:id="842" w:name="_Toc95313023"/>
      <w:bookmarkStart w:id="843" w:name="_Toc20550"/>
      <w:r>
        <w:rPr>
          <w:rFonts w:hint="eastAsia" w:ascii="仿宋" w:hAnsi="仿宋" w:eastAsia="仿宋"/>
          <w:color w:val="auto"/>
          <w:szCs w:val="28"/>
          <w:highlight w:val="none"/>
        </w:rPr>
        <w:t>报价文件部分</w:t>
      </w:r>
      <w:bookmarkEnd w:id="836"/>
      <w:bookmarkEnd w:id="837"/>
      <w:bookmarkEnd w:id="838"/>
      <w:bookmarkEnd w:id="839"/>
      <w:bookmarkEnd w:id="840"/>
      <w:bookmarkEnd w:id="841"/>
      <w:bookmarkEnd w:id="842"/>
      <w:bookmarkEnd w:id="843"/>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pStyle w:val="276"/>
        <w:snapToGrid w:val="0"/>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（1）</w:t>
      </w:r>
      <w:r>
        <w:rPr>
          <w:rFonts w:ascii="仿宋" w:hAnsi="仿宋" w:eastAsia="仿宋" w:cs="仿宋_GB2312"/>
          <w:color w:val="auto"/>
          <w:highlight w:val="none"/>
        </w:rPr>
        <w:t>开标一览表（报价表）……</w:t>
      </w:r>
      <w:r>
        <w:rPr>
          <w:rFonts w:hint="eastAsia" w:ascii="仿宋" w:hAnsi="仿宋" w:eastAsia="仿宋" w:cs="仿宋_GB2312"/>
          <w:color w:val="auto"/>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highlight w:val="none"/>
        </w:rPr>
        <w:t>（2）</w:t>
      </w:r>
      <w:r>
        <w:rPr>
          <w:rFonts w:ascii="仿宋" w:hAnsi="仿宋" w:eastAsia="仿宋" w:cs="仿宋_GB2312"/>
          <w:color w:val="auto"/>
          <w:sz w:val="24"/>
          <w:highlight w:val="none"/>
        </w:rPr>
        <w:t>中小企业声明函……</w:t>
      </w:r>
      <w:r>
        <w:rPr>
          <w:rFonts w:hint="eastAsia" w:ascii="仿宋" w:hAnsi="仿宋" w:eastAsia="仿宋" w:cs="仿宋_GB2312"/>
          <w:color w:val="auto"/>
          <w:sz w:val="24"/>
          <w:highlight w:val="none"/>
        </w:rPr>
        <w:t>……………………………………………………（页码）</w:t>
      </w: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pStyle w:val="693"/>
        <w:keepNext w:val="0"/>
        <w:pageBreakBefore w:val="0"/>
        <w:tabs>
          <w:tab w:val="clear" w:pos="720"/>
        </w:tabs>
        <w:snapToGrid w:val="0"/>
        <w:ind w:firstLine="643"/>
        <w:outlineLvl w:val="9"/>
        <w:rPr>
          <w:rFonts w:ascii="仿宋" w:hAnsi="仿宋" w:eastAsia="仿宋" w:cs="仿宋_GB2312"/>
          <w:color w:val="auto"/>
          <w:kern w:val="2"/>
          <w:sz w:val="32"/>
          <w:szCs w:val="32"/>
          <w:highlight w:val="none"/>
        </w:rPr>
        <w:sectPr>
          <w:footerReference r:id="rId6" w:type="default"/>
          <w:pgSz w:w="11906" w:h="16838"/>
          <w:pgMar w:top="1440" w:right="1800" w:bottom="1440" w:left="1800" w:header="851" w:footer="992" w:gutter="0"/>
          <w:cols w:space="720" w:num="1"/>
          <w:docGrid w:linePitch="312" w:charSpace="0"/>
        </w:sectPr>
      </w:pPr>
    </w:p>
    <w:p>
      <w:pPr>
        <w:pStyle w:val="5"/>
        <w:tabs>
          <w:tab w:val="left" w:pos="432"/>
          <w:tab w:val="clear" w:pos="900"/>
        </w:tabs>
        <w:jc w:val="center"/>
        <w:rPr>
          <w:rStyle w:val="988"/>
          <w:rFonts w:ascii="仿宋" w:hAnsi="仿宋" w:eastAsia="仿宋"/>
          <w:color w:val="auto"/>
          <w:highlight w:val="none"/>
          <w:lang w:val="en-US"/>
        </w:rPr>
      </w:pPr>
      <w:bookmarkStart w:id="844" w:name="_Toc4493"/>
      <w:bookmarkStart w:id="845" w:name="_Toc2065530054"/>
      <w:bookmarkStart w:id="846" w:name="_Toc25121"/>
      <w:bookmarkStart w:id="847" w:name="_Toc29369"/>
      <w:bookmarkStart w:id="848" w:name="_Toc8989"/>
      <w:bookmarkStart w:id="849" w:name="_Toc3207"/>
      <w:bookmarkStart w:id="850" w:name="_Toc4170"/>
      <w:bookmarkStart w:id="851" w:name="_Toc95313024"/>
      <w:r>
        <w:rPr>
          <w:rStyle w:val="988"/>
          <w:rFonts w:hint="eastAsia" w:ascii="仿宋" w:hAnsi="仿宋" w:eastAsia="仿宋"/>
          <w:color w:val="auto"/>
          <w:highlight w:val="none"/>
          <w:lang w:val="en-US"/>
        </w:rPr>
        <w:t>一、开标一览表（报价表）</w:t>
      </w:r>
      <w:bookmarkEnd w:id="844"/>
      <w:bookmarkEnd w:id="845"/>
      <w:bookmarkEnd w:id="846"/>
      <w:bookmarkEnd w:id="847"/>
      <w:bookmarkEnd w:id="848"/>
      <w:bookmarkEnd w:id="849"/>
      <w:bookmarkEnd w:id="850"/>
      <w:bookmarkEnd w:id="851"/>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杭州市公路与港航管理服务中心、浙江省成套招标代理有限公司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rPr>
        <w:t>杭州市交通运输局交通强国示范城市数字交通建设试点项目（二期）</w:t>
      </w:r>
      <w:r>
        <w:rPr>
          <w:rFonts w:hint="eastAsia" w:ascii="仿宋" w:hAnsi="仿宋" w:eastAsia="仿宋" w:cs="仿宋_GB2312"/>
          <w:color w:val="auto"/>
          <w:kern w:val="0"/>
          <w:sz w:val="24"/>
          <w:highlight w:val="none"/>
          <w:lang w:val="zh-CN"/>
        </w:rPr>
        <w:t>【招标编号：</w:t>
      </w:r>
      <w:r>
        <w:rPr>
          <w:rFonts w:hint="eastAsia" w:ascii="仿宋" w:hAnsi="仿宋" w:eastAsia="仿宋"/>
          <w:color w:val="auto"/>
          <w:sz w:val="24"/>
          <w:highlight w:val="none"/>
        </w:rPr>
        <w:t>CTZB-2022090046</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bookmarkStart w:id="852" w:name="_Toc95736639"/>
      <w:r>
        <w:rPr>
          <w:rFonts w:hint="eastAsia" w:ascii="仿宋" w:hAnsi="仿宋" w:eastAsia="仿宋" w:cs="仿宋_GB2312"/>
          <w:b/>
          <w:color w:val="auto"/>
          <w:kern w:val="0"/>
          <w:sz w:val="24"/>
          <w:highlight w:val="none"/>
          <w:lang w:val="zh-CN"/>
        </w:rPr>
        <w:t>开标一览表（报价表）</w:t>
      </w:r>
      <w:r>
        <w:rPr>
          <w:rFonts w:ascii="仿宋" w:hAnsi="仿宋" w:eastAsia="仿宋"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4394"/>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198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名称</w:t>
            </w:r>
          </w:p>
        </w:tc>
        <w:tc>
          <w:tcPr>
            <w:tcW w:w="439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具体服务</w:t>
            </w:r>
          </w:p>
        </w:tc>
        <w:tc>
          <w:tcPr>
            <w:tcW w:w="993"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数量</w:t>
            </w:r>
          </w:p>
        </w:tc>
        <w:tc>
          <w:tcPr>
            <w:tcW w:w="1559"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单价</w:t>
            </w:r>
          </w:p>
        </w:tc>
        <w:tc>
          <w:tcPr>
            <w:tcW w:w="1984"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总价</w:t>
            </w:r>
          </w:p>
        </w:tc>
        <w:tc>
          <w:tcPr>
            <w:tcW w:w="3119" w:type="dxa"/>
            <w:vAlign w:val="center"/>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服务期限</w:t>
            </w:r>
          </w:p>
          <w:p>
            <w:pPr>
              <w:spacing w:line="360" w:lineRule="auto"/>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984" w:type="dxa"/>
            <w:vAlign w:val="center"/>
          </w:tcPr>
          <w:p>
            <w:pPr>
              <w:snapToGrid w:val="0"/>
              <w:spacing w:line="360" w:lineRule="auto"/>
              <w:jc w:val="center"/>
              <w:rPr>
                <w:rFonts w:ascii="仿宋" w:hAnsi="仿宋" w:eastAsia="仿宋" w:cs="仿宋_GB2312"/>
                <w:color w:val="auto"/>
                <w:sz w:val="24"/>
                <w:highlight w:val="none"/>
              </w:rPr>
            </w:pPr>
          </w:p>
        </w:tc>
        <w:tc>
          <w:tcPr>
            <w:tcW w:w="4394"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Merge w:val="restart"/>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响应采购文件要求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984" w:type="dxa"/>
            <w:vAlign w:val="center"/>
          </w:tcPr>
          <w:p>
            <w:pPr>
              <w:snapToGrid w:val="0"/>
              <w:spacing w:line="360" w:lineRule="auto"/>
              <w:jc w:val="center"/>
              <w:rPr>
                <w:rFonts w:ascii="仿宋" w:hAnsi="仿宋" w:eastAsia="仿宋" w:cs="仿宋_GB2312"/>
                <w:color w:val="auto"/>
                <w:sz w:val="24"/>
                <w:highlight w:val="none"/>
              </w:rPr>
            </w:pPr>
          </w:p>
        </w:tc>
        <w:tc>
          <w:tcPr>
            <w:tcW w:w="4394"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Merge w:val="continue"/>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1984" w:type="dxa"/>
            <w:vAlign w:val="center"/>
          </w:tcPr>
          <w:p>
            <w:pPr>
              <w:snapToGrid w:val="0"/>
              <w:spacing w:line="360" w:lineRule="auto"/>
              <w:jc w:val="center"/>
              <w:rPr>
                <w:rFonts w:ascii="仿宋" w:hAnsi="仿宋" w:eastAsia="仿宋" w:cs="仿宋_GB2312"/>
                <w:color w:val="auto"/>
                <w:sz w:val="24"/>
                <w:highlight w:val="none"/>
              </w:rPr>
            </w:pPr>
          </w:p>
        </w:tc>
        <w:tc>
          <w:tcPr>
            <w:tcW w:w="4394"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Merge w:val="continue"/>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napToGrid w:val="0"/>
              <w:spacing w:line="360" w:lineRule="auto"/>
              <w:jc w:val="center"/>
              <w:rPr>
                <w:rFonts w:ascii="仿宋" w:hAnsi="仿宋" w:eastAsia="仿宋" w:cs="仿宋_GB2312"/>
                <w:color w:val="auto"/>
                <w:sz w:val="24"/>
                <w:highlight w:val="none"/>
              </w:rPr>
            </w:pPr>
          </w:p>
        </w:tc>
        <w:tc>
          <w:tcPr>
            <w:tcW w:w="4394"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Merge w:val="continue"/>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napToGrid w:val="0"/>
              <w:spacing w:line="360" w:lineRule="auto"/>
              <w:jc w:val="center"/>
              <w:rPr>
                <w:rFonts w:ascii="仿宋" w:hAnsi="仿宋" w:eastAsia="仿宋" w:cs="仿宋_GB2312"/>
                <w:color w:val="auto"/>
                <w:sz w:val="24"/>
                <w:highlight w:val="none"/>
              </w:rPr>
            </w:pPr>
          </w:p>
        </w:tc>
        <w:tc>
          <w:tcPr>
            <w:tcW w:w="4394" w:type="dxa"/>
            <w:vAlign w:val="center"/>
          </w:tcPr>
          <w:p>
            <w:pPr>
              <w:snapToGrid w:val="0"/>
              <w:spacing w:line="360" w:lineRule="auto"/>
              <w:jc w:val="center"/>
              <w:rPr>
                <w:rFonts w:ascii="仿宋" w:hAnsi="仿宋" w:eastAsia="仿宋" w:cs="仿宋_GB2312"/>
                <w:color w:val="auto"/>
                <w:sz w:val="24"/>
                <w:highlight w:val="none"/>
              </w:rPr>
            </w:pPr>
          </w:p>
        </w:tc>
        <w:tc>
          <w:tcPr>
            <w:tcW w:w="993" w:type="dxa"/>
            <w:vAlign w:val="center"/>
          </w:tcPr>
          <w:p>
            <w:pPr>
              <w:snapToGrid w:val="0"/>
              <w:spacing w:line="360" w:lineRule="auto"/>
              <w:jc w:val="center"/>
              <w:rPr>
                <w:rFonts w:ascii="仿宋" w:hAnsi="仿宋" w:eastAsia="仿宋" w:cs="仿宋_GB2312"/>
                <w:color w:val="auto"/>
                <w:sz w:val="24"/>
                <w:highlight w:val="none"/>
              </w:rPr>
            </w:pPr>
          </w:p>
        </w:tc>
        <w:tc>
          <w:tcPr>
            <w:tcW w:w="1559" w:type="dxa"/>
            <w:vAlign w:val="center"/>
          </w:tcPr>
          <w:p>
            <w:pPr>
              <w:spacing w:line="360" w:lineRule="auto"/>
              <w:jc w:val="center"/>
              <w:rPr>
                <w:rFonts w:ascii="仿宋" w:hAnsi="仿宋" w:eastAsia="仿宋" w:cs="仿宋_GB2312"/>
                <w:color w:val="auto"/>
                <w:sz w:val="24"/>
                <w:highlight w:val="none"/>
              </w:rPr>
            </w:pPr>
          </w:p>
        </w:tc>
        <w:tc>
          <w:tcPr>
            <w:tcW w:w="1984" w:type="dxa"/>
            <w:vAlign w:val="center"/>
          </w:tcPr>
          <w:p>
            <w:pPr>
              <w:spacing w:line="360" w:lineRule="auto"/>
              <w:jc w:val="center"/>
              <w:rPr>
                <w:rFonts w:ascii="仿宋" w:hAnsi="仿宋" w:eastAsia="仿宋" w:cs="仿宋_GB2312"/>
                <w:color w:val="auto"/>
                <w:sz w:val="24"/>
                <w:highlight w:val="none"/>
              </w:rPr>
            </w:pPr>
          </w:p>
        </w:tc>
        <w:tc>
          <w:tcPr>
            <w:tcW w:w="3119" w:type="dxa"/>
            <w:vMerge w:val="continue"/>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投标报价（小写）</w:t>
            </w:r>
          </w:p>
        </w:tc>
        <w:tc>
          <w:tcPr>
            <w:tcW w:w="7655" w:type="dxa"/>
            <w:gridSpan w:val="4"/>
            <w:vAlign w:val="center"/>
          </w:tcPr>
          <w:p>
            <w:pPr>
              <w:spacing w:line="360" w:lineRule="auto"/>
              <w:jc w:val="center"/>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投标报价（大写）</w:t>
            </w:r>
          </w:p>
        </w:tc>
        <w:tc>
          <w:tcPr>
            <w:tcW w:w="7655" w:type="dxa"/>
            <w:gridSpan w:val="4"/>
            <w:vAlign w:val="center"/>
          </w:tcPr>
          <w:p>
            <w:pPr>
              <w:spacing w:line="360" w:lineRule="auto"/>
              <w:jc w:val="center"/>
              <w:rPr>
                <w:rFonts w:ascii="仿宋" w:hAnsi="仿宋" w:eastAsia="仿宋" w:cs="仿宋_GB2312"/>
                <w:color w:val="auto"/>
                <w:sz w:val="24"/>
                <w:highlight w:val="none"/>
              </w:rPr>
            </w:pPr>
          </w:p>
        </w:tc>
      </w:tr>
      <w:bookmarkEnd w:id="852"/>
    </w:tbl>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本次报价方式为总价包干，报价须包含按采购文件要求完成本项目所需的所有费用(包括开发、集成、人员费用、交通食宿费、税金、保险和防疫等，一切费用均计入报价。对于保障本项目完整顺利实施的必须项，如上述未包含，供应商需自行测算及预估，且费用均已包含在报价中)。在项目实施过程中，因调整而引起信息系统服务中某个（或几个）系统不再需要并且未实施，相关费用从总价中扣除。</w:t>
      </w:r>
      <w:r>
        <w:rPr>
          <w:rFonts w:hint="eastAsia" w:ascii="仿宋" w:hAnsi="仿宋" w:eastAsia="仿宋" w:cs="仿宋"/>
          <w:b/>
          <w:bCs/>
          <w:color w:val="auto"/>
          <w:sz w:val="24"/>
          <w:highlight w:val="none"/>
          <w:lang w:val="zh-CN"/>
        </w:rPr>
        <w:t>采购人将以合同形式有偿取得货物或服务，不接受</w:t>
      </w:r>
      <w:r>
        <w:rPr>
          <w:rFonts w:hint="eastAsia" w:ascii="仿宋" w:hAnsi="仿宋" w:eastAsia="仿宋" w:cs="仿宋"/>
          <w:b/>
          <w:bCs/>
          <w:color w:val="auto"/>
          <w:sz w:val="24"/>
          <w:highlight w:val="none"/>
        </w:rPr>
        <w:t>供应商</w:t>
      </w:r>
      <w:r>
        <w:rPr>
          <w:rFonts w:hint="eastAsia" w:ascii="仿宋" w:hAnsi="仿宋" w:eastAsia="仿宋" w:cs="仿宋"/>
          <w:b/>
          <w:bCs/>
          <w:color w:val="auto"/>
          <w:sz w:val="24"/>
          <w:highlight w:val="none"/>
          <w:lang w:val="zh-CN"/>
        </w:rPr>
        <w:t>给予的赠品、回扣或者与采购无关的其他商品、服务，不得出现“0元”“免费赠送”等形式的无偿报价，</w:t>
      </w:r>
      <w:r>
        <w:rPr>
          <w:rFonts w:hint="eastAsia" w:ascii="仿宋" w:hAnsi="仿宋" w:eastAsia="仿宋" w:cs="仿宋"/>
          <w:b/>
          <w:bCs/>
          <w:color w:val="auto"/>
          <w:sz w:val="24"/>
          <w:highlight w:val="none"/>
        </w:rPr>
        <w:t>否则视为投标文件含有采购人不能接受的附加条件的，投标无效</w:t>
      </w:r>
      <w:r>
        <w:rPr>
          <w:rFonts w:hint="eastAsia" w:ascii="仿宋" w:hAnsi="仿宋" w:eastAsia="仿宋" w:cs="仿宋"/>
          <w:b/>
          <w:bCs/>
          <w:color w:val="auto"/>
          <w:sz w:val="24"/>
          <w:highlight w:val="none"/>
          <w:lang w:val="zh-CN"/>
        </w:rPr>
        <w:t>。</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rPr>
        <w:t>2</w:t>
      </w:r>
      <w:r>
        <w:rPr>
          <w:rFonts w:ascii="仿宋" w:hAnsi="仿宋" w:eastAsia="仿宋" w:cs="仿宋_GB2312"/>
          <w:color w:val="auto"/>
          <w:kern w:val="0"/>
          <w:sz w:val="24"/>
          <w:highlight w:val="none"/>
          <w:lang w:val="zh-CN"/>
        </w:rPr>
        <w:t>、特别提示：采购代理机构将对</w:t>
      </w:r>
      <w:r>
        <w:rPr>
          <w:rFonts w:hint="eastAsia" w:ascii="仿宋" w:hAnsi="仿宋" w:eastAsia="仿宋" w:cs="仿宋_GB2312"/>
          <w:color w:val="auto"/>
          <w:kern w:val="0"/>
          <w:sz w:val="24"/>
          <w:highlight w:val="none"/>
          <w:lang w:val="zh-CN"/>
        </w:rPr>
        <w:t>项目名称、</w:t>
      </w:r>
      <w:r>
        <w:rPr>
          <w:rFonts w:ascii="仿宋" w:hAnsi="仿宋" w:eastAsia="仿宋" w:cs="仿宋_GB2312"/>
          <w:color w:val="auto"/>
          <w:kern w:val="0"/>
          <w:sz w:val="24"/>
          <w:highlight w:val="none"/>
          <w:lang w:val="zh-CN"/>
        </w:rPr>
        <w:t>项目编号，中标供应商名称、地址和中标金额，主要中标标的</w:t>
      </w:r>
      <w:r>
        <w:rPr>
          <w:rFonts w:hint="eastAsia" w:ascii="仿宋" w:hAnsi="仿宋" w:eastAsia="仿宋" w:cs="仿宋_GB2312"/>
          <w:color w:val="auto"/>
          <w:kern w:val="0"/>
          <w:sz w:val="24"/>
          <w:highlight w:val="none"/>
          <w:lang w:val="zh-CN"/>
        </w:rPr>
        <w:t>的名称单价、服务要求等予以公示。</w:t>
      </w:r>
    </w:p>
    <w:p>
      <w:pPr>
        <w:snapToGrid w:val="0"/>
        <w:spacing w:line="360" w:lineRule="auto"/>
        <w:ind w:firstLine="480" w:firstLineChars="200"/>
        <w:jc w:val="left"/>
        <w:rPr>
          <w:rFonts w:ascii="仿宋" w:hAnsi="仿宋" w:eastAsia="仿宋" w:cs="仿宋_GB2312"/>
          <w:color w:val="auto"/>
          <w:sz w:val="32"/>
          <w:szCs w:val="32"/>
          <w:highlight w:val="none"/>
        </w:rPr>
      </w:pPr>
      <w:r>
        <w:rPr>
          <w:rFonts w:ascii="仿宋" w:hAnsi="仿宋" w:eastAsia="仿宋" w:cs="仿宋_GB2312"/>
          <w:color w:val="auto"/>
          <w:kern w:val="0"/>
          <w:sz w:val="24"/>
          <w:szCs w:val="22"/>
          <w:highlight w:val="none"/>
        </w:rPr>
        <w:t>3</w:t>
      </w:r>
      <w:r>
        <w:rPr>
          <w:rFonts w:ascii="仿宋" w:hAnsi="仿宋" w:eastAsia="仿宋" w:cs="仿宋_GB2312"/>
          <w:color w:val="auto"/>
          <w:kern w:val="0"/>
          <w:sz w:val="24"/>
          <w:szCs w:val="22"/>
          <w:highlight w:val="none"/>
          <w:lang w:val="zh-CN"/>
        </w:rPr>
        <w:t>、</w:t>
      </w:r>
      <w:r>
        <w:rPr>
          <w:rFonts w:hint="eastAsia" w:ascii="仿宋" w:hAnsi="仿宋" w:eastAsia="仿宋" w:cs="仿宋_GB2312"/>
          <w:color w:val="auto"/>
          <w:kern w:val="0"/>
          <w:sz w:val="24"/>
          <w:highlight w:val="none"/>
          <w:lang w:val="zh-CN"/>
        </w:rPr>
        <w:t>符合采购文件中列明的可享受中小企业扶持政策的供应商，请填写中小企业声明函。注：供应商</w:t>
      </w:r>
      <w:r>
        <w:rPr>
          <w:rFonts w:ascii="仿宋" w:hAnsi="仿宋" w:eastAsia="仿宋" w:cs="仿宋_GB2312"/>
          <w:color w:val="auto"/>
          <w:kern w:val="0"/>
          <w:sz w:val="24"/>
          <w:highlight w:val="none"/>
          <w:lang w:val="zh-CN"/>
        </w:rPr>
        <w:t>提供</w:t>
      </w:r>
      <w:r>
        <w:rPr>
          <w:rFonts w:hint="eastAsia" w:ascii="仿宋" w:hAnsi="仿宋" w:eastAsia="仿宋" w:cs="仿宋_GB2312"/>
          <w:color w:val="auto"/>
          <w:kern w:val="0"/>
          <w:sz w:val="24"/>
          <w:highlight w:val="none"/>
          <w:lang w:val="zh-CN"/>
        </w:rPr>
        <w:t>的中小企业</w:t>
      </w:r>
      <w:r>
        <w:rPr>
          <w:rFonts w:ascii="仿宋" w:hAnsi="仿宋" w:eastAsia="仿宋" w:cs="仿宋_GB2312"/>
          <w:color w:val="auto"/>
          <w:kern w:val="0"/>
          <w:sz w:val="24"/>
          <w:highlight w:val="none"/>
          <w:lang w:val="zh-CN"/>
        </w:rPr>
        <w:t>声明函内容不实的，属于提供虚假材料谋取中标、成交，依照《中华人民共和国政府采购法》等国家有关规定追究相应责任。</w:t>
      </w:r>
    </w:p>
    <w:p>
      <w:pPr>
        <w:autoSpaceDE w:val="0"/>
        <w:autoSpaceDN w:val="0"/>
        <w:snapToGrid w:val="0"/>
        <w:spacing w:line="360" w:lineRule="auto"/>
        <w:ind w:firstLine="5160" w:firstLineChars="215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投标人名称(电子签名)：</w:t>
      </w:r>
    </w:p>
    <w:p>
      <w:pPr>
        <w:autoSpaceDE w:val="0"/>
        <w:autoSpaceDN w:val="0"/>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w:t>
      </w:r>
    </w:p>
    <w:p>
      <w:pPr>
        <w:pStyle w:val="693"/>
        <w:keepNext w:val="0"/>
        <w:pageBreakBefore w:val="0"/>
        <w:tabs>
          <w:tab w:val="clear" w:pos="720"/>
        </w:tabs>
        <w:snapToGrid w:val="0"/>
        <w:ind w:firstLine="643"/>
        <w:outlineLvl w:val="9"/>
        <w:rPr>
          <w:rFonts w:ascii="仿宋" w:hAnsi="仿宋" w:eastAsia="仿宋" w:cs="仿宋_GB2312"/>
          <w:color w:val="auto"/>
          <w:kern w:val="2"/>
          <w:sz w:val="32"/>
          <w:szCs w:val="32"/>
          <w:highlight w:val="none"/>
        </w:rPr>
        <w:sectPr>
          <w:pgSz w:w="16838" w:h="11906" w:orient="landscape"/>
          <w:pgMar w:top="1418" w:right="1276" w:bottom="1418" w:left="1247" w:header="851" w:footer="992" w:gutter="0"/>
          <w:cols w:space="720" w:num="1"/>
          <w:titlePg/>
          <w:docGrid w:linePitch="312" w:charSpace="0"/>
        </w:sectPr>
      </w:pPr>
    </w:p>
    <w:p>
      <w:pPr>
        <w:pStyle w:val="5"/>
        <w:tabs>
          <w:tab w:val="left" w:pos="432"/>
          <w:tab w:val="clear" w:pos="900"/>
        </w:tabs>
        <w:jc w:val="center"/>
        <w:rPr>
          <w:rStyle w:val="988"/>
          <w:rFonts w:ascii="仿宋" w:hAnsi="仿宋" w:eastAsia="仿宋"/>
          <w:color w:val="auto"/>
          <w:highlight w:val="none"/>
          <w:lang w:val="en-US"/>
        </w:rPr>
      </w:pPr>
      <w:bookmarkStart w:id="853" w:name="_Toc20591"/>
      <w:bookmarkStart w:id="854" w:name="_Toc2053411795"/>
      <w:bookmarkStart w:id="855" w:name="_Toc95313027"/>
      <w:bookmarkStart w:id="856" w:name="_Toc19120"/>
      <w:bookmarkStart w:id="857" w:name="_Toc24491"/>
      <w:bookmarkStart w:id="858" w:name="_Toc27529"/>
      <w:bookmarkStart w:id="859" w:name="_Toc30795"/>
      <w:bookmarkStart w:id="860" w:name="_Toc30764"/>
      <w:r>
        <w:rPr>
          <w:rStyle w:val="988"/>
          <w:rFonts w:hint="eastAsia" w:ascii="仿宋" w:hAnsi="仿宋" w:eastAsia="仿宋"/>
          <w:color w:val="auto"/>
          <w:highlight w:val="none"/>
          <w:lang w:val="en-US"/>
        </w:rPr>
        <w:t>二、中小企业声明函</w:t>
      </w:r>
      <w:bookmarkEnd w:id="853"/>
      <w:bookmarkEnd w:id="854"/>
      <w:bookmarkEnd w:id="855"/>
      <w:bookmarkEnd w:id="856"/>
      <w:bookmarkEnd w:id="857"/>
      <w:bookmarkEnd w:id="858"/>
      <w:bookmarkEnd w:id="859"/>
      <w:bookmarkEnd w:id="860"/>
    </w:p>
    <w:p>
      <w:pPr>
        <w:widowControl/>
        <w:snapToGrid w:val="0"/>
        <w:spacing w:line="360" w:lineRule="auto"/>
        <w:ind w:firstLine="120" w:firstLineChars="5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[符合《政府采购促进中小企业发展管理办法》规定的小微企业拟享受价格扣除政策的，与大中型企业组成联合体或与大中型企业合理进行分包的小微企业，需提供中小企业声明函（附件</w:t>
      </w: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w:t>
      </w:r>
    </w:p>
    <w:p>
      <w:pPr>
        <w:snapToGrid w:val="0"/>
        <w:spacing w:line="360" w:lineRule="auto"/>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br w:type="page"/>
      </w:r>
    </w:p>
    <w:p>
      <w:pPr>
        <w:pStyle w:val="3"/>
        <w:jc w:val="center"/>
        <w:rPr>
          <w:rFonts w:ascii="仿宋" w:hAnsi="仿宋" w:eastAsia="仿宋"/>
          <w:color w:val="auto"/>
          <w:highlight w:val="none"/>
        </w:rPr>
      </w:pPr>
      <w:bookmarkStart w:id="861" w:name="_Toc95313028"/>
      <w:bookmarkStart w:id="862" w:name="_Toc1629831275"/>
      <w:bookmarkStart w:id="863" w:name="_Toc18250"/>
      <w:bookmarkStart w:id="864" w:name="_Toc30388"/>
      <w:bookmarkStart w:id="865" w:name="_Toc17072"/>
      <w:bookmarkStart w:id="866" w:name="_Toc8211"/>
      <w:bookmarkStart w:id="867" w:name="_Toc7477"/>
      <w:bookmarkStart w:id="868" w:name="_Toc21733"/>
      <w:r>
        <w:rPr>
          <w:rFonts w:hint="eastAsia" w:ascii="仿宋" w:hAnsi="仿宋" w:eastAsia="仿宋"/>
          <w:color w:val="auto"/>
          <w:highlight w:val="none"/>
        </w:rPr>
        <w:t>政府采购支持中小企业信用融资相关事项通知</w:t>
      </w:r>
      <w:bookmarkEnd w:id="861"/>
      <w:bookmarkEnd w:id="862"/>
      <w:bookmarkEnd w:id="863"/>
      <w:bookmarkEnd w:id="864"/>
      <w:bookmarkEnd w:id="865"/>
      <w:bookmarkEnd w:id="866"/>
      <w:bookmarkEnd w:id="867"/>
      <w:bookmarkEnd w:id="868"/>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三、政府采购信用融资操作流程：</w:t>
      </w:r>
    </w:p>
    <w:p>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tabs>
          <w:tab w:val="left" w:pos="432"/>
        </w:tabs>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（三）杭州e融平台申请融资</w:t>
      </w:r>
    </w:p>
    <w:p>
      <w:pPr>
        <w:tabs>
          <w:tab w:val="left" w:pos="432"/>
        </w:tabs>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供应商通过杭州e融平台政采贷专区，自行选择金融产品，按规定手续办理贷款流程。</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color w:val="auto"/>
          <w:sz w:val="24"/>
          <w:highlight w:val="none"/>
        </w:rPr>
        <w:t>。</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pPr>
        <w:pStyle w:val="3"/>
        <w:jc w:val="left"/>
        <w:rPr>
          <w:rFonts w:ascii="仿宋" w:hAnsi="仿宋" w:eastAsia="仿宋"/>
          <w:color w:val="auto"/>
          <w:sz w:val="32"/>
          <w:szCs w:val="32"/>
          <w:highlight w:val="none"/>
        </w:rPr>
      </w:pPr>
      <w:bookmarkStart w:id="869" w:name="_Toc4640"/>
      <w:bookmarkStart w:id="870" w:name="_Toc29322"/>
      <w:bookmarkStart w:id="871" w:name="_Toc154"/>
      <w:r>
        <w:rPr>
          <w:rFonts w:hint="eastAsia" w:ascii="仿宋" w:hAnsi="仿宋" w:eastAsia="仿宋"/>
          <w:color w:val="auto"/>
          <w:sz w:val="32"/>
          <w:szCs w:val="32"/>
          <w:highlight w:val="none"/>
        </w:rPr>
        <w:t>附件1：</w:t>
      </w:r>
      <w:bookmarkEnd w:id="869"/>
      <w:bookmarkEnd w:id="870"/>
      <w:bookmarkEnd w:id="871"/>
    </w:p>
    <w:p>
      <w:pPr>
        <w:pStyle w:val="3"/>
        <w:jc w:val="center"/>
        <w:rPr>
          <w:rFonts w:ascii="仿宋" w:hAnsi="仿宋" w:eastAsia="仿宋"/>
          <w:color w:val="auto"/>
          <w:sz w:val="32"/>
          <w:szCs w:val="32"/>
          <w:highlight w:val="none"/>
        </w:rPr>
      </w:pPr>
      <w:bookmarkStart w:id="872" w:name="_Toc25862"/>
      <w:bookmarkStart w:id="873" w:name="_Toc9600"/>
      <w:bookmarkStart w:id="874" w:name="_Toc5454"/>
      <w:bookmarkStart w:id="875" w:name="OLE_LINK13"/>
      <w:bookmarkStart w:id="876" w:name="OLE_LINK14"/>
      <w:r>
        <w:rPr>
          <w:rFonts w:hint="eastAsia" w:ascii="仿宋" w:hAnsi="仿宋" w:eastAsia="仿宋"/>
          <w:color w:val="auto"/>
          <w:sz w:val="32"/>
          <w:szCs w:val="32"/>
          <w:highlight w:val="none"/>
        </w:rPr>
        <w:t>残疾人福利性单位声明函</w:t>
      </w:r>
      <w:bookmarkEnd w:id="872"/>
      <w:bookmarkEnd w:id="873"/>
      <w:bookmarkEnd w:id="874"/>
      <w:bookmarkEnd w:id="875"/>
      <w:bookmarkEnd w:id="876"/>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民政部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p>
    <w:p>
      <w:pPr>
        <w:tabs>
          <w:tab w:val="left" w:pos="4860"/>
        </w:tabs>
        <w:snapToGrid w:val="0"/>
        <w:spacing w:line="360" w:lineRule="auto"/>
        <w:ind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r>
        <w:rPr>
          <w:rFonts w:hint="eastAsia" w:ascii="仿宋" w:hAnsi="仿宋" w:eastAsia="仿宋" w:cs="仿宋_GB2312"/>
          <w:color w:val="auto"/>
          <w:kern w:val="0"/>
          <w:sz w:val="24"/>
          <w:highlight w:val="none"/>
          <w:lang w:val="zh-CN"/>
        </w:rPr>
        <w:t xml:space="preserve"> 投标人名称(电子签名)</w:t>
      </w:r>
      <w:r>
        <w:rPr>
          <w:rFonts w:hint="eastAsia" w:ascii="仿宋" w:hAnsi="仿宋" w:eastAsia="仿宋" w:cs="仿宋_GB2312"/>
          <w:color w:val="auto"/>
          <w:sz w:val="24"/>
          <w:highlight w:val="none"/>
        </w:rPr>
        <w:t>：</w:t>
      </w:r>
    </w:p>
    <w:p>
      <w:pPr>
        <w:tabs>
          <w:tab w:val="left" w:pos="4860"/>
        </w:tabs>
        <w:snapToGrid w:val="0"/>
        <w:spacing w:line="360" w:lineRule="auto"/>
        <w:ind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  期：</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pStyle w:val="3"/>
        <w:jc w:val="left"/>
        <w:rPr>
          <w:rFonts w:ascii="仿宋" w:hAnsi="仿宋" w:eastAsia="仿宋"/>
          <w:color w:val="auto"/>
          <w:sz w:val="32"/>
          <w:szCs w:val="32"/>
          <w:highlight w:val="none"/>
        </w:rPr>
      </w:pPr>
      <w:bookmarkStart w:id="877" w:name="_Toc4798"/>
      <w:bookmarkStart w:id="878" w:name="_Toc18811"/>
      <w:bookmarkStart w:id="879" w:name="_Toc25133"/>
      <w:r>
        <w:rPr>
          <w:rFonts w:hint="eastAsia" w:ascii="仿宋" w:hAnsi="仿宋" w:eastAsia="仿宋"/>
          <w:color w:val="auto"/>
          <w:sz w:val="32"/>
          <w:szCs w:val="32"/>
          <w:highlight w:val="none"/>
        </w:rPr>
        <w:t>附件2：质疑函范本及制作说明</w:t>
      </w:r>
      <w:bookmarkEnd w:id="877"/>
      <w:bookmarkEnd w:id="878"/>
      <w:bookmarkEnd w:id="879"/>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r>
        <w:rPr>
          <w:rFonts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jc w:val="center"/>
        <w:rPr>
          <w:rFonts w:ascii="仿宋" w:hAnsi="仿宋" w:eastAsia="仿宋" w:cs="仿宋"/>
          <w:b/>
          <w:bCs/>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napToGrid w:val="0"/>
        <w:spacing w:line="360" w:lineRule="auto"/>
        <w:ind w:firstLine="600" w:firstLineChars="200"/>
        <w:jc w:val="left"/>
        <w:rPr>
          <w:rFonts w:ascii="仿宋" w:hAnsi="仿宋" w:eastAsia="仿宋"/>
          <w:color w:val="auto"/>
          <w:sz w:val="30"/>
          <w:szCs w:val="30"/>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left"/>
        <w:rPr>
          <w:rFonts w:ascii="仿宋" w:hAnsi="仿宋" w:eastAsia="仿宋"/>
          <w:b/>
          <w:color w:val="auto"/>
          <w:spacing w:val="6"/>
          <w:sz w:val="32"/>
          <w:szCs w:val="32"/>
          <w:highlight w:val="none"/>
        </w:rPr>
      </w:pPr>
    </w:p>
    <w:p>
      <w:pPr>
        <w:tabs>
          <w:tab w:val="left" w:pos="432"/>
        </w:tabs>
        <w:spacing w:line="360" w:lineRule="auto"/>
        <w:jc w:val="left"/>
        <w:rPr>
          <w:rFonts w:ascii="仿宋" w:hAnsi="仿宋" w:eastAsia="仿宋"/>
          <w:color w:val="auto"/>
          <w:sz w:val="32"/>
          <w:szCs w:val="32"/>
          <w:highlight w:val="none"/>
        </w:rPr>
      </w:pPr>
    </w:p>
    <w:p>
      <w:pPr>
        <w:pStyle w:val="3"/>
        <w:jc w:val="left"/>
        <w:rPr>
          <w:rFonts w:ascii="仿宋" w:hAnsi="仿宋" w:eastAsia="仿宋"/>
          <w:color w:val="auto"/>
          <w:sz w:val="32"/>
          <w:szCs w:val="32"/>
          <w:highlight w:val="none"/>
        </w:rPr>
      </w:pPr>
      <w:bookmarkStart w:id="880" w:name="_Toc16772"/>
      <w:bookmarkStart w:id="881" w:name="_Toc9040"/>
      <w:bookmarkStart w:id="882" w:name="_Toc13095"/>
      <w:r>
        <w:rPr>
          <w:rFonts w:hint="eastAsia" w:ascii="仿宋" w:hAnsi="仿宋" w:eastAsia="仿宋"/>
          <w:color w:val="auto"/>
          <w:sz w:val="32"/>
          <w:szCs w:val="32"/>
          <w:highlight w:val="none"/>
        </w:rPr>
        <w:t>附件3：投诉书范本及制作说明</w:t>
      </w:r>
      <w:bookmarkEnd w:id="880"/>
      <w:bookmarkEnd w:id="881"/>
      <w:bookmarkEnd w:id="882"/>
    </w:p>
    <w:p>
      <w:pPr>
        <w:snapToGrid w:val="0"/>
        <w:spacing w:line="360" w:lineRule="auto"/>
        <w:jc w:val="center"/>
        <w:rPr>
          <w:rFonts w:ascii="仿宋" w:hAnsi="仿宋" w:eastAsia="仿宋"/>
          <w:b/>
          <w:color w:val="auto"/>
          <w:sz w:val="24"/>
          <w:highlight w:val="none"/>
        </w:rPr>
      </w:pPr>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tabs>
          <w:tab w:val="left" w:pos="6510"/>
        </w:tabs>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tabs>
          <w:tab w:val="left" w:pos="6510"/>
        </w:tabs>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w:t>
      </w:r>
      <w:r>
        <w:rPr>
          <w:rFonts w:hint="eastAsia" w:ascii="仿宋" w:hAnsi="仿宋" w:eastAsia="仿宋"/>
          <w:color w:val="auto"/>
          <w:sz w:val="24"/>
          <w:highlight w:val="none"/>
          <w:lang w:eastAsia="zh-CN"/>
        </w:rPr>
        <w:t>杭州市交通运输局交通强国示范城市数字交通建设试点项目（二期）</w:t>
      </w:r>
      <w:r>
        <w:rPr>
          <w:rFonts w:hint="eastAsia" w:ascii="仿宋" w:hAnsi="仿宋" w:eastAsia="仿宋"/>
          <w:color w:val="auto"/>
          <w:sz w:val="24"/>
          <w:highlight w:val="none"/>
        </w:rPr>
        <w:t>：</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napToGrid w:val="0"/>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,向</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u w:val="single"/>
        </w:rPr>
      </w:pP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snapToGrid w:val="0"/>
        <w:spacing w:line="360" w:lineRule="auto"/>
        <w:rPr>
          <w:rFonts w:ascii="仿宋" w:hAnsi="仿宋" w:eastAsia="仿宋"/>
          <w:b/>
          <w:color w:val="auto"/>
          <w:spacing w:val="6"/>
          <w:sz w:val="32"/>
          <w:szCs w:val="32"/>
          <w:highlight w:val="none"/>
        </w:rPr>
      </w:pPr>
    </w:p>
    <w:p>
      <w:pPr>
        <w:tabs>
          <w:tab w:val="left" w:pos="432"/>
        </w:tabs>
        <w:spacing w:line="360" w:lineRule="auto"/>
        <w:jc w:val="center"/>
        <w:rPr>
          <w:rFonts w:ascii="仿宋" w:hAnsi="仿宋" w:eastAsia="仿宋"/>
          <w:color w:val="auto"/>
          <w:sz w:val="32"/>
          <w:szCs w:val="32"/>
          <w:highlight w:val="none"/>
        </w:rPr>
      </w:pPr>
    </w:p>
    <w:p>
      <w:pPr>
        <w:pStyle w:val="3"/>
        <w:jc w:val="center"/>
        <w:rPr>
          <w:rFonts w:ascii="仿宋" w:hAnsi="仿宋" w:eastAsia="仿宋"/>
          <w:color w:val="auto"/>
          <w:sz w:val="32"/>
          <w:szCs w:val="32"/>
          <w:highlight w:val="none"/>
        </w:rPr>
      </w:pPr>
      <w:bookmarkStart w:id="883" w:name="_Toc25976"/>
      <w:bookmarkStart w:id="884" w:name="_Toc20116"/>
      <w:bookmarkStart w:id="885" w:name="_Toc30484"/>
      <w:r>
        <w:rPr>
          <w:rFonts w:hint="eastAsia" w:ascii="仿宋" w:hAnsi="仿宋" w:eastAsia="仿宋"/>
          <w:color w:val="auto"/>
          <w:sz w:val="32"/>
          <w:szCs w:val="32"/>
          <w:highlight w:val="none"/>
        </w:rPr>
        <w:t>附件4：业务专用章使用说明函</w:t>
      </w:r>
      <w:bookmarkEnd w:id="883"/>
      <w:bookmarkEnd w:id="884"/>
      <w:bookmarkEnd w:id="885"/>
    </w:p>
    <w:p>
      <w:pPr>
        <w:snapToGrid w:val="0"/>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杭州市公路与港航管理服务中心、浙江省成套招标代理有限公司</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w:t>
      </w:r>
      <w:r>
        <w:rPr>
          <w:rFonts w:ascii="仿宋" w:hAnsi="仿宋" w:eastAsia="仿宋" w:cs="仿宋_GB2312"/>
          <w:color w:val="auto"/>
          <w:sz w:val="24"/>
          <w:highlight w:val="none"/>
        </w:rPr>
        <w:t>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你方组织的杭州市交通运输局交通强国示范城市数字交通建设试点项目（二期）【招标编号：CTZB-2022090046</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napToGrid w:val="0"/>
        <w:spacing w:line="360" w:lineRule="auto"/>
        <w:ind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napToGrid w:val="0"/>
        <w:spacing w:line="360" w:lineRule="auto"/>
        <w:rPr>
          <w:rFonts w:ascii="仿宋" w:hAnsi="仿宋" w:eastAsia="仿宋"/>
          <w:bCs/>
          <w:color w:val="auto"/>
          <w:sz w:val="24"/>
          <w:highlight w:val="none"/>
        </w:rPr>
      </w:pPr>
      <w:r>
        <w:rPr>
          <w:rFonts w:ascii="仿宋" w:hAnsi="仿宋" w:eastAsia="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WQDz/YAAAACgEAAA8AAAAAAAAAAQAgAAAAIgAAAGRycy9kb3du&#10;cmV2LnhtbFBLAQIUABQAAAAIAIdO4kAwajeqOAIAAH4EAAAOAAAAAAAAAAEAIAAAACcBAABkcnMv&#10;ZTJvRG9jLnhtbFBLBQYAAAAABgAGAFkBAADRBQAAAAA=&#10;">
                <v:fill on="t" focussize="0,0"/>
                <v:stroke color="#000000" miterlimit="2" joinstyle="miter"/>
                <v:imagedata o:title=""/>
                <o:lock v:ext="edit" aspectratio="f"/>
              </v:rect>
            </w:pict>
          </mc:Fallback>
        </mc:AlternateContent>
      </w:r>
      <w:r>
        <w:rPr>
          <w:rFonts w:ascii="仿宋" w:hAnsi="仿宋" w:eastAsia="仿宋"/>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-90805</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5pt;margin-top:30.3pt;height:177.45pt;width:208.5pt;z-index:-251655168;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Kk8nvZAAAACgEAAA8AAAAAAAAAAQAgAAAAIgAAAGRycy9kb3du&#10;cmV2LnhtbFBLAQIUABQAAAAIAIdO4kAyrSzoNwIAAH4EAAAOAAAAAAAAAAEAIAAAACg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pStyle w:val="3"/>
        <w:rPr>
          <w:rFonts w:ascii="仿宋" w:hAnsi="仿宋" w:eastAsia="仿宋"/>
          <w:color w:val="auto"/>
          <w:sz w:val="32"/>
          <w:szCs w:val="32"/>
          <w:highlight w:val="none"/>
        </w:rPr>
      </w:pPr>
      <w:r>
        <w:rPr>
          <w:rFonts w:hint="eastAsia" w:ascii="仿宋" w:hAnsi="仿宋" w:eastAsia="仿宋"/>
          <w:color w:val="auto"/>
          <w:spacing w:val="6"/>
          <w:sz w:val="32"/>
          <w:szCs w:val="32"/>
          <w:highlight w:val="none"/>
        </w:rPr>
        <w:br w:type="page"/>
      </w:r>
      <w:bookmarkStart w:id="886" w:name="_Toc5033"/>
      <w:bookmarkStart w:id="887" w:name="_Toc3823"/>
      <w:bookmarkStart w:id="888" w:name="_Toc28663"/>
      <w:r>
        <w:rPr>
          <w:rFonts w:hint="eastAsia" w:ascii="仿宋" w:hAnsi="仿宋" w:eastAsia="仿宋"/>
          <w:color w:val="auto"/>
          <w:sz w:val="32"/>
          <w:szCs w:val="32"/>
          <w:highlight w:val="none"/>
        </w:rPr>
        <w:t>附件5：中小企业声明函</w:t>
      </w:r>
      <w:bookmarkEnd w:id="886"/>
      <w:bookmarkEnd w:id="887"/>
      <w:bookmarkEnd w:id="888"/>
    </w:p>
    <w:p>
      <w:pPr>
        <w:snapToGrid w:val="0"/>
        <w:spacing w:line="360" w:lineRule="auto"/>
        <w:rPr>
          <w:rFonts w:ascii="仿宋" w:hAnsi="仿宋" w:eastAsia="仿宋" w:cs="仿宋_GB2312"/>
          <w:b/>
          <w:color w:val="auto"/>
          <w:sz w:val="32"/>
          <w:szCs w:val="32"/>
          <w:highlight w:val="none"/>
        </w:rPr>
      </w:pPr>
    </w:p>
    <w:p>
      <w:pPr>
        <w:snapToGrid w:val="0"/>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pPr>
        <w:snapToGrid w:val="0"/>
        <w:spacing w:line="360" w:lineRule="auto"/>
        <w:rPr>
          <w:rFonts w:ascii="仿宋" w:hAnsi="仿宋" w:eastAsia="仿宋"/>
          <w:color w:val="auto"/>
          <w:highlight w:val="none"/>
        </w:rPr>
      </w:pPr>
    </w:p>
    <w:p>
      <w:pPr>
        <w:snapToGrid w:val="0"/>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ascii="仿宋" w:hAnsi="仿宋" w:eastAsia="仿宋"/>
          <w:color w:val="auto"/>
          <w:sz w:val="24"/>
          <w:highlight w:val="none"/>
        </w:rPr>
        <w:t xml:space="preserve"> </w:t>
      </w:r>
      <w:r>
        <w:rPr>
          <w:rFonts w:hint="eastAsia" w:ascii="仿宋" w:hAnsi="仿宋" w:eastAsia="仿宋"/>
          <w:color w:val="auto"/>
          <w:sz w:val="24"/>
          <w:highlight w:val="none"/>
        </w:rPr>
        <w:t>（单位名称）</w:t>
      </w:r>
      <w:r>
        <w:rPr>
          <w:rFonts w:ascii="仿宋" w:hAnsi="仿宋" w:eastAsia="仿宋"/>
          <w:color w:val="auto"/>
          <w:sz w:val="24"/>
          <w:highlight w:val="none"/>
        </w:rPr>
        <w:t xml:space="preserve"> </w:t>
      </w:r>
      <w:r>
        <w:rPr>
          <w:rFonts w:hint="eastAsia" w:ascii="仿宋" w:hAnsi="仿宋" w:eastAsia="仿宋"/>
          <w:color w:val="auto"/>
          <w:sz w:val="24"/>
          <w:highlight w:val="none"/>
        </w:rPr>
        <w:t>的</w:t>
      </w:r>
      <w:r>
        <w:rPr>
          <w:rFonts w:ascii="仿宋" w:hAnsi="仿宋" w:eastAsia="仿宋"/>
          <w:color w:val="auto"/>
          <w:sz w:val="24"/>
          <w:highlight w:val="none"/>
        </w:rPr>
        <w:t xml:space="preserve"> </w:t>
      </w:r>
      <w:r>
        <w:rPr>
          <w:rFonts w:hint="eastAsia" w:ascii="仿宋" w:hAnsi="仿宋" w:eastAsia="仿宋"/>
          <w:color w:val="auto"/>
          <w:sz w:val="24"/>
          <w:highlight w:val="none"/>
          <w:lang w:eastAsia="zh-CN"/>
        </w:rPr>
        <w:t>杭州市交通运输局交通强国示范城市数字交通建设试点项目（二期）</w:t>
      </w:r>
      <w:r>
        <w:rPr>
          <w:rFonts w:hint="eastAsia" w:ascii="仿宋" w:hAnsi="仿宋" w:eastAsia="仿宋"/>
          <w:color w:val="auto"/>
          <w:sz w:val="24"/>
          <w:highlight w:val="none"/>
        </w:rPr>
        <w:t>采购活动，服务全部由符合政策要求的中小企业承接。相关企业（含联合体中的中小企业、签订分包意向协议的中小企业）的具体情况如下：</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highlight w:val="none"/>
        </w:rPr>
        <w:t xml:space="preserve"> </w:t>
      </w:r>
      <w:r>
        <w:rPr>
          <w:rFonts w:hint="eastAsia" w:ascii="仿宋" w:hAnsi="仿宋" w:eastAsia="仿宋"/>
          <w:color w:val="auto"/>
          <w:sz w:val="24"/>
          <w:highlight w:val="none"/>
          <w:u w:val="single"/>
        </w:rPr>
        <w:t>（</w:t>
      </w:r>
      <w:r>
        <w:rPr>
          <w:rFonts w:hint="eastAsia" w:ascii="仿宋" w:hAnsi="仿宋" w:eastAsia="仿宋" w:cs="仿宋_GB2312"/>
          <w:color w:val="auto"/>
          <w:sz w:val="24"/>
          <w:highlight w:val="none"/>
          <w:u w:val="single"/>
        </w:rPr>
        <w:t>杭州市交通运输局交通强国示范城市数字交通建设试点项目（二期）</w:t>
      </w:r>
      <w:r>
        <w:rPr>
          <w:rFonts w:hint="eastAsia" w:ascii="仿宋" w:hAnsi="仿宋" w:eastAsia="仿宋"/>
          <w:color w:val="auto"/>
          <w:sz w:val="24"/>
          <w:highlight w:val="none"/>
          <w:u w:val="single"/>
        </w:rPr>
        <w:t>）</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软件和信息技术服务</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软件和信息技术服务</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sz w:val="24"/>
          <w:highlight w:val="none"/>
        </w:rPr>
        <w:t xml:space="preserve"> 投标人名称(电子签名)</w:t>
      </w:r>
      <w:r>
        <w:rPr>
          <w:rFonts w:hint="eastAsia" w:ascii="仿宋" w:hAnsi="仿宋" w:eastAsia="仿宋"/>
          <w:color w:val="auto"/>
          <w:sz w:val="24"/>
          <w:highlight w:val="none"/>
        </w:rPr>
        <w:t>：</w:t>
      </w:r>
    </w:p>
    <w:p>
      <w:pPr>
        <w:snapToGrid w:val="0"/>
        <w:spacing w:line="360" w:lineRule="auto"/>
        <w:ind w:firstLine="4680" w:firstLineChars="19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snapToGrid w:val="0"/>
        <w:spacing w:line="360" w:lineRule="auto"/>
        <w:ind w:firstLine="310" w:firstLineChars="147"/>
        <w:jc w:val="left"/>
        <w:rPr>
          <w:rFonts w:ascii="仿宋" w:hAnsi="仿宋" w:eastAsia="仿宋"/>
          <w:b/>
          <w:color w:val="auto"/>
          <w:szCs w:val="21"/>
          <w:highlight w:val="none"/>
        </w:rPr>
      </w:pPr>
    </w:p>
    <w:p>
      <w:pPr>
        <w:snapToGrid w:val="0"/>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从业人员、营业收入、资产总额填报上一年度数据，无上一年度数据的新成立企业可不填报。</w:t>
      </w:r>
    </w:p>
    <w:p>
      <w:pPr>
        <w:snapToGrid w:val="0"/>
        <w:spacing w:line="360" w:lineRule="auto"/>
        <w:rPr>
          <w:rFonts w:ascii="仿宋" w:hAnsi="仿宋" w:eastAsia="仿宋" w:cs="仿宋_GB2312"/>
          <w:color w:val="auto"/>
          <w:sz w:val="24"/>
          <w:highlight w:val="none"/>
        </w:rPr>
      </w:pPr>
    </w:p>
    <w:p>
      <w:pPr>
        <w:snapToGrid w:val="0"/>
        <w:spacing w:line="360" w:lineRule="auto"/>
        <w:rPr>
          <w:rFonts w:hint="eastAsia" w:ascii="仿宋" w:hAnsi="仿宋" w:eastAsia="仿宋" w:cs="仿宋_GB2312"/>
          <w:color w:val="auto"/>
          <w:sz w:val="24"/>
          <w:highlight w:val="none"/>
        </w:rPr>
      </w:pP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b/>
          <w:color w:val="auto"/>
          <w:sz w:val="32"/>
          <w:szCs w:val="32"/>
          <w:highlight w:val="none"/>
        </w:rPr>
      </w:pPr>
    </w:p>
    <w:p>
      <w:pPr>
        <w:outlineLvl w:val="9"/>
        <w:rPr>
          <w:rFonts w:hint="eastAsia" w:ascii="仿宋" w:hAnsi="仿宋" w:eastAsia="仿宋" w:cs="仿宋"/>
          <w:color w:val="auto"/>
          <w:sz w:val="32"/>
          <w:szCs w:val="32"/>
          <w:highlight w:val="none"/>
        </w:rPr>
      </w:pPr>
      <w:bookmarkStart w:id="889" w:name="_Toc24023"/>
    </w:p>
    <w:p>
      <w:pPr>
        <w:outlineLvl w:val="9"/>
        <w:rPr>
          <w:rFonts w:hint="eastAsia" w:ascii="仿宋" w:hAnsi="仿宋" w:eastAsia="仿宋" w:cs="仿宋"/>
          <w:color w:val="auto"/>
          <w:sz w:val="32"/>
          <w:szCs w:val="32"/>
          <w:highlight w:val="none"/>
        </w:rPr>
      </w:pPr>
    </w:p>
    <w:p>
      <w:pPr>
        <w:outlineLvl w:val="9"/>
        <w:rPr>
          <w:rFonts w:hint="eastAsia" w:ascii="仿宋" w:hAnsi="仿宋" w:eastAsia="仿宋" w:cs="仿宋"/>
          <w:color w:val="auto"/>
          <w:sz w:val="32"/>
          <w:szCs w:val="32"/>
          <w:highlight w:val="none"/>
        </w:rPr>
      </w:pPr>
    </w:p>
    <w:p>
      <w:pPr>
        <w:outlineLvl w:val="9"/>
        <w:rPr>
          <w:rFonts w:hint="eastAsia" w:ascii="仿宋" w:hAnsi="仿宋" w:eastAsia="仿宋" w:cs="仿宋"/>
          <w:color w:val="auto"/>
          <w:sz w:val="32"/>
          <w:szCs w:val="32"/>
          <w:highlight w:val="none"/>
        </w:rPr>
      </w:pPr>
    </w:p>
    <w:p>
      <w:pPr>
        <w:outlineLvl w:val="9"/>
        <w:rPr>
          <w:rFonts w:hint="eastAsia" w:ascii="仿宋" w:hAnsi="仿宋" w:eastAsia="仿宋" w:cs="仿宋"/>
          <w:color w:val="auto"/>
          <w:sz w:val="32"/>
          <w:szCs w:val="32"/>
          <w:highlight w:val="none"/>
        </w:rPr>
      </w:pPr>
    </w:p>
    <w:p>
      <w:pPr>
        <w:outlineLvl w:val="9"/>
        <w:rPr>
          <w:rFonts w:hint="eastAsia" w:ascii="仿宋" w:hAnsi="仿宋" w:eastAsia="仿宋" w:cs="仿宋"/>
          <w:color w:val="auto"/>
          <w:sz w:val="32"/>
          <w:szCs w:val="32"/>
          <w:highlight w:val="none"/>
        </w:rPr>
      </w:pPr>
    </w:p>
    <w:p>
      <w:pPr>
        <w:outlineLvl w:val="9"/>
        <w:rPr>
          <w:rFonts w:hint="eastAsia" w:ascii="仿宋" w:hAnsi="仿宋" w:eastAsia="仿宋" w:cs="仿宋"/>
          <w:color w:val="auto"/>
          <w:sz w:val="32"/>
          <w:szCs w:val="32"/>
          <w:highlight w:val="none"/>
        </w:rPr>
      </w:pPr>
    </w:p>
    <w:p>
      <w:pPr>
        <w:outlineLvl w:val="9"/>
        <w:rPr>
          <w:rFonts w:hint="eastAsia" w:ascii="仿宋" w:hAnsi="仿宋" w:eastAsia="仿宋" w:cs="仿宋"/>
          <w:color w:val="auto"/>
          <w:sz w:val="32"/>
          <w:szCs w:val="32"/>
          <w:highlight w:val="none"/>
        </w:rPr>
      </w:pPr>
    </w:p>
    <w:p>
      <w:pPr>
        <w:outlineLvl w:val="9"/>
        <w:rPr>
          <w:rFonts w:hint="eastAsia" w:ascii="仿宋" w:hAnsi="仿宋" w:eastAsia="仿宋" w:cs="仿宋"/>
          <w:color w:val="auto"/>
          <w:sz w:val="32"/>
          <w:szCs w:val="32"/>
          <w:highlight w:val="none"/>
        </w:rPr>
      </w:pPr>
    </w:p>
    <w:p>
      <w:pPr>
        <w:outlineLvl w:val="9"/>
        <w:rPr>
          <w:rFonts w:hint="eastAsia" w:ascii="仿宋" w:hAnsi="仿宋" w:eastAsia="仿宋" w:cs="仿宋"/>
          <w:color w:val="auto"/>
          <w:sz w:val="32"/>
          <w:szCs w:val="32"/>
          <w:highlight w:val="none"/>
        </w:rPr>
      </w:pPr>
    </w:p>
    <w:p>
      <w:pPr>
        <w:outlineLvl w:val="9"/>
        <w:rPr>
          <w:rFonts w:hint="eastAsia" w:ascii="仿宋" w:hAnsi="仿宋" w:eastAsia="仿宋" w:cs="仿宋"/>
          <w:color w:val="auto"/>
          <w:sz w:val="32"/>
          <w:szCs w:val="32"/>
          <w:highlight w:val="none"/>
        </w:rPr>
      </w:pPr>
    </w:p>
    <w:p>
      <w:pPr>
        <w:outlineLvl w:val="9"/>
        <w:rPr>
          <w:rFonts w:hint="eastAsia" w:ascii="仿宋" w:hAnsi="仿宋" w:eastAsia="仿宋" w:cs="仿宋"/>
          <w:color w:val="auto"/>
          <w:sz w:val="32"/>
          <w:szCs w:val="32"/>
          <w:highlight w:val="none"/>
        </w:rPr>
      </w:pPr>
    </w:p>
    <w:p>
      <w:pPr>
        <w:outlineLvl w:val="9"/>
        <w:rPr>
          <w:rFonts w:hint="eastAsia" w:ascii="仿宋" w:hAnsi="仿宋" w:eastAsia="仿宋" w:cs="仿宋"/>
          <w:color w:val="auto"/>
          <w:sz w:val="32"/>
          <w:szCs w:val="32"/>
          <w:highlight w:val="none"/>
        </w:rPr>
      </w:pPr>
    </w:p>
    <w:p>
      <w:pPr>
        <w:jc w:val="both"/>
        <w:outlineLvl w:val="9"/>
        <w:rPr>
          <w:rFonts w:hint="eastAsia" w:ascii="仿宋" w:hAnsi="仿宋" w:eastAsia="仿宋" w:cs="仿宋"/>
          <w:color w:val="auto"/>
          <w:sz w:val="32"/>
          <w:szCs w:val="32"/>
          <w:highlight w:val="none"/>
        </w:rPr>
      </w:pPr>
    </w:p>
    <w:p>
      <w:pPr>
        <w:pStyle w:val="3"/>
        <w:jc w:val="both"/>
        <w:rPr>
          <w:rFonts w:hint="eastAsia" w:ascii="仿宋" w:hAnsi="仿宋" w:eastAsia="仿宋" w:cs="仿宋"/>
          <w:color w:val="auto"/>
          <w:sz w:val="32"/>
          <w:szCs w:val="32"/>
          <w:highlight w:val="none"/>
        </w:rPr>
      </w:pPr>
    </w:p>
    <w:p>
      <w:pPr>
        <w:jc w:val="both"/>
        <w:outlineLvl w:val="9"/>
        <w:rPr>
          <w:rFonts w:hint="eastAsia" w:ascii="仿宋" w:hAnsi="仿宋" w:eastAsia="仿宋" w:cs="仿宋"/>
          <w:color w:val="auto"/>
          <w:sz w:val="32"/>
          <w:szCs w:val="32"/>
          <w:highlight w:val="none"/>
        </w:rPr>
      </w:pPr>
    </w:p>
    <w:p>
      <w:pPr>
        <w:jc w:val="both"/>
        <w:outlineLvl w:val="9"/>
        <w:rPr>
          <w:rFonts w:hint="eastAsia" w:ascii="仿宋" w:hAnsi="仿宋" w:eastAsia="仿宋" w:cs="仿宋"/>
          <w:color w:val="auto"/>
          <w:sz w:val="32"/>
          <w:szCs w:val="32"/>
          <w:highlight w:val="none"/>
        </w:rPr>
      </w:pPr>
    </w:p>
    <w:p>
      <w:pPr>
        <w:jc w:val="both"/>
        <w:outlineLvl w:val="9"/>
        <w:rPr>
          <w:rFonts w:hint="eastAsia" w:ascii="仿宋" w:hAnsi="仿宋" w:eastAsia="仿宋" w:cs="仿宋"/>
          <w:color w:val="auto"/>
          <w:sz w:val="32"/>
          <w:szCs w:val="32"/>
          <w:highlight w:val="none"/>
        </w:rPr>
      </w:pPr>
    </w:p>
    <w:p>
      <w:pPr>
        <w:jc w:val="both"/>
        <w:outlineLvl w:val="9"/>
        <w:rPr>
          <w:rFonts w:hint="eastAsia" w:ascii="仿宋" w:hAnsi="仿宋" w:eastAsia="仿宋" w:cs="仿宋"/>
          <w:color w:val="auto"/>
          <w:sz w:val="32"/>
          <w:szCs w:val="32"/>
          <w:highlight w:val="none"/>
        </w:rPr>
      </w:pPr>
    </w:p>
    <w:p>
      <w:pPr>
        <w:pStyle w:val="3"/>
        <w:jc w:val="both"/>
        <w:rPr>
          <w:rFonts w:hint="eastAsia" w:ascii="仿宋" w:hAnsi="仿宋" w:eastAsia="仿宋" w:cs="仿宋"/>
          <w:color w:val="auto"/>
          <w:sz w:val="32"/>
          <w:szCs w:val="32"/>
          <w:highlight w:val="none"/>
        </w:rPr>
      </w:pPr>
    </w:p>
    <w:p>
      <w:pPr>
        <w:jc w:val="both"/>
        <w:outlineLvl w:val="9"/>
        <w:rPr>
          <w:rFonts w:hint="eastAsia" w:ascii="仿宋" w:hAnsi="仿宋" w:eastAsia="仿宋" w:cs="仿宋"/>
          <w:color w:val="auto"/>
          <w:sz w:val="32"/>
          <w:szCs w:val="32"/>
          <w:highlight w:val="none"/>
        </w:rPr>
      </w:pPr>
    </w:p>
    <w:p>
      <w:pPr>
        <w:pStyle w:val="3"/>
        <w:jc w:val="center"/>
        <w:rPr>
          <w:rFonts w:ascii="仿宋" w:hAnsi="仿宋" w:eastAsia="仿宋" w:cs="仿宋"/>
          <w:color w:val="auto"/>
          <w:sz w:val="32"/>
          <w:szCs w:val="32"/>
          <w:highlight w:val="none"/>
        </w:rPr>
      </w:pPr>
      <w:bookmarkStart w:id="890" w:name="_Toc7385"/>
      <w:bookmarkStart w:id="891" w:name="_Toc15693"/>
      <w:r>
        <w:rPr>
          <w:rFonts w:hint="eastAsia" w:ascii="仿宋" w:hAnsi="仿宋" w:eastAsia="仿宋" w:cs="仿宋"/>
          <w:color w:val="auto"/>
          <w:sz w:val="32"/>
          <w:szCs w:val="32"/>
          <w:highlight w:val="none"/>
        </w:rPr>
        <w:t>附件6大型企业声明函（服务）</w:t>
      </w:r>
      <w:bookmarkEnd w:id="889"/>
      <w:bookmarkEnd w:id="890"/>
      <w:bookmarkEnd w:id="891"/>
    </w:p>
    <w:p>
      <w:pPr>
        <w:snapToGrid w:val="0"/>
        <w:spacing w:line="360" w:lineRule="auto"/>
        <w:rPr>
          <w:rFonts w:ascii="仿宋" w:hAnsi="仿宋" w:eastAsia="仿宋"/>
          <w:color w:val="auto"/>
          <w:highlight w:val="none"/>
        </w:rPr>
      </w:pPr>
    </w:p>
    <w:p>
      <w:pPr>
        <w:snapToGrid w:val="0"/>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本公司（联合体）郑重声明，本公司（联合体）参加</w:t>
      </w:r>
      <w:r>
        <w:rPr>
          <w:rFonts w:ascii="仿宋" w:hAnsi="仿宋" w:eastAsia="仿宋"/>
          <w:color w:val="auto"/>
          <w:sz w:val="24"/>
          <w:highlight w:val="none"/>
        </w:rPr>
        <w:t xml:space="preserve"> </w:t>
      </w:r>
      <w:r>
        <w:rPr>
          <w:rFonts w:hint="eastAsia" w:ascii="仿宋" w:hAnsi="仿宋" w:eastAsia="仿宋"/>
          <w:color w:val="auto"/>
          <w:sz w:val="24"/>
          <w:highlight w:val="none"/>
        </w:rPr>
        <w:t>（单位名称）</w:t>
      </w:r>
      <w:r>
        <w:rPr>
          <w:rFonts w:ascii="仿宋" w:hAnsi="仿宋" w:eastAsia="仿宋"/>
          <w:color w:val="auto"/>
          <w:sz w:val="24"/>
          <w:highlight w:val="none"/>
        </w:rPr>
        <w:t xml:space="preserve"> </w:t>
      </w:r>
      <w:r>
        <w:rPr>
          <w:rFonts w:hint="eastAsia" w:ascii="仿宋" w:hAnsi="仿宋" w:eastAsia="仿宋"/>
          <w:color w:val="auto"/>
          <w:sz w:val="24"/>
          <w:highlight w:val="none"/>
        </w:rPr>
        <w:t>的</w:t>
      </w:r>
      <w:r>
        <w:rPr>
          <w:rFonts w:ascii="仿宋" w:hAnsi="仿宋" w:eastAsia="仿宋"/>
          <w:color w:val="auto"/>
          <w:sz w:val="24"/>
          <w:highlight w:val="none"/>
        </w:rPr>
        <w:t xml:space="preserve"> </w:t>
      </w:r>
      <w:r>
        <w:rPr>
          <w:rFonts w:hint="eastAsia" w:ascii="仿宋" w:hAnsi="仿宋" w:eastAsia="仿宋"/>
          <w:color w:val="auto"/>
          <w:sz w:val="24"/>
          <w:highlight w:val="none"/>
          <w:lang w:eastAsia="zh-CN"/>
        </w:rPr>
        <w:t>杭州市交通运输局交通强国示范城市数字交通建设试点项目（二期）</w:t>
      </w:r>
      <w:r>
        <w:rPr>
          <w:rFonts w:hint="eastAsia" w:ascii="仿宋" w:hAnsi="仿宋" w:eastAsia="仿宋"/>
          <w:color w:val="auto"/>
          <w:sz w:val="24"/>
          <w:highlight w:val="none"/>
        </w:rPr>
        <w:t>采购活动，服务全部由符合政策要求的大企业承接。相关企业（含联合体中的大企业、签订分包意向协议的大企业）的具体情况如下：</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highlight w:val="none"/>
        </w:rPr>
        <w:t xml:space="preserve"> </w:t>
      </w:r>
      <w:r>
        <w:rPr>
          <w:rFonts w:hint="eastAsia" w:ascii="仿宋" w:hAnsi="仿宋" w:eastAsia="仿宋"/>
          <w:color w:val="auto"/>
          <w:sz w:val="24"/>
          <w:highlight w:val="none"/>
          <w:u w:val="single"/>
        </w:rPr>
        <w:t>（</w:t>
      </w:r>
      <w:r>
        <w:rPr>
          <w:rFonts w:hint="eastAsia" w:ascii="仿宋" w:hAnsi="仿宋" w:eastAsia="仿宋" w:cs="仿宋_GB2312"/>
          <w:color w:val="auto"/>
          <w:sz w:val="24"/>
          <w:highlight w:val="none"/>
          <w:u w:val="single"/>
        </w:rPr>
        <w:t>杭州市交通运输局交通强国示范城市数字交通建设试点项目（二期）</w:t>
      </w:r>
      <w:r>
        <w:rPr>
          <w:rFonts w:hint="eastAsia" w:ascii="仿宋" w:hAnsi="仿宋" w:eastAsia="仿宋"/>
          <w:color w:val="auto"/>
          <w:sz w:val="24"/>
          <w:highlight w:val="none"/>
          <w:u w:val="single"/>
        </w:rPr>
        <w:t>）</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软件和信息技术服务</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大</w:t>
      </w:r>
      <w:r>
        <w:rPr>
          <w:rFonts w:ascii="仿宋" w:hAnsi="仿宋" w:eastAsia="仿宋"/>
          <w:color w:val="auto"/>
          <w:sz w:val="24"/>
          <w:highlight w:val="none"/>
          <w:u w:val="single"/>
        </w:rPr>
        <w:t xml:space="preserve">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软件和信息技术服务</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大</w:t>
      </w:r>
      <w:r>
        <w:rPr>
          <w:rFonts w:ascii="仿宋" w:hAnsi="仿宋" w:eastAsia="仿宋"/>
          <w:color w:val="auto"/>
          <w:sz w:val="24"/>
          <w:highlight w:val="none"/>
          <w:u w:val="single"/>
        </w:rPr>
        <w:t xml:space="preserve">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sz w:val="24"/>
          <w:highlight w:val="none"/>
        </w:rPr>
        <w:t xml:space="preserve"> 投标人名称(电子签名)</w:t>
      </w:r>
      <w:r>
        <w:rPr>
          <w:rFonts w:hint="eastAsia" w:ascii="仿宋" w:hAnsi="仿宋" w:eastAsia="仿宋"/>
          <w:color w:val="auto"/>
          <w:sz w:val="24"/>
          <w:highlight w:val="none"/>
        </w:rPr>
        <w:t>：</w:t>
      </w:r>
    </w:p>
    <w:p>
      <w:pPr>
        <w:snapToGrid w:val="0"/>
        <w:spacing w:line="360" w:lineRule="auto"/>
        <w:ind w:firstLine="6360" w:firstLineChars="26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snapToGrid w:val="0"/>
        <w:spacing w:line="360" w:lineRule="auto"/>
        <w:ind w:firstLine="310" w:firstLineChars="147"/>
        <w:jc w:val="left"/>
        <w:rPr>
          <w:rFonts w:ascii="仿宋" w:hAnsi="仿宋" w:eastAsia="仿宋"/>
          <w:b/>
          <w:color w:val="auto"/>
          <w:szCs w:val="21"/>
          <w:highlight w:val="none"/>
        </w:rPr>
      </w:pPr>
    </w:p>
    <w:p>
      <w:pPr>
        <w:snapToGrid w:val="0"/>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w:t>
      </w:r>
    </w:p>
    <w:p>
      <w:pPr>
        <w:spacing w:line="360" w:lineRule="auto"/>
        <w:jc w:val="left"/>
        <w:rPr>
          <w:rFonts w:ascii="仿宋" w:hAnsi="仿宋" w:eastAsia="仿宋"/>
          <w:b/>
          <w:color w:val="auto"/>
          <w:szCs w:val="21"/>
          <w:highlight w:val="none"/>
        </w:rPr>
      </w:pPr>
    </w:p>
    <w:sectPr>
      <w:headerReference r:id="rId8" w:type="first"/>
      <w:footerReference r:id="rId11" w:type="first"/>
      <w:headerReference r:id="rId7" w:type="default"/>
      <w:footerReference r:id="rId9" w:type="default"/>
      <w:footerReference r:id="rId10"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rFonts w:hint="eastAsia"/>
      </w:rPr>
      <w:t>74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w:t>
                    </w:r>
                    <w:r>
                      <w:fldChar w:fldCharType="end"/>
                    </w:r>
                  </w:p>
                </w:txbxContent>
              </v:textbox>
            </v:shape>
          </w:pict>
        </mc:Fallback>
      </mc:AlternateContent>
    </w:r>
  </w:p>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4683489"/>
                          </w:sdtPr>
                          <w:sdtContent>
                            <w:p>
                              <w:pPr>
                                <w:pStyle w:val="39"/>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64683489"/>
                    </w:sdtPr>
                    <w:sdtContent>
                      <w:p>
                        <w:pPr>
                          <w:pStyle w:val="39"/>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318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318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EB9D"/>
    <w:multiLevelType w:val="singleLevel"/>
    <w:tmpl w:val="8125EB9D"/>
    <w:lvl w:ilvl="0" w:tentative="0">
      <w:start w:val="5"/>
      <w:numFmt w:val="decimal"/>
      <w:lvlText w:val="%1."/>
      <w:lvlJc w:val="left"/>
      <w:pPr>
        <w:tabs>
          <w:tab w:val="left" w:pos="312"/>
        </w:tabs>
      </w:p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6AF512AE"/>
    <w:multiLevelType w:val="multilevel"/>
    <w:tmpl w:val="6AF512A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9EB7B22"/>
    <w:multiLevelType w:val="multilevel"/>
    <w:tmpl w:val="79EB7B22"/>
    <w:lvl w:ilvl="0" w:tentative="0">
      <w:start w:val="1"/>
      <w:numFmt w:val="bullet"/>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pStyle w:val="967"/>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1" w:cryptProviderType="rsaFull" w:cryptAlgorithmClass="hash" w:cryptAlgorithmType="typeAny" w:cryptAlgorithmSid="4" w:cryptSpinCount="0" w:hash="2P3GUFo8hYSWIP/t3WYtpx1Il1s=" w:salt="KtW52pwvdb/zivAG9bp0qA=="/>
  <w:defaultTabStop w:val="420"/>
  <w:characterSpacingControl w:val="doNotCompress"/>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hNjg1MDdjOTBiZWY5OWEwODBiNjhmZWM3NGU0NzQifQ=="/>
  </w:docVars>
  <w:rsids>
    <w:rsidRoot w:val="00172A27"/>
    <w:rsid w:val="00000451"/>
    <w:rsid w:val="0000108B"/>
    <w:rsid w:val="0000133D"/>
    <w:rsid w:val="00001509"/>
    <w:rsid w:val="000032B2"/>
    <w:rsid w:val="0000363B"/>
    <w:rsid w:val="00004767"/>
    <w:rsid w:val="00004895"/>
    <w:rsid w:val="000058BD"/>
    <w:rsid w:val="00006109"/>
    <w:rsid w:val="00006150"/>
    <w:rsid w:val="00006316"/>
    <w:rsid w:val="000063E8"/>
    <w:rsid w:val="00006725"/>
    <w:rsid w:val="0000675E"/>
    <w:rsid w:val="00007CAA"/>
    <w:rsid w:val="000104C7"/>
    <w:rsid w:val="00010FE9"/>
    <w:rsid w:val="0001122F"/>
    <w:rsid w:val="00011A4B"/>
    <w:rsid w:val="00012251"/>
    <w:rsid w:val="0001337C"/>
    <w:rsid w:val="000138C4"/>
    <w:rsid w:val="00013C1F"/>
    <w:rsid w:val="00013F31"/>
    <w:rsid w:val="000140D8"/>
    <w:rsid w:val="00014530"/>
    <w:rsid w:val="00014BBC"/>
    <w:rsid w:val="00014DE7"/>
    <w:rsid w:val="000150EE"/>
    <w:rsid w:val="00015D12"/>
    <w:rsid w:val="0001622C"/>
    <w:rsid w:val="000168D8"/>
    <w:rsid w:val="000170C8"/>
    <w:rsid w:val="000173F4"/>
    <w:rsid w:val="00017A1E"/>
    <w:rsid w:val="00020287"/>
    <w:rsid w:val="000202FE"/>
    <w:rsid w:val="00020B5F"/>
    <w:rsid w:val="000211BC"/>
    <w:rsid w:val="00021CC1"/>
    <w:rsid w:val="0002207B"/>
    <w:rsid w:val="00022FB3"/>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DDF"/>
    <w:rsid w:val="00032EA0"/>
    <w:rsid w:val="000331B0"/>
    <w:rsid w:val="000336D4"/>
    <w:rsid w:val="00034FA7"/>
    <w:rsid w:val="0003533D"/>
    <w:rsid w:val="000357E4"/>
    <w:rsid w:val="00035A2A"/>
    <w:rsid w:val="00035ACA"/>
    <w:rsid w:val="00035C05"/>
    <w:rsid w:val="00040447"/>
    <w:rsid w:val="00040494"/>
    <w:rsid w:val="000407A2"/>
    <w:rsid w:val="00040B70"/>
    <w:rsid w:val="000419B8"/>
    <w:rsid w:val="00042441"/>
    <w:rsid w:val="00042533"/>
    <w:rsid w:val="00042DBB"/>
    <w:rsid w:val="00042E65"/>
    <w:rsid w:val="0004347C"/>
    <w:rsid w:val="00043907"/>
    <w:rsid w:val="00043B2C"/>
    <w:rsid w:val="00044F48"/>
    <w:rsid w:val="00046537"/>
    <w:rsid w:val="000470C0"/>
    <w:rsid w:val="00047354"/>
    <w:rsid w:val="00050656"/>
    <w:rsid w:val="00050A19"/>
    <w:rsid w:val="00050B5D"/>
    <w:rsid w:val="000511B6"/>
    <w:rsid w:val="00051B00"/>
    <w:rsid w:val="00051C72"/>
    <w:rsid w:val="00052192"/>
    <w:rsid w:val="0005238F"/>
    <w:rsid w:val="00052787"/>
    <w:rsid w:val="00052BB8"/>
    <w:rsid w:val="00053356"/>
    <w:rsid w:val="00053C0F"/>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625"/>
    <w:rsid w:val="00067642"/>
    <w:rsid w:val="00067821"/>
    <w:rsid w:val="0006785E"/>
    <w:rsid w:val="00067DE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85"/>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5F"/>
    <w:rsid w:val="00082684"/>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1F4"/>
    <w:rsid w:val="00092467"/>
    <w:rsid w:val="000927CF"/>
    <w:rsid w:val="00092FE9"/>
    <w:rsid w:val="000936BF"/>
    <w:rsid w:val="0009382F"/>
    <w:rsid w:val="00093A30"/>
    <w:rsid w:val="00094342"/>
    <w:rsid w:val="000945BA"/>
    <w:rsid w:val="00095954"/>
    <w:rsid w:val="000960BA"/>
    <w:rsid w:val="0009662A"/>
    <w:rsid w:val="0009690D"/>
    <w:rsid w:val="00096C1D"/>
    <w:rsid w:val="00096DFF"/>
    <w:rsid w:val="000A0729"/>
    <w:rsid w:val="000A0E69"/>
    <w:rsid w:val="000A1A52"/>
    <w:rsid w:val="000A1B44"/>
    <w:rsid w:val="000A1F98"/>
    <w:rsid w:val="000A37B4"/>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4CD7"/>
    <w:rsid w:val="000B541D"/>
    <w:rsid w:val="000B54C1"/>
    <w:rsid w:val="000B5553"/>
    <w:rsid w:val="000B5FE8"/>
    <w:rsid w:val="000B666E"/>
    <w:rsid w:val="000C06EC"/>
    <w:rsid w:val="000C0A43"/>
    <w:rsid w:val="000C0CB1"/>
    <w:rsid w:val="000C1411"/>
    <w:rsid w:val="000C1ADE"/>
    <w:rsid w:val="000C1C38"/>
    <w:rsid w:val="000C21DC"/>
    <w:rsid w:val="000C2264"/>
    <w:rsid w:val="000C256B"/>
    <w:rsid w:val="000C3125"/>
    <w:rsid w:val="000C3970"/>
    <w:rsid w:val="000C3B1A"/>
    <w:rsid w:val="000C3FA3"/>
    <w:rsid w:val="000C4285"/>
    <w:rsid w:val="000C4727"/>
    <w:rsid w:val="000C47AE"/>
    <w:rsid w:val="000C51AD"/>
    <w:rsid w:val="000C5374"/>
    <w:rsid w:val="000C5EC0"/>
    <w:rsid w:val="000C6162"/>
    <w:rsid w:val="000C64CC"/>
    <w:rsid w:val="000C6688"/>
    <w:rsid w:val="000C686A"/>
    <w:rsid w:val="000C692E"/>
    <w:rsid w:val="000C6B28"/>
    <w:rsid w:val="000C7BEB"/>
    <w:rsid w:val="000D00D6"/>
    <w:rsid w:val="000D0124"/>
    <w:rsid w:val="000D08F8"/>
    <w:rsid w:val="000D11E5"/>
    <w:rsid w:val="000D19E8"/>
    <w:rsid w:val="000D1FA1"/>
    <w:rsid w:val="000D2834"/>
    <w:rsid w:val="000D2CAC"/>
    <w:rsid w:val="000D34C8"/>
    <w:rsid w:val="000D34FD"/>
    <w:rsid w:val="000D3932"/>
    <w:rsid w:val="000D3BE5"/>
    <w:rsid w:val="000D3C37"/>
    <w:rsid w:val="000D453A"/>
    <w:rsid w:val="000D4AFA"/>
    <w:rsid w:val="000D55A3"/>
    <w:rsid w:val="000D5EA6"/>
    <w:rsid w:val="000D5F00"/>
    <w:rsid w:val="000D6C9F"/>
    <w:rsid w:val="000D6E3B"/>
    <w:rsid w:val="000D6F30"/>
    <w:rsid w:val="000D74E4"/>
    <w:rsid w:val="000D7C9D"/>
    <w:rsid w:val="000D7CE0"/>
    <w:rsid w:val="000E1444"/>
    <w:rsid w:val="000E2785"/>
    <w:rsid w:val="000E27BB"/>
    <w:rsid w:val="000E2A06"/>
    <w:rsid w:val="000E3153"/>
    <w:rsid w:val="000E3484"/>
    <w:rsid w:val="000E386F"/>
    <w:rsid w:val="000E4051"/>
    <w:rsid w:val="000E4139"/>
    <w:rsid w:val="000E4765"/>
    <w:rsid w:val="000E5B7E"/>
    <w:rsid w:val="000E5BB8"/>
    <w:rsid w:val="000E5FF9"/>
    <w:rsid w:val="000E6AE1"/>
    <w:rsid w:val="000E7142"/>
    <w:rsid w:val="000E7236"/>
    <w:rsid w:val="000E7632"/>
    <w:rsid w:val="000E7737"/>
    <w:rsid w:val="000E7739"/>
    <w:rsid w:val="000E77EE"/>
    <w:rsid w:val="000F1604"/>
    <w:rsid w:val="000F2798"/>
    <w:rsid w:val="000F287A"/>
    <w:rsid w:val="000F2940"/>
    <w:rsid w:val="000F2AB3"/>
    <w:rsid w:val="000F3C29"/>
    <w:rsid w:val="000F3D08"/>
    <w:rsid w:val="000F439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4AE"/>
    <w:rsid w:val="001015F8"/>
    <w:rsid w:val="00101967"/>
    <w:rsid w:val="001024BA"/>
    <w:rsid w:val="00103251"/>
    <w:rsid w:val="00103509"/>
    <w:rsid w:val="00103709"/>
    <w:rsid w:val="0010393D"/>
    <w:rsid w:val="00103EBD"/>
    <w:rsid w:val="0010437F"/>
    <w:rsid w:val="00104699"/>
    <w:rsid w:val="00104E5B"/>
    <w:rsid w:val="00104EEC"/>
    <w:rsid w:val="001050DC"/>
    <w:rsid w:val="00105482"/>
    <w:rsid w:val="001056A5"/>
    <w:rsid w:val="00105BA9"/>
    <w:rsid w:val="00105BF2"/>
    <w:rsid w:val="00105FE1"/>
    <w:rsid w:val="001066EF"/>
    <w:rsid w:val="00106AAA"/>
    <w:rsid w:val="00106E0E"/>
    <w:rsid w:val="00107127"/>
    <w:rsid w:val="001078A5"/>
    <w:rsid w:val="00107BBD"/>
    <w:rsid w:val="00107BC7"/>
    <w:rsid w:val="00110033"/>
    <w:rsid w:val="001102B5"/>
    <w:rsid w:val="00110E34"/>
    <w:rsid w:val="00111C7D"/>
    <w:rsid w:val="00112038"/>
    <w:rsid w:val="001127FF"/>
    <w:rsid w:val="00112B0B"/>
    <w:rsid w:val="00112EB5"/>
    <w:rsid w:val="0011383E"/>
    <w:rsid w:val="00113EE3"/>
    <w:rsid w:val="001140CC"/>
    <w:rsid w:val="00114847"/>
    <w:rsid w:val="00114C4D"/>
    <w:rsid w:val="0011585B"/>
    <w:rsid w:val="00115B1A"/>
    <w:rsid w:val="001160FF"/>
    <w:rsid w:val="001164F4"/>
    <w:rsid w:val="001168F8"/>
    <w:rsid w:val="001176FF"/>
    <w:rsid w:val="00120299"/>
    <w:rsid w:val="001208DC"/>
    <w:rsid w:val="0012153F"/>
    <w:rsid w:val="0012159D"/>
    <w:rsid w:val="00121804"/>
    <w:rsid w:val="0012196B"/>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2E12"/>
    <w:rsid w:val="00133707"/>
    <w:rsid w:val="00133742"/>
    <w:rsid w:val="00133B70"/>
    <w:rsid w:val="00133E97"/>
    <w:rsid w:val="00134823"/>
    <w:rsid w:val="00134BE9"/>
    <w:rsid w:val="001350F7"/>
    <w:rsid w:val="00135769"/>
    <w:rsid w:val="00135BE9"/>
    <w:rsid w:val="00135E1E"/>
    <w:rsid w:val="00135E5C"/>
    <w:rsid w:val="00136762"/>
    <w:rsid w:val="00136DF8"/>
    <w:rsid w:val="00136E33"/>
    <w:rsid w:val="00136E9D"/>
    <w:rsid w:val="0013773D"/>
    <w:rsid w:val="00140319"/>
    <w:rsid w:val="0014042F"/>
    <w:rsid w:val="00140686"/>
    <w:rsid w:val="00140693"/>
    <w:rsid w:val="00140D7A"/>
    <w:rsid w:val="00141D28"/>
    <w:rsid w:val="00141DFE"/>
    <w:rsid w:val="00142185"/>
    <w:rsid w:val="001422E2"/>
    <w:rsid w:val="00142C26"/>
    <w:rsid w:val="001433BC"/>
    <w:rsid w:val="001435ED"/>
    <w:rsid w:val="00143872"/>
    <w:rsid w:val="00143A85"/>
    <w:rsid w:val="00144649"/>
    <w:rsid w:val="00145022"/>
    <w:rsid w:val="00145662"/>
    <w:rsid w:val="00145C6D"/>
    <w:rsid w:val="001460FC"/>
    <w:rsid w:val="00146151"/>
    <w:rsid w:val="00146326"/>
    <w:rsid w:val="00147032"/>
    <w:rsid w:val="0014763D"/>
    <w:rsid w:val="00147EA7"/>
    <w:rsid w:val="00151170"/>
    <w:rsid w:val="00151820"/>
    <w:rsid w:val="00151B2F"/>
    <w:rsid w:val="001524DC"/>
    <w:rsid w:val="001525E5"/>
    <w:rsid w:val="00153117"/>
    <w:rsid w:val="00153859"/>
    <w:rsid w:val="00153915"/>
    <w:rsid w:val="001539F0"/>
    <w:rsid w:val="00153C3F"/>
    <w:rsid w:val="0015419D"/>
    <w:rsid w:val="0015498C"/>
    <w:rsid w:val="00154BBA"/>
    <w:rsid w:val="00155275"/>
    <w:rsid w:val="00155B95"/>
    <w:rsid w:val="00156853"/>
    <w:rsid w:val="00157432"/>
    <w:rsid w:val="00161185"/>
    <w:rsid w:val="001614F0"/>
    <w:rsid w:val="001620BA"/>
    <w:rsid w:val="001623AC"/>
    <w:rsid w:val="00162BAA"/>
    <w:rsid w:val="00163C40"/>
    <w:rsid w:val="0016488B"/>
    <w:rsid w:val="00165758"/>
    <w:rsid w:val="00165A65"/>
    <w:rsid w:val="001661DE"/>
    <w:rsid w:val="00166317"/>
    <w:rsid w:val="00166424"/>
    <w:rsid w:val="00167478"/>
    <w:rsid w:val="00167594"/>
    <w:rsid w:val="001701A4"/>
    <w:rsid w:val="001702BE"/>
    <w:rsid w:val="001703AB"/>
    <w:rsid w:val="001704B3"/>
    <w:rsid w:val="0017059C"/>
    <w:rsid w:val="00170805"/>
    <w:rsid w:val="0017098F"/>
    <w:rsid w:val="0017105C"/>
    <w:rsid w:val="00171622"/>
    <w:rsid w:val="00171785"/>
    <w:rsid w:val="00171AB5"/>
    <w:rsid w:val="0017204F"/>
    <w:rsid w:val="001721CF"/>
    <w:rsid w:val="001728FD"/>
    <w:rsid w:val="00172A27"/>
    <w:rsid w:val="00172F02"/>
    <w:rsid w:val="00172F2D"/>
    <w:rsid w:val="00173562"/>
    <w:rsid w:val="00173631"/>
    <w:rsid w:val="0017372D"/>
    <w:rsid w:val="00173826"/>
    <w:rsid w:val="00173C3A"/>
    <w:rsid w:val="00173C58"/>
    <w:rsid w:val="00173E59"/>
    <w:rsid w:val="001741DC"/>
    <w:rsid w:val="00174C4F"/>
    <w:rsid w:val="00174F57"/>
    <w:rsid w:val="00175078"/>
    <w:rsid w:val="001755DC"/>
    <w:rsid w:val="00176AA6"/>
    <w:rsid w:val="00177063"/>
    <w:rsid w:val="00180A47"/>
    <w:rsid w:val="00180FC0"/>
    <w:rsid w:val="001827B7"/>
    <w:rsid w:val="001827EF"/>
    <w:rsid w:val="00182982"/>
    <w:rsid w:val="001829BC"/>
    <w:rsid w:val="00182D68"/>
    <w:rsid w:val="00183031"/>
    <w:rsid w:val="00183468"/>
    <w:rsid w:val="0018397E"/>
    <w:rsid w:val="0018413B"/>
    <w:rsid w:val="00184220"/>
    <w:rsid w:val="00184466"/>
    <w:rsid w:val="00184DBF"/>
    <w:rsid w:val="001850D2"/>
    <w:rsid w:val="001852A8"/>
    <w:rsid w:val="0018620A"/>
    <w:rsid w:val="00186C1E"/>
    <w:rsid w:val="00186E9C"/>
    <w:rsid w:val="00186EB0"/>
    <w:rsid w:val="00187121"/>
    <w:rsid w:val="00187243"/>
    <w:rsid w:val="00187C29"/>
    <w:rsid w:val="00187D13"/>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A71"/>
    <w:rsid w:val="00194BB1"/>
    <w:rsid w:val="00194BC6"/>
    <w:rsid w:val="00195070"/>
    <w:rsid w:val="00195245"/>
    <w:rsid w:val="0019526D"/>
    <w:rsid w:val="0019553F"/>
    <w:rsid w:val="001956BE"/>
    <w:rsid w:val="00195E24"/>
    <w:rsid w:val="0019602C"/>
    <w:rsid w:val="001968F4"/>
    <w:rsid w:val="001969F2"/>
    <w:rsid w:val="00196CD6"/>
    <w:rsid w:val="0019756A"/>
    <w:rsid w:val="001A0496"/>
    <w:rsid w:val="001A06B5"/>
    <w:rsid w:val="001A07F8"/>
    <w:rsid w:val="001A0A23"/>
    <w:rsid w:val="001A0C98"/>
    <w:rsid w:val="001A128B"/>
    <w:rsid w:val="001A1475"/>
    <w:rsid w:val="001A16FB"/>
    <w:rsid w:val="001A1F0E"/>
    <w:rsid w:val="001A3335"/>
    <w:rsid w:val="001A3CB9"/>
    <w:rsid w:val="001A4171"/>
    <w:rsid w:val="001A473A"/>
    <w:rsid w:val="001A4ED9"/>
    <w:rsid w:val="001A5785"/>
    <w:rsid w:val="001A5FD7"/>
    <w:rsid w:val="001A66A6"/>
    <w:rsid w:val="001A6BAF"/>
    <w:rsid w:val="001A6BBB"/>
    <w:rsid w:val="001A71C1"/>
    <w:rsid w:val="001A7314"/>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21"/>
    <w:rsid w:val="001B6D58"/>
    <w:rsid w:val="001B6FA7"/>
    <w:rsid w:val="001B7A15"/>
    <w:rsid w:val="001B7B69"/>
    <w:rsid w:val="001B7B9A"/>
    <w:rsid w:val="001B7DC1"/>
    <w:rsid w:val="001C08DB"/>
    <w:rsid w:val="001C0E6F"/>
    <w:rsid w:val="001C0FF7"/>
    <w:rsid w:val="001C10BD"/>
    <w:rsid w:val="001C1F01"/>
    <w:rsid w:val="001C2092"/>
    <w:rsid w:val="001C232F"/>
    <w:rsid w:val="001C2544"/>
    <w:rsid w:val="001C2A17"/>
    <w:rsid w:val="001C31F5"/>
    <w:rsid w:val="001C6047"/>
    <w:rsid w:val="001C6698"/>
    <w:rsid w:val="001C6710"/>
    <w:rsid w:val="001C6C1C"/>
    <w:rsid w:val="001C6C5B"/>
    <w:rsid w:val="001C6FCF"/>
    <w:rsid w:val="001C7399"/>
    <w:rsid w:val="001C7CE0"/>
    <w:rsid w:val="001D005B"/>
    <w:rsid w:val="001D0947"/>
    <w:rsid w:val="001D0A82"/>
    <w:rsid w:val="001D16F5"/>
    <w:rsid w:val="001D1970"/>
    <w:rsid w:val="001D1D55"/>
    <w:rsid w:val="001D1EDB"/>
    <w:rsid w:val="001D21EF"/>
    <w:rsid w:val="001D29A4"/>
    <w:rsid w:val="001D2AED"/>
    <w:rsid w:val="001D2B73"/>
    <w:rsid w:val="001D2BB4"/>
    <w:rsid w:val="001D3136"/>
    <w:rsid w:val="001D330D"/>
    <w:rsid w:val="001D4AB6"/>
    <w:rsid w:val="001D4AD3"/>
    <w:rsid w:val="001D4DCF"/>
    <w:rsid w:val="001D5281"/>
    <w:rsid w:val="001E11BD"/>
    <w:rsid w:val="001E17E3"/>
    <w:rsid w:val="001E2052"/>
    <w:rsid w:val="001E2492"/>
    <w:rsid w:val="001E257C"/>
    <w:rsid w:val="001E286C"/>
    <w:rsid w:val="001E2F34"/>
    <w:rsid w:val="001E35EE"/>
    <w:rsid w:val="001E4B2C"/>
    <w:rsid w:val="001E507F"/>
    <w:rsid w:val="001E56C2"/>
    <w:rsid w:val="001E59FB"/>
    <w:rsid w:val="001E65E4"/>
    <w:rsid w:val="001E7F81"/>
    <w:rsid w:val="001F0FD1"/>
    <w:rsid w:val="001F1526"/>
    <w:rsid w:val="001F19D1"/>
    <w:rsid w:val="001F1CB9"/>
    <w:rsid w:val="001F1F18"/>
    <w:rsid w:val="001F2C9D"/>
    <w:rsid w:val="001F2F92"/>
    <w:rsid w:val="001F50E3"/>
    <w:rsid w:val="001F53B8"/>
    <w:rsid w:val="001F5DA1"/>
    <w:rsid w:val="001F612E"/>
    <w:rsid w:val="001F6A92"/>
    <w:rsid w:val="001F77E8"/>
    <w:rsid w:val="00201A0C"/>
    <w:rsid w:val="00201B0F"/>
    <w:rsid w:val="0020255A"/>
    <w:rsid w:val="00202800"/>
    <w:rsid w:val="00202A6E"/>
    <w:rsid w:val="00202D33"/>
    <w:rsid w:val="00202E58"/>
    <w:rsid w:val="00202F99"/>
    <w:rsid w:val="00203C85"/>
    <w:rsid w:val="0020449A"/>
    <w:rsid w:val="00204E9B"/>
    <w:rsid w:val="00205214"/>
    <w:rsid w:val="00205298"/>
    <w:rsid w:val="002055C0"/>
    <w:rsid w:val="0020569E"/>
    <w:rsid w:val="002064F7"/>
    <w:rsid w:val="00206698"/>
    <w:rsid w:val="00206736"/>
    <w:rsid w:val="00206C88"/>
    <w:rsid w:val="00210B9C"/>
    <w:rsid w:val="00211185"/>
    <w:rsid w:val="00211A94"/>
    <w:rsid w:val="002126F2"/>
    <w:rsid w:val="00213478"/>
    <w:rsid w:val="002136C3"/>
    <w:rsid w:val="00214028"/>
    <w:rsid w:val="002141C3"/>
    <w:rsid w:val="002141DC"/>
    <w:rsid w:val="0021440C"/>
    <w:rsid w:val="00214479"/>
    <w:rsid w:val="002144F3"/>
    <w:rsid w:val="002146C3"/>
    <w:rsid w:val="00214C61"/>
    <w:rsid w:val="00215334"/>
    <w:rsid w:val="00215514"/>
    <w:rsid w:val="002158FC"/>
    <w:rsid w:val="00215A2A"/>
    <w:rsid w:val="00215A3F"/>
    <w:rsid w:val="00215D21"/>
    <w:rsid w:val="0021636B"/>
    <w:rsid w:val="00216387"/>
    <w:rsid w:val="00216E7B"/>
    <w:rsid w:val="00217E1F"/>
    <w:rsid w:val="0022015D"/>
    <w:rsid w:val="002202D2"/>
    <w:rsid w:val="002204BC"/>
    <w:rsid w:val="00220BBC"/>
    <w:rsid w:val="00220F7B"/>
    <w:rsid w:val="002213CE"/>
    <w:rsid w:val="0022165F"/>
    <w:rsid w:val="00221AF7"/>
    <w:rsid w:val="00222494"/>
    <w:rsid w:val="00222718"/>
    <w:rsid w:val="00222775"/>
    <w:rsid w:val="00222A31"/>
    <w:rsid w:val="00222C37"/>
    <w:rsid w:val="00222CF6"/>
    <w:rsid w:val="00223A2C"/>
    <w:rsid w:val="00224037"/>
    <w:rsid w:val="002244E4"/>
    <w:rsid w:val="00224D2A"/>
    <w:rsid w:val="00224D8D"/>
    <w:rsid w:val="0022513A"/>
    <w:rsid w:val="0022555A"/>
    <w:rsid w:val="00225B52"/>
    <w:rsid w:val="00227214"/>
    <w:rsid w:val="00227DDC"/>
    <w:rsid w:val="0023079F"/>
    <w:rsid w:val="00231135"/>
    <w:rsid w:val="002314B1"/>
    <w:rsid w:val="00231B0B"/>
    <w:rsid w:val="00232555"/>
    <w:rsid w:val="00233538"/>
    <w:rsid w:val="00233A43"/>
    <w:rsid w:val="00234248"/>
    <w:rsid w:val="0023449F"/>
    <w:rsid w:val="002344F5"/>
    <w:rsid w:val="0023454D"/>
    <w:rsid w:val="00234679"/>
    <w:rsid w:val="002359FC"/>
    <w:rsid w:val="002361C8"/>
    <w:rsid w:val="002362A6"/>
    <w:rsid w:val="00236690"/>
    <w:rsid w:val="0023669D"/>
    <w:rsid w:val="00237EAE"/>
    <w:rsid w:val="00237FA2"/>
    <w:rsid w:val="002403D5"/>
    <w:rsid w:val="00240781"/>
    <w:rsid w:val="00240C1F"/>
    <w:rsid w:val="00240F55"/>
    <w:rsid w:val="00240F67"/>
    <w:rsid w:val="00241144"/>
    <w:rsid w:val="00241C7B"/>
    <w:rsid w:val="00242510"/>
    <w:rsid w:val="00242F79"/>
    <w:rsid w:val="00243118"/>
    <w:rsid w:val="0024415B"/>
    <w:rsid w:val="00245565"/>
    <w:rsid w:val="002458C1"/>
    <w:rsid w:val="00245E62"/>
    <w:rsid w:val="002460D0"/>
    <w:rsid w:val="00246357"/>
    <w:rsid w:val="00247422"/>
    <w:rsid w:val="00247BA2"/>
    <w:rsid w:val="00247BE2"/>
    <w:rsid w:val="00250870"/>
    <w:rsid w:val="00250D6D"/>
    <w:rsid w:val="0025151C"/>
    <w:rsid w:val="0025184F"/>
    <w:rsid w:val="00251967"/>
    <w:rsid w:val="002521B2"/>
    <w:rsid w:val="002527CC"/>
    <w:rsid w:val="00252F48"/>
    <w:rsid w:val="002530C0"/>
    <w:rsid w:val="00253586"/>
    <w:rsid w:val="002537FC"/>
    <w:rsid w:val="002542F8"/>
    <w:rsid w:val="002543EF"/>
    <w:rsid w:val="00254F2A"/>
    <w:rsid w:val="002552F4"/>
    <w:rsid w:val="002553ED"/>
    <w:rsid w:val="00255784"/>
    <w:rsid w:val="00255A29"/>
    <w:rsid w:val="0025631F"/>
    <w:rsid w:val="00256986"/>
    <w:rsid w:val="00256D61"/>
    <w:rsid w:val="00256E23"/>
    <w:rsid w:val="00256FCD"/>
    <w:rsid w:val="00257246"/>
    <w:rsid w:val="00257438"/>
    <w:rsid w:val="00257B6A"/>
    <w:rsid w:val="002609E9"/>
    <w:rsid w:val="0026119C"/>
    <w:rsid w:val="00261AFE"/>
    <w:rsid w:val="0026212A"/>
    <w:rsid w:val="002621D7"/>
    <w:rsid w:val="00262996"/>
    <w:rsid w:val="00263044"/>
    <w:rsid w:val="00263759"/>
    <w:rsid w:val="002638BD"/>
    <w:rsid w:val="00263A58"/>
    <w:rsid w:val="0026470B"/>
    <w:rsid w:val="0026486D"/>
    <w:rsid w:val="00264C4B"/>
    <w:rsid w:val="00264ED0"/>
    <w:rsid w:val="00265346"/>
    <w:rsid w:val="00266045"/>
    <w:rsid w:val="002660C3"/>
    <w:rsid w:val="00266ACF"/>
    <w:rsid w:val="00266C21"/>
    <w:rsid w:val="00266DE1"/>
    <w:rsid w:val="00266E95"/>
    <w:rsid w:val="00267720"/>
    <w:rsid w:val="00267A92"/>
    <w:rsid w:val="00267E43"/>
    <w:rsid w:val="00270282"/>
    <w:rsid w:val="002705A5"/>
    <w:rsid w:val="00270780"/>
    <w:rsid w:val="00270CF6"/>
    <w:rsid w:val="00271097"/>
    <w:rsid w:val="0027131F"/>
    <w:rsid w:val="00271C53"/>
    <w:rsid w:val="00272066"/>
    <w:rsid w:val="0027244F"/>
    <w:rsid w:val="00272DCD"/>
    <w:rsid w:val="00273052"/>
    <w:rsid w:val="002739CE"/>
    <w:rsid w:val="00273C5F"/>
    <w:rsid w:val="002741D4"/>
    <w:rsid w:val="002743AC"/>
    <w:rsid w:val="002747F9"/>
    <w:rsid w:val="0027499D"/>
    <w:rsid w:val="002751CA"/>
    <w:rsid w:val="0027544D"/>
    <w:rsid w:val="00277196"/>
    <w:rsid w:val="002775ED"/>
    <w:rsid w:val="002778AB"/>
    <w:rsid w:val="0027798D"/>
    <w:rsid w:val="002802A5"/>
    <w:rsid w:val="002803CC"/>
    <w:rsid w:val="00280CFB"/>
    <w:rsid w:val="00280D24"/>
    <w:rsid w:val="002815C4"/>
    <w:rsid w:val="00281BCB"/>
    <w:rsid w:val="00281C76"/>
    <w:rsid w:val="0028316D"/>
    <w:rsid w:val="00283296"/>
    <w:rsid w:val="00283C0A"/>
    <w:rsid w:val="002855FC"/>
    <w:rsid w:val="0028583E"/>
    <w:rsid w:val="00285853"/>
    <w:rsid w:val="00285B1A"/>
    <w:rsid w:val="00285F3F"/>
    <w:rsid w:val="00285FF3"/>
    <w:rsid w:val="002866EC"/>
    <w:rsid w:val="0028744E"/>
    <w:rsid w:val="002876D2"/>
    <w:rsid w:val="00287936"/>
    <w:rsid w:val="00287BB7"/>
    <w:rsid w:val="002903C5"/>
    <w:rsid w:val="0029041B"/>
    <w:rsid w:val="00290A99"/>
    <w:rsid w:val="00290EAF"/>
    <w:rsid w:val="0029159A"/>
    <w:rsid w:val="00291CF1"/>
    <w:rsid w:val="00291EEA"/>
    <w:rsid w:val="00292422"/>
    <w:rsid w:val="00292AA1"/>
    <w:rsid w:val="00293871"/>
    <w:rsid w:val="002939CD"/>
    <w:rsid w:val="00294012"/>
    <w:rsid w:val="002944E7"/>
    <w:rsid w:val="002945B0"/>
    <w:rsid w:val="0029499D"/>
    <w:rsid w:val="00294A13"/>
    <w:rsid w:val="00294B10"/>
    <w:rsid w:val="00294DF9"/>
    <w:rsid w:val="00295073"/>
    <w:rsid w:val="00295468"/>
    <w:rsid w:val="0029612B"/>
    <w:rsid w:val="00296C32"/>
    <w:rsid w:val="002977CE"/>
    <w:rsid w:val="00297AF5"/>
    <w:rsid w:val="00297F13"/>
    <w:rsid w:val="002A01C1"/>
    <w:rsid w:val="002A02D6"/>
    <w:rsid w:val="002A03ED"/>
    <w:rsid w:val="002A07C4"/>
    <w:rsid w:val="002A0921"/>
    <w:rsid w:val="002A0B04"/>
    <w:rsid w:val="002A0CB3"/>
    <w:rsid w:val="002A1887"/>
    <w:rsid w:val="002A2001"/>
    <w:rsid w:val="002A3450"/>
    <w:rsid w:val="002A4060"/>
    <w:rsid w:val="002A4868"/>
    <w:rsid w:val="002A4A05"/>
    <w:rsid w:val="002A4EB3"/>
    <w:rsid w:val="002A51D9"/>
    <w:rsid w:val="002A525A"/>
    <w:rsid w:val="002A5968"/>
    <w:rsid w:val="002A5C82"/>
    <w:rsid w:val="002A5CAB"/>
    <w:rsid w:val="002A5D40"/>
    <w:rsid w:val="002A622E"/>
    <w:rsid w:val="002A6424"/>
    <w:rsid w:val="002A64E7"/>
    <w:rsid w:val="002A706B"/>
    <w:rsid w:val="002A734F"/>
    <w:rsid w:val="002A7748"/>
    <w:rsid w:val="002A7ED3"/>
    <w:rsid w:val="002A7FB1"/>
    <w:rsid w:val="002A7FC9"/>
    <w:rsid w:val="002B139C"/>
    <w:rsid w:val="002B1881"/>
    <w:rsid w:val="002B1F61"/>
    <w:rsid w:val="002B2070"/>
    <w:rsid w:val="002B227D"/>
    <w:rsid w:val="002B273D"/>
    <w:rsid w:val="002B2906"/>
    <w:rsid w:val="002B2C66"/>
    <w:rsid w:val="002B3216"/>
    <w:rsid w:val="002B34E3"/>
    <w:rsid w:val="002B4B5C"/>
    <w:rsid w:val="002B51B6"/>
    <w:rsid w:val="002B5AEE"/>
    <w:rsid w:val="002B6177"/>
    <w:rsid w:val="002B650C"/>
    <w:rsid w:val="002B68E6"/>
    <w:rsid w:val="002B6985"/>
    <w:rsid w:val="002B6BD4"/>
    <w:rsid w:val="002B6CEC"/>
    <w:rsid w:val="002B6D7A"/>
    <w:rsid w:val="002B72AE"/>
    <w:rsid w:val="002C02BA"/>
    <w:rsid w:val="002C0301"/>
    <w:rsid w:val="002C0326"/>
    <w:rsid w:val="002C077E"/>
    <w:rsid w:val="002C07B2"/>
    <w:rsid w:val="002C0A9F"/>
    <w:rsid w:val="002C1AB3"/>
    <w:rsid w:val="002C1BB7"/>
    <w:rsid w:val="002C1F0E"/>
    <w:rsid w:val="002C1FB3"/>
    <w:rsid w:val="002C2665"/>
    <w:rsid w:val="002C28E1"/>
    <w:rsid w:val="002C327D"/>
    <w:rsid w:val="002C3607"/>
    <w:rsid w:val="002C3890"/>
    <w:rsid w:val="002C3AD9"/>
    <w:rsid w:val="002C3B82"/>
    <w:rsid w:val="002C4286"/>
    <w:rsid w:val="002C43FC"/>
    <w:rsid w:val="002C45C3"/>
    <w:rsid w:val="002C483B"/>
    <w:rsid w:val="002C4DFE"/>
    <w:rsid w:val="002C519E"/>
    <w:rsid w:val="002C5D5E"/>
    <w:rsid w:val="002C6116"/>
    <w:rsid w:val="002C643D"/>
    <w:rsid w:val="002C66B8"/>
    <w:rsid w:val="002C70E7"/>
    <w:rsid w:val="002D016F"/>
    <w:rsid w:val="002D0404"/>
    <w:rsid w:val="002D0C27"/>
    <w:rsid w:val="002D0E88"/>
    <w:rsid w:val="002D0EA7"/>
    <w:rsid w:val="002D0F31"/>
    <w:rsid w:val="002D1593"/>
    <w:rsid w:val="002D1A1E"/>
    <w:rsid w:val="002D200D"/>
    <w:rsid w:val="002D22A6"/>
    <w:rsid w:val="002D2819"/>
    <w:rsid w:val="002D2CD6"/>
    <w:rsid w:val="002D2F81"/>
    <w:rsid w:val="002D330B"/>
    <w:rsid w:val="002D38A3"/>
    <w:rsid w:val="002D39A9"/>
    <w:rsid w:val="002D3BA3"/>
    <w:rsid w:val="002D43EE"/>
    <w:rsid w:val="002D4892"/>
    <w:rsid w:val="002D4D06"/>
    <w:rsid w:val="002D4DDE"/>
    <w:rsid w:val="002D4EE7"/>
    <w:rsid w:val="002D4EED"/>
    <w:rsid w:val="002D5AAD"/>
    <w:rsid w:val="002D5DA3"/>
    <w:rsid w:val="002D6097"/>
    <w:rsid w:val="002D65AD"/>
    <w:rsid w:val="002D6782"/>
    <w:rsid w:val="002D68CC"/>
    <w:rsid w:val="002D6E4D"/>
    <w:rsid w:val="002D74A4"/>
    <w:rsid w:val="002D788E"/>
    <w:rsid w:val="002D7DB2"/>
    <w:rsid w:val="002D7DBD"/>
    <w:rsid w:val="002D7EA8"/>
    <w:rsid w:val="002E00E1"/>
    <w:rsid w:val="002E0102"/>
    <w:rsid w:val="002E03AE"/>
    <w:rsid w:val="002E0542"/>
    <w:rsid w:val="002E05F2"/>
    <w:rsid w:val="002E0E87"/>
    <w:rsid w:val="002E12FA"/>
    <w:rsid w:val="002E13CF"/>
    <w:rsid w:val="002E1A42"/>
    <w:rsid w:val="002E201C"/>
    <w:rsid w:val="002E22CA"/>
    <w:rsid w:val="002E236F"/>
    <w:rsid w:val="002E2A3C"/>
    <w:rsid w:val="002E2A90"/>
    <w:rsid w:val="002E36EE"/>
    <w:rsid w:val="002E37C5"/>
    <w:rsid w:val="002E3956"/>
    <w:rsid w:val="002E3AA8"/>
    <w:rsid w:val="002E3C08"/>
    <w:rsid w:val="002E3CF2"/>
    <w:rsid w:val="002E469E"/>
    <w:rsid w:val="002E4962"/>
    <w:rsid w:val="002E4C01"/>
    <w:rsid w:val="002E4D50"/>
    <w:rsid w:val="002E4F8E"/>
    <w:rsid w:val="002E51C3"/>
    <w:rsid w:val="002E55FF"/>
    <w:rsid w:val="002E587E"/>
    <w:rsid w:val="002E672A"/>
    <w:rsid w:val="002E6853"/>
    <w:rsid w:val="002E70B3"/>
    <w:rsid w:val="002E7EC1"/>
    <w:rsid w:val="002E7EE5"/>
    <w:rsid w:val="002F0323"/>
    <w:rsid w:val="002F0674"/>
    <w:rsid w:val="002F0DFB"/>
    <w:rsid w:val="002F134F"/>
    <w:rsid w:val="002F1D0B"/>
    <w:rsid w:val="002F1E1D"/>
    <w:rsid w:val="002F1F02"/>
    <w:rsid w:val="002F27E5"/>
    <w:rsid w:val="002F2D81"/>
    <w:rsid w:val="002F2F66"/>
    <w:rsid w:val="002F3128"/>
    <w:rsid w:val="002F339A"/>
    <w:rsid w:val="002F39D4"/>
    <w:rsid w:val="002F4BA9"/>
    <w:rsid w:val="002F541B"/>
    <w:rsid w:val="002F58A6"/>
    <w:rsid w:val="002F5BFE"/>
    <w:rsid w:val="002F5DA5"/>
    <w:rsid w:val="002F5E17"/>
    <w:rsid w:val="002F6371"/>
    <w:rsid w:val="002F647C"/>
    <w:rsid w:val="002F6C6B"/>
    <w:rsid w:val="002F6CB0"/>
    <w:rsid w:val="002F6EFF"/>
    <w:rsid w:val="002F7DF0"/>
    <w:rsid w:val="002F7FAF"/>
    <w:rsid w:val="00300573"/>
    <w:rsid w:val="00302077"/>
    <w:rsid w:val="003025FE"/>
    <w:rsid w:val="00302A27"/>
    <w:rsid w:val="00303AB6"/>
    <w:rsid w:val="00303E6E"/>
    <w:rsid w:val="00304640"/>
    <w:rsid w:val="00304AC1"/>
    <w:rsid w:val="00305090"/>
    <w:rsid w:val="00305454"/>
    <w:rsid w:val="00305B9F"/>
    <w:rsid w:val="00305E21"/>
    <w:rsid w:val="003066C6"/>
    <w:rsid w:val="003066FA"/>
    <w:rsid w:val="00306AD6"/>
    <w:rsid w:val="003076AD"/>
    <w:rsid w:val="003077F4"/>
    <w:rsid w:val="00307DC7"/>
    <w:rsid w:val="00307FF2"/>
    <w:rsid w:val="00310EDB"/>
    <w:rsid w:val="00311C51"/>
    <w:rsid w:val="00311D56"/>
    <w:rsid w:val="00312016"/>
    <w:rsid w:val="00312340"/>
    <w:rsid w:val="00312C8B"/>
    <w:rsid w:val="00312DFC"/>
    <w:rsid w:val="0031318C"/>
    <w:rsid w:val="00313C9D"/>
    <w:rsid w:val="0031430C"/>
    <w:rsid w:val="00314919"/>
    <w:rsid w:val="00314C43"/>
    <w:rsid w:val="00314C5A"/>
    <w:rsid w:val="0031507A"/>
    <w:rsid w:val="0031531A"/>
    <w:rsid w:val="00315394"/>
    <w:rsid w:val="00315764"/>
    <w:rsid w:val="00315C7E"/>
    <w:rsid w:val="00315D77"/>
    <w:rsid w:val="00315D8E"/>
    <w:rsid w:val="00316002"/>
    <w:rsid w:val="00316901"/>
    <w:rsid w:val="00316CDE"/>
    <w:rsid w:val="0031752D"/>
    <w:rsid w:val="00317709"/>
    <w:rsid w:val="00317E32"/>
    <w:rsid w:val="00320688"/>
    <w:rsid w:val="00320B75"/>
    <w:rsid w:val="00321DB7"/>
    <w:rsid w:val="00321E7A"/>
    <w:rsid w:val="0032226D"/>
    <w:rsid w:val="003235E6"/>
    <w:rsid w:val="0032361E"/>
    <w:rsid w:val="00324038"/>
    <w:rsid w:val="00324507"/>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82D"/>
    <w:rsid w:val="00333A28"/>
    <w:rsid w:val="00333B6C"/>
    <w:rsid w:val="00334927"/>
    <w:rsid w:val="00335E84"/>
    <w:rsid w:val="003360AD"/>
    <w:rsid w:val="0033631D"/>
    <w:rsid w:val="003369C7"/>
    <w:rsid w:val="003373A6"/>
    <w:rsid w:val="00337409"/>
    <w:rsid w:val="00337E18"/>
    <w:rsid w:val="003405AF"/>
    <w:rsid w:val="0034088F"/>
    <w:rsid w:val="00340B3E"/>
    <w:rsid w:val="00341350"/>
    <w:rsid w:val="003413D2"/>
    <w:rsid w:val="00341525"/>
    <w:rsid w:val="0034257E"/>
    <w:rsid w:val="003429A1"/>
    <w:rsid w:val="003429FC"/>
    <w:rsid w:val="00343079"/>
    <w:rsid w:val="00343127"/>
    <w:rsid w:val="00343320"/>
    <w:rsid w:val="00343BED"/>
    <w:rsid w:val="00344066"/>
    <w:rsid w:val="00344BBF"/>
    <w:rsid w:val="0034509B"/>
    <w:rsid w:val="00345644"/>
    <w:rsid w:val="00345D0E"/>
    <w:rsid w:val="00345D7A"/>
    <w:rsid w:val="0034607E"/>
    <w:rsid w:val="00346A96"/>
    <w:rsid w:val="00346B6D"/>
    <w:rsid w:val="00346BA3"/>
    <w:rsid w:val="00346C69"/>
    <w:rsid w:val="00346C82"/>
    <w:rsid w:val="00347356"/>
    <w:rsid w:val="0035005C"/>
    <w:rsid w:val="003507E8"/>
    <w:rsid w:val="00350896"/>
    <w:rsid w:val="00350C31"/>
    <w:rsid w:val="00350C9F"/>
    <w:rsid w:val="00351391"/>
    <w:rsid w:val="003519CD"/>
    <w:rsid w:val="00351A3A"/>
    <w:rsid w:val="00351BA5"/>
    <w:rsid w:val="003522B8"/>
    <w:rsid w:val="0035455F"/>
    <w:rsid w:val="00355D75"/>
    <w:rsid w:val="00355D8F"/>
    <w:rsid w:val="00355DD8"/>
    <w:rsid w:val="00356A73"/>
    <w:rsid w:val="00356FF0"/>
    <w:rsid w:val="003577EF"/>
    <w:rsid w:val="00357A60"/>
    <w:rsid w:val="00360304"/>
    <w:rsid w:val="00360A78"/>
    <w:rsid w:val="00361750"/>
    <w:rsid w:val="00361CDF"/>
    <w:rsid w:val="00362B21"/>
    <w:rsid w:val="00363894"/>
    <w:rsid w:val="00363B2A"/>
    <w:rsid w:val="00363BF1"/>
    <w:rsid w:val="0036516F"/>
    <w:rsid w:val="00365627"/>
    <w:rsid w:val="00365DC5"/>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DC5"/>
    <w:rsid w:val="0037510C"/>
    <w:rsid w:val="00375850"/>
    <w:rsid w:val="0037632F"/>
    <w:rsid w:val="003777A8"/>
    <w:rsid w:val="00377B26"/>
    <w:rsid w:val="00381014"/>
    <w:rsid w:val="00381604"/>
    <w:rsid w:val="00381C68"/>
    <w:rsid w:val="00381F60"/>
    <w:rsid w:val="00382738"/>
    <w:rsid w:val="00382F11"/>
    <w:rsid w:val="00383204"/>
    <w:rsid w:val="00383AB0"/>
    <w:rsid w:val="003847BB"/>
    <w:rsid w:val="00384814"/>
    <w:rsid w:val="00384C0A"/>
    <w:rsid w:val="003856F6"/>
    <w:rsid w:val="003857F9"/>
    <w:rsid w:val="00385B16"/>
    <w:rsid w:val="00385B96"/>
    <w:rsid w:val="0038637D"/>
    <w:rsid w:val="003865C3"/>
    <w:rsid w:val="003868F6"/>
    <w:rsid w:val="003869DC"/>
    <w:rsid w:val="00386C07"/>
    <w:rsid w:val="00386F58"/>
    <w:rsid w:val="0038700D"/>
    <w:rsid w:val="003879CE"/>
    <w:rsid w:val="00387B88"/>
    <w:rsid w:val="00390AD5"/>
    <w:rsid w:val="00390B8F"/>
    <w:rsid w:val="00390C0D"/>
    <w:rsid w:val="00390C79"/>
    <w:rsid w:val="00391447"/>
    <w:rsid w:val="003919D9"/>
    <w:rsid w:val="00391BDD"/>
    <w:rsid w:val="003922DE"/>
    <w:rsid w:val="00392E35"/>
    <w:rsid w:val="00393247"/>
    <w:rsid w:val="00393551"/>
    <w:rsid w:val="00393816"/>
    <w:rsid w:val="003939E9"/>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18C"/>
    <w:rsid w:val="003A24CC"/>
    <w:rsid w:val="003A2512"/>
    <w:rsid w:val="003A2A53"/>
    <w:rsid w:val="003A2EE8"/>
    <w:rsid w:val="003A363A"/>
    <w:rsid w:val="003A373C"/>
    <w:rsid w:val="003A5378"/>
    <w:rsid w:val="003A553C"/>
    <w:rsid w:val="003A56DF"/>
    <w:rsid w:val="003A6008"/>
    <w:rsid w:val="003A703F"/>
    <w:rsid w:val="003A7433"/>
    <w:rsid w:val="003A7D45"/>
    <w:rsid w:val="003A7E2B"/>
    <w:rsid w:val="003A7E40"/>
    <w:rsid w:val="003B0336"/>
    <w:rsid w:val="003B0A3A"/>
    <w:rsid w:val="003B0D79"/>
    <w:rsid w:val="003B2930"/>
    <w:rsid w:val="003B31A7"/>
    <w:rsid w:val="003B3EF4"/>
    <w:rsid w:val="003B4587"/>
    <w:rsid w:val="003B4B51"/>
    <w:rsid w:val="003B4FE1"/>
    <w:rsid w:val="003B514E"/>
    <w:rsid w:val="003B5531"/>
    <w:rsid w:val="003B6238"/>
    <w:rsid w:val="003B636A"/>
    <w:rsid w:val="003B69CE"/>
    <w:rsid w:val="003B7403"/>
    <w:rsid w:val="003B79BD"/>
    <w:rsid w:val="003B7BDE"/>
    <w:rsid w:val="003C011C"/>
    <w:rsid w:val="003C0E32"/>
    <w:rsid w:val="003C0F8D"/>
    <w:rsid w:val="003C11D7"/>
    <w:rsid w:val="003C16CB"/>
    <w:rsid w:val="003C1B97"/>
    <w:rsid w:val="003C247B"/>
    <w:rsid w:val="003C2945"/>
    <w:rsid w:val="003C3292"/>
    <w:rsid w:val="003C3C1E"/>
    <w:rsid w:val="003C3D88"/>
    <w:rsid w:val="003C4134"/>
    <w:rsid w:val="003C435B"/>
    <w:rsid w:val="003C4EBE"/>
    <w:rsid w:val="003C5044"/>
    <w:rsid w:val="003C62EC"/>
    <w:rsid w:val="003C685A"/>
    <w:rsid w:val="003C6E9C"/>
    <w:rsid w:val="003C746F"/>
    <w:rsid w:val="003C7570"/>
    <w:rsid w:val="003C765A"/>
    <w:rsid w:val="003C76E6"/>
    <w:rsid w:val="003C7E59"/>
    <w:rsid w:val="003C7F12"/>
    <w:rsid w:val="003D03D6"/>
    <w:rsid w:val="003D075D"/>
    <w:rsid w:val="003D0EE2"/>
    <w:rsid w:val="003D1283"/>
    <w:rsid w:val="003D14C8"/>
    <w:rsid w:val="003D1517"/>
    <w:rsid w:val="003D16C5"/>
    <w:rsid w:val="003D1CA9"/>
    <w:rsid w:val="003D2DA0"/>
    <w:rsid w:val="003D34C3"/>
    <w:rsid w:val="003D3B4D"/>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BE0"/>
    <w:rsid w:val="003E20F7"/>
    <w:rsid w:val="003E336A"/>
    <w:rsid w:val="003E3E2F"/>
    <w:rsid w:val="003E4048"/>
    <w:rsid w:val="003E4CE5"/>
    <w:rsid w:val="003E604C"/>
    <w:rsid w:val="003E60DA"/>
    <w:rsid w:val="003E6E00"/>
    <w:rsid w:val="003E7111"/>
    <w:rsid w:val="003E7940"/>
    <w:rsid w:val="003F01BD"/>
    <w:rsid w:val="003F01EE"/>
    <w:rsid w:val="003F0486"/>
    <w:rsid w:val="003F048E"/>
    <w:rsid w:val="003F09FA"/>
    <w:rsid w:val="003F0AFF"/>
    <w:rsid w:val="003F0DE2"/>
    <w:rsid w:val="003F1AA2"/>
    <w:rsid w:val="003F1B81"/>
    <w:rsid w:val="003F1ED6"/>
    <w:rsid w:val="003F26DC"/>
    <w:rsid w:val="003F2E19"/>
    <w:rsid w:val="003F2E2F"/>
    <w:rsid w:val="003F42FF"/>
    <w:rsid w:val="003F4747"/>
    <w:rsid w:val="003F4B48"/>
    <w:rsid w:val="003F4DDC"/>
    <w:rsid w:val="003F53CB"/>
    <w:rsid w:val="003F56B8"/>
    <w:rsid w:val="003F5F1A"/>
    <w:rsid w:val="003F6327"/>
    <w:rsid w:val="003F7425"/>
    <w:rsid w:val="003F765B"/>
    <w:rsid w:val="003F7CB8"/>
    <w:rsid w:val="00400BD6"/>
    <w:rsid w:val="00400CB4"/>
    <w:rsid w:val="00401386"/>
    <w:rsid w:val="004013E6"/>
    <w:rsid w:val="00401A49"/>
    <w:rsid w:val="00401E31"/>
    <w:rsid w:val="0040234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01"/>
    <w:rsid w:val="0041035A"/>
    <w:rsid w:val="00410E76"/>
    <w:rsid w:val="004112D1"/>
    <w:rsid w:val="004113C9"/>
    <w:rsid w:val="00411D1E"/>
    <w:rsid w:val="00411DF2"/>
    <w:rsid w:val="004120DF"/>
    <w:rsid w:val="004126B5"/>
    <w:rsid w:val="00414359"/>
    <w:rsid w:val="00414477"/>
    <w:rsid w:val="00414909"/>
    <w:rsid w:val="00414BD5"/>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2CA"/>
    <w:rsid w:val="00422907"/>
    <w:rsid w:val="00423125"/>
    <w:rsid w:val="00423256"/>
    <w:rsid w:val="00423309"/>
    <w:rsid w:val="004233AD"/>
    <w:rsid w:val="00424446"/>
    <w:rsid w:val="00424585"/>
    <w:rsid w:val="00424867"/>
    <w:rsid w:val="00425341"/>
    <w:rsid w:val="004255FE"/>
    <w:rsid w:val="00425674"/>
    <w:rsid w:val="00425A82"/>
    <w:rsid w:val="00425C60"/>
    <w:rsid w:val="00425F97"/>
    <w:rsid w:val="00426B2C"/>
    <w:rsid w:val="00427FA8"/>
    <w:rsid w:val="0043009D"/>
    <w:rsid w:val="0043026B"/>
    <w:rsid w:val="00430299"/>
    <w:rsid w:val="004306D4"/>
    <w:rsid w:val="00431433"/>
    <w:rsid w:val="00431A2A"/>
    <w:rsid w:val="00432ECA"/>
    <w:rsid w:val="004336E7"/>
    <w:rsid w:val="0043554E"/>
    <w:rsid w:val="004355D4"/>
    <w:rsid w:val="004357B1"/>
    <w:rsid w:val="00435821"/>
    <w:rsid w:val="0043583E"/>
    <w:rsid w:val="00436CCE"/>
    <w:rsid w:val="00436EAD"/>
    <w:rsid w:val="004375E1"/>
    <w:rsid w:val="004379D4"/>
    <w:rsid w:val="00437A2F"/>
    <w:rsid w:val="00437FCE"/>
    <w:rsid w:val="00440262"/>
    <w:rsid w:val="004406BF"/>
    <w:rsid w:val="00440814"/>
    <w:rsid w:val="0044105D"/>
    <w:rsid w:val="00441424"/>
    <w:rsid w:val="00442731"/>
    <w:rsid w:val="00442C12"/>
    <w:rsid w:val="004434DF"/>
    <w:rsid w:val="0044354B"/>
    <w:rsid w:val="004439F4"/>
    <w:rsid w:val="00443E0C"/>
    <w:rsid w:val="00444273"/>
    <w:rsid w:val="0044493E"/>
    <w:rsid w:val="00444A1F"/>
    <w:rsid w:val="00444FC6"/>
    <w:rsid w:val="00445874"/>
    <w:rsid w:val="00445C38"/>
    <w:rsid w:val="0044686B"/>
    <w:rsid w:val="004475F7"/>
    <w:rsid w:val="0045057B"/>
    <w:rsid w:val="0045069B"/>
    <w:rsid w:val="00450B22"/>
    <w:rsid w:val="004515F7"/>
    <w:rsid w:val="00451709"/>
    <w:rsid w:val="004518FA"/>
    <w:rsid w:val="00451A02"/>
    <w:rsid w:val="0045277C"/>
    <w:rsid w:val="00453232"/>
    <w:rsid w:val="00453507"/>
    <w:rsid w:val="00453592"/>
    <w:rsid w:val="004541C7"/>
    <w:rsid w:val="004543AB"/>
    <w:rsid w:val="004545EC"/>
    <w:rsid w:val="00455967"/>
    <w:rsid w:val="00455C14"/>
    <w:rsid w:val="00455F71"/>
    <w:rsid w:val="00456272"/>
    <w:rsid w:val="0045653A"/>
    <w:rsid w:val="004570EF"/>
    <w:rsid w:val="00457517"/>
    <w:rsid w:val="00457CF7"/>
    <w:rsid w:val="00457D37"/>
    <w:rsid w:val="0046028A"/>
    <w:rsid w:val="004604BB"/>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6B08"/>
    <w:rsid w:val="004672E3"/>
    <w:rsid w:val="0046775D"/>
    <w:rsid w:val="00467823"/>
    <w:rsid w:val="004705FA"/>
    <w:rsid w:val="004708AC"/>
    <w:rsid w:val="00471387"/>
    <w:rsid w:val="0047146C"/>
    <w:rsid w:val="0047149F"/>
    <w:rsid w:val="00471963"/>
    <w:rsid w:val="00471D8D"/>
    <w:rsid w:val="004724B8"/>
    <w:rsid w:val="004728FB"/>
    <w:rsid w:val="00472952"/>
    <w:rsid w:val="004729AD"/>
    <w:rsid w:val="00472CA7"/>
    <w:rsid w:val="00472CEC"/>
    <w:rsid w:val="00472F0D"/>
    <w:rsid w:val="00473308"/>
    <w:rsid w:val="0047377C"/>
    <w:rsid w:val="0047471E"/>
    <w:rsid w:val="004749DA"/>
    <w:rsid w:val="00474DEF"/>
    <w:rsid w:val="004750E3"/>
    <w:rsid w:val="004755A3"/>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E4A"/>
    <w:rsid w:val="00483091"/>
    <w:rsid w:val="00483140"/>
    <w:rsid w:val="0048360C"/>
    <w:rsid w:val="00483984"/>
    <w:rsid w:val="00483BB3"/>
    <w:rsid w:val="00483BC7"/>
    <w:rsid w:val="00483CF0"/>
    <w:rsid w:val="004849D6"/>
    <w:rsid w:val="00484B6A"/>
    <w:rsid w:val="00484D4D"/>
    <w:rsid w:val="00486516"/>
    <w:rsid w:val="0048664F"/>
    <w:rsid w:val="004868AD"/>
    <w:rsid w:val="00486D00"/>
    <w:rsid w:val="00487FE1"/>
    <w:rsid w:val="0049007D"/>
    <w:rsid w:val="00490707"/>
    <w:rsid w:val="00490815"/>
    <w:rsid w:val="0049117E"/>
    <w:rsid w:val="00492503"/>
    <w:rsid w:val="004925C8"/>
    <w:rsid w:val="00492AF9"/>
    <w:rsid w:val="00492B76"/>
    <w:rsid w:val="00492BA0"/>
    <w:rsid w:val="0049333E"/>
    <w:rsid w:val="0049418F"/>
    <w:rsid w:val="0049570D"/>
    <w:rsid w:val="00495C48"/>
    <w:rsid w:val="00495DC6"/>
    <w:rsid w:val="00495FFB"/>
    <w:rsid w:val="004967B9"/>
    <w:rsid w:val="00496CCE"/>
    <w:rsid w:val="004978C1"/>
    <w:rsid w:val="00497AAD"/>
    <w:rsid w:val="00497BD7"/>
    <w:rsid w:val="00497D1A"/>
    <w:rsid w:val="004A00C9"/>
    <w:rsid w:val="004A03D0"/>
    <w:rsid w:val="004A1049"/>
    <w:rsid w:val="004A1AFA"/>
    <w:rsid w:val="004A1EA7"/>
    <w:rsid w:val="004A26F5"/>
    <w:rsid w:val="004A2EF8"/>
    <w:rsid w:val="004A375F"/>
    <w:rsid w:val="004A3A21"/>
    <w:rsid w:val="004A407A"/>
    <w:rsid w:val="004A4AFB"/>
    <w:rsid w:val="004A4E3B"/>
    <w:rsid w:val="004A6110"/>
    <w:rsid w:val="004A61B8"/>
    <w:rsid w:val="004A6415"/>
    <w:rsid w:val="004A64F9"/>
    <w:rsid w:val="004A65F4"/>
    <w:rsid w:val="004A6D2C"/>
    <w:rsid w:val="004A7C04"/>
    <w:rsid w:val="004B026C"/>
    <w:rsid w:val="004B0271"/>
    <w:rsid w:val="004B0BE8"/>
    <w:rsid w:val="004B0E4A"/>
    <w:rsid w:val="004B12D0"/>
    <w:rsid w:val="004B18F4"/>
    <w:rsid w:val="004B1A98"/>
    <w:rsid w:val="004B2463"/>
    <w:rsid w:val="004B2532"/>
    <w:rsid w:val="004B2E9D"/>
    <w:rsid w:val="004B305F"/>
    <w:rsid w:val="004B34C4"/>
    <w:rsid w:val="004B34E8"/>
    <w:rsid w:val="004B3981"/>
    <w:rsid w:val="004B3A03"/>
    <w:rsid w:val="004B4104"/>
    <w:rsid w:val="004B419F"/>
    <w:rsid w:val="004B4EA9"/>
    <w:rsid w:val="004B5376"/>
    <w:rsid w:val="004B53CB"/>
    <w:rsid w:val="004B5C96"/>
    <w:rsid w:val="004B6124"/>
    <w:rsid w:val="004B64B2"/>
    <w:rsid w:val="004B6E50"/>
    <w:rsid w:val="004B728F"/>
    <w:rsid w:val="004B7317"/>
    <w:rsid w:val="004B75B2"/>
    <w:rsid w:val="004B75C6"/>
    <w:rsid w:val="004C02C5"/>
    <w:rsid w:val="004C0BF0"/>
    <w:rsid w:val="004C0D40"/>
    <w:rsid w:val="004C114F"/>
    <w:rsid w:val="004C11A9"/>
    <w:rsid w:val="004C1FE0"/>
    <w:rsid w:val="004C27CF"/>
    <w:rsid w:val="004C2CA7"/>
    <w:rsid w:val="004C3592"/>
    <w:rsid w:val="004C45C8"/>
    <w:rsid w:val="004C4620"/>
    <w:rsid w:val="004C4F8F"/>
    <w:rsid w:val="004C50A0"/>
    <w:rsid w:val="004C5C18"/>
    <w:rsid w:val="004C5F4B"/>
    <w:rsid w:val="004C612E"/>
    <w:rsid w:val="004C61B8"/>
    <w:rsid w:val="004C69FE"/>
    <w:rsid w:val="004C6C0A"/>
    <w:rsid w:val="004C6C6D"/>
    <w:rsid w:val="004C77FF"/>
    <w:rsid w:val="004C7DB0"/>
    <w:rsid w:val="004C7DFB"/>
    <w:rsid w:val="004C7FFC"/>
    <w:rsid w:val="004D0223"/>
    <w:rsid w:val="004D0C4C"/>
    <w:rsid w:val="004D16A3"/>
    <w:rsid w:val="004D1934"/>
    <w:rsid w:val="004D1E41"/>
    <w:rsid w:val="004D2017"/>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248"/>
    <w:rsid w:val="004E1D6F"/>
    <w:rsid w:val="004E1DF3"/>
    <w:rsid w:val="004E2393"/>
    <w:rsid w:val="004E3117"/>
    <w:rsid w:val="004E3A2A"/>
    <w:rsid w:val="004E3AB1"/>
    <w:rsid w:val="004E4003"/>
    <w:rsid w:val="004E4626"/>
    <w:rsid w:val="004E4984"/>
    <w:rsid w:val="004E5101"/>
    <w:rsid w:val="004E5380"/>
    <w:rsid w:val="004E6746"/>
    <w:rsid w:val="004E675C"/>
    <w:rsid w:val="004E6CAC"/>
    <w:rsid w:val="004E6F69"/>
    <w:rsid w:val="004E74F2"/>
    <w:rsid w:val="004E75C1"/>
    <w:rsid w:val="004E777F"/>
    <w:rsid w:val="004E7E66"/>
    <w:rsid w:val="004F07F2"/>
    <w:rsid w:val="004F07F9"/>
    <w:rsid w:val="004F0A50"/>
    <w:rsid w:val="004F0A51"/>
    <w:rsid w:val="004F0D1F"/>
    <w:rsid w:val="004F0E82"/>
    <w:rsid w:val="004F1468"/>
    <w:rsid w:val="004F1523"/>
    <w:rsid w:val="004F1847"/>
    <w:rsid w:val="004F1CE1"/>
    <w:rsid w:val="004F1F9E"/>
    <w:rsid w:val="004F2491"/>
    <w:rsid w:val="004F2CB6"/>
    <w:rsid w:val="004F2E6E"/>
    <w:rsid w:val="004F3015"/>
    <w:rsid w:val="004F313F"/>
    <w:rsid w:val="004F367F"/>
    <w:rsid w:val="004F3912"/>
    <w:rsid w:val="004F3A3B"/>
    <w:rsid w:val="004F3CB6"/>
    <w:rsid w:val="004F3EEF"/>
    <w:rsid w:val="004F43A7"/>
    <w:rsid w:val="004F447B"/>
    <w:rsid w:val="004F497C"/>
    <w:rsid w:val="004F4FAC"/>
    <w:rsid w:val="004F4FE8"/>
    <w:rsid w:val="004F531B"/>
    <w:rsid w:val="004F560C"/>
    <w:rsid w:val="004F5DBB"/>
    <w:rsid w:val="004F60B4"/>
    <w:rsid w:val="004F61A3"/>
    <w:rsid w:val="004F6874"/>
    <w:rsid w:val="004F7254"/>
    <w:rsid w:val="004F73BD"/>
    <w:rsid w:val="004F7922"/>
    <w:rsid w:val="004F7A1F"/>
    <w:rsid w:val="004F7B47"/>
    <w:rsid w:val="0050079C"/>
    <w:rsid w:val="0050106A"/>
    <w:rsid w:val="005010BC"/>
    <w:rsid w:val="00501848"/>
    <w:rsid w:val="00501EE6"/>
    <w:rsid w:val="0050258A"/>
    <w:rsid w:val="00502B31"/>
    <w:rsid w:val="0050434C"/>
    <w:rsid w:val="0050537D"/>
    <w:rsid w:val="0050591C"/>
    <w:rsid w:val="005059BD"/>
    <w:rsid w:val="005060AE"/>
    <w:rsid w:val="0050790B"/>
    <w:rsid w:val="00507C05"/>
    <w:rsid w:val="00507EF4"/>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FB2"/>
    <w:rsid w:val="00515180"/>
    <w:rsid w:val="00515973"/>
    <w:rsid w:val="00516069"/>
    <w:rsid w:val="005175F0"/>
    <w:rsid w:val="00517AC8"/>
    <w:rsid w:val="00517C3E"/>
    <w:rsid w:val="005207D8"/>
    <w:rsid w:val="0052091D"/>
    <w:rsid w:val="005212F4"/>
    <w:rsid w:val="00521908"/>
    <w:rsid w:val="00521BCC"/>
    <w:rsid w:val="005224BC"/>
    <w:rsid w:val="00522928"/>
    <w:rsid w:val="00522FF1"/>
    <w:rsid w:val="005230E1"/>
    <w:rsid w:val="005231CD"/>
    <w:rsid w:val="00523946"/>
    <w:rsid w:val="0052397A"/>
    <w:rsid w:val="00524125"/>
    <w:rsid w:val="005243FC"/>
    <w:rsid w:val="0052456E"/>
    <w:rsid w:val="005256D6"/>
    <w:rsid w:val="00525AD8"/>
    <w:rsid w:val="00526429"/>
    <w:rsid w:val="005266C1"/>
    <w:rsid w:val="005267F4"/>
    <w:rsid w:val="005269D3"/>
    <w:rsid w:val="00527317"/>
    <w:rsid w:val="005278FA"/>
    <w:rsid w:val="00527ED6"/>
    <w:rsid w:val="0053024F"/>
    <w:rsid w:val="00531064"/>
    <w:rsid w:val="005312CB"/>
    <w:rsid w:val="005313B2"/>
    <w:rsid w:val="005317BA"/>
    <w:rsid w:val="00531911"/>
    <w:rsid w:val="00531E92"/>
    <w:rsid w:val="005324D7"/>
    <w:rsid w:val="005326F0"/>
    <w:rsid w:val="0053275F"/>
    <w:rsid w:val="00532764"/>
    <w:rsid w:val="00532AA5"/>
    <w:rsid w:val="00532C5F"/>
    <w:rsid w:val="00533233"/>
    <w:rsid w:val="005335A2"/>
    <w:rsid w:val="00533D13"/>
    <w:rsid w:val="00533DEC"/>
    <w:rsid w:val="00534026"/>
    <w:rsid w:val="00534D55"/>
    <w:rsid w:val="00535A0C"/>
    <w:rsid w:val="00535B53"/>
    <w:rsid w:val="005360DD"/>
    <w:rsid w:val="00536392"/>
    <w:rsid w:val="00536B03"/>
    <w:rsid w:val="00537456"/>
    <w:rsid w:val="00537708"/>
    <w:rsid w:val="0053790C"/>
    <w:rsid w:val="00537B3D"/>
    <w:rsid w:val="00540401"/>
    <w:rsid w:val="005405B2"/>
    <w:rsid w:val="0054076A"/>
    <w:rsid w:val="00540D47"/>
    <w:rsid w:val="00540EE7"/>
    <w:rsid w:val="0054191A"/>
    <w:rsid w:val="00541A22"/>
    <w:rsid w:val="00541EAD"/>
    <w:rsid w:val="005424C2"/>
    <w:rsid w:val="005426B2"/>
    <w:rsid w:val="00542C0E"/>
    <w:rsid w:val="00543519"/>
    <w:rsid w:val="00543640"/>
    <w:rsid w:val="00544019"/>
    <w:rsid w:val="005444C6"/>
    <w:rsid w:val="00544BF9"/>
    <w:rsid w:val="00544F05"/>
    <w:rsid w:val="00544FCC"/>
    <w:rsid w:val="005454B8"/>
    <w:rsid w:val="00545ACB"/>
    <w:rsid w:val="00545DB9"/>
    <w:rsid w:val="005462ED"/>
    <w:rsid w:val="00546585"/>
    <w:rsid w:val="0054680A"/>
    <w:rsid w:val="00546AC1"/>
    <w:rsid w:val="00546BF8"/>
    <w:rsid w:val="00547BA2"/>
    <w:rsid w:val="005503B7"/>
    <w:rsid w:val="00550AC5"/>
    <w:rsid w:val="00550B7E"/>
    <w:rsid w:val="00551052"/>
    <w:rsid w:val="005524ED"/>
    <w:rsid w:val="00552D8C"/>
    <w:rsid w:val="00553F91"/>
    <w:rsid w:val="00554007"/>
    <w:rsid w:val="00554C03"/>
    <w:rsid w:val="00554C58"/>
    <w:rsid w:val="00554D5D"/>
    <w:rsid w:val="005550F9"/>
    <w:rsid w:val="00556338"/>
    <w:rsid w:val="00556441"/>
    <w:rsid w:val="0055693B"/>
    <w:rsid w:val="00557031"/>
    <w:rsid w:val="00557F87"/>
    <w:rsid w:val="00560FCB"/>
    <w:rsid w:val="00561001"/>
    <w:rsid w:val="0056111C"/>
    <w:rsid w:val="00561140"/>
    <w:rsid w:val="005612B1"/>
    <w:rsid w:val="00561412"/>
    <w:rsid w:val="00561903"/>
    <w:rsid w:val="00561A9B"/>
    <w:rsid w:val="00561E54"/>
    <w:rsid w:val="00561F73"/>
    <w:rsid w:val="005621F7"/>
    <w:rsid w:val="0056220B"/>
    <w:rsid w:val="0056278F"/>
    <w:rsid w:val="00562FB1"/>
    <w:rsid w:val="00563068"/>
    <w:rsid w:val="0056376A"/>
    <w:rsid w:val="00563B3C"/>
    <w:rsid w:val="00563FC9"/>
    <w:rsid w:val="0056419C"/>
    <w:rsid w:val="00564C77"/>
    <w:rsid w:val="00564D70"/>
    <w:rsid w:val="00564DA7"/>
    <w:rsid w:val="00565204"/>
    <w:rsid w:val="00565473"/>
    <w:rsid w:val="00565AB1"/>
    <w:rsid w:val="00565AF9"/>
    <w:rsid w:val="00565DAC"/>
    <w:rsid w:val="00565F0D"/>
    <w:rsid w:val="005662DC"/>
    <w:rsid w:val="00566329"/>
    <w:rsid w:val="005668B9"/>
    <w:rsid w:val="00566AD4"/>
    <w:rsid w:val="00566E39"/>
    <w:rsid w:val="0056704E"/>
    <w:rsid w:val="00567623"/>
    <w:rsid w:val="005701C2"/>
    <w:rsid w:val="00570763"/>
    <w:rsid w:val="00570EBB"/>
    <w:rsid w:val="0057200B"/>
    <w:rsid w:val="00572297"/>
    <w:rsid w:val="0057345D"/>
    <w:rsid w:val="0057347D"/>
    <w:rsid w:val="00573560"/>
    <w:rsid w:val="00573564"/>
    <w:rsid w:val="00573CE6"/>
    <w:rsid w:val="00574E7B"/>
    <w:rsid w:val="00574F36"/>
    <w:rsid w:val="00576B5C"/>
    <w:rsid w:val="005770CC"/>
    <w:rsid w:val="005802F9"/>
    <w:rsid w:val="005806D5"/>
    <w:rsid w:val="00580DFC"/>
    <w:rsid w:val="0058134C"/>
    <w:rsid w:val="00581359"/>
    <w:rsid w:val="005815CD"/>
    <w:rsid w:val="005827A7"/>
    <w:rsid w:val="00583D43"/>
    <w:rsid w:val="005841FB"/>
    <w:rsid w:val="005846C3"/>
    <w:rsid w:val="00584F04"/>
    <w:rsid w:val="0058544C"/>
    <w:rsid w:val="00585623"/>
    <w:rsid w:val="005857F7"/>
    <w:rsid w:val="00585D9D"/>
    <w:rsid w:val="005865E9"/>
    <w:rsid w:val="00586810"/>
    <w:rsid w:val="005868FD"/>
    <w:rsid w:val="00587D7B"/>
    <w:rsid w:val="005904DB"/>
    <w:rsid w:val="005905ED"/>
    <w:rsid w:val="00590D11"/>
    <w:rsid w:val="0059180B"/>
    <w:rsid w:val="00591911"/>
    <w:rsid w:val="00591BA6"/>
    <w:rsid w:val="005924F2"/>
    <w:rsid w:val="00592825"/>
    <w:rsid w:val="00593DC7"/>
    <w:rsid w:val="00594437"/>
    <w:rsid w:val="00594B70"/>
    <w:rsid w:val="00595870"/>
    <w:rsid w:val="00596CFA"/>
    <w:rsid w:val="00596EC6"/>
    <w:rsid w:val="005975CE"/>
    <w:rsid w:val="005A0088"/>
    <w:rsid w:val="005A04F6"/>
    <w:rsid w:val="005A14F0"/>
    <w:rsid w:val="005A1861"/>
    <w:rsid w:val="005A1A31"/>
    <w:rsid w:val="005A361D"/>
    <w:rsid w:val="005A36C2"/>
    <w:rsid w:val="005A3719"/>
    <w:rsid w:val="005A3DD7"/>
    <w:rsid w:val="005A40FA"/>
    <w:rsid w:val="005A4AC9"/>
    <w:rsid w:val="005A4C20"/>
    <w:rsid w:val="005A4F48"/>
    <w:rsid w:val="005A54F1"/>
    <w:rsid w:val="005A57B8"/>
    <w:rsid w:val="005A5DDE"/>
    <w:rsid w:val="005A5DFC"/>
    <w:rsid w:val="005A64A8"/>
    <w:rsid w:val="005A65C5"/>
    <w:rsid w:val="005A6875"/>
    <w:rsid w:val="005A6F0B"/>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613"/>
    <w:rsid w:val="005B48BE"/>
    <w:rsid w:val="005B58F7"/>
    <w:rsid w:val="005B5981"/>
    <w:rsid w:val="005B5994"/>
    <w:rsid w:val="005B6474"/>
    <w:rsid w:val="005B666D"/>
    <w:rsid w:val="005B667A"/>
    <w:rsid w:val="005B6865"/>
    <w:rsid w:val="005C039B"/>
    <w:rsid w:val="005C059F"/>
    <w:rsid w:val="005C07CE"/>
    <w:rsid w:val="005C0B8F"/>
    <w:rsid w:val="005C160D"/>
    <w:rsid w:val="005C161E"/>
    <w:rsid w:val="005C194E"/>
    <w:rsid w:val="005C1C83"/>
    <w:rsid w:val="005C1DB1"/>
    <w:rsid w:val="005C226F"/>
    <w:rsid w:val="005C2294"/>
    <w:rsid w:val="005C2E48"/>
    <w:rsid w:val="005C3344"/>
    <w:rsid w:val="005C4E4D"/>
    <w:rsid w:val="005C58F2"/>
    <w:rsid w:val="005C5A97"/>
    <w:rsid w:val="005C5F77"/>
    <w:rsid w:val="005C6AAB"/>
    <w:rsid w:val="005C6AAF"/>
    <w:rsid w:val="005C6D5D"/>
    <w:rsid w:val="005C6FD0"/>
    <w:rsid w:val="005C73CC"/>
    <w:rsid w:val="005D01C3"/>
    <w:rsid w:val="005D05FF"/>
    <w:rsid w:val="005D0FB4"/>
    <w:rsid w:val="005D1176"/>
    <w:rsid w:val="005D1747"/>
    <w:rsid w:val="005D2226"/>
    <w:rsid w:val="005D2397"/>
    <w:rsid w:val="005D266D"/>
    <w:rsid w:val="005D306D"/>
    <w:rsid w:val="005D3327"/>
    <w:rsid w:val="005D4854"/>
    <w:rsid w:val="005D5BCF"/>
    <w:rsid w:val="005D65BF"/>
    <w:rsid w:val="005D6D84"/>
    <w:rsid w:val="005D70A1"/>
    <w:rsid w:val="005D79F2"/>
    <w:rsid w:val="005D7C91"/>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E5A"/>
    <w:rsid w:val="005E721E"/>
    <w:rsid w:val="005E7C92"/>
    <w:rsid w:val="005F0857"/>
    <w:rsid w:val="005F0B15"/>
    <w:rsid w:val="005F1470"/>
    <w:rsid w:val="005F15A9"/>
    <w:rsid w:val="005F2807"/>
    <w:rsid w:val="005F2CD5"/>
    <w:rsid w:val="005F32A1"/>
    <w:rsid w:val="005F3382"/>
    <w:rsid w:val="005F3720"/>
    <w:rsid w:val="005F516D"/>
    <w:rsid w:val="005F5506"/>
    <w:rsid w:val="005F5A0D"/>
    <w:rsid w:val="005F60DF"/>
    <w:rsid w:val="005F615B"/>
    <w:rsid w:val="005F61DF"/>
    <w:rsid w:val="005F663B"/>
    <w:rsid w:val="005F680A"/>
    <w:rsid w:val="005F6880"/>
    <w:rsid w:val="005F6B3E"/>
    <w:rsid w:val="005F6ED2"/>
    <w:rsid w:val="005F745B"/>
    <w:rsid w:val="005F77F8"/>
    <w:rsid w:val="005F7CA8"/>
    <w:rsid w:val="005F7FAA"/>
    <w:rsid w:val="00600153"/>
    <w:rsid w:val="00600DE1"/>
    <w:rsid w:val="00601506"/>
    <w:rsid w:val="00601596"/>
    <w:rsid w:val="00601C92"/>
    <w:rsid w:val="00601F66"/>
    <w:rsid w:val="00602764"/>
    <w:rsid w:val="00602B29"/>
    <w:rsid w:val="00602DAD"/>
    <w:rsid w:val="006030E9"/>
    <w:rsid w:val="00603373"/>
    <w:rsid w:val="006036D0"/>
    <w:rsid w:val="00603B1C"/>
    <w:rsid w:val="006042CD"/>
    <w:rsid w:val="00604375"/>
    <w:rsid w:val="00605217"/>
    <w:rsid w:val="006054A5"/>
    <w:rsid w:val="006059E4"/>
    <w:rsid w:val="00605D60"/>
    <w:rsid w:val="006062A0"/>
    <w:rsid w:val="00607015"/>
    <w:rsid w:val="0061098D"/>
    <w:rsid w:val="00610B78"/>
    <w:rsid w:val="00611992"/>
    <w:rsid w:val="00611B59"/>
    <w:rsid w:val="00611FBA"/>
    <w:rsid w:val="00612041"/>
    <w:rsid w:val="00612098"/>
    <w:rsid w:val="0061272A"/>
    <w:rsid w:val="00612BF8"/>
    <w:rsid w:val="006130D0"/>
    <w:rsid w:val="0061355D"/>
    <w:rsid w:val="006139F7"/>
    <w:rsid w:val="00613AA2"/>
    <w:rsid w:val="00614542"/>
    <w:rsid w:val="00614906"/>
    <w:rsid w:val="0061517F"/>
    <w:rsid w:val="00615276"/>
    <w:rsid w:val="006155F1"/>
    <w:rsid w:val="00615846"/>
    <w:rsid w:val="006160F0"/>
    <w:rsid w:val="0061618F"/>
    <w:rsid w:val="0061624B"/>
    <w:rsid w:val="00616400"/>
    <w:rsid w:val="006166AD"/>
    <w:rsid w:val="00616812"/>
    <w:rsid w:val="00616C1E"/>
    <w:rsid w:val="00617EFC"/>
    <w:rsid w:val="00620055"/>
    <w:rsid w:val="00620336"/>
    <w:rsid w:val="006204B3"/>
    <w:rsid w:val="006204C2"/>
    <w:rsid w:val="006212D3"/>
    <w:rsid w:val="00621639"/>
    <w:rsid w:val="006216D2"/>
    <w:rsid w:val="00621D2D"/>
    <w:rsid w:val="00622B22"/>
    <w:rsid w:val="00622F67"/>
    <w:rsid w:val="00623571"/>
    <w:rsid w:val="00623A5E"/>
    <w:rsid w:val="00624B9F"/>
    <w:rsid w:val="00625008"/>
    <w:rsid w:val="0062548B"/>
    <w:rsid w:val="00626710"/>
    <w:rsid w:val="00626930"/>
    <w:rsid w:val="00626AD3"/>
    <w:rsid w:val="00626BAC"/>
    <w:rsid w:val="006271C3"/>
    <w:rsid w:val="00627976"/>
    <w:rsid w:val="00627B14"/>
    <w:rsid w:val="0063001E"/>
    <w:rsid w:val="00630023"/>
    <w:rsid w:val="006308EE"/>
    <w:rsid w:val="00630C70"/>
    <w:rsid w:val="00630D67"/>
    <w:rsid w:val="00631005"/>
    <w:rsid w:val="00631C79"/>
    <w:rsid w:val="00631FFE"/>
    <w:rsid w:val="00632284"/>
    <w:rsid w:val="00632727"/>
    <w:rsid w:val="0063283D"/>
    <w:rsid w:val="00633769"/>
    <w:rsid w:val="00633FE3"/>
    <w:rsid w:val="00634276"/>
    <w:rsid w:val="00634570"/>
    <w:rsid w:val="0063487C"/>
    <w:rsid w:val="0063567A"/>
    <w:rsid w:val="00635B73"/>
    <w:rsid w:val="00635BB7"/>
    <w:rsid w:val="00636CC7"/>
    <w:rsid w:val="0063727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DA2"/>
    <w:rsid w:val="00646E7A"/>
    <w:rsid w:val="00646EA6"/>
    <w:rsid w:val="00647272"/>
    <w:rsid w:val="00647664"/>
    <w:rsid w:val="00650D19"/>
    <w:rsid w:val="006521D7"/>
    <w:rsid w:val="00652CF5"/>
    <w:rsid w:val="0065343E"/>
    <w:rsid w:val="006536BB"/>
    <w:rsid w:val="0065398F"/>
    <w:rsid w:val="00653C7C"/>
    <w:rsid w:val="00654252"/>
    <w:rsid w:val="006543B7"/>
    <w:rsid w:val="00654EA5"/>
    <w:rsid w:val="0065587E"/>
    <w:rsid w:val="006558CD"/>
    <w:rsid w:val="0065592E"/>
    <w:rsid w:val="00655C26"/>
    <w:rsid w:val="0065637A"/>
    <w:rsid w:val="00656998"/>
    <w:rsid w:val="00656E4D"/>
    <w:rsid w:val="006576BA"/>
    <w:rsid w:val="00657CBB"/>
    <w:rsid w:val="006600BF"/>
    <w:rsid w:val="00660AF7"/>
    <w:rsid w:val="00660D3E"/>
    <w:rsid w:val="00661691"/>
    <w:rsid w:val="00662D3D"/>
    <w:rsid w:val="00662F1F"/>
    <w:rsid w:val="00663D15"/>
    <w:rsid w:val="00665030"/>
    <w:rsid w:val="0066543E"/>
    <w:rsid w:val="00665670"/>
    <w:rsid w:val="006659EA"/>
    <w:rsid w:val="00665F27"/>
    <w:rsid w:val="006661E8"/>
    <w:rsid w:val="00666424"/>
    <w:rsid w:val="006664DF"/>
    <w:rsid w:val="0066676C"/>
    <w:rsid w:val="006673B9"/>
    <w:rsid w:val="0066790C"/>
    <w:rsid w:val="00667FF0"/>
    <w:rsid w:val="00670319"/>
    <w:rsid w:val="00670C7C"/>
    <w:rsid w:val="00671480"/>
    <w:rsid w:val="006717E7"/>
    <w:rsid w:val="00671FD5"/>
    <w:rsid w:val="006720BC"/>
    <w:rsid w:val="006722B0"/>
    <w:rsid w:val="00672906"/>
    <w:rsid w:val="00672C73"/>
    <w:rsid w:val="00673B64"/>
    <w:rsid w:val="006753AC"/>
    <w:rsid w:val="00675430"/>
    <w:rsid w:val="006755F0"/>
    <w:rsid w:val="00675749"/>
    <w:rsid w:val="006759FE"/>
    <w:rsid w:val="00675C59"/>
    <w:rsid w:val="0067736F"/>
    <w:rsid w:val="00677382"/>
    <w:rsid w:val="006776F6"/>
    <w:rsid w:val="0067772D"/>
    <w:rsid w:val="00677991"/>
    <w:rsid w:val="00677AD2"/>
    <w:rsid w:val="00680326"/>
    <w:rsid w:val="00680714"/>
    <w:rsid w:val="0068071D"/>
    <w:rsid w:val="00680C6B"/>
    <w:rsid w:val="006811F3"/>
    <w:rsid w:val="00681240"/>
    <w:rsid w:val="00681A77"/>
    <w:rsid w:val="00683068"/>
    <w:rsid w:val="00683DAD"/>
    <w:rsid w:val="00684592"/>
    <w:rsid w:val="00684963"/>
    <w:rsid w:val="00685033"/>
    <w:rsid w:val="0068517F"/>
    <w:rsid w:val="0068564B"/>
    <w:rsid w:val="00685C15"/>
    <w:rsid w:val="00685D65"/>
    <w:rsid w:val="00685FC8"/>
    <w:rsid w:val="00686E80"/>
    <w:rsid w:val="0068790B"/>
    <w:rsid w:val="00687AF2"/>
    <w:rsid w:val="006901AC"/>
    <w:rsid w:val="00690C8D"/>
    <w:rsid w:val="00691890"/>
    <w:rsid w:val="00691AAD"/>
    <w:rsid w:val="00691DFC"/>
    <w:rsid w:val="00692416"/>
    <w:rsid w:val="00692AFF"/>
    <w:rsid w:val="00692D2D"/>
    <w:rsid w:val="00692D66"/>
    <w:rsid w:val="00693B73"/>
    <w:rsid w:val="00693F11"/>
    <w:rsid w:val="006945A1"/>
    <w:rsid w:val="00694A53"/>
    <w:rsid w:val="006952DE"/>
    <w:rsid w:val="00695985"/>
    <w:rsid w:val="00695C78"/>
    <w:rsid w:val="00695E23"/>
    <w:rsid w:val="00695E6C"/>
    <w:rsid w:val="00695EAC"/>
    <w:rsid w:val="00696904"/>
    <w:rsid w:val="00696C79"/>
    <w:rsid w:val="00697068"/>
    <w:rsid w:val="006977DE"/>
    <w:rsid w:val="00697907"/>
    <w:rsid w:val="00697D5F"/>
    <w:rsid w:val="006A035B"/>
    <w:rsid w:val="006A0582"/>
    <w:rsid w:val="006A060C"/>
    <w:rsid w:val="006A06F8"/>
    <w:rsid w:val="006A071C"/>
    <w:rsid w:val="006A0D23"/>
    <w:rsid w:val="006A0DC7"/>
    <w:rsid w:val="006A150D"/>
    <w:rsid w:val="006A1B00"/>
    <w:rsid w:val="006A2766"/>
    <w:rsid w:val="006A394B"/>
    <w:rsid w:val="006A39D0"/>
    <w:rsid w:val="006A3E91"/>
    <w:rsid w:val="006A4321"/>
    <w:rsid w:val="006A4E20"/>
    <w:rsid w:val="006A4F11"/>
    <w:rsid w:val="006A563C"/>
    <w:rsid w:val="006A5782"/>
    <w:rsid w:val="006A5A6F"/>
    <w:rsid w:val="006A5F7E"/>
    <w:rsid w:val="006A6786"/>
    <w:rsid w:val="006A7C29"/>
    <w:rsid w:val="006B0580"/>
    <w:rsid w:val="006B0DA2"/>
    <w:rsid w:val="006B0F70"/>
    <w:rsid w:val="006B1486"/>
    <w:rsid w:val="006B169F"/>
    <w:rsid w:val="006B1BEB"/>
    <w:rsid w:val="006B1D06"/>
    <w:rsid w:val="006B2823"/>
    <w:rsid w:val="006B29DC"/>
    <w:rsid w:val="006B2B21"/>
    <w:rsid w:val="006B2F60"/>
    <w:rsid w:val="006B33DB"/>
    <w:rsid w:val="006B3669"/>
    <w:rsid w:val="006B36E5"/>
    <w:rsid w:val="006B3C07"/>
    <w:rsid w:val="006B3D00"/>
    <w:rsid w:val="006B4CF8"/>
    <w:rsid w:val="006B506B"/>
    <w:rsid w:val="006B54E8"/>
    <w:rsid w:val="006B5FBC"/>
    <w:rsid w:val="006B6ED2"/>
    <w:rsid w:val="006B70D5"/>
    <w:rsid w:val="006B7F74"/>
    <w:rsid w:val="006C0230"/>
    <w:rsid w:val="006C05C7"/>
    <w:rsid w:val="006C0E68"/>
    <w:rsid w:val="006C1F31"/>
    <w:rsid w:val="006C25AB"/>
    <w:rsid w:val="006C2DA6"/>
    <w:rsid w:val="006C3581"/>
    <w:rsid w:val="006C38AB"/>
    <w:rsid w:val="006C39A0"/>
    <w:rsid w:val="006C3EFE"/>
    <w:rsid w:val="006C4282"/>
    <w:rsid w:val="006C46C7"/>
    <w:rsid w:val="006C4767"/>
    <w:rsid w:val="006C4A1A"/>
    <w:rsid w:val="006C4D02"/>
    <w:rsid w:val="006C53A4"/>
    <w:rsid w:val="006C54DF"/>
    <w:rsid w:val="006C5D5D"/>
    <w:rsid w:val="006C627E"/>
    <w:rsid w:val="006C6303"/>
    <w:rsid w:val="006C669B"/>
    <w:rsid w:val="006C6A51"/>
    <w:rsid w:val="006C6EBD"/>
    <w:rsid w:val="006C7E04"/>
    <w:rsid w:val="006C7F79"/>
    <w:rsid w:val="006C7FB4"/>
    <w:rsid w:val="006D0004"/>
    <w:rsid w:val="006D015F"/>
    <w:rsid w:val="006D060E"/>
    <w:rsid w:val="006D0681"/>
    <w:rsid w:val="006D0A80"/>
    <w:rsid w:val="006D0AE8"/>
    <w:rsid w:val="006D135C"/>
    <w:rsid w:val="006D16F6"/>
    <w:rsid w:val="006D2F72"/>
    <w:rsid w:val="006D43C1"/>
    <w:rsid w:val="006D4955"/>
    <w:rsid w:val="006D4BE9"/>
    <w:rsid w:val="006D5442"/>
    <w:rsid w:val="006D6921"/>
    <w:rsid w:val="006D6E4E"/>
    <w:rsid w:val="006D7A7B"/>
    <w:rsid w:val="006D7A8E"/>
    <w:rsid w:val="006D7C59"/>
    <w:rsid w:val="006E00E3"/>
    <w:rsid w:val="006E045C"/>
    <w:rsid w:val="006E0569"/>
    <w:rsid w:val="006E065E"/>
    <w:rsid w:val="006E082D"/>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72F"/>
    <w:rsid w:val="006E618C"/>
    <w:rsid w:val="006E641A"/>
    <w:rsid w:val="006E727B"/>
    <w:rsid w:val="006E73B4"/>
    <w:rsid w:val="006E76C8"/>
    <w:rsid w:val="006E7A92"/>
    <w:rsid w:val="006F01FF"/>
    <w:rsid w:val="006F0C11"/>
    <w:rsid w:val="006F0CB2"/>
    <w:rsid w:val="006F1DE9"/>
    <w:rsid w:val="006F2046"/>
    <w:rsid w:val="006F2555"/>
    <w:rsid w:val="006F2F59"/>
    <w:rsid w:val="006F30CA"/>
    <w:rsid w:val="006F311E"/>
    <w:rsid w:val="006F3442"/>
    <w:rsid w:val="006F36A5"/>
    <w:rsid w:val="006F39F5"/>
    <w:rsid w:val="006F41F4"/>
    <w:rsid w:val="006F4576"/>
    <w:rsid w:val="006F5813"/>
    <w:rsid w:val="006F59A8"/>
    <w:rsid w:val="006F5A1D"/>
    <w:rsid w:val="006F64DC"/>
    <w:rsid w:val="006F71A6"/>
    <w:rsid w:val="006F7974"/>
    <w:rsid w:val="006F7C2C"/>
    <w:rsid w:val="006F7FD5"/>
    <w:rsid w:val="00700405"/>
    <w:rsid w:val="00700D18"/>
    <w:rsid w:val="0070168D"/>
    <w:rsid w:val="00701C36"/>
    <w:rsid w:val="00701D7B"/>
    <w:rsid w:val="00702DF3"/>
    <w:rsid w:val="00702F2D"/>
    <w:rsid w:val="00702F3D"/>
    <w:rsid w:val="0070353F"/>
    <w:rsid w:val="00703A4E"/>
    <w:rsid w:val="00703A99"/>
    <w:rsid w:val="0070415E"/>
    <w:rsid w:val="00704631"/>
    <w:rsid w:val="00704B79"/>
    <w:rsid w:val="00704E7D"/>
    <w:rsid w:val="00705060"/>
    <w:rsid w:val="00705351"/>
    <w:rsid w:val="00705619"/>
    <w:rsid w:val="00705D9E"/>
    <w:rsid w:val="00705E93"/>
    <w:rsid w:val="007062AF"/>
    <w:rsid w:val="007069AE"/>
    <w:rsid w:val="007069D4"/>
    <w:rsid w:val="00706C89"/>
    <w:rsid w:val="00707967"/>
    <w:rsid w:val="00710224"/>
    <w:rsid w:val="00710257"/>
    <w:rsid w:val="00710587"/>
    <w:rsid w:val="007107D5"/>
    <w:rsid w:val="007119DC"/>
    <w:rsid w:val="00711CC7"/>
    <w:rsid w:val="0071230A"/>
    <w:rsid w:val="0071281A"/>
    <w:rsid w:val="00712930"/>
    <w:rsid w:val="0071294A"/>
    <w:rsid w:val="00712BDD"/>
    <w:rsid w:val="00712E1E"/>
    <w:rsid w:val="00712F37"/>
    <w:rsid w:val="00713A6B"/>
    <w:rsid w:val="00713CB5"/>
    <w:rsid w:val="0071499C"/>
    <w:rsid w:val="00714F9D"/>
    <w:rsid w:val="00715141"/>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5F5"/>
    <w:rsid w:val="0072388C"/>
    <w:rsid w:val="0072454E"/>
    <w:rsid w:val="007249D1"/>
    <w:rsid w:val="00724FE4"/>
    <w:rsid w:val="00725829"/>
    <w:rsid w:val="00725D6A"/>
    <w:rsid w:val="007263A2"/>
    <w:rsid w:val="007266B9"/>
    <w:rsid w:val="00727235"/>
    <w:rsid w:val="00727351"/>
    <w:rsid w:val="00727821"/>
    <w:rsid w:val="00727AC5"/>
    <w:rsid w:val="00727C65"/>
    <w:rsid w:val="007300F0"/>
    <w:rsid w:val="00730904"/>
    <w:rsid w:val="00731D13"/>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9E8"/>
    <w:rsid w:val="007403FE"/>
    <w:rsid w:val="00740495"/>
    <w:rsid w:val="007405ED"/>
    <w:rsid w:val="007413EB"/>
    <w:rsid w:val="007413FB"/>
    <w:rsid w:val="00742D32"/>
    <w:rsid w:val="00742E9B"/>
    <w:rsid w:val="0074310F"/>
    <w:rsid w:val="007444E6"/>
    <w:rsid w:val="00745184"/>
    <w:rsid w:val="0074592C"/>
    <w:rsid w:val="00745C91"/>
    <w:rsid w:val="00746098"/>
    <w:rsid w:val="00746D58"/>
    <w:rsid w:val="00747578"/>
    <w:rsid w:val="00750D12"/>
    <w:rsid w:val="00751073"/>
    <w:rsid w:val="007517B3"/>
    <w:rsid w:val="0075191B"/>
    <w:rsid w:val="00751AF2"/>
    <w:rsid w:val="00751B1A"/>
    <w:rsid w:val="00751BD2"/>
    <w:rsid w:val="00751C69"/>
    <w:rsid w:val="00751CE5"/>
    <w:rsid w:val="00752034"/>
    <w:rsid w:val="00752188"/>
    <w:rsid w:val="00752859"/>
    <w:rsid w:val="00752CC6"/>
    <w:rsid w:val="00752CEB"/>
    <w:rsid w:val="0075307A"/>
    <w:rsid w:val="00753938"/>
    <w:rsid w:val="00753A57"/>
    <w:rsid w:val="0075418B"/>
    <w:rsid w:val="00754383"/>
    <w:rsid w:val="007543CE"/>
    <w:rsid w:val="0075497E"/>
    <w:rsid w:val="00754A29"/>
    <w:rsid w:val="00754CB9"/>
    <w:rsid w:val="00755B6F"/>
    <w:rsid w:val="00755BCF"/>
    <w:rsid w:val="00756C5F"/>
    <w:rsid w:val="00756D69"/>
    <w:rsid w:val="0075700D"/>
    <w:rsid w:val="00757029"/>
    <w:rsid w:val="007571FD"/>
    <w:rsid w:val="0075723D"/>
    <w:rsid w:val="007602D4"/>
    <w:rsid w:val="007606A3"/>
    <w:rsid w:val="00760D96"/>
    <w:rsid w:val="00760F70"/>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610"/>
    <w:rsid w:val="007739A3"/>
    <w:rsid w:val="00773BD9"/>
    <w:rsid w:val="00773CB0"/>
    <w:rsid w:val="00773D71"/>
    <w:rsid w:val="007749F3"/>
    <w:rsid w:val="00775526"/>
    <w:rsid w:val="00775651"/>
    <w:rsid w:val="00775F3F"/>
    <w:rsid w:val="00776C3A"/>
    <w:rsid w:val="0077710B"/>
    <w:rsid w:val="0077765A"/>
    <w:rsid w:val="00780032"/>
    <w:rsid w:val="00780636"/>
    <w:rsid w:val="00780E86"/>
    <w:rsid w:val="0078108C"/>
    <w:rsid w:val="00781727"/>
    <w:rsid w:val="007823E8"/>
    <w:rsid w:val="00782411"/>
    <w:rsid w:val="00782CF3"/>
    <w:rsid w:val="007838BA"/>
    <w:rsid w:val="00783959"/>
    <w:rsid w:val="00783BA5"/>
    <w:rsid w:val="007843D8"/>
    <w:rsid w:val="007844A9"/>
    <w:rsid w:val="00785091"/>
    <w:rsid w:val="0078638C"/>
    <w:rsid w:val="0078681A"/>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E4F"/>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029"/>
    <w:rsid w:val="007A54F6"/>
    <w:rsid w:val="007A55FE"/>
    <w:rsid w:val="007A582C"/>
    <w:rsid w:val="007A5950"/>
    <w:rsid w:val="007A6850"/>
    <w:rsid w:val="007A6D91"/>
    <w:rsid w:val="007A73E0"/>
    <w:rsid w:val="007A7618"/>
    <w:rsid w:val="007B00C9"/>
    <w:rsid w:val="007B02C7"/>
    <w:rsid w:val="007B0306"/>
    <w:rsid w:val="007B084C"/>
    <w:rsid w:val="007B08E4"/>
    <w:rsid w:val="007B0D86"/>
    <w:rsid w:val="007B270F"/>
    <w:rsid w:val="007B28C3"/>
    <w:rsid w:val="007B305E"/>
    <w:rsid w:val="007B3A8E"/>
    <w:rsid w:val="007B3C9B"/>
    <w:rsid w:val="007B4122"/>
    <w:rsid w:val="007B4271"/>
    <w:rsid w:val="007B497D"/>
    <w:rsid w:val="007B4EE9"/>
    <w:rsid w:val="007B5234"/>
    <w:rsid w:val="007B54C7"/>
    <w:rsid w:val="007B5637"/>
    <w:rsid w:val="007B5DC5"/>
    <w:rsid w:val="007B5F32"/>
    <w:rsid w:val="007B63FC"/>
    <w:rsid w:val="007B6708"/>
    <w:rsid w:val="007B6C20"/>
    <w:rsid w:val="007B6E8D"/>
    <w:rsid w:val="007B7ECE"/>
    <w:rsid w:val="007C029E"/>
    <w:rsid w:val="007C0636"/>
    <w:rsid w:val="007C10E4"/>
    <w:rsid w:val="007C159F"/>
    <w:rsid w:val="007C17B4"/>
    <w:rsid w:val="007C19F6"/>
    <w:rsid w:val="007C20F8"/>
    <w:rsid w:val="007C21C5"/>
    <w:rsid w:val="007C2229"/>
    <w:rsid w:val="007C2313"/>
    <w:rsid w:val="007C3590"/>
    <w:rsid w:val="007C387A"/>
    <w:rsid w:val="007C3A0D"/>
    <w:rsid w:val="007C3EB0"/>
    <w:rsid w:val="007C43D6"/>
    <w:rsid w:val="007C47FF"/>
    <w:rsid w:val="007C5743"/>
    <w:rsid w:val="007C60A8"/>
    <w:rsid w:val="007C660F"/>
    <w:rsid w:val="007C6664"/>
    <w:rsid w:val="007C66FF"/>
    <w:rsid w:val="007C69AE"/>
    <w:rsid w:val="007C6E15"/>
    <w:rsid w:val="007C6FE9"/>
    <w:rsid w:val="007C7688"/>
    <w:rsid w:val="007C76E3"/>
    <w:rsid w:val="007C76F3"/>
    <w:rsid w:val="007C7DD9"/>
    <w:rsid w:val="007D03BC"/>
    <w:rsid w:val="007D0DC9"/>
    <w:rsid w:val="007D0ECD"/>
    <w:rsid w:val="007D1374"/>
    <w:rsid w:val="007D1ACB"/>
    <w:rsid w:val="007D2882"/>
    <w:rsid w:val="007D296C"/>
    <w:rsid w:val="007D2C31"/>
    <w:rsid w:val="007D2E50"/>
    <w:rsid w:val="007D3D74"/>
    <w:rsid w:val="007D445F"/>
    <w:rsid w:val="007D4DED"/>
    <w:rsid w:val="007D5B91"/>
    <w:rsid w:val="007D5BA2"/>
    <w:rsid w:val="007D5ED3"/>
    <w:rsid w:val="007D682F"/>
    <w:rsid w:val="007D6FB9"/>
    <w:rsid w:val="007D7211"/>
    <w:rsid w:val="007E0595"/>
    <w:rsid w:val="007E0A63"/>
    <w:rsid w:val="007E0B6C"/>
    <w:rsid w:val="007E0C63"/>
    <w:rsid w:val="007E0E05"/>
    <w:rsid w:val="007E0F5D"/>
    <w:rsid w:val="007E23A1"/>
    <w:rsid w:val="007E259F"/>
    <w:rsid w:val="007E2E09"/>
    <w:rsid w:val="007E347E"/>
    <w:rsid w:val="007E34FF"/>
    <w:rsid w:val="007E3A1A"/>
    <w:rsid w:val="007E41A4"/>
    <w:rsid w:val="007E43E3"/>
    <w:rsid w:val="007E54B8"/>
    <w:rsid w:val="007E56FB"/>
    <w:rsid w:val="007E5D12"/>
    <w:rsid w:val="007E6420"/>
    <w:rsid w:val="007E677F"/>
    <w:rsid w:val="007E6B25"/>
    <w:rsid w:val="007E6E06"/>
    <w:rsid w:val="007E6F4A"/>
    <w:rsid w:val="007E79CC"/>
    <w:rsid w:val="007E7DAE"/>
    <w:rsid w:val="007F1124"/>
    <w:rsid w:val="007F152D"/>
    <w:rsid w:val="007F20C4"/>
    <w:rsid w:val="007F20EE"/>
    <w:rsid w:val="007F23D8"/>
    <w:rsid w:val="007F267E"/>
    <w:rsid w:val="007F307A"/>
    <w:rsid w:val="007F30C6"/>
    <w:rsid w:val="007F3561"/>
    <w:rsid w:val="007F38FD"/>
    <w:rsid w:val="007F3C18"/>
    <w:rsid w:val="007F4318"/>
    <w:rsid w:val="007F4709"/>
    <w:rsid w:val="007F47DA"/>
    <w:rsid w:val="007F4E52"/>
    <w:rsid w:val="007F4F84"/>
    <w:rsid w:val="007F5382"/>
    <w:rsid w:val="007F55A4"/>
    <w:rsid w:val="007F585D"/>
    <w:rsid w:val="007F5D28"/>
    <w:rsid w:val="007F6260"/>
    <w:rsid w:val="007F631D"/>
    <w:rsid w:val="007F6370"/>
    <w:rsid w:val="007F682B"/>
    <w:rsid w:val="007F78E8"/>
    <w:rsid w:val="007F7EB8"/>
    <w:rsid w:val="007F7F8F"/>
    <w:rsid w:val="00800509"/>
    <w:rsid w:val="0080078E"/>
    <w:rsid w:val="00800B7F"/>
    <w:rsid w:val="008012B1"/>
    <w:rsid w:val="0080133B"/>
    <w:rsid w:val="00801D63"/>
    <w:rsid w:val="0080348B"/>
    <w:rsid w:val="00803632"/>
    <w:rsid w:val="00803B3C"/>
    <w:rsid w:val="00803D82"/>
    <w:rsid w:val="00803D98"/>
    <w:rsid w:val="00804BD2"/>
    <w:rsid w:val="008052CE"/>
    <w:rsid w:val="008058D0"/>
    <w:rsid w:val="0080621C"/>
    <w:rsid w:val="00806446"/>
    <w:rsid w:val="00806A4C"/>
    <w:rsid w:val="0080705B"/>
    <w:rsid w:val="00807196"/>
    <w:rsid w:val="0080723C"/>
    <w:rsid w:val="008073CF"/>
    <w:rsid w:val="00807604"/>
    <w:rsid w:val="00807F71"/>
    <w:rsid w:val="0081000F"/>
    <w:rsid w:val="00812657"/>
    <w:rsid w:val="00812960"/>
    <w:rsid w:val="00812A1A"/>
    <w:rsid w:val="00812DFF"/>
    <w:rsid w:val="0081362F"/>
    <w:rsid w:val="0081383A"/>
    <w:rsid w:val="00813EC2"/>
    <w:rsid w:val="008147EA"/>
    <w:rsid w:val="0081497F"/>
    <w:rsid w:val="00814B90"/>
    <w:rsid w:val="00814E9C"/>
    <w:rsid w:val="00814FC7"/>
    <w:rsid w:val="0081660C"/>
    <w:rsid w:val="00817195"/>
    <w:rsid w:val="00817416"/>
    <w:rsid w:val="00817658"/>
    <w:rsid w:val="00817CFF"/>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8D5"/>
    <w:rsid w:val="00826D38"/>
    <w:rsid w:val="00830052"/>
    <w:rsid w:val="008300D0"/>
    <w:rsid w:val="008308D8"/>
    <w:rsid w:val="0083150E"/>
    <w:rsid w:val="008320D2"/>
    <w:rsid w:val="008321CE"/>
    <w:rsid w:val="0083257C"/>
    <w:rsid w:val="0083261B"/>
    <w:rsid w:val="00832B44"/>
    <w:rsid w:val="00832EC9"/>
    <w:rsid w:val="00833307"/>
    <w:rsid w:val="00833583"/>
    <w:rsid w:val="00833B5B"/>
    <w:rsid w:val="00833E9A"/>
    <w:rsid w:val="00833F52"/>
    <w:rsid w:val="0083445C"/>
    <w:rsid w:val="00834FEF"/>
    <w:rsid w:val="00836323"/>
    <w:rsid w:val="00837D3D"/>
    <w:rsid w:val="00837E9B"/>
    <w:rsid w:val="008404AA"/>
    <w:rsid w:val="008406D7"/>
    <w:rsid w:val="0084074F"/>
    <w:rsid w:val="008407BA"/>
    <w:rsid w:val="00840A70"/>
    <w:rsid w:val="00840AA3"/>
    <w:rsid w:val="00840AAC"/>
    <w:rsid w:val="0084101C"/>
    <w:rsid w:val="0084181B"/>
    <w:rsid w:val="00841F29"/>
    <w:rsid w:val="008425CC"/>
    <w:rsid w:val="00842DC2"/>
    <w:rsid w:val="0084357B"/>
    <w:rsid w:val="0084568C"/>
    <w:rsid w:val="00845C94"/>
    <w:rsid w:val="008465B4"/>
    <w:rsid w:val="00846D25"/>
    <w:rsid w:val="00847907"/>
    <w:rsid w:val="00850013"/>
    <w:rsid w:val="008500DD"/>
    <w:rsid w:val="00850A0A"/>
    <w:rsid w:val="00850A94"/>
    <w:rsid w:val="00851E96"/>
    <w:rsid w:val="00851F1C"/>
    <w:rsid w:val="00852FA5"/>
    <w:rsid w:val="00853208"/>
    <w:rsid w:val="00853DE9"/>
    <w:rsid w:val="00853F7D"/>
    <w:rsid w:val="0085517F"/>
    <w:rsid w:val="0085562D"/>
    <w:rsid w:val="00855A78"/>
    <w:rsid w:val="00856154"/>
    <w:rsid w:val="00856286"/>
    <w:rsid w:val="0085657E"/>
    <w:rsid w:val="00856E98"/>
    <w:rsid w:val="00856F0E"/>
    <w:rsid w:val="008573AF"/>
    <w:rsid w:val="008576B0"/>
    <w:rsid w:val="00860296"/>
    <w:rsid w:val="008602E3"/>
    <w:rsid w:val="00860DA4"/>
    <w:rsid w:val="00861146"/>
    <w:rsid w:val="00861948"/>
    <w:rsid w:val="00862011"/>
    <w:rsid w:val="00862A15"/>
    <w:rsid w:val="00862AAE"/>
    <w:rsid w:val="00862CC9"/>
    <w:rsid w:val="00862D8E"/>
    <w:rsid w:val="00862E73"/>
    <w:rsid w:val="00862EF2"/>
    <w:rsid w:val="00863509"/>
    <w:rsid w:val="00863D33"/>
    <w:rsid w:val="00864FB3"/>
    <w:rsid w:val="0086598A"/>
    <w:rsid w:val="00865C3D"/>
    <w:rsid w:val="00865F4C"/>
    <w:rsid w:val="00866453"/>
    <w:rsid w:val="0086707F"/>
    <w:rsid w:val="00867501"/>
    <w:rsid w:val="00867D8E"/>
    <w:rsid w:val="008700C0"/>
    <w:rsid w:val="0087058B"/>
    <w:rsid w:val="0087063B"/>
    <w:rsid w:val="0087099A"/>
    <w:rsid w:val="00870D79"/>
    <w:rsid w:val="00871333"/>
    <w:rsid w:val="00871952"/>
    <w:rsid w:val="00872006"/>
    <w:rsid w:val="00872386"/>
    <w:rsid w:val="008726D7"/>
    <w:rsid w:val="00873128"/>
    <w:rsid w:val="008735BC"/>
    <w:rsid w:val="0087363E"/>
    <w:rsid w:val="00873897"/>
    <w:rsid w:val="00873AAC"/>
    <w:rsid w:val="00873C61"/>
    <w:rsid w:val="00873DFD"/>
    <w:rsid w:val="008749BF"/>
    <w:rsid w:val="00875542"/>
    <w:rsid w:val="00875E14"/>
    <w:rsid w:val="0087677E"/>
    <w:rsid w:val="00876F21"/>
    <w:rsid w:val="0087712C"/>
    <w:rsid w:val="008776E7"/>
    <w:rsid w:val="00877746"/>
    <w:rsid w:val="008777F1"/>
    <w:rsid w:val="00877C5D"/>
    <w:rsid w:val="00880354"/>
    <w:rsid w:val="00880611"/>
    <w:rsid w:val="0088093C"/>
    <w:rsid w:val="00880BC0"/>
    <w:rsid w:val="0088127A"/>
    <w:rsid w:val="00881D59"/>
    <w:rsid w:val="00881ED4"/>
    <w:rsid w:val="00882991"/>
    <w:rsid w:val="00882EC1"/>
    <w:rsid w:val="0088324E"/>
    <w:rsid w:val="0088434F"/>
    <w:rsid w:val="00884368"/>
    <w:rsid w:val="00884371"/>
    <w:rsid w:val="008848E2"/>
    <w:rsid w:val="00884B7A"/>
    <w:rsid w:val="00884D47"/>
    <w:rsid w:val="008856C5"/>
    <w:rsid w:val="00886112"/>
    <w:rsid w:val="008870B9"/>
    <w:rsid w:val="008872B3"/>
    <w:rsid w:val="00887392"/>
    <w:rsid w:val="00890930"/>
    <w:rsid w:val="00890A64"/>
    <w:rsid w:val="00890C40"/>
    <w:rsid w:val="0089122E"/>
    <w:rsid w:val="008912A7"/>
    <w:rsid w:val="0089183A"/>
    <w:rsid w:val="008920B4"/>
    <w:rsid w:val="008925EB"/>
    <w:rsid w:val="0089275E"/>
    <w:rsid w:val="00892B43"/>
    <w:rsid w:val="00893432"/>
    <w:rsid w:val="00893936"/>
    <w:rsid w:val="00893CE2"/>
    <w:rsid w:val="00893F41"/>
    <w:rsid w:val="00894BD1"/>
    <w:rsid w:val="00895144"/>
    <w:rsid w:val="008953AB"/>
    <w:rsid w:val="00895963"/>
    <w:rsid w:val="00896C63"/>
    <w:rsid w:val="008972B6"/>
    <w:rsid w:val="00897339"/>
    <w:rsid w:val="00897697"/>
    <w:rsid w:val="008977E1"/>
    <w:rsid w:val="00897BFA"/>
    <w:rsid w:val="00897D19"/>
    <w:rsid w:val="008A0044"/>
    <w:rsid w:val="008A0BFE"/>
    <w:rsid w:val="008A108A"/>
    <w:rsid w:val="008A1932"/>
    <w:rsid w:val="008A1E83"/>
    <w:rsid w:val="008A21D9"/>
    <w:rsid w:val="008A232D"/>
    <w:rsid w:val="008A2D78"/>
    <w:rsid w:val="008A3182"/>
    <w:rsid w:val="008A3C76"/>
    <w:rsid w:val="008A3D54"/>
    <w:rsid w:val="008A3E10"/>
    <w:rsid w:val="008A411C"/>
    <w:rsid w:val="008A4630"/>
    <w:rsid w:val="008A47CE"/>
    <w:rsid w:val="008A4DFA"/>
    <w:rsid w:val="008A5DCA"/>
    <w:rsid w:val="008A5F2F"/>
    <w:rsid w:val="008A6BAE"/>
    <w:rsid w:val="008A7350"/>
    <w:rsid w:val="008A7A72"/>
    <w:rsid w:val="008B09F3"/>
    <w:rsid w:val="008B111A"/>
    <w:rsid w:val="008B16E6"/>
    <w:rsid w:val="008B1AB2"/>
    <w:rsid w:val="008B1B17"/>
    <w:rsid w:val="008B1D9B"/>
    <w:rsid w:val="008B2042"/>
    <w:rsid w:val="008B25F1"/>
    <w:rsid w:val="008B2C8F"/>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107"/>
    <w:rsid w:val="008B770C"/>
    <w:rsid w:val="008C0325"/>
    <w:rsid w:val="008C094A"/>
    <w:rsid w:val="008C0A61"/>
    <w:rsid w:val="008C1570"/>
    <w:rsid w:val="008C1792"/>
    <w:rsid w:val="008C17B2"/>
    <w:rsid w:val="008C1E3E"/>
    <w:rsid w:val="008C2059"/>
    <w:rsid w:val="008C21D0"/>
    <w:rsid w:val="008C2DBC"/>
    <w:rsid w:val="008C3A4E"/>
    <w:rsid w:val="008C4A37"/>
    <w:rsid w:val="008C5371"/>
    <w:rsid w:val="008C623D"/>
    <w:rsid w:val="008C65F4"/>
    <w:rsid w:val="008C6683"/>
    <w:rsid w:val="008C6E0C"/>
    <w:rsid w:val="008C7273"/>
    <w:rsid w:val="008C78F8"/>
    <w:rsid w:val="008C7F0C"/>
    <w:rsid w:val="008D05DF"/>
    <w:rsid w:val="008D09E8"/>
    <w:rsid w:val="008D0E65"/>
    <w:rsid w:val="008D110A"/>
    <w:rsid w:val="008D1612"/>
    <w:rsid w:val="008D21CA"/>
    <w:rsid w:val="008D2259"/>
    <w:rsid w:val="008D2531"/>
    <w:rsid w:val="008D2833"/>
    <w:rsid w:val="008D2A5B"/>
    <w:rsid w:val="008D313A"/>
    <w:rsid w:val="008D3216"/>
    <w:rsid w:val="008D3381"/>
    <w:rsid w:val="008D33FE"/>
    <w:rsid w:val="008D3B9F"/>
    <w:rsid w:val="008D3D02"/>
    <w:rsid w:val="008D3D5A"/>
    <w:rsid w:val="008D4226"/>
    <w:rsid w:val="008D4D7C"/>
    <w:rsid w:val="008D4E8C"/>
    <w:rsid w:val="008D5432"/>
    <w:rsid w:val="008D54C0"/>
    <w:rsid w:val="008D5558"/>
    <w:rsid w:val="008D5806"/>
    <w:rsid w:val="008D5ED9"/>
    <w:rsid w:val="008D6857"/>
    <w:rsid w:val="008D69BC"/>
    <w:rsid w:val="008D7247"/>
    <w:rsid w:val="008D7567"/>
    <w:rsid w:val="008E0464"/>
    <w:rsid w:val="008E092F"/>
    <w:rsid w:val="008E0EE4"/>
    <w:rsid w:val="008E1074"/>
    <w:rsid w:val="008E12BE"/>
    <w:rsid w:val="008E13FD"/>
    <w:rsid w:val="008E17D5"/>
    <w:rsid w:val="008E1BB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312"/>
    <w:rsid w:val="008F1764"/>
    <w:rsid w:val="008F1E3D"/>
    <w:rsid w:val="008F235C"/>
    <w:rsid w:val="008F290B"/>
    <w:rsid w:val="008F2F11"/>
    <w:rsid w:val="008F3369"/>
    <w:rsid w:val="008F33A6"/>
    <w:rsid w:val="008F35EC"/>
    <w:rsid w:val="008F4A31"/>
    <w:rsid w:val="008F4FE8"/>
    <w:rsid w:val="008F4FED"/>
    <w:rsid w:val="008F583A"/>
    <w:rsid w:val="008F5D5A"/>
    <w:rsid w:val="008F6200"/>
    <w:rsid w:val="008F62F8"/>
    <w:rsid w:val="008F6893"/>
    <w:rsid w:val="008F70CC"/>
    <w:rsid w:val="008F7292"/>
    <w:rsid w:val="008F76C0"/>
    <w:rsid w:val="009000F2"/>
    <w:rsid w:val="0090079D"/>
    <w:rsid w:val="0090086A"/>
    <w:rsid w:val="00900D2C"/>
    <w:rsid w:val="00901807"/>
    <w:rsid w:val="00901BF9"/>
    <w:rsid w:val="00901F0E"/>
    <w:rsid w:val="00902A26"/>
    <w:rsid w:val="00902A57"/>
    <w:rsid w:val="00902B29"/>
    <w:rsid w:val="00903C83"/>
    <w:rsid w:val="00903D77"/>
    <w:rsid w:val="0090408F"/>
    <w:rsid w:val="009040AD"/>
    <w:rsid w:val="0090446A"/>
    <w:rsid w:val="00904537"/>
    <w:rsid w:val="00904DC3"/>
    <w:rsid w:val="0090534A"/>
    <w:rsid w:val="00905469"/>
    <w:rsid w:val="00905917"/>
    <w:rsid w:val="00906078"/>
    <w:rsid w:val="0090629C"/>
    <w:rsid w:val="009064F6"/>
    <w:rsid w:val="00906EA2"/>
    <w:rsid w:val="00907278"/>
    <w:rsid w:val="00910041"/>
    <w:rsid w:val="00910F55"/>
    <w:rsid w:val="0091112B"/>
    <w:rsid w:val="00911D61"/>
    <w:rsid w:val="00912349"/>
    <w:rsid w:val="00912850"/>
    <w:rsid w:val="009128B8"/>
    <w:rsid w:val="00912BCD"/>
    <w:rsid w:val="00913E1B"/>
    <w:rsid w:val="0091472C"/>
    <w:rsid w:val="00914DC9"/>
    <w:rsid w:val="00915351"/>
    <w:rsid w:val="00915679"/>
    <w:rsid w:val="009159C2"/>
    <w:rsid w:val="0091627F"/>
    <w:rsid w:val="00916E45"/>
    <w:rsid w:val="009171B1"/>
    <w:rsid w:val="0092077A"/>
    <w:rsid w:val="00920DC0"/>
    <w:rsid w:val="00921419"/>
    <w:rsid w:val="009219F3"/>
    <w:rsid w:val="009221CB"/>
    <w:rsid w:val="00922320"/>
    <w:rsid w:val="00923643"/>
    <w:rsid w:val="0092371D"/>
    <w:rsid w:val="00923E1A"/>
    <w:rsid w:val="009245CC"/>
    <w:rsid w:val="0092490A"/>
    <w:rsid w:val="00925A3E"/>
    <w:rsid w:val="009261DB"/>
    <w:rsid w:val="00926939"/>
    <w:rsid w:val="00926E06"/>
    <w:rsid w:val="00926F4C"/>
    <w:rsid w:val="00927330"/>
    <w:rsid w:val="009274E3"/>
    <w:rsid w:val="00927710"/>
    <w:rsid w:val="009279F9"/>
    <w:rsid w:val="00927B47"/>
    <w:rsid w:val="009307CA"/>
    <w:rsid w:val="0093115F"/>
    <w:rsid w:val="009312F9"/>
    <w:rsid w:val="00931445"/>
    <w:rsid w:val="00931AB8"/>
    <w:rsid w:val="00931C19"/>
    <w:rsid w:val="00931C63"/>
    <w:rsid w:val="00931D10"/>
    <w:rsid w:val="0093218A"/>
    <w:rsid w:val="0093386D"/>
    <w:rsid w:val="00934C8E"/>
    <w:rsid w:val="00935194"/>
    <w:rsid w:val="00936EA5"/>
    <w:rsid w:val="00937114"/>
    <w:rsid w:val="009400A3"/>
    <w:rsid w:val="0094015D"/>
    <w:rsid w:val="00940916"/>
    <w:rsid w:val="009412B7"/>
    <w:rsid w:val="00941B13"/>
    <w:rsid w:val="00941F94"/>
    <w:rsid w:val="0094215C"/>
    <w:rsid w:val="00942F8E"/>
    <w:rsid w:val="00943543"/>
    <w:rsid w:val="009441DB"/>
    <w:rsid w:val="00944834"/>
    <w:rsid w:val="00946128"/>
    <w:rsid w:val="0094633F"/>
    <w:rsid w:val="00946E09"/>
    <w:rsid w:val="00947BA5"/>
    <w:rsid w:val="00950805"/>
    <w:rsid w:val="009517E4"/>
    <w:rsid w:val="009517FD"/>
    <w:rsid w:val="009518D4"/>
    <w:rsid w:val="009520BC"/>
    <w:rsid w:val="009521D2"/>
    <w:rsid w:val="00952403"/>
    <w:rsid w:val="00952589"/>
    <w:rsid w:val="00952BD8"/>
    <w:rsid w:val="00953573"/>
    <w:rsid w:val="009537C0"/>
    <w:rsid w:val="009557A9"/>
    <w:rsid w:val="00956647"/>
    <w:rsid w:val="00957380"/>
    <w:rsid w:val="00957409"/>
    <w:rsid w:val="00957499"/>
    <w:rsid w:val="00957AE1"/>
    <w:rsid w:val="00957ED2"/>
    <w:rsid w:val="009604AE"/>
    <w:rsid w:val="009609AF"/>
    <w:rsid w:val="00960DE4"/>
    <w:rsid w:val="00960E27"/>
    <w:rsid w:val="009610C7"/>
    <w:rsid w:val="00961164"/>
    <w:rsid w:val="00961867"/>
    <w:rsid w:val="00961A4F"/>
    <w:rsid w:val="009625B7"/>
    <w:rsid w:val="00962FB8"/>
    <w:rsid w:val="00963183"/>
    <w:rsid w:val="00963591"/>
    <w:rsid w:val="0096373F"/>
    <w:rsid w:val="00964007"/>
    <w:rsid w:val="00964283"/>
    <w:rsid w:val="009642A4"/>
    <w:rsid w:val="009643F4"/>
    <w:rsid w:val="009645A6"/>
    <w:rsid w:val="00964677"/>
    <w:rsid w:val="009649B0"/>
    <w:rsid w:val="00964F5A"/>
    <w:rsid w:val="0096527F"/>
    <w:rsid w:val="009653ED"/>
    <w:rsid w:val="00966957"/>
    <w:rsid w:val="00966A21"/>
    <w:rsid w:val="00966AD2"/>
    <w:rsid w:val="009673A2"/>
    <w:rsid w:val="00970A5C"/>
    <w:rsid w:val="00971415"/>
    <w:rsid w:val="009716D8"/>
    <w:rsid w:val="00971F54"/>
    <w:rsid w:val="00972057"/>
    <w:rsid w:val="0097227B"/>
    <w:rsid w:val="0097262E"/>
    <w:rsid w:val="0097293F"/>
    <w:rsid w:val="00973103"/>
    <w:rsid w:val="0097337B"/>
    <w:rsid w:val="0097340F"/>
    <w:rsid w:val="00974022"/>
    <w:rsid w:val="009743E8"/>
    <w:rsid w:val="009745D8"/>
    <w:rsid w:val="00974F3B"/>
    <w:rsid w:val="0097552A"/>
    <w:rsid w:val="0097564A"/>
    <w:rsid w:val="00975974"/>
    <w:rsid w:val="00975D06"/>
    <w:rsid w:val="00975D63"/>
    <w:rsid w:val="00975DAE"/>
    <w:rsid w:val="00976BBE"/>
    <w:rsid w:val="0097774B"/>
    <w:rsid w:val="00980516"/>
    <w:rsid w:val="0098055B"/>
    <w:rsid w:val="00980B30"/>
    <w:rsid w:val="009810BE"/>
    <w:rsid w:val="00981601"/>
    <w:rsid w:val="009817BC"/>
    <w:rsid w:val="009819A7"/>
    <w:rsid w:val="0098220A"/>
    <w:rsid w:val="0098285E"/>
    <w:rsid w:val="00982E75"/>
    <w:rsid w:val="00983337"/>
    <w:rsid w:val="009836AA"/>
    <w:rsid w:val="0098450E"/>
    <w:rsid w:val="009846BF"/>
    <w:rsid w:val="00984CA6"/>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3135"/>
    <w:rsid w:val="00993AC7"/>
    <w:rsid w:val="00993BAD"/>
    <w:rsid w:val="00993E49"/>
    <w:rsid w:val="00994120"/>
    <w:rsid w:val="009942F5"/>
    <w:rsid w:val="00994568"/>
    <w:rsid w:val="00994602"/>
    <w:rsid w:val="00995B01"/>
    <w:rsid w:val="00995C43"/>
    <w:rsid w:val="00996055"/>
    <w:rsid w:val="00996EF4"/>
    <w:rsid w:val="00997044"/>
    <w:rsid w:val="00997BC9"/>
    <w:rsid w:val="009A07FD"/>
    <w:rsid w:val="009A0E8F"/>
    <w:rsid w:val="009A113D"/>
    <w:rsid w:val="009A1ECA"/>
    <w:rsid w:val="009A2671"/>
    <w:rsid w:val="009A2BE9"/>
    <w:rsid w:val="009A2BF3"/>
    <w:rsid w:val="009A3688"/>
    <w:rsid w:val="009A3713"/>
    <w:rsid w:val="009A3C3E"/>
    <w:rsid w:val="009A4153"/>
    <w:rsid w:val="009A4C2C"/>
    <w:rsid w:val="009A4CAB"/>
    <w:rsid w:val="009A59B3"/>
    <w:rsid w:val="009A5C28"/>
    <w:rsid w:val="009A5FAE"/>
    <w:rsid w:val="009A67DA"/>
    <w:rsid w:val="009A6B3A"/>
    <w:rsid w:val="009A70A3"/>
    <w:rsid w:val="009A7E7C"/>
    <w:rsid w:val="009B00E9"/>
    <w:rsid w:val="009B036C"/>
    <w:rsid w:val="009B05D2"/>
    <w:rsid w:val="009B152B"/>
    <w:rsid w:val="009B2731"/>
    <w:rsid w:val="009B2AFB"/>
    <w:rsid w:val="009B2DCF"/>
    <w:rsid w:val="009B31B6"/>
    <w:rsid w:val="009B39D8"/>
    <w:rsid w:val="009B3D38"/>
    <w:rsid w:val="009B4368"/>
    <w:rsid w:val="009B4D4C"/>
    <w:rsid w:val="009B66F5"/>
    <w:rsid w:val="009B7505"/>
    <w:rsid w:val="009C0020"/>
    <w:rsid w:val="009C03F7"/>
    <w:rsid w:val="009C1029"/>
    <w:rsid w:val="009C10DA"/>
    <w:rsid w:val="009C19FC"/>
    <w:rsid w:val="009C27F7"/>
    <w:rsid w:val="009C354B"/>
    <w:rsid w:val="009C3BC4"/>
    <w:rsid w:val="009C3C93"/>
    <w:rsid w:val="009C3E97"/>
    <w:rsid w:val="009C4017"/>
    <w:rsid w:val="009C424E"/>
    <w:rsid w:val="009C4708"/>
    <w:rsid w:val="009C4870"/>
    <w:rsid w:val="009C4904"/>
    <w:rsid w:val="009C4C4E"/>
    <w:rsid w:val="009C4D37"/>
    <w:rsid w:val="009C55D5"/>
    <w:rsid w:val="009C574C"/>
    <w:rsid w:val="009C5753"/>
    <w:rsid w:val="009C5E42"/>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082"/>
    <w:rsid w:val="009D298F"/>
    <w:rsid w:val="009D2F9C"/>
    <w:rsid w:val="009D4207"/>
    <w:rsid w:val="009D4DDC"/>
    <w:rsid w:val="009D4DED"/>
    <w:rsid w:val="009D4E4A"/>
    <w:rsid w:val="009D5130"/>
    <w:rsid w:val="009D53D1"/>
    <w:rsid w:val="009D53FB"/>
    <w:rsid w:val="009D56A4"/>
    <w:rsid w:val="009D5FA0"/>
    <w:rsid w:val="009D6081"/>
    <w:rsid w:val="009D678C"/>
    <w:rsid w:val="009D6B8D"/>
    <w:rsid w:val="009D6B9A"/>
    <w:rsid w:val="009D6D30"/>
    <w:rsid w:val="009D7523"/>
    <w:rsid w:val="009D76B5"/>
    <w:rsid w:val="009D7AF1"/>
    <w:rsid w:val="009D7B88"/>
    <w:rsid w:val="009D7BC7"/>
    <w:rsid w:val="009D7FAC"/>
    <w:rsid w:val="009E0109"/>
    <w:rsid w:val="009E0342"/>
    <w:rsid w:val="009E098B"/>
    <w:rsid w:val="009E09AB"/>
    <w:rsid w:val="009E0D7D"/>
    <w:rsid w:val="009E0DAF"/>
    <w:rsid w:val="009E108C"/>
    <w:rsid w:val="009E19BB"/>
    <w:rsid w:val="009E1C47"/>
    <w:rsid w:val="009E1C8F"/>
    <w:rsid w:val="009E2A08"/>
    <w:rsid w:val="009E30A7"/>
    <w:rsid w:val="009E38D1"/>
    <w:rsid w:val="009E3DF1"/>
    <w:rsid w:val="009E4581"/>
    <w:rsid w:val="009E514A"/>
    <w:rsid w:val="009E5177"/>
    <w:rsid w:val="009E5701"/>
    <w:rsid w:val="009E5711"/>
    <w:rsid w:val="009E758E"/>
    <w:rsid w:val="009E7BFB"/>
    <w:rsid w:val="009E7D6B"/>
    <w:rsid w:val="009E7E81"/>
    <w:rsid w:val="009F020A"/>
    <w:rsid w:val="009F03AB"/>
    <w:rsid w:val="009F05AD"/>
    <w:rsid w:val="009F0659"/>
    <w:rsid w:val="009F1109"/>
    <w:rsid w:val="009F143E"/>
    <w:rsid w:val="009F1DE8"/>
    <w:rsid w:val="009F2186"/>
    <w:rsid w:val="009F227C"/>
    <w:rsid w:val="009F28DC"/>
    <w:rsid w:val="009F2EDB"/>
    <w:rsid w:val="009F33DC"/>
    <w:rsid w:val="009F3FC1"/>
    <w:rsid w:val="009F4550"/>
    <w:rsid w:val="009F4AED"/>
    <w:rsid w:val="009F5297"/>
    <w:rsid w:val="009F56C0"/>
    <w:rsid w:val="009F5C76"/>
    <w:rsid w:val="009F7317"/>
    <w:rsid w:val="009F76A9"/>
    <w:rsid w:val="00A000C5"/>
    <w:rsid w:val="00A007B4"/>
    <w:rsid w:val="00A00930"/>
    <w:rsid w:val="00A00CA0"/>
    <w:rsid w:val="00A00E00"/>
    <w:rsid w:val="00A01221"/>
    <w:rsid w:val="00A012A8"/>
    <w:rsid w:val="00A012F1"/>
    <w:rsid w:val="00A016FF"/>
    <w:rsid w:val="00A01886"/>
    <w:rsid w:val="00A01E4E"/>
    <w:rsid w:val="00A0207F"/>
    <w:rsid w:val="00A021AF"/>
    <w:rsid w:val="00A027B1"/>
    <w:rsid w:val="00A0307A"/>
    <w:rsid w:val="00A03A7C"/>
    <w:rsid w:val="00A044AA"/>
    <w:rsid w:val="00A04D5E"/>
    <w:rsid w:val="00A0618C"/>
    <w:rsid w:val="00A06275"/>
    <w:rsid w:val="00A0700C"/>
    <w:rsid w:val="00A07FCF"/>
    <w:rsid w:val="00A102F8"/>
    <w:rsid w:val="00A107C0"/>
    <w:rsid w:val="00A10A20"/>
    <w:rsid w:val="00A117D5"/>
    <w:rsid w:val="00A11836"/>
    <w:rsid w:val="00A11C11"/>
    <w:rsid w:val="00A11DB3"/>
    <w:rsid w:val="00A12720"/>
    <w:rsid w:val="00A12ED1"/>
    <w:rsid w:val="00A13121"/>
    <w:rsid w:val="00A131F5"/>
    <w:rsid w:val="00A133C1"/>
    <w:rsid w:val="00A13414"/>
    <w:rsid w:val="00A13675"/>
    <w:rsid w:val="00A138B7"/>
    <w:rsid w:val="00A13DC4"/>
    <w:rsid w:val="00A13F2D"/>
    <w:rsid w:val="00A13F49"/>
    <w:rsid w:val="00A14153"/>
    <w:rsid w:val="00A148A0"/>
    <w:rsid w:val="00A14AA8"/>
    <w:rsid w:val="00A14F81"/>
    <w:rsid w:val="00A1535F"/>
    <w:rsid w:val="00A15CB1"/>
    <w:rsid w:val="00A15DCC"/>
    <w:rsid w:val="00A15E7D"/>
    <w:rsid w:val="00A15E84"/>
    <w:rsid w:val="00A16021"/>
    <w:rsid w:val="00A165D7"/>
    <w:rsid w:val="00A16961"/>
    <w:rsid w:val="00A175E3"/>
    <w:rsid w:val="00A176DD"/>
    <w:rsid w:val="00A20B38"/>
    <w:rsid w:val="00A21838"/>
    <w:rsid w:val="00A22C3E"/>
    <w:rsid w:val="00A22C4D"/>
    <w:rsid w:val="00A2334E"/>
    <w:rsid w:val="00A23442"/>
    <w:rsid w:val="00A249D2"/>
    <w:rsid w:val="00A25375"/>
    <w:rsid w:val="00A254AB"/>
    <w:rsid w:val="00A259F2"/>
    <w:rsid w:val="00A25F15"/>
    <w:rsid w:val="00A266CC"/>
    <w:rsid w:val="00A266E8"/>
    <w:rsid w:val="00A26DB4"/>
    <w:rsid w:val="00A2737F"/>
    <w:rsid w:val="00A27425"/>
    <w:rsid w:val="00A300D0"/>
    <w:rsid w:val="00A3023E"/>
    <w:rsid w:val="00A305C5"/>
    <w:rsid w:val="00A30919"/>
    <w:rsid w:val="00A31B08"/>
    <w:rsid w:val="00A31F05"/>
    <w:rsid w:val="00A31FD2"/>
    <w:rsid w:val="00A32CE8"/>
    <w:rsid w:val="00A3404D"/>
    <w:rsid w:val="00A341AB"/>
    <w:rsid w:val="00A34290"/>
    <w:rsid w:val="00A3547B"/>
    <w:rsid w:val="00A355F9"/>
    <w:rsid w:val="00A357D3"/>
    <w:rsid w:val="00A35AA9"/>
    <w:rsid w:val="00A35F3C"/>
    <w:rsid w:val="00A36201"/>
    <w:rsid w:val="00A365C8"/>
    <w:rsid w:val="00A36CF6"/>
    <w:rsid w:val="00A37309"/>
    <w:rsid w:val="00A37329"/>
    <w:rsid w:val="00A37558"/>
    <w:rsid w:val="00A3786A"/>
    <w:rsid w:val="00A4008C"/>
    <w:rsid w:val="00A402A8"/>
    <w:rsid w:val="00A40685"/>
    <w:rsid w:val="00A40E2F"/>
    <w:rsid w:val="00A41819"/>
    <w:rsid w:val="00A41C9A"/>
    <w:rsid w:val="00A41D73"/>
    <w:rsid w:val="00A42406"/>
    <w:rsid w:val="00A43173"/>
    <w:rsid w:val="00A433E8"/>
    <w:rsid w:val="00A43A1D"/>
    <w:rsid w:val="00A43AB0"/>
    <w:rsid w:val="00A44854"/>
    <w:rsid w:val="00A44A45"/>
    <w:rsid w:val="00A45ECA"/>
    <w:rsid w:val="00A4665D"/>
    <w:rsid w:val="00A46859"/>
    <w:rsid w:val="00A46D39"/>
    <w:rsid w:val="00A47019"/>
    <w:rsid w:val="00A472B8"/>
    <w:rsid w:val="00A5004A"/>
    <w:rsid w:val="00A5017C"/>
    <w:rsid w:val="00A502D6"/>
    <w:rsid w:val="00A502F5"/>
    <w:rsid w:val="00A504F4"/>
    <w:rsid w:val="00A507C4"/>
    <w:rsid w:val="00A508AA"/>
    <w:rsid w:val="00A50D24"/>
    <w:rsid w:val="00A50EE7"/>
    <w:rsid w:val="00A526CE"/>
    <w:rsid w:val="00A52B9F"/>
    <w:rsid w:val="00A52D19"/>
    <w:rsid w:val="00A5325E"/>
    <w:rsid w:val="00A5338D"/>
    <w:rsid w:val="00A535C4"/>
    <w:rsid w:val="00A54909"/>
    <w:rsid w:val="00A54DC0"/>
    <w:rsid w:val="00A550C9"/>
    <w:rsid w:val="00A55228"/>
    <w:rsid w:val="00A55410"/>
    <w:rsid w:val="00A55A04"/>
    <w:rsid w:val="00A564DE"/>
    <w:rsid w:val="00A57500"/>
    <w:rsid w:val="00A57CDE"/>
    <w:rsid w:val="00A6054E"/>
    <w:rsid w:val="00A60799"/>
    <w:rsid w:val="00A6170B"/>
    <w:rsid w:val="00A61991"/>
    <w:rsid w:val="00A619E9"/>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2FB"/>
    <w:rsid w:val="00A70590"/>
    <w:rsid w:val="00A7062E"/>
    <w:rsid w:val="00A70834"/>
    <w:rsid w:val="00A71079"/>
    <w:rsid w:val="00A714FF"/>
    <w:rsid w:val="00A71542"/>
    <w:rsid w:val="00A7171F"/>
    <w:rsid w:val="00A71FA0"/>
    <w:rsid w:val="00A71FBD"/>
    <w:rsid w:val="00A72727"/>
    <w:rsid w:val="00A727D8"/>
    <w:rsid w:val="00A72C1A"/>
    <w:rsid w:val="00A732FB"/>
    <w:rsid w:val="00A7463E"/>
    <w:rsid w:val="00A753F8"/>
    <w:rsid w:val="00A758E2"/>
    <w:rsid w:val="00A76419"/>
    <w:rsid w:val="00A765B1"/>
    <w:rsid w:val="00A7718D"/>
    <w:rsid w:val="00A772F2"/>
    <w:rsid w:val="00A77828"/>
    <w:rsid w:val="00A77BAA"/>
    <w:rsid w:val="00A77DEE"/>
    <w:rsid w:val="00A800F9"/>
    <w:rsid w:val="00A803A6"/>
    <w:rsid w:val="00A8073D"/>
    <w:rsid w:val="00A80B0E"/>
    <w:rsid w:val="00A80D02"/>
    <w:rsid w:val="00A812DD"/>
    <w:rsid w:val="00A815FB"/>
    <w:rsid w:val="00A81AEB"/>
    <w:rsid w:val="00A82D32"/>
    <w:rsid w:val="00A82EAE"/>
    <w:rsid w:val="00A82FC7"/>
    <w:rsid w:val="00A8323C"/>
    <w:rsid w:val="00A847F9"/>
    <w:rsid w:val="00A84EF3"/>
    <w:rsid w:val="00A84F27"/>
    <w:rsid w:val="00A8519C"/>
    <w:rsid w:val="00A855EE"/>
    <w:rsid w:val="00A856E1"/>
    <w:rsid w:val="00A8597A"/>
    <w:rsid w:val="00A85B87"/>
    <w:rsid w:val="00A85CE4"/>
    <w:rsid w:val="00A85F83"/>
    <w:rsid w:val="00A86019"/>
    <w:rsid w:val="00A86EED"/>
    <w:rsid w:val="00A8733A"/>
    <w:rsid w:val="00A87FFA"/>
    <w:rsid w:val="00A90434"/>
    <w:rsid w:val="00A90629"/>
    <w:rsid w:val="00A90766"/>
    <w:rsid w:val="00A91340"/>
    <w:rsid w:val="00A9151F"/>
    <w:rsid w:val="00A9196B"/>
    <w:rsid w:val="00A91BB5"/>
    <w:rsid w:val="00A91BEE"/>
    <w:rsid w:val="00A91D4B"/>
    <w:rsid w:val="00A920B2"/>
    <w:rsid w:val="00A92A96"/>
    <w:rsid w:val="00A92AF0"/>
    <w:rsid w:val="00A933FE"/>
    <w:rsid w:val="00A937D5"/>
    <w:rsid w:val="00A93C70"/>
    <w:rsid w:val="00A94A32"/>
    <w:rsid w:val="00A94AC5"/>
    <w:rsid w:val="00A94AFC"/>
    <w:rsid w:val="00A94BF5"/>
    <w:rsid w:val="00A9686A"/>
    <w:rsid w:val="00A968BF"/>
    <w:rsid w:val="00A96B4A"/>
    <w:rsid w:val="00A97BDA"/>
    <w:rsid w:val="00AA043A"/>
    <w:rsid w:val="00AA0779"/>
    <w:rsid w:val="00AA08F3"/>
    <w:rsid w:val="00AA0A7E"/>
    <w:rsid w:val="00AA0F23"/>
    <w:rsid w:val="00AA1067"/>
    <w:rsid w:val="00AA1163"/>
    <w:rsid w:val="00AA1732"/>
    <w:rsid w:val="00AA1DA8"/>
    <w:rsid w:val="00AA218C"/>
    <w:rsid w:val="00AA222C"/>
    <w:rsid w:val="00AA2264"/>
    <w:rsid w:val="00AA238E"/>
    <w:rsid w:val="00AA2483"/>
    <w:rsid w:val="00AA253B"/>
    <w:rsid w:val="00AA26C8"/>
    <w:rsid w:val="00AA29F8"/>
    <w:rsid w:val="00AA31AC"/>
    <w:rsid w:val="00AA3243"/>
    <w:rsid w:val="00AA3252"/>
    <w:rsid w:val="00AA388F"/>
    <w:rsid w:val="00AA395A"/>
    <w:rsid w:val="00AA3C4C"/>
    <w:rsid w:val="00AA408E"/>
    <w:rsid w:val="00AA4DA9"/>
    <w:rsid w:val="00AA4F6D"/>
    <w:rsid w:val="00AA50CE"/>
    <w:rsid w:val="00AA536B"/>
    <w:rsid w:val="00AA55E5"/>
    <w:rsid w:val="00AA57C9"/>
    <w:rsid w:val="00AA5A5C"/>
    <w:rsid w:val="00AA5A6F"/>
    <w:rsid w:val="00AA634D"/>
    <w:rsid w:val="00AA6F6C"/>
    <w:rsid w:val="00AA721D"/>
    <w:rsid w:val="00AA7519"/>
    <w:rsid w:val="00AA759D"/>
    <w:rsid w:val="00AA790A"/>
    <w:rsid w:val="00AB02EA"/>
    <w:rsid w:val="00AB05EE"/>
    <w:rsid w:val="00AB110C"/>
    <w:rsid w:val="00AB227A"/>
    <w:rsid w:val="00AB22BF"/>
    <w:rsid w:val="00AB256E"/>
    <w:rsid w:val="00AB3466"/>
    <w:rsid w:val="00AB38B2"/>
    <w:rsid w:val="00AB39EF"/>
    <w:rsid w:val="00AB3BBB"/>
    <w:rsid w:val="00AB408C"/>
    <w:rsid w:val="00AB43AF"/>
    <w:rsid w:val="00AB4E41"/>
    <w:rsid w:val="00AB5E4E"/>
    <w:rsid w:val="00AB5EB1"/>
    <w:rsid w:val="00AB6003"/>
    <w:rsid w:val="00AB6B4E"/>
    <w:rsid w:val="00AB7396"/>
    <w:rsid w:val="00AB73BE"/>
    <w:rsid w:val="00AB759A"/>
    <w:rsid w:val="00AB7B06"/>
    <w:rsid w:val="00AB7EAA"/>
    <w:rsid w:val="00AC0432"/>
    <w:rsid w:val="00AC0770"/>
    <w:rsid w:val="00AC1683"/>
    <w:rsid w:val="00AC1D82"/>
    <w:rsid w:val="00AC2D5F"/>
    <w:rsid w:val="00AC320F"/>
    <w:rsid w:val="00AC3B5D"/>
    <w:rsid w:val="00AC4094"/>
    <w:rsid w:val="00AC42B6"/>
    <w:rsid w:val="00AC4AB7"/>
    <w:rsid w:val="00AC51E0"/>
    <w:rsid w:val="00AC6D24"/>
    <w:rsid w:val="00AC6E18"/>
    <w:rsid w:val="00AC7F64"/>
    <w:rsid w:val="00AD1065"/>
    <w:rsid w:val="00AD1098"/>
    <w:rsid w:val="00AD159E"/>
    <w:rsid w:val="00AD170C"/>
    <w:rsid w:val="00AD2AB1"/>
    <w:rsid w:val="00AD3132"/>
    <w:rsid w:val="00AD3CEB"/>
    <w:rsid w:val="00AD3DA6"/>
    <w:rsid w:val="00AD3F3C"/>
    <w:rsid w:val="00AD43B7"/>
    <w:rsid w:val="00AD447E"/>
    <w:rsid w:val="00AD46AD"/>
    <w:rsid w:val="00AD4B2F"/>
    <w:rsid w:val="00AD5160"/>
    <w:rsid w:val="00AD5F0A"/>
    <w:rsid w:val="00AD6A5B"/>
    <w:rsid w:val="00AD6B4F"/>
    <w:rsid w:val="00AD6D19"/>
    <w:rsid w:val="00AD73D4"/>
    <w:rsid w:val="00AD7812"/>
    <w:rsid w:val="00AD7C42"/>
    <w:rsid w:val="00AD7CFA"/>
    <w:rsid w:val="00AE06B0"/>
    <w:rsid w:val="00AE0BD6"/>
    <w:rsid w:val="00AE11C1"/>
    <w:rsid w:val="00AE163D"/>
    <w:rsid w:val="00AE1A42"/>
    <w:rsid w:val="00AE1C5C"/>
    <w:rsid w:val="00AE2814"/>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2D4"/>
    <w:rsid w:val="00AF4CEE"/>
    <w:rsid w:val="00AF4F4A"/>
    <w:rsid w:val="00AF584C"/>
    <w:rsid w:val="00AF5D84"/>
    <w:rsid w:val="00AF6476"/>
    <w:rsid w:val="00AF669D"/>
    <w:rsid w:val="00AF672C"/>
    <w:rsid w:val="00AF673E"/>
    <w:rsid w:val="00AF6ABE"/>
    <w:rsid w:val="00AF7389"/>
    <w:rsid w:val="00AF79DF"/>
    <w:rsid w:val="00AF7C37"/>
    <w:rsid w:val="00B00378"/>
    <w:rsid w:val="00B007F1"/>
    <w:rsid w:val="00B00D91"/>
    <w:rsid w:val="00B00E84"/>
    <w:rsid w:val="00B011FB"/>
    <w:rsid w:val="00B01DD9"/>
    <w:rsid w:val="00B01F0E"/>
    <w:rsid w:val="00B038F1"/>
    <w:rsid w:val="00B03C1B"/>
    <w:rsid w:val="00B04678"/>
    <w:rsid w:val="00B047C9"/>
    <w:rsid w:val="00B04A04"/>
    <w:rsid w:val="00B04B78"/>
    <w:rsid w:val="00B04C37"/>
    <w:rsid w:val="00B04F00"/>
    <w:rsid w:val="00B0563C"/>
    <w:rsid w:val="00B05BA6"/>
    <w:rsid w:val="00B066FE"/>
    <w:rsid w:val="00B06912"/>
    <w:rsid w:val="00B06E19"/>
    <w:rsid w:val="00B07316"/>
    <w:rsid w:val="00B07F74"/>
    <w:rsid w:val="00B10618"/>
    <w:rsid w:val="00B10759"/>
    <w:rsid w:val="00B10B04"/>
    <w:rsid w:val="00B10CC6"/>
    <w:rsid w:val="00B10FEA"/>
    <w:rsid w:val="00B11932"/>
    <w:rsid w:val="00B11A61"/>
    <w:rsid w:val="00B12082"/>
    <w:rsid w:val="00B12648"/>
    <w:rsid w:val="00B1270C"/>
    <w:rsid w:val="00B12710"/>
    <w:rsid w:val="00B130B3"/>
    <w:rsid w:val="00B13389"/>
    <w:rsid w:val="00B1364C"/>
    <w:rsid w:val="00B137C9"/>
    <w:rsid w:val="00B13EDB"/>
    <w:rsid w:val="00B141A5"/>
    <w:rsid w:val="00B14F47"/>
    <w:rsid w:val="00B15282"/>
    <w:rsid w:val="00B15286"/>
    <w:rsid w:val="00B1539F"/>
    <w:rsid w:val="00B1550D"/>
    <w:rsid w:val="00B15F6C"/>
    <w:rsid w:val="00B163E8"/>
    <w:rsid w:val="00B1767E"/>
    <w:rsid w:val="00B2044D"/>
    <w:rsid w:val="00B20760"/>
    <w:rsid w:val="00B20E73"/>
    <w:rsid w:val="00B2125C"/>
    <w:rsid w:val="00B21676"/>
    <w:rsid w:val="00B219E1"/>
    <w:rsid w:val="00B21ECF"/>
    <w:rsid w:val="00B22150"/>
    <w:rsid w:val="00B22466"/>
    <w:rsid w:val="00B226DE"/>
    <w:rsid w:val="00B22E24"/>
    <w:rsid w:val="00B22FB5"/>
    <w:rsid w:val="00B2358C"/>
    <w:rsid w:val="00B23FB7"/>
    <w:rsid w:val="00B241D5"/>
    <w:rsid w:val="00B24BE9"/>
    <w:rsid w:val="00B2551D"/>
    <w:rsid w:val="00B25F8C"/>
    <w:rsid w:val="00B260BE"/>
    <w:rsid w:val="00B2658F"/>
    <w:rsid w:val="00B26677"/>
    <w:rsid w:val="00B26A96"/>
    <w:rsid w:val="00B274E3"/>
    <w:rsid w:val="00B2765C"/>
    <w:rsid w:val="00B27C4B"/>
    <w:rsid w:val="00B30563"/>
    <w:rsid w:val="00B3069E"/>
    <w:rsid w:val="00B30A76"/>
    <w:rsid w:val="00B30FC6"/>
    <w:rsid w:val="00B31246"/>
    <w:rsid w:val="00B31F6E"/>
    <w:rsid w:val="00B32295"/>
    <w:rsid w:val="00B329E1"/>
    <w:rsid w:val="00B32DEF"/>
    <w:rsid w:val="00B33788"/>
    <w:rsid w:val="00B33AB5"/>
    <w:rsid w:val="00B3412E"/>
    <w:rsid w:val="00B343E0"/>
    <w:rsid w:val="00B35B6D"/>
    <w:rsid w:val="00B35D53"/>
    <w:rsid w:val="00B365B6"/>
    <w:rsid w:val="00B367C4"/>
    <w:rsid w:val="00B36D3E"/>
    <w:rsid w:val="00B37B8E"/>
    <w:rsid w:val="00B401D6"/>
    <w:rsid w:val="00B40222"/>
    <w:rsid w:val="00B404C3"/>
    <w:rsid w:val="00B40C8E"/>
    <w:rsid w:val="00B41125"/>
    <w:rsid w:val="00B41A04"/>
    <w:rsid w:val="00B42743"/>
    <w:rsid w:val="00B430E9"/>
    <w:rsid w:val="00B4311F"/>
    <w:rsid w:val="00B431AE"/>
    <w:rsid w:val="00B44288"/>
    <w:rsid w:val="00B448BF"/>
    <w:rsid w:val="00B45A59"/>
    <w:rsid w:val="00B45F9F"/>
    <w:rsid w:val="00B4627C"/>
    <w:rsid w:val="00B4641F"/>
    <w:rsid w:val="00B46793"/>
    <w:rsid w:val="00B46953"/>
    <w:rsid w:val="00B469F2"/>
    <w:rsid w:val="00B46B9F"/>
    <w:rsid w:val="00B4704F"/>
    <w:rsid w:val="00B47455"/>
    <w:rsid w:val="00B47979"/>
    <w:rsid w:val="00B47A59"/>
    <w:rsid w:val="00B47ECD"/>
    <w:rsid w:val="00B47FF3"/>
    <w:rsid w:val="00B503D6"/>
    <w:rsid w:val="00B509E1"/>
    <w:rsid w:val="00B51520"/>
    <w:rsid w:val="00B515C3"/>
    <w:rsid w:val="00B517C2"/>
    <w:rsid w:val="00B518CE"/>
    <w:rsid w:val="00B51F56"/>
    <w:rsid w:val="00B52234"/>
    <w:rsid w:val="00B53623"/>
    <w:rsid w:val="00B53D1D"/>
    <w:rsid w:val="00B53D97"/>
    <w:rsid w:val="00B53E98"/>
    <w:rsid w:val="00B53F9B"/>
    <w:rsid w:val="00B5417F"/>
    <w:rsid w:val="00B54B19"/>
    <w:rsid w:val="00B55F64"/>
    <w:rsid w:val="00B5621F"/>
    <w:rsid w:val="00B56ECA"/>
    <w:rsid w:val="00B57093"/>
    <w:rsid w:val="00B57A0F"/>
    <w:rsid w:val="00B57B5D"/>
    <w:rsid w:val="00B603B9"/>
    <w:rsid w:val="00B60613"/>
    <w:rsid w:val="00B60B8F"/>
    <w:rsid w:val="00B61AEC"/>
    <w:rsid w:val="00B6244C"/>
    <w:rsid w:val="00B625B1"/>
    <w:rsid w:val="00B62A2F"/>
    <w:rsid w:val="00B62B7B"/>
    <w:rsid w:val="00B62F0A"/>
    <w:rsid w:val="00B63484"/>
    <w:rsid w:val="00B634B7"/>
    <w:rsid w:val="00B634F1"/>
    <w:rsid w:val="00B637EF"/>
    <w:rsid w:val="00B63EF6"/>
    <w:rsid w:val="00B6440A"/>
    <w:rsid w:val="00B65788"/>
    <w:rsid w:val="00B65844"/>
    <w:rsid w:val="00B66054"/>
    <w:rsid w:val="00B6677F"/>
    <w:rsid w:val="00B667A3"/>
    <w:rsid w:val="00B66C7A"/>
    <w:rsid w:val="00B672EA"/>
    <w:rsid w:val="00B6747B"/>
    <w:rsid w:val="00B70200"/>
    <w:rsid w:val="00B702D7"/>
    <w:rsid w:val="00B70389"/>
    <w:rsid w:val="00B70E01"/>
    <w:rsid w:val="00B718C5"/>
    <w:rsid w:val="00B71CCD"/>
    <w:rsid w:val="00B72CF0"/>
    <w:rsid w:val="00B7380E"/>
    <w:rsid w:val="00B740F6"/>
    <w:rsid w:val="00B74615"/>
    <w:rsid w:val="00B74789"/>
    <w:rsid w:val="00B755B6"/>
    <w:rsid w:val="00B75884"/>
    <w:rsid w:val="00B75977"/>
    <w:rsid w:val="00B75A48"/>
    <w:rsid w:val="00B75CC0"/>
    <w:rsid w:val="00B76021"/>
    <w:rsid w:val="00B7659D"/>
    <w:rsid w:val="00B76FCD"/>
    <w:rsid w:val="00B7764D"/>
    <w:rsid w:val="00B804F8"/>
    <w:rsid w:val="00B8095A"/>
    <w:rsid w:val="00B80F65"/>
    <w:rsid w:val="00B81274"/>
    <w:rsid w:val="00B815D3"/>
    <w:rsid w:val="00B816A9"/>
    <w:rsid w:val="00B81742"/>
    <w:rsid w:val="00B817B5"/>
    <w:rsid w:val="00B823A6"/>
    <w:rsid w:val="00B83E76"/>
    <w:rsid w:val="00B83FA0"/>
    <w:rsid w:val="00B84156"/>
    <w:rsid w:val="00B846E6"/>
    <w:rsid w:val="00B8537B"/>
    <w:rsid w:val="00B85586"/>
    <w:rsid w:val="00B85B6E"/>
    <w:rsid w:val="00B86289"/>
    <w:rsid w:val="00B863B3"/>
    <w:rsid w:val="00B869D3"/>
    <w:rsid w:val="00B86CF8"/>
    <w:rsid w:val="00B86E44"/>
    <w:rsid w:val="00B87359"/>
    <w:rsid w:val="00B87446"/>
    <w:rsid w:val="00B87F1C"/>
    <w:rsid w:val="00B90BFD"/>
    <w:rsid w:val="00B90D8D"/>
    <w:rsid w:val="00B91263"/>
    <w:rsid w:val="00B91B61"/>
    <w:rsid w:val="00B93849"/>
    <w:rsid w:val="00B938BD"/>
    <w:rsid w:val="00B93CF3"/>
    <w:rsid w:val="00B93D92"/>
    <w:rsid w:val="00B93FAB"/>
    <w:rsid w:val="00B9407F"/>
    <w:rsid w:val="00B944E9"/>
    <w:rsid w:val="00B945D7"/>
    <w:rsid w:val="00B94612"/>
    <w:rsid w:val="00B94896"/>
    <w:rsid w:val="00B94BDD"/>
    <w:rsid w:val="00B94CDD"/>
    <w:rsid w:val="00B94DA7"/>
    <w:rsid w:val="00B95163"/>
    <w:rsid w:val="00B954D0"/>
    <w:rsid w:val="00B96D60"/>
    <w:rsid w:val="00B96DD9"/>
    <w:rsid w:val="00B96EA6"/>
    <w:rsid w:val="00B97353"/>
    <w:rsid w:val="00B975EA"/>
    <w:rsid w:val="00B9789D"/>
    <w:rsid w:val="00B978EA"/>
    <w:rsid w:val="00B97A4C"/>
    <w:rsid w:val="00BA050E"/>
    <w:rsid w:val="00BA0A1C"/>
    <w:rsid w:val="00BA1289"/>
    <w:rsid w:val="00BA14B2"/>
    <w:rsid w:val="00BA15DC"/>
    <w:rsid w:val="00BA1E2F"/>
    <w:rsid w:val="00BA1EB8"/>
    <w:rsid w:val="00BA1F48"/>
    <w:rsid w:val="00BA2C82"/>
    <w:rsid w:val="00BA3869"/>
    <w:rsid w:val="00BA4399"/>
    <w:rsid w:val="00BA4452"/>
    <w:rsid w:val="00BA4503"/>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41"/>
    <w:rsid w:val="00BB0D5E"/>
    <w:rsid w:val="00BB0D8C"/>
    <w:rsid w:val="00BB1688"/>
    <w:rsid w:val="00BB1EFB"/>
    <w:rsid w:val="00BB24ED"/>
    <w:rsid w:val="00BB269F"/>
    <w:rsid w:val="00BB27CC"/>
    <w:rsid w:val="00BB2ACE"/>
    <w:rsid w:val="00BB2E4E"/>
    <w:rsid w:val="00BB2E62"/>
    <w:rsid w:val="00BB36C9"/>
    <w:rsid w:val="00BB3A66"/>
    <w:rsid w:val="00BB3FD8"/>
    <w:rsid w:val="00BB40D1"/>
    <w:rsid w:val="00BB6188"/>
    <w:rsid w:val="00BB777D"/>
    <w:rsid w:val="00BB7EC0"/>
    <w:rsid w:val="00BB7F88"/>
    <w:rsid w:val="00BC0207"/>
    <w:rsid w:val="00BC089F"/>
    <w:rsid w:val="00BC0A0C"/>
    <w:rsid w:val="00BC0A5A"/>
    <w:rsid w:val="00BC0E64"/>
    <w:rsid w:val="00BC25D1"/>
    <w:rsid w:val="00BC2DBD"/>
    <w:rsid w:val="00BC2F1A"/>
    <w:rsid w:val="00BC3BCB"/>
    <w:rsid w:val="00BC3CF1"/>
    <w:rsid w:val="00BC428A"/>
    <w:rsid w:val="00BC4885"/>
    <w:rsid w:val="00BC4C40"/>
    <w:rsid w:val="00BC5A29"/>
    <w:rsid w:val="00BC5AE3"/>
    <w:rsid w:val="00BC5BAD"/>
    <w:rsid w:val="00BC692A"/>
    <w:rsid w:val="00BC76C5"/>
    <w:rsid w:val="00BC7F94"/>
    <w:rsid w:val="00BD0B37"/>
    <w:rsid w:val="00BD0F07"/>
    <w:rsid w:val="00BD1039"/>
    <w:rsid w:val="00BD10B7"/>
    <w:rsid w:val="00BD138A"/>
    <w:rsid w:val="00BD164A"/>
    <w:rsid w:val="00BD1742"/>
    <w:rsid w:val="00BD1BDD"/>
    <w:rsid w:val="00BD1D7D"/>
    <w:rsid w:val="00BD1E27"/>
    <w:rsid w:val="00BD2B4D"/>
    <w:rsid w:val="00BD2F08"/>
    <w:rsid w:val="00BD2FB9"/>
    <w:rsid w:val="00BD31C2"/>
    <w:rsid w:val="00BD3683"/>
    <w:rsid w:val="00BD4310"/>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C61"/>
    <w:rsid w:val="00BE2FD2"/>
    <w:rsid w:val="00BE3698"/>
    <w:rsid w:val="00BE377A"/>
    <w:rsid w:val="00BE37AE"/>
    <w:rsid w:val="00BE3B14"/>
    <w:rsid w:val="00BE3C65"/>
    <w:rsid w:val="00BE4222"/>
    <w:rsid w:val="00BE4717"/>
    <w:rsid w:val="00BE472D"/>
    <w:rsid w:val="00BE4C03"/>
    <w:rsid w:val="00BE4D64"/>
    <w:rsid w:val="00BE6218"/>
    <w:rsid w:val="00BE774C"/>
    <w:rsid w:val="00BE7F4D"/>
    <w:rsid w:val="00BF01AC"/>
    <w:rsid w:val="00BF03C0"/>
    <w:rsid w:val="00BF0EBF"/>
    <w:rsid w:val="00BF1534"/>
    <w:rsid w:val="00BF2021"/>
    <w:rsid w:val="00BF21D4"/>
    <w:rsid w:val="00BF2CAB"/>
    <w:rsid w:val="00BF2DDC"/>
    <w:rsid w:val="00BF32DE"/>
    <w:rsid w:val="00BF4A15"/>
    <w:rsid w:val="00BF4B53"/>
    <w:rsid w:val="00BF4E0E"/>
    <w:rsid w:val="00BF4E27"/>
    <w:rsid w:val="00BF4F7C"/>
    <w:rsid w:val="00BF537B"/>
    <w:rsid w:val="00BF5901"/>
    <w:rsid w:val="00BF626A"/>
    <w:rsid w:val="00BF6644"/>
    <w:rsid w:val="00BF688E"/>
    <w:rsid w:val="00BF6D77"/>
    <w:rsid w:val="00BF739A"/>
    <w:rsid w:val="00BF7EF5"/>
    <w:rsid w:val="00C00BF6"/>
    <w:rsid w:val="00C016EE"/>
    <w:rsid w:val="00C01C1C"/>
    <w:rsid w:val="00C0234A"/>
    <w:rsid w:val="00C0247B"/>
    <w:rsid w:val="00C0378E"/>
    <w:rsid w:val="00C04314"/>
    <w:rsid w:val="00C04BD0"/>
    <w:rsid w:val="00C05730"/>
    <w:rsid w:val="00C05AF4"/>
    <w:rsid w:val="00C05AFD"/>
    <w:rsid w:val="00C05DDE"/>
    <w:rsid w:val="00C0661C"/>
    <w:rsid w:val="00C0675F"/>
    <w:rsid w:val="00C0702A"/>
    <w:rsid w:val="00C0724C"/>
    <w:rsid w:val="00C07C11"/>
    <w:rsid w:val="00C07E10"/>
    <w:rsid w:val="00C10015"/>
    <w:rsid w:val="00C1110A"/>
    <w:rsid w:val="00C11689"/>
    <w:rsid w:val="00C12414"/>
    <w:rsid w:val="00C12573"/>
    <w:rsid w:val="00C12ECB"/>
    <w:rsid w:val="00C143B9"/>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8C4"/>
    <w:rsid w:val="00C20B6C"/>
    <w:rsid w:val="00C20B86"/>
    <w:rsid w:val="00C21145"/>
    <w:rsid w:val="00C215ED"/>
    <w:rsid w:val="00C2175B"/>
    <w:rsid w:val="00C2177E"/>
    <w:rsid w:val="00C22350"/>
    <w:rsid w:val="00C22FBD"/>
    <w:rsid w:val="00C23615"/>
    <w:rsid w:val="00C2397E"/>
    <w:rsid w:val="00C23A83"/>
    <w:rsid w:val="00C24381"/>
    <w:rsid w:val="00C24801"/>
    <w:rsid w:val="00C24C2E"/>
    <w:rsid w:val="00C24C7A"/>
    <w:rsid w:val="00C24FFB"/>
    <w:rsid w:val="00C25500"/>
    <w:rsid w:val="00C25A3D"/>
    <w:rsid w:val="00C25CFF"/>
    <w:rsid w:val="00C25EA6"/>
    <w:rsid w:val="00C26164"/>
    <w:rsid w:val="00C261C1"/>
    <w:rsid w:val="00C26574"/>
    <w:rsid w:val="00C26DBF"/>
    <w:rsid w:val="00C27199"/>
    <w:rsid w:val="00C27204"/>
    <w:rsid w:val="00C276D4"/>
    <w:rsid w:val="00C304E9"/>
    <w:rsid w:val="00C30B0B"/>
    <w:rsid w:val="00C30ED5"/>
    <w:rsid w:val="00C31320"/>
    <w:rsid w:val="00C316B4"/>
    <w:rsid w:val="00C332D4"/>
    <w:rsid w:val="00C33399"/>
    <w:rsid w:val="00C33A66"/>
    <w:rsid w:val="00C33E51"/>
    <w:rsid w:val="00C34C45"/>
    <w:rsid w:val="00C34C47"/>
    <w:rsid w:val="00C34FCE"/>
    <w:rsid w:val="00C35207"/>
    <w:rsid w:val="00C35411"/>
    <w:rsid w:val="00C35EED"/>
    <w:rsid w:val="00C3661D"/>
    <w:rsid w:val="00C36B2C"/>
    <w:rsid w:val="00C3701A"/>
    <w:rsid w:val="00C373D0"/>
    <w:rsid w:val="00C379EF"/>
    <w:rsid w:val="00C405C8"/>
    <w:rsid w:val="00C40C2F"/>
    <w:rsid w:val="00C415AC"/>
    <w:rsid w:val="00C4297A"/>
    <w:rsid w:val="00C4360C"/>
    <w:rsid w:val="00C439B8"/>
    <w:rsid w:val="00C43A0B"/>
    <w:rsid w:val="00C43EDA"/>
    <w:rsid w:val="00C43FEC"/>
    <w:rsid w:val="00C4414C"/>
    <w:rsid w:val="00C45512"/>
    <w:rsid w:val="00C45A9E"/>
    <w:rsid w:val="00C4602B"/>
    <w:rsid w:val="00C46564"/>
    <w:rsid w:val="00C466F3"/>
    <w:rsid w:val="00C46BFA"/>
    <w:rsid w:val="00C46DDF"/>
    <w:rsid w:val="00C500A1"/>
    <w:rsid w:val="00C50A02"/>
    <w:rsid w:val="00C51149"/>
    <w:rsid w:val="00C5117E"/>
    <w:rsid w:val="00C512D1"/>
    <w:rsid w:val="00C51856"/>
    <w:rsid w:val="00C51B04"/>
    <w:rsid w:val="00C51DB5"/>
    <w:rsid w:val="00C52576"/>
    <w:rsid w:val="00C53CE9"/>
    <w:rsid w:val="00C545C5"/>
    <w:rsid w:val="00C5531B"/>
    <w:rsid w:val="00C55375"/>
    <w:rsid w:val="00C5570F"/>
    <w:rsid w:val="00C55F63"/>
    <w:rsid w:val="00C563C5"/>
    <w:rsid w:val="00C56C98"/>
    <w:rsid w:val="00C56DE1"/>
    <w:rsid w:val="00C56DEE"/>
    <w:rsid w:val="00C57120"/>
    <w:rsid w:val="00C571D5"/>
    <w:rsid w:val="00C57393"/>
    <w:rsid w:val="00C575D4"/>
    <w:rsid w:val="00C61223"/>
    <w:rsid w:val="00C61246"/>
    <w:rsid w:val="00C618A8"/>
    <w:rsid w:val="00C61A78"/>
    <w:rsid w:val="00C62483"/>
    <w:rsid w:val="00C629F3"/>
    <w:rsid w:val="00C62B88"/>
    <w:rsid w:val="00C62CD3"/>
    <w:rsid w:val="00C634F9"/>
    <w:rsid w:val="00C63CDE"/>
    <w:rsid w:val="00C643ED"/>
    <w:rsid w:val="00C64534"/>
    <w:rsid w:val="00C64D93"/>
    <w:rsid w:val="00C64F49"/>
    <w:rsid w:val="00C64F71"/>
    <w:rsid w:val="00C650E3"/>
    <w:rsid w:val="00C65200"/>
    <w:rsid w:val="00C6522D"/>
    <w:rsid w:val="00C65BD3"/>
    <w:rsid w:val="00C664FB"/>
    <w:rsid w:val="00C665DE"/>
    <w:rsid w:val="00C66695"/>
    <w:rsid w:val="00C667C3"/>
    <w:rsid w:val="00C6728B"/>
    <w:rsid w:val="00C70718"/>
    <w:rsid w:val="00C70B25"/>
    <w:rsid w:val="00C70CC2"/>
    <w:rsid w:val="00C71528"/>
    <w:rsid w:val="00C717E4"/>
    <w:rsid w:val="00C7191B"/>
    <w:rsid w:val="00C71F09"/>
    <w:rsid w:val="00C71FA3"/>
    <w:rsid w:val="00C72588"/>
    <w:rsid w:val="00C727B9"/>
    <w:rsid w:val="00C72C1D"/>
    <w:rsid w:val="00C72F44"/>
    <w:rsid w:val="00C72F67"/>
    <w:rsid w:val="00C73670"/>
    <w:rsid w:val="00C737D1"/>
    <w:rsid w:val="00C738A0"/>
    <w:rsid w:val="00C73DE0"/>
    <w:rsid w:val="00C73E9F"/>
    <w:rsid w:val="00C74609"/>
    <w:rsid w:val="00C749AB"/>
    <w:rsid w:val="00C74DCF"/>
    <w:rsid w:val="00C75A8F"/>
    <w:rsid w:val="00C76129"/>
    <w:rsid w:val="00C769CD"/>
    <w:rsid w:val="00C76C0C"/>
    <w:rsid w:val="00C76FFC"/>
    <w:rsid w:val="00C774E0"/>
    <w:rsid w:val="00C776BA"/>
    <w:rsid w:val="00C7791E"/>
    <w:rsid w:val="00C81716"/>
    <w:rsid w:val="00C832CB"/>
    <w:rsid w:val="00C84085"/>
    <w:rsid w:val="00C852DC"/>
    <w:rsid w:val="00C854A8"/>
    <w:rsid w:val="00C85677"/>
    <w:rsid w:val="00C85E17"/>
    <w:rsid w:val="00C85FD7"/>
    <w:rsid w:val="00C868A7"/>
    <w:rsid w:val="00C868CE"/>
    <w:rsid w:val="00C86ABA"/>
    <w:rsid w:val="00C86BF7"/>
    <w:rsid w:val="00C87164"/>
    <w:rsid w:val="00C8786A"/>
    <w:rsid w:val="00C87BBA"/>
    <w:rsid w:val="00C87BD0"/>
    <w:rsid w:val="00C905E5"/>
    <w:rsid w:val="00C90754"/>
    <w:rsid w:val="00C90B95"/>
    <w:rsid w:val="00C90BC4"/>
    <w:rsid w:val="00C90C33"/>
    <w:rsid w:val="00C90CA9"/>
    <w:rsid w:val="00C91802"/>
    <w:rsid w:val="00C91FB9"/>
    <w:rsid w:val="00C927C3"/>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B59"/>
    <w:rsid w:val="00CA3CAB"/>
    <w:rsid w:val="00CA3FC0"/>
    <w:rsid w:val="00CA5685"/>
    <w:rsid w:val="00CA6A2E"/>
    <w:rsid w:val="00CA6B56"/>
    <w:rsid w:val="00CA77C6"/>
    <w:rsid w:val="00CA7D3E"/>
    <w:rsid w:val="00CB0317"/>
    <w:rsid w:val="00CB0662"/>
    <w:rsid w:val="00CB0A82"/>
    <w:rsid w:val="00CB0F2F"/>
    <w:rsid w:val="00CB1556"/>
    <w:rsid w:val="00CB1C57"/>
    <w:rsid w:val="00CB210B"/>
    <w:rsid w:val="00CB2913"/>
    <w:rsid w:val="00CB3218"/>
    <w:rsid w:val="00CB3970"/>
    <w:rsid w:val="00CB42B9"/>
    <w:rsid w:val="00CB4550"/>
    <w:rsid w:val="00CB4F39"/>
    <w:rsid w:val="00CB52A4"/>
    <w:rsid w:val="00CB537C"/>
    <w:rsid w:val="00CB5A26"/>
    <w:rsid w:val="00CB645B"/>
    <w:rsid w:val="00CB6A93"/>
    <w:rsid w:val="00CB6C79"/>
    <w:rsid w:val="00CB70D3"/>
    <w:rsid w:val="00CB77C3"/>
    <w:rsid w:val="00CB7E9C"/>
    <w:rsid w:val="00CC0072"/>
    <w:rsid w:val="00CC018D"/>
    <w:rsid w:val="00CC027A"/>
    <w:rsid w:val="00CC0915"/>
    <w:rsid w:val="00CC1398"/>
    <w:rsid w:val="00CC1AF5"/>
    <w:rsid w:val="00CC1B74"/>
    <w:rsid w:val="00CC245E"/>
    <w:rsid w:val="00CC291E"/>
    <w:rsid w:val="00CC2D03"/>
    <w:rsid w:val="00CC2EB0"/>
    <w:rsid w:val="00CC3BDC"/>
    <w:rsid w:val="00CC4701"/>
    <w:rsid w:val="00CC56B4"/>
    <w:rsid w:val="00CC5C82"/>
    <w:rsid w:val="00CC5F95"/>
    <w:rsid w:val="00CC642A"/>
    <w:rsid w:val="00CC6872"/>
    <w:rsid w:val="00CC6AC7"/>
    <w:rsid w:val="00CC6D73"/>
    <w:rsid w:val="00CC733D"/>
    <w:rsid w:val="00CC7617"/>
    <w:rsid w:val="00CC796B"/>
    <w:rsid w:val="00CC7A80"/>
    <w:rsid w:val="00CC7E0D"/>
    <w:rsid w:val="00CC7E97"/>
    <w:rsid w:val="00CD00EB"/>
    <w:rsid w:val="00CD1255"/>
    <w:rsid w:val="00CD1484"/>
    <w:rsid w:val="00CD1892"/>
    <w:rsid w:val="00CD1C01"/>
    <w:rsid w:val="00CD1D00"/>
    <w:rsid w:val="00CD2009"/>
    <w:rsid w:val="00CD27AC"/>
    <w:rsid w:val="00CD2A82"/>
    <w:rsid w:val="00CD3B66"/>
    <w:rsid w:val="00CD3CAB"/>
    <w:rsid w:val="00CD40D3"/>
    <w:rsid w:val="00CD44FF"/>
    <w:rsid w:val="00CD46A7"/>
    <w:rsid w:val="00CD47BC"/>
    <w:rsid w:val="00CD4A21"/>
    <w:rsid w:val="00CD4E50"/>
    <w:rsid w:val="00CD57CB"/>
    <w:rsid w:val="00CD5808"/>
    <w:rsid w:val="00CD614B"/>
    <w:rsid w:val="00CD64E1"/>
    <w:rsid w:val="00CD66BA"/>
    <w:rsid w:val="00CD699D"/>
    <w:rsid w:val="00CD6BA3"/>
    <w:rsid w:val="00CD70DB"/>
    <w:rsid w:val="00CD7544"/>
    <w:rsid w:val="00CD78D4"/>
    <w:rsid w:val="00CE00CF"/>
    <w:rsid w:val="00CE0697"/>
    <w:rsid w:val="00CE14CB"/>
    <w:rsid w:val="00CE2E2E"/>
    <w:rsid w:val="00CE3A51"/>
    <w:rsid w:val="00CE41F9"/>
    <w:rsid w:val="00CE44A1"/>
    <w:rsid w:val="00CE4B2C"/>
    <w:rsid w:val="00CE59F6"/>
    <w:rsid w:val="00CE66CD"/>
    <w:rsid w:val="00CE6A96"/>
    <w:rsid w:val="00CE6BA9"/>
    <w:rsid w:val="00CE71C3"/>
    <w:rsid w:val="00CE727A"/>
    <w:rsid w:val="00CE756F"/>
    <w:rsid w:val="00CE7EB8"/>
    <w:rsid w:val="00CF029C"/>
    <w:rsid w:val="00CF0AF0"/>
    <w:rsid w:val="00CF157E"/>
    <w:rsid w:val="00CF1631"/>
    <w:rsid w:val="00CF1834"/>
    <w:rsid w:val="00CF1AAA"/>
    <w:rsid w:val="00CF1EC2"/>
    <w:rsid w:val="00CF2047"/>
    <w:rsid w:val="00CF2ACF"/>
    <w:rsid w:val="00CF2D4C"/>
    <w:rsid w:val="00CF345B"/>
    <w:rsid w:val="00CF475F"/>
    <w:rsid w:val="00CF5008"/>
    <w:rsid w:val="00CF5069"/>
    <w:rsid w:val="00CF5A38"/>
    <w:rsid w:val="00CF5E34"/>
    <w:rsid w:val="00CF6707"/>
    <w:rsid w:val="00CF7101"/>
    <w:rsid w:val="00CF7327"/>
    <w:rsid w:val="00CF7385"/>
    <w:rsid w:val="00CF7539"/>
    <w:rsid w:val="00CF75C6"/>
    <w:rsid w:val="00CF7955"/>
    <w:rsid w:val="00CF7B77"/>
    <w:rsid w:val="00CF7DF5"/>
    <w:rsid w:val="00D001D2"/>
    <w:rsid w:val="00D003AF"/>
    <w:rsid w:val="00D0091F"/>
    <w:rsid w:val="00D02A80"/>
    <w:rsid w:val="00D0352D"/>
    <w:rsid w:val="00D03EF8"/>
    <w:rsid w:val="00D04F01"/>
    <w:rsid w:val="00D04F8B"/>
    <w:rsid w:val="00D054EF"/>
    <w:rsid w:val="00D05637"/>
    <w:rsid w:val="00D05BA9"/>
    <w:rsid w:val="00D05CF2"/>
    <w:rsid w:val="00D05EB1"/>
    <w:rsid w:val="00D064CB"/>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82"/>
    <w:rsid w:val="00D158EF"/>
    <w:rsid w:val="00D15AE3"/>
    <w:rsid w:val="00D160C4"/>
    <w:rsid w:val="00D165D8"/>
    <w:rsid w:val="00D1724E"/>
    <w:rsid w:val="00D17C26"/>
    <w:rsid w:val="00D17E08"/>
    <w:rsid w:val="00D17FBE"/>
    <w:rsid w:val="00D206F6"/>
    <w:rsid w:val="00D20FD1"/>
    <w:rsid w:val="00D214D4"/>
    <w:rsid w:val="00D21AAA"/>
    <w:rsid w:val="00D21E6F"/>
    <w:rsid w:val="00D2218A"/>
    <w:rsid w:val="00D22B13"/>
    <w:rsid w:val="00D2371E"/>
    <w:rsid w:val="00D237E0"/>
    <w:rsid w:val="00D23A17"/>
    <w:rsid w:val="00D2416C"/>
    <w:rsid w:val="00D24D4E"/>
    <w:rsid w:val="00D25676"/>
    <w:rsid w:val="00D2579F"/>
    <w:rsid w:val="00D2580E"/>
    <w:rsid w:val="00D264E4"/>
    <w:rsid w:val="00D265A7"/>
    <w:rsid w:val="00D2690C"/>
    <w:rsid w:val="00D27129"/>
    <w:rsid w:val="00D279E7"/>
    <w:rsid w:val="00D27F75"/>
    <w:rsid w:val="00D303F6"/>
    <w:rsid w:val="00D3046D"/>
    <w:rsid w:val="00D30497"/>
    <w:rsid w:val="00D30C4D"/>
    <w:rsid w:val="00D30D15"/>
    <w:rsid w:val="00D30F5F"/>
    <w:rsid w:val="00D31243"/>
    <w:rsid w:val="00D316D9"/>
    <w:rsid w:val="00D31B07"/>
    <w:rsid w:val="00D31B9D"/>
    <w:rsid w:val="00D3272E"/>
    <w:rsid w:val="00D32FA0"/>
    <w:rsid w:val="00D33112"/>
    <w:rsid w:val="00D331CB"/>
    <w:rsid w:val="00D340AE"/>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266"/>
    <w:rsid w:val="00D43DEF"/>
    <w:rsid w:val="00D44259"/>
    <w:rsid w:val="00D45C61"/>
    <w:rsid w:val="00D45DDC"/>
    <w:rsid w:val="00D4603D"/>
    <w:rsid w:val="00D462C4"/>
    <w:rsid w:val="00D46CE1"/>
    <w:rsid w:val="00D47DD5"/>
    <w:rsid w:val="00D5064C"/>
    <w:rsid w:val="00D50C94"/>
    <w:rsid w:val="00D511E7"/>
    <w:rsid w:val="00D517ED"/>
    <w:rsid w:val="00D5251C"/>
    <w:rsid w:val="00D52F56"/>
    <w:rsid w:val="00D539DA"/>
    <w:rsid w:val="00D54A50"/>
    <w:rsid w:val="00D54FFD"/>
    <w:rsid w:val="00D5552C"/>
    <w:rsid w:val="00D5556D"/>
    <w:rsid w:val="00D55C34"/>
    <w:rsid w:val="00D55C81"/>
    <w:rsid w:val="00D55D94"/>
    <w:rsid w:val="00D5674B"/>
    <w:rsid w:val="00D56B56"/>
    <w:rsid w:val="00D56BF5"/>
    <w:rsid w:val="00D56F99"/>
    <w:rsid w:val="00D5743F"/>
    <w:rsid w:val="00D576A9"/>
    <w:rsid w:val="00D57932"/>
    <w:rsid w:val="00D57F1F"/>
    <w:rsid w:val="00D60065"/>
    <w:rsid w:val="00D60270"/>
    <w:rsid w:val="00D605C2"/>
    <w:rsid w:val="00D60733"/>
    <w:rsid w:val="00D608B2"/>
    <w:rsid w:val="00D60C60"/>
    <w:rsid w:val="00D61E1D"/>
    <w:rsid w:val="00D629A4"/>
    <w:rsid w:val="00D62A55"/>
    <w:rsid w:val="00D62BDF"/>
    <w:rsid w:val="00D62EEE"/>
    <w:rsid w:val="00D64F1C"/>
    <w:rsid w:val="00D6570C"/>
    <w:rsid w:val="00D659EA"/>
    <w:rsid w:val="00D65A89"/>
    <w:rsid w:val="00D65E85"/>
    <w:rsid w:val="00D6611C"/>
    <w:rsid w:val="00D67077"/>
    <w:rsid w:val="00D671C7"/>
    <w:rsid w:val="00D675B0"/>
    <w:rsid w:val="00D675DE"/>
    <w:rsid w:val="00D678BB"/>
    <w:rsid w:val="00D67D81"/>
    <w:rsid w:val="00D67EB4"/>
    <w:rsid w:val="00D70170"/>
    <w:rsid w:val="00D702E8"/>
    <w:rsid w:val="00D70552"/>
    <w:rsid w:val="00D70D42"/>
    <w:rsid w:val="00D71285"/>
    <w:rsid w:val="00D71ABC"/>
    <w:rsid w:val="00D721C5"/>
    <w:rsid w:val="00D72454"/>
    <w:rsid w:val="00D72687"/>
    <w:rsid w:val="00D729A7"/>
    <w:rsid w:val="00D72A5B"/>
    <w:rsid w:val="00D73991"/>
    <w:rsid w:val="00D73B4C"/>
    <w:rsid w:val="00D73CD4"/>
    <w:rsid w:val="00D73F06"/>
    <w:rsid w:val="00D740B2"/>
    <w:rsid w:val="00D74247"/>
    <w:rsid w:val="00D743F1"/>
    <w:rsid w:val="00D744CF"/>
    <w:rsid w:val="00D7456E"/>
    <w:rsid w:val="00D74AAA"/>
    <w:rsid w:val="00D753A9"/>
    <w:rsid w:val="00D755F7"/>
    <w:rsid w:val="00D75DDB"/>
    <w:rsid w:val="00D75E4B"/>
    <w:rsid w:val="00D774F4"/>
    <w:rsid w:val="00D77687"/>
    <w:rsid w:val="00D77AF6"/>
    <w:rsid w:val="00D77FDF"/>
    <w:rsid w:val="00D804C5"/>
    <w:rsid w:val="00D815E6"/>
    <w:rsid w:val="00D81A28"/>
    <w:rsid w:val="00D81BDE"/>
    <w:rsid w:val="00D8201D"/>
    <w:rsid w:val="00D82B00"/>
    <w:rsid w:val="00D82B04"/>
    <w:rsid w:val="00D82BE4"/>
    <w:rsid w:val="00D82E05"/>
    <w:rsid w:val="00D83C0D"/>
    <w:rsid w:val="00D83C80"/>
    <w:rsid w:val="00D83F5B"/>
    <w:rsid w:val="00D84879"/>
    <w:rsid w:val="00D84AAD"/>
    <w:rsid w:val="00D84D49"/>
    <w:rsid w:val="00D85FDE"/>
    <w:rsid w:val="00D8665E"/>
    <w:rsid w:val="00D869C1"/>
    <w:rsid w:val="00D86EC6"/>
    <w:rsid w:val="00D87418"/>
    <w:rsid w:val="00D87A39"/>
    <w:rsid w:val="00D87C77"/>
    <w:rsid w:val="00D87FE6"/>
    <w:rsid w:val="00D90ACA"/>
    <w:rsid w:val="00D90BC3"/>
    <w:rsid w:val="00D90C93"/>
    <w:rsid w:val="00D90DB9"/>
    <w:rsid w:val="00D91001"/>
    <w:rsid w:val="00D910FF"/>
    <w:rsid w:val="00D91337"/>
    <w:rsid w:val="00D914BD"/>
    <w:rsid w:val="00D915C9"/>
    <w:rsid w:val="00D918DA"/>
    <w:rsid w:val="00D9198F"/>
    <w:rsid w:val="00D92078"/>
    <w:rsid w:val="00D9223F"/>
    <w:rsid w:val="00D926F0"/>
    <w:rsid w:val="00D92A87"/>
    <w:rsid w:val="00D9384E"/>
    <w:rsid w:val="00D93AEE"/>
    <w:rsid w:val="00D9413E"/>
    <w:rsid w:val="00D94819"/>
    <w:rsid w:val="00D94C8D"/>
    <w:rsid w:val="00D94CF9"/>
    <w:rsid w:val="00D95CDA"/>
    <w:rsid w:val="00D95F88"/>
    <w:rsid w:val="00D96698"/>
    <w:rsid w:val="00D96876"/>
    <w:rsid w:val="00D96940"/>
    <w:rsid w:val="00D96B12"/>
    <w:rsid w:val="00D96B91"/>
    <w:rsid w:val="00D96F59"/>
    <w:rsid w:val="00D9722A"/>
    <w:rsid w:val="00DA0175"/>
    <w:rsid w:val="00DA08A6"/>
    <w:rsid w:val="00DA099C"/>
    <w:rsid w:val="00DA0F18"/>
    <w:rsid w:val="00DA2125"/>
    <w:rsid w:val="00DA21EC"/>
    <w:rsid w:val="00DA24DE"/>
    <w:rsid w:val="00DA270C"/>
    <w:rsid w:val="00DA281F"/>
    <w:rsid w:val="00DA30B7"/>
    <w:rsid w:val="00DA3C5B"/>
    <w:rsid w:val="00DA3D23"/>
    <w:rsid w:val="00DA4A61"/>
    <w:rsid w:val="00DA5AFE"/>
    <w:rsid w:val="00DA61AB"/>
    <w:rsid w:val="00DA61CD"/>
    <w:rsid w:val="00DA6EE2"/>
    <w:rsid w:val="00DA718A"/>
    <w:rsid w:val="00DA78CF"/>
    <w:rsid w:val="00DA78D5"/>
    <w:rsid w:val="00DA7A89"/>
    <w:rsid w:val="00DA7BF4"/>
    <w:rsid w:val="00DB052F"/>
    <w:rsid w:val="00DB0FD6"/>
    <w:rsid w:val="00DB14D3"/>
    <w:rsid w:val="00DB154B"/>
    <w:rsid w:val="00DB16AE"/>
    <w:rsid w:val="00DB1BDC"/>
    <w:rsid w:val="00DB3490"/>
    <w:rsid w:val="00DB3593"/>
    <w:rsid w:val="00DB362A"/>
    <w:rsid w:val="00DB440B"/>
    <w:rsid w:val="00DB4426"/>
    <w:rsid w:val="00DB4522"/>
    <w:rsid w:val="00DB45CF"/>
    <w:rsid w:val="00DB4B40"/>
    <w:rsid w:val="00DB4F12"/>
    <w:rsid w:val="00DB4F21"/>
    <w:rsid w:val="00DB4F42"/>
    <w:rsid w:val="00DB540C"/>
    <w:rsid w:val="00DB6F96"/>
    <w:rsid w:val="00DB71B9"/>
    <w:rsid w:val="00DB7662"/>
    <w:rsid w:val="00DB7E46"/>
    <w:rsid w:val="00DC0271"/>
    <w:rsid w:val="00DC0BBA"/>
    <w:rsid w:val="00DC1395"/>
    <w:rsid w:val="00DC2834"/>
    <w:rsid w:val="00DC32FC"/>
    <w:rsid w:val="00DC3D89"/>
    <w:rsid w:val="00DC42E9"/>
    <w:rsid w:val="00DC4567"/>
    <w:rsid w:val="00DC45B1"/>
    <w:rsid w:val="00DC4D6C"/>
    <w:rsid w:val="00DC4F47"/>
    <w:rsid w:val="00DC5059"/>
    <w:rsid w:val="00DC54A7"/>
    <w:rsid w:val="00DC5860"/>
    <w:rsid w:val="00DC5BD0"/>
    <w:rsid w:val="00DC5BE2"/>
    <w:rsid w:val="00DC6284"/>
    <w:rsid w:val="00DC628E"/>
    <w:rsid w:val="00DC6723"/>
    <w:rsid w:val="00DC6747"/>
    <w:rsid w:val="00DC689C"/>
    <w:rsid w:val="00DC6AF3"/>
    <w:rsid w:val="00DC7608"/>
    <w:rsid w:val="00DC761E"/>
    <w:rsid w:val="00DC7B3B"/>
    <w:rsid w:val="00DC7CFC"/>
    <w:rsid w:val="00DC7DF1"/>
    <w:rsid w:val="00DD09F2"/>
    <w:rsid w:val="00DD0DEE"/>
    <w:rsid w:val="00DD1205"/>
    <w:rsid w:val="00DD1633"/>
    <w:rsid w:val="00DD17A0"/>
    <w:rsid w:val="00DD1B97"/>
    <w:rsid w:val="00DD259F"/>
    <w:rsid w:val="00DD2831"/>
    <w:rsid w:val="00DD2A6D"/>
    <w:rsid w:val="00DD2E17"/>
    <w:rsid w:val="00DD42DE"/>
    <w:rsid w:val="00DD4309"/>
    <w:rsid w:val="00DD4344"/>
    <w:rsid w:val="00DD4357"/>
    <w:rsid w:val="00DD4DDD"/>
    <w:rsid w:val="00DD5303"/>
    <w:rsid w:val="00DD573B"/>
    <w:rsid w:val="00DD57E7"/>
    <w:rsid w:val="00DD5A1E"/>
    <w:rsid w:val="00DD5B8C"/>
    <w:rsid w:val="00DD5DCC"/>
    <w:rsid w:val="00DD5DFA"/>
    <w:rsid w:val="00DD5E91"/>
    <w:rsid w:val="00DD6CE2"/>
    <w:rsid w:val="00DD720D"/>
    <w:rsid w:val="00DE0229"/>
    <w:rsid w:val="00DE04E0"/>
    <w:rsid w:val="00DE0C46"/>
    <w:rsid w:val="00DE1177"/>
    <w:rsid w:val="00DE12F1"/>
    <w:rsid w:val="00DE1A9D"/>
    <w:rsid w:val="00DE1CB1"/>
    <w:rsid w:val="00DE2073"/>
    <w:rsid w:val="00DE28C9"/>
    <w:rsid w:val="00DE2926"/>
    <w:rsid w:val="00DE30AC"/>
    <w:rsid w:val="00DE38D1"/>
    <w:rsid w:val="00DE4106"/>
    <w:rsid w:val="00DE466B"/>
    <w:rsid w:val="00DE48F4"/>
    <w:rsid w:val="00DE5563"/>
    <w:rsid w:val="00DE5C19"/>
    <w:rsid w:val="00DE5D48"/>
    <w:rsid w:val="00DE6130"/>
    <w:rsid w:val="00DE6E4D"/>
    <w:rsid w:val="00DE7498"/>
    <w:rsid w:val="00DE75EF"/>
    <w:rsid w:val="00DE7611"/>
    <w:rsid w:val="00DE7D19"/>
    <w:rsid w:val="00DF0505"/>
    <w:rsid w:val="00DF05A0"/>
    <w:rsid w:val="00DF1162"/>
    <w:rsid w:val="00DF1BA8"/>
    <w:rsid w:val="00DF1F63"/>
    <w:rsid w:val="00DF28F2"/>
    <w:rsid w:val="00DF2BFF"/>
    <w:rsid w:val="00DF3016"/>
    <w:rsid w:val="00DF3498"/>
    <w:rsid w:val="00DF3798"/>
    <w:rsid w:val="00DF42A6"/>
    <w:rsid w:val="00DF4FF1"/>
    <w:rsid w:val="00DF56A3"/>
    <w:rsid w:val="00DF5B33"/>
    <w:rsid w:val="00DF6144"/>
    <w:rsid w:val="00DF6ACD"/>
    <w:rsid w:val="00DF6FD2"/>
    <w:rsid w:val="00DF72EF"/>
    <w:rsid w:val="00DF743D"/>
    <w:rsid w:val="00DF7724"/>
    <w:rsid w:val="00E000D8"/>
    <w:rsid w:val="00E00C1E"/>
    <w:rsid w:val="00E00F5F"/>
    <w:rsid w:val="00E010E6"/>
    <w:rsid w:val="00E01377"/>
    <w:rsid w:val="00E014E7"/>
    <w:rsid w:val="00E0150F"/>
    <w:rsid w:val="00E0232F"/>
    <w:rsid w:val="00E026A9"/>
    <w:rsid w:val="00E0356F"/>
    <w:rsid w:val="00E03B42"/>
    <w:rsid w:val="00E03C10"/>
    <w:rsid w:val="00E0479F"/>
    <w:rsid w:val="00E04816"/>
    <w:rsid w:val="00E04982"/>
    <w:rsid w:val="00E04D6A"/>
    <w:rsid w:val="00E05741"/>
    <w:rsid w:val="00E0579D"/>
    <w:rsid w:val="00E058DB"/>
    <w:rsid w:val="00E05950"/>
    <w:rsid w:val="00E05CD4"/>
    <w:rsid w:val="00E05DE8"/>
    <w:rsid w:val="00E06100"/>
    <w:rsid w:val="00E0614E"/>
    <w:rsid w:val="00E06B40"/>
    <w:rsid w:val="00E06E97"/>
    <w:rsid w:val="00E07B8F"/>
    <w:rsid w:val="00E10712"/>
    <w:rsid w:val="00E10DD1"/>
    <w:rsid w:val="00E11E30"/>
    <w:rsid w:val="00E1224C"/>
    <w:rsid w:val="00E1254C"/>
    <w:rsid w:val="00E12BDF"/>
    <w:rsid w:val="00E12F14"/>
    <w:rsid w:val="00E13326"/>
    <w:rsid w:val="00E13D07"/>
    <w:rsid w:val="00E14356"/>
    <w:rsid w:val="00E14961"/>
    <w:rsid w:val="00E14B91"/>
    <w:rsid w:val="00E14D76"/>
    <w:rsid w:val="00E15183"/>
    <w:rsid w:val="00E15D6C"/>
    <w:rsid w:val="00E161CE"/>
    <w:rsid w:val="00E163D2"/>
    <w:rsid w:val="00E167CE"/>
    <w:rsid w:val="00E1720B"/>
    <w:rsid w:val="00E203DE"/>
    <w:rsid w:val="00E20CE7"/>
    <w:rsid w:val="00E217B1"/>
    <w:rsid w:val="00E222FA"/>
    <w:rsid w:val="00E22700"/>
    <w:rsid w:val="00E229CE"/>
    <w:rsid w:val="00E22B4A"/>
    <w:rsid w:val="00E23FD3"/>
    <w:rsid w:val="00E2449B"/>
    <w:rsid w:val="00E24A62"/>
    <w:rsid w:val="00E24F52"/>
    <w:rsid w:val="00E255CC"/>
    <w:rsid w:val="00E25636"/>
    <w:rsid w:val="00E25755"/>
    <w:rsid w:val="00E25F90"/>
    <w:rsid w:val="00E26001"/>
    <w:rsid w:val="00E266DD"/>
    <w:rsid w:val="00E26B3B"/>
    <w:rsid w:val="00E26D2E"/>
    <w:rsid w:val="00E279B2"/>
    <w:rsid w:val="00E303C0"/>
    <w:rsid w:val="00E3055B"/>
    <w:rsid w:val="00E31687"/>
    <w:rsid w:val="00E31699"/>
    <w:rsid w:val="00E31761"/>
    <w:rsid w:val="00E31812"/>
    <w:rsid w:val="00E31889"/>
    <w:rsid w:val="00E31A76"/>
    <w:rsid w:val="00E31CE7"/>
    <w:rsid w:val="00E32F10"/>
    <w:rsid w:val="00E333D5"/>
    <w:rsid w:val="00E3394F"/>
    <w:rsid w:val="00E33A0B"/>
    <w:rsid w:val="00E34A2F"/>
    <w:rsid w:val="00E35901"/>
    <w:rsid w:val="00E35A45"/>
    <w:rsid w:val="00E35F7F"/>
    <w:rsid w:val="00E36392"/>
    <w:rsid w:val="00E36B32"/>
    <w:rsid w:val="00E37254"/>
    <w:rsid w:val="00E37A6F"/>
    <w:rsid w:val="00E37A9C"/>
    <w:rsid w:val="00E401CF"/>
    <w:rsid w:val="00E40222"/>
    <w:rsid w:val="00E40406"/>
    <w:rsid w:val="00E4082B"/>
    <w:rsid w:val="00E40835"/>
    <w:rsid w:val="00E408EC"/>
    <w:rsid w:val="00E409B5"/>
    <w:rsid w:val="00E40BCB"/>
    <w:rsid w:val="00E40FD7"/>
    <w:rsid w:val="00E4208F"/>
    <w:rsid w:val="00E42E94"/>
    <w:rsid w:val="00E42F27"/>
    <w:rsid w:val="00E43006"/>
    <w:rsid w:val="00E4312A"/>
    <w:rsid w:val="00E4331B"/>
    <w:rsid w:val="00E43551"/>
    <w:rsid w:val="00E437FA"/>
    <w:rsid w:val="00E449B5"/>
    <w:rsid w:val="00E449CF"/>
    <w:rsid w:val="00E45A2C"/>
    <w:rsid w:val="00E46A6B"/>
    <w:rsid w:val="00E46A9C"/>
    <w:rsid w:val="00E470E2"/>
    <w:rsid w:val="00E47DB1"/>
    <w:rsid w:val="00E50BDD"/>
    <w:rsid w:val="00E510CF"/>
    <w:rsid w:val="00E513D7"/>
    <w:rsid w:val="00E519FE"/>
    <w:rsid w:val="00E5206C"/>
    <w:rsid w:val="00E52AAB"/>
    <w:rsid w:val="00E53556"/>
    <w:rsid w:val="00E5448E"/>
    <w:rsid w:val="00E547A0"/>
    <w:rsid w:val="00E547D6"/>
    <w:rsid w:val="00E54E0D"/>
    <w:rsid w:val="00E55247"/>
    <w:rsid w:val="00E558E5"/>
    <w:rsid w:val="00E55B3C"/>
    <w:rsid w:val="00E5647B"/>
    <w:rsid w:val="00E56795"/>
    <w:rsid w:val="00E57932"/>
    <w:rsid w:val="00E60466"/>
    <w:rsid w:val="00E606C4"/>
    <w:rsid w:val="00E60811"/>
    <w:rsid w:val="00E60AB8"/>
    <w:rsid w:val="00E6103E"/>
    <w:rsid w:val="00E6185F"/>
    <w:rsid w:val="00E61D32"/>
    <w:rsid w:val="00E63C60"/>
    <w:rsid w:val="00E63D2E"/>
    <w:rsid w:val="00E64050"/>
    <w:rsid w:val="00E64B7B"/>
    <w:rsid w:val="00E6514D"/>
    <w:rsid w:val="00E65161"/>
    <w:rsid w:val="00E651DE"/>
    <w:rsid w:val="00E652C9"/>
    <w:rsid w:val="00E6593B"/>
    <w:rsid w:val="00E65D74"/>
    <w:rsid w:val="00E66E11"/>
    <w:rsid w:val="00E672C6"/>
    <w:rsid w:val="00E67366"/>
    <w:rsid w:val="00E67763"/>
    <w:rsid w:val="00E70192"/>
    <w:rsid w:val="00E70963"/>
    <w:rsid w:val="00E70C55"/>
    <w:rsid w:val="00E70E34"/>
    <w:rsid w:val="00E71809"/>
    <w:rsid w:val="00E71D1E"/>
    <w:rsid w:val="00E726F2"/>
    <w:rsid w:val="00E728E2"/>
    <w:rsid w:val="00E738FA"/>
    <w:rsid w:val="00E739B6"/>
    <w:rsid w:val="00E74A2B"/>
    <w:rsid w:val="00E75667"/>
    <w:rsid w:val="00E756D3"/>
    <w:rsid w:val="00E75985"/>
    <w:rsid w:val="00E75A5A"/>
    <w:rsid w:val="00E75D84"/>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B8A"/>
    <w:rsid w:val="00E83C4F"/>
    <w:rsid w:val="00E84212"/>
    <w:rsid w:val="00E84C04"/>
    <w:rsid w:val="00E84F72"/>
    <w:rsid w:val="00E850B7"/>
    <w:rsid w:val="00E856A2"/>
    <w:rsid w:val="00E8572B"/>
    <w:rsid w:val="00E8575B"/>
    <w:rsid w:val="00E85929"/>
    <w:rsid w:val="00E85AD2"/>
    <w:rsid w:val="00E87A37"/>
    <w:rsid w:val="00E87CF7"/>
    <w:rsid w:val="00E9036E"/>
    <w:rsid w:val="00E9078A"/>
    <w:rsid w:val="00E912FD"/>
    <w:rsid w:val="00E913EF"/>
    <w:rsid w:val="00E91B26"/>
    <w:rsid w:val="00E92C6E"/>
    <w:rsid w:val="00E92D0B"/>
    <w:rsid w:val="00E92FFF"/>
    <w:rsid w:val="00E93195"/>
    <w:rsid w:val="00E93637"/>
    <w:rsid w:val="00E9391C"/>
    <w:rsid w:val="00E93D05"/>
    <w:rsid w:val="00E93D99"/>
    <w:rsid w:val="00E946AB"/>
    <w:rsid w:val="00E951D8"/>
    <w:rsid w:val="00E95C2A"/>
    <w:rsid w:val="00E95E3D"/>
    <w:rsid w:val="00E961CB"/>
    <w:rsid w:val="00E963BC"/>
    <w:rsid w:val="00E966A6"/>
    <w:rsid w:val="00E96E91"/>
    <w:rsid w:val="00E9751D"/>
    <w:rsid w:val="00E97DC6"/>
    <w:rsid w:val="00E97DF6"/>
    <w:rsid w:val="00E97F7A"/>
    <w:rsid w:val="00EA0010"/>
    <w:rsid w:val="00EA0143"/>
    <w:rsid w:val="00EA040F"/>
    <w:rsid w:val="00EA089B"/>
    <w:rsid w:val="00EA0AD2"/>
    <w:rsid w:val="00EA1113"/>
    <w:rsid w:val="00EA1782"/>
    <w:rsid w:val="00EA1ACC"/>
    <w:rsid w:val="00EA1B7F"/>
    <w:rsid w:val="00EA2E21"/>
    <w:rsid w:val="00EA2EAA"/>
    <w:rsid w:val="00EA380C"/>
    <w:rsid w:val="00EA5F3B"/>
    <w:rsid w:val="00EA60B1"/>
    <w:rsid w:val="00EA613D"/>
    <w:rsid w:val="00EA6744"/>
    <w:rsid w:val="00EA7308"/>
    <w:rsid w:val="00EA7474"/>
    <w:rsid w:val="00EA74D4"/>
    <w:rsid w:val="00EB0674"/>
    <w:rsid w:val="00EB0831"/>
    <w:rsid w:val="00EB089C"/>
    <w:rsid w:val="00EB0AA8"/>
    <w:rsid w:val="00EB0B65"/>
    <w:rsid w:val="00EB0C65"/>
    <w:rsid w:val="00EB1624"/>
    <w:rsid w:val="00EB169F"/>
    <w:rsid w:val="00EB2635"/>
    <w:rsid w:val="00EB2961"/>
    <w:rsid w:val="00EB2E1A"/>
    <w:rsid w:val="00EB2F8A"/>
    <w:rsid w:val="00EB304D"/>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D3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D5F"/>
    <w:rsid w:val="00EE5FCD"/>
    <w:rsid w:val="00EE63BF"/>
    <w:rsid w:val="00EE6D45"/>
    <w:rsid w:val="00EE6E89"/>
    <w:rsid w:val="00EF0D4B"/>
    <w:rsid w:val="00EF0FE6"/>
    <w:rsid w:val="00EF1130"/>
    <w:rsid w:val="00EF1432"/>
    <w:rsid w:val="00EF1511"/>
    <w:rsid w:val="00EF1F01"/>
    <w:rsid w:val="00EF2C39"/>
    <w:rsid w:val="00EF2C5F"/>
    <w:rsid w:val="00EF3811"/>
    <w:rsid w:val="00EF3861"/>
    <w:rsid w:val="00EF3AC4"/>
    <w:rsid w:val="00EF3FF9"/>
    <w:rsid w:val="00EF41AF"/>
    <w:rsid w:val="00EF47BA"/>
    <w:rsid w:val="00EF4DB4"/>
    <w:rsid w:val="00EF5234"/>
    <w:rsid w:val="00EF55E9"/>
    <w:rsid w:val="00EF5B41"/>
    <w:rsid w:val="00EF611C"/>
    <w:rsid w:val="00EF625F"/>
    <w:rsid w:val="00EF62C0"/>
    <w:rsid w:val="00EF66B0"/>
    <w:rsid w:val="00EF6D3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F52"/>
    <w:rsid w:val="00F06340"/>
    <w:rsid w:val="00F0665D"/>
    <w:rsid w:val="00F06D42"/>
    <w:rsid w:val="00F07134"/>
    <w:rsid w:val="00F0724D"/>
    <w:rsid w:val="00F07355"/>
    <w:rsid w:val="00F07378"/>
    <w:rsid w:val="00F106A2"/>
    <w:rsid w:val="00F10A1F"/>
    <w:rsid w:val="00F10B81"/>
    <w:rsid w:val="00F10BC9"/>
    <w:rsid w:val="00F10D3C"/>
    <w:rsid w:val="00F113C9"/>
    <w:rsid w:val="00F11C01"/>
    <w:rsid w:val="00F11D80"/>
    <w:rsid w:val="00F13D2A"/>
    <w:rsid w:val="00F14AA2"/>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6A"/>
    <w:rsid w:val="00F20C9E"/>
    <w:rsid w:val="00F213D8"/>
    <w:rsid w:val="00F21A5D"/>
    <w:rsid w:val="00F21C13"/>
    <w:rsid w:val="00F22362"/>
    <w:rsid w:val="00F22796"/>
    <w:rsid w:val="00F2296A"/>
    <w:rsid w:val="00F234A4"/>
    <w:rsid w:val="00F2363A"/>
    <w:rsid w:val="00F238F7"/>
    <w:rsid w:val="00F23BA0"/>
    <w:rsid w:val="00F2420C"/>
    <w:rsid w:val="00F24BC2"/>
    <w:rsid w:val="00F24C28"/>
    <w:rsid w:val="00F25277"/>
    <w:rsid w:val="00F254C4"/>
    <w:rsid w:val="00F25641"/>
    <w:rsid w:val="00F256D8"/>
    <w:rsid w:val="00F25824"/>
    <w:rsid w:val="00F25E8C"/>
    <w:rsid w:val="00F26065"/>
    <w:rsid w:val="00F266E3"/>
    <w:rsid w:val="00F2689C"/>
    <w:rsid w:val="00F271C4"/>
    <w:rsid w:val="00F27E44"/>
    <w:rsid w:val="00F30313"/>
    <w:rsid w:val="00F303BC"/>
    <w:rsid w:val="00F30472"/>
    <w:rsid w:val="00F3082C"/>
    <w:rsid w:val="00F31052"/>
    <w:rsid w:val="00F313E8"/>
    <w:rsid w:val="00F318A1"/>
    <w:rsid w:val="00F31CF5"/>
    <w:rsid w:val="00F3265C"/>
    <w:rsid w:val="00F32C4A"/>
    <w:rsid w:val="00F33262"/>
    <w:rsid w:val="00F343EE"/>
    <w:rsid w:val="00F353F4"/>
    <w:rsid w:val="00F35412"/>
    <w:rsid w:val="00F35494"/>
    <w:rsid w:val="00F35607"/>
    <w:rsid w:val="00F357A0"/>
    <w:rsid w:val="00F359AB"/>
    <w:rsid w:val="00F35DBA"/>
    <w:rsid w:val="00F35E72"/>
    <w:rsid w:val="00F3619D"/>
    <w:rsid w:val="00F36DDE"/>
    <w:rsid w:val="00F3722A"/>
    <w:rsid w:val="00F37366"/>
    <w:rsid w:val="00F37C99"/>
    <w:rsid w:val="00F37FCC"/>
    <w:rsid w:val="00F419B8"/>
    <w:rsid w:val="00F41C0F"/>
    <w:rsid w:val="00F42856"/>
    <w:rsid w:val="00F42BF8"/>
    <w:rsid w:val="00F42ED7"/>
    <w:rsid w:val="00F43777"/>
    <w:rsid w:val="00F4482B"/>
    <w:rsid w:val="00F44F02"/>
    <w:rsid w:val="00F45039"/>
    <w:rsid w:val="00F45041"/>
    <w:rsid w:val="00F4526B"/>
    <w:rsid w:val="00F45298"/>
    <w:rsid w:val="00F45417"/>
    <w:rsid w:val="00F45F64"/>
    <w:rsid w:val="00F462DF"/>
    <w:rsid w:val="00F46534"/>
    <w:rsid w:val="00F4662D"/>
    <w:rsid w:val="00F467BA"/>
    <w:rsid w:val="00F467C1"/>
    <w:rsid w:val="00F4689E"/>
    <w:rsid w:val="00F468AC"/>
    <w:rsid w:val="00F4696F"/>
    <w:rsid w:val="00F46A5F"/>
    <w:rsid w:val="00F46BB0"/>
    <w:rsid w:val="00F47316"/>
    <w:rsid w:val="00F47507"/>
    <w:rsid w:val="00F4760A"/>
    <w:rsid w:val="00F47A01"/>
    <w:rsid w:val="00F47CEE"/>
    <w:rsid w:val="00F5040A"/>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EC2"/>
    <w:rsid w:val="00F56F7E"/>
    <w:rsid w:val="00F56FEF"/>
    <w:rsid w:val="00F5719C"/>
    <w:rsid w:val="00F57521"/>
    <w:rsid w:val="00F57859"/>
    <w:rsid w:val="00F60938"/>
    <w:rsid w:val="00F60982"/>
    <w:rsid w:val="00F60C7E"/>
    <w:rsid w:val="00F60E0A"/>
    <w:rsid w:val="00F61207"/>
    <w:rsid w:val="00F61606"/>
    <w:rsid w:val="00F61918"/>
    <w:rsid w:val="00F620E4"/>
    <w:rsid w:val="00F62151"/>
    <w:rsid w:val="00F62CA8"/>
    <w:rsid w:val="00F62F92"/>
    <w:rsid w:val="00F630B4"/>
    <w:rsid w:val="00F635EF"/>
    <w:rsid w:val="00F63BF4"/>
    <w:rsid w:val="00F63C55"/>
    <w:rsid w:val="00F63C60"/>
    <w:rsid w:val="00F64991"/>
    <w:rsid w:val="00F65693"/>
    <w:rsid w:val="00F65A63"/>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2840"/>
    <w:rsid w:val="00F72F74"/>
    <w:rsid w:val="00F74103"/>
    <w:rsid w:val="00F7410A"/>
    <w:rsid w:val="00F745A4"/>
    <w:rsid w:val="00F74C0C"/>
    <w:rsid w:val="00F74E0A"/>
    <w:rsid w:val="00F758E1"/>
    <w:rsid w:val="00F75BB5"/>
    <w:rsid w:val="00F75FD5"/>
    <w:rsid w:val="00F7604C"/>
    <w:rsid w:val="00F76677"/>
    <w:rsid w:val="00F768CF"/>
    <w:rsid w:val="00F773A9"/>
    <w:rsid w:val="00F77C09"/>
    <w:rsid w:val="00F800D1"/>
    <w:rsid w:val="00F8056E"/>
    <w:rsid w:val="00F805B7"/>
    <w:rsid w:val="00F810C1"/>
    <w:rsid w:val="00F81623"/>
    <w:rsid w:val="00F81D25"/>
    <w:rsid w:val="00F8245C"/>
    <w:rsid w:val="00F82928"/>
    <w:rsid w:val="00F829B9"/>
    <w:rsid w:val="00F83045"/>
    <w:rsid w:val="00F83615"/>
    <w:rsid w:val="00F83EC7"/>
    <w:rsid w:val="00F84086"/>
    <w:rsid w:val="00F84112"/>
    <w:rsid w:val="00F8421D"/>
    <w:rsid w:val="00F8438A"/>
    <w:rsid w:val="00F85188"/>
    <w:rsid w:val="00F85329"/>
    <w:rsid w:val="00F85683"/>
    <w:rsid w:val="00F857A0"/>
    <w:rsid w:val="00F85841"/>
    <w:rsid w:val="00F86079"/>
    <w:rsid w:val="00F8610A"/>
    <w:rsid w:val="00F864F6"/>
    <w:rsid w:val="00F87282"/>
    <w:rsid w:val="00F878CD"/>
    <w:rsid w:val="00F87905"/>
    <w:rsid w:val="00F87A66"/>
    <w:rsid w:val="00F87A80"/>
    <w:rsid w:val="00F90C1F"/>
    <w:rsid w:val="00F912D9"/>
    <w:rsid w:val="00F91A44"/>
    <w:rsid w:val="00F91BFA"/>
    <w:rsid w:val="00F91F8F"/>
    <w:rsid w:val="00F9217B"/>
    <w:rsid w:val="00F9581C"/>
    <w:rsid w:val="00F9592E"/>
    <w:rsid w:val="00F97A34"/>
    <w:rsid w:val="00F97E4A"/>
    <w:rsid w:val="00F97EA1"/>
    <w:rsid w:val="00FA003A"/>
    <w:rsid w:val="00FA05C8"/>
    <w:rsid w:val="00FA0678"/>
    <w:rsid w:val="00FA0936"/>
    <w:rsid w:val="00FA0DB6"/>
    <w:rsid w:val="00FA23F7"/>
    <w:rsid w:val="00FA27EB"/>
    <w:rsid w:val="00FA2A29"/>
    <w:rsid w:val="00FA35B6"/>
    <w:rsid w:val="00FA3EBC"/>
    <w:rsid w:val="00FA423C"/>
    <w:rsid w:val="00FA44D0"/>
    <w:rsid w:val="00FA4590"/>
    <w:rsid w:val="00FA4A07"/>
    <w:rsid w:val="00FA53EA"/>
    <w:rsid w:val="00FA55A2"/>
    <w:rsid w:val="00FA672F"/>
    <w:rsid w:val="00FA67C8"/>
    <w:rsid w:val="00FA7472"/>
    <w:rsid w:val="00FA775E"/>
    <w:rsid w:val="00FA7792"/>
    <w:rsid w:val="00FA7AA8"/>
    <w:rsid w:val="00FA7F1D"/>
    <w:rsid w:val="00FB011C"/>
    <w:rsid w:val="00FB0D60"/>
    <w:rsid w:val="00FB18FD"/>
    <w:rsid w:val="00FB2BF5"/>
    <w:rsid w:val="00FB2F8E"/>
    <w:rsid w:val="00FB30C3"/>
    <w:rsid w:val="00FB3693"/>
    <w:rsid w:val="00FB39B0"/>
    <w:rsid w:val="00FB5138"/>
    <w:rsid w:val="00FB51A8"/>
    <w:rsid w:val="00FB547F"/>
    <w:rsid w:val="00FB56D5"/>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35C"/>
    <w:rsid w:val="00FC444A"/>
    <w:rsid w:val="00FC453D"/>
    <w:rsid w:val="00FC4A89"/>
    <w:rsid w:val="00FC619B"/>
    <w:rsid w:val="00FC665F"/>
    <w:rsid w:val="00FC68E8"/>
    <w:rsid w:val="00FC6C35"/>
    <w:rsid w:val="00FC6D59"/>
    <w:rsid w:val="00FC7561"/>
    <w:rsid w:val="00FC78CB"/>
    <w:rsid w:val="00FC78F5"/>
    <w:rsid w:val="00FC7ACA"/>
    <w:rsid w:val="00FC7AD2"/>
    <w:rsid w:val="00FC7C08"/>
    <w:rsid w:val="00FD10B3"/>
    <w:rsid w:val="00FD115D"/>
    <w:rsid w:val="00FD11C3"/>
    <w:rsid w:val="00FD154E"/>
    <w:rsid w:val="00FD24D7"/>
    <w:rsid w:val="00FD28B0"/>
    <w:rsid w:val="00FD2996"/>
    <w:rsid w:val="00FD29CE"/>
    <w:rsid w:val="00FD3AE2"/>
    <w:rsid w:val="00FD3E41"/>
    <w:rsid w:val="00FD3EFA"/>
    <w:rsid w:val="00FD400A"/>
    <w:rsid w:val="00FD40CD"/>
    <w:rsid w:val="00FD54A8"/>
    <w:rsid w:val="00FD564D"/>
    <w:rsid w:val="00FD5AE4"/>
    <w:rsid w:val="00FD5F25"/>
    <w:rsid w:val="00FD60BE"/>
    <w:rsid w:val="00FD674B"/>
    <w:rsid w:val="00FD6894"/>
    <w:rsid w:val="00FD6AF0"/>
    <w:rsid w:val="00FD704D"/>
    <w:rsid w:val="00FD7249"/>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0F"/>
    <w:rsid w:val="00FE4ACC"/>
    <w:rsid w:val="00FE4F80"/>
    <w:rsid w:val="00FE570E"/>
    <w:rsid w:val="00FE594D"/>
    <w:rsid w:val="00FE6870"/>
    <w:rsid w:val="00FE713E"/>
    <w:rsid w:val="00FE7877"/>
    <w:rsid w:val="00FE7DD1"/>
    <w:rsid w:val="00FF0185"/>
    <w:rsid w:val="00FF0B4F"/>
    <w:rsid w:val="00FF0F58"/>
    <w:rsid w:val="00FF12F6"/>
    <w:rsid w:val="00FF183C"/>
    <w:rsid w:val="00FF1A06"/>
    <w:rsid w:val="00FF1AD3"/>
    <w:rsid w:val="00FF1B46"/>
    <w:rsid w:val="00FF219D"/>
    <w:rsid w:val="00FF2A7B"/>
    <w:rsid w:val="00FF3D2B"/>
    <w:rsid w:val="00FF427E"/>
    <w:rsid w:val="00FF49B4"/>
    <w:rsid w:val="00FF49D6"/>
    <w:rsid w:val="00FF49F4"/>
    <w:rsid w:val="00FF5897"/>
    <w:rsid w:val="00FF5C6A"/>
    <w:rsid w:val="00FF651D"/>
    <w:rsid w:val="00FF6843"/>
    <w:rsid w:val="00FF6C25"/>
    <w:rsid w:val="010651D9"/>
    <w:rsid w:val="011F6449"/>
    <w:rsid w:val="01236AFB"/>
    <w:rsid w:val="019F7441"/>
    <w:rsid w:val="01B37585"/>
    <w:rsid w:val="01D55165"/>
    <w:rsid w:val="01DF6BF8"/>
    <w:rsid w:val="01EC2C57"/>
    <w:rsid w:val="0202596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5C68"/>
    <w:rsid w:val="048B0EE3"/>
    <w:rsid w:val="048F763B"/>
    <w:rsid w:val="049F330E"/>
    <w:rsid w:val="04AA775C"/>
    <w:rsid w:val="04AF1889"/>
    <w:rsid w:val="04F66F48"/>
    <w:rsid w:val="05251E14"/>
    <w:rsid w:val="05A16594"/>
    <w:rsid w:val="05A7762D"/>
    <w:rsid w:val="060E5941"/>
    <w:rsid w:val="06100207"/>
    <w:rsid w:val="06110FAF"/>
    <w:rsid w:val="062F2CAA"/>
    <w:rsid w:val="06493CA7"/>
    <w:rsid w:val="065A6178"/>
    <w:rsid w:val="06642AFE"/>
    <w:rsid w:val="066F1CF3"/>
    <w:rsid w:val="06930BB8"/>
    <w:rsid w:val="06B234A2"/>
    <w:rsid w:val="06BE0C23"/>
    <w:rsid w:val="07245D42"/>
    <w:rsid w:val="07264C62"/>
    <w:rsid w:val="0779354C"/>
    <w:rsid w:val="07C01664"/>
    <w:rsid w:val="08061376"/>
    <w:rsid w:val="08452D77"/>
    <w:rsid w:val="0861033C"/>
    <w:rsid w:val="086401F8"/>
    <w:rsid w:val="08751CAA"/>
    <w:rsid w:val="087E4C40"/>
    <w:rsid w:val="08D66AD6"/>
    <w:rsid w:val="08DA33A3"/>
    <w:rsid w:val="08E80F13"/>
    <w:rsid w:val="092E1A8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A0458"/>
    <w:rsid w:val="0B30404E"/>
    <w:rsid w:val="0B4C6C14"/>
    <w:rsid w:val="0B5F1DB6"/>
    <w:rsid w:val="0B631A88"/>
    <w:rsid w:val="0B683D45"/>
    <w:rsid w:val="0B7F3F11"/>
    <w:rsid w:val="0B884417"/>
    <w:rsid w:val="0BF507B6"/>
    <w:rsid w:val="0BF6188C"/>
    <w:rsid w:val="0BF73C91"/>
    <w:rsid w:val="0C170175"/>
    <w:rsid w:val="0C571A41"/>
    <w:rsid w:val="0C5C1171"/>
    <w:rsid w:val="0C5E1CBC"/>
    <w:rsid w:val="0C615B50"/>
    <w:rsid w:val="0C8445DA"/>
    <w:rsid w:val="0C87121B"/>
    <w:rsid w:val="0CC007F7"/>
    <w:rsid w:val="0CF673BD"/>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9403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B199F"/>
    <w:rsid w:val="11266F33"/>
    <w:rsid w:val="118963A1"/>
    <w:rsid w:val="11C6522A"/>
    <w:rsid w:val="11E104CC"/>
    <w:rsid w:val="11E20309"/>
    <w:rsid w:val="12255233"/>
    <w:rsid w:val="12530213"/>
    <w:rsid w:val="127723A9"/>
    <w:rsid w:val="12862074"/>
    <w:rsid w:val="12883966"/>
    <w:rsid w:val="129E45B4"/>
    <w:rsid w:val="12D81596"/>
    <w:rsid w:val="13072A44"/>
    <w:rsid w:val="13443E84"/>
    <w:rsid w:val="135F4BE2"/>
    <w:rsid w:val="139B1A0A"/>
    <w:rsid w:val="139D25C7"/>
    <w:rsid w:val="13BF3CE4"/>
    <w:rsid w:val="141008D8"/>
    <w:rsid w:val="14125FE6"/>
    <w:rsid w:val="146D271E"/>
    <w:rsid w:val="14982588"/>
    <w:rsid w:val="149A5AD9"/>
    <w:rsid w:val="14A7619D"/>
    <w:rsid w:val="14CB5F12"/>
    <w:rsid w:val="150536C3"/>
    <w:rsid w:val="150C1963"/>
    <w:rsid w:val="151447A0"/>
    <w:rsid w:val="154A6454"/>
    <w:rsid w:val="155862F9"/>
    <w:rsid w:val="15762120"/>
    <w:rsid w:val="15B6173D"/>
    <w:rsid w:val="16A456DC"/>
    <w:rsid w:val="16A8729C"/>
    <w:rsid w:val="16B33777"/>
    <w:rsid w:val="16BC70A7"/>
    <w:rsid w:val="16C6339E"/>
    <w:rsid w:val="172F2D79"/>
    <w:rsid w:val="17557BEF"/>
    <w:rsid w:val="17D349C1"/>
    <w:rsid w:val="18286B86"/>
    <w:rsid w:val="1830729E"/>
    <w:rsid w:val="1870062C"/>
    <w:rsid w:val="18817102"/>
    <w:rsid w:val="18830A15"/>
    <w:rsid w:val="18852B28"/>
    <w:rsid w:val="188B5321"/>
    <w:rsid w:val="19932372"/>
    <w:rsid w:val="19A20DD5"/>
    <w:rsid w:val="19AE03F1"/>
    <w:rsid w:val="19DE01EC"/>
    <w:rsid w:val="1A071A03"/>
    <w:rsid w:val="1A1F16AE"/>
    <w:rsid w:val="1A3B5C77"/>
    <w:rsid w:val="1A984BAD"/>
    <w:rsid w:val="1AB8220E"/>
    <w:rsid w:val="1ADB6E02"/>
    <w:rsid w:val="1AE4166C"/>
    <w:rsid w:val="1AEB6F83"/>
    <w:rsid w:val="1AF06CFB"/>
    <w:rsid w:val="1AF11B8D"/>
    <w:rsid w:val="1B11359C"/>
    <w:rsid w:val="1B2A271F"/>
    <w:rsid w:val="1B530544"/>
    <w:rsid w:val="1B713184"/>
    <w:rsid w:val="1BA209CF"/>
    <w:rsid w:val="1BB4777D"/>
    <w:rsid w:val="1BD75AB8"/>
    <w:rsid w:val="1C0459C2"/>
    <w:rsid w:val="1C1B3B4A"/>
    <w:rsid w:val="1C88086E"/>
    <w:rsid w:val="1CA81A08"/>
    <w:rsid w:val="1D266CE1"/>
    <w:rsid w:val="1D332800"/>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973F62"/>
    <w:rsid w:val="1FE868A9"/>
    <w:rsid w:val="20034907"/>
    <w:rsid w:val="20173E4B"/>
    <w:rsid w:val="204E48BC"/>
    <w:rsid w:val="208921B3"/>
    <w:rsid w:val="20973DEB"/>
    <w:rsid w:val="20B26522"/>
    <w:rsid w:val="20B44310"/>
    <w:rsid w:val="211116EB"/>
    <w:rsid w:val="214D3572"/>
    <w:rsid w:val="216133FC"/>
    <w:rsid w:val="21D56769"/>
    <w:rsid w:val="21E52EF3"/>
    <w:rsid w:val="21FB5D7B"/>
    <w:rsid w:val="220B1C3D"/>
    <w:rsid w:val="221D1D20"/>
    <w:rsid w:val="22334A87"/>
    <w:rsid w:val="22A42BBD"/>
    <w:rsid w:val="22BE6801"/>
    <w:rsid w:val="233500BF"/>
    <w:rsid w:val="23377FF7"/>
    <w:rsid w:val="234D3200"/>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33E9A"/>
    <w:rsid w:val="251C31E3"/>
    <w:rsid w:val="258B00E2"/>
    <w:rsid w:val="25A917A6"/>
    <w:rsid w:val="25BE27CC"/>
    <w:rsid w:val="25F74A5C"/>
    <w:rsid w:val="2628662C"/>
    <w:rsid w:val="262A7858"/>
    <w:rsid w:val="262D45DE"/>
    <w:rsid w:val="26A53EF9"/>
    <w:rsid w:val="26A94201"/>
    <w:rsid w:val="26AC274F"/>
    <w:rsid w:val="27044A29"/>
    <w:rsid w:val="271D34C8"/>
    <w:rsid w:val="276142BF"/>
    <w:rsid w:val="27783712"/>
    <w:rsid w:val="27907362"/>
    <w:rsid w:val="27A73950"/>
    <w:rsid w:val="28333E1D"/>
    <w:rsid w:val="28454BD6"/>
    <w:rsid w:val="28455253"/>
    <w:rsid w:val="28551971"/>
    <w:rsid w:val="285B1C53"/>
    <w:rsid w:val="289F7086"/>
    <w:rsid w:val="28C32028"/>
    <w:rsid w:val="28CC490F"/>
    <w:rsid w:val="28DE40AA"/>
    <w:rsid w:val="29345E77"/>
    <w:rsid w:val="294C65AD"/>
    <w:rsid w:val="29806583"/>
    <w:rsid w:val="298B3C4C"/>
    <w:rsid w:val="29915AC0"/>
    <w:rsid w:val="29AD2CCD"/>
    <w:rsid w:val="29EC34A5"/>
    <w:rsid w:val="29F26D24"/>
    <w:rsid w:val="2A15033F"/>
    <w:rsid w:val="2A1662C1"/>
    <w:rsid w:val="2A1C7367"/>
    <w:rsid w:val="2A2815FA"/>
    <w:rsid w:val="2A4E45E1"/>
    <w:rsid w:val="2A6D6092"/>
    <w:rsid w:val="2A7D76B4"/>
    <w:rsid w:val="2ACE0CCA"/>
    <w:rsid w:val="2B2629E5"/>
    <w:rsid w:val="2B437463"/>
    <w:rsid w:val="2B7807EE"/>
    <w:rsid w:val="2B8B3764"/>
    <w:rsid w:val="2BBF00EC"/>
    <w:rsid w:val="2BC37CFD"/>
    <w:rsid w:val="2BD5237F"/>
    <w:rsid w:val="2BDF1F09"/>
    <w:rsid w:val="2BE536CE"/>
    <w:rsid w:val="2BE758D9"/>
    <w:rsid w:val="2C09049E"/>
    <w:rsid w:val="2C0A653C"/>
    <w:rsid w:val="2C191F85"/>
    <w:rsid w:val="2C6748DC"/>
    <w:rsid w:val="2C9A62E3"/>
    <w:rsid w:val="2CE82D6F"/>
    <w:rsid w:val="2D343236"/>
    <w:rsid w:val="2DD15014"/>
    <w:rsid w:val="2DF72DE4"/>
    <w:rsid w:val="2E0220AF"/>
    <w:rsid w:val="2E4B082A"/>
    <w:rsid w:val="2E5D4E86"/>
    <w:rsid w:val="2E5D790B"/>
    <w:rsid w:val="2E9A3C18"/>
    <w:rsid w:val="2EBB0FEE"/>
    <w:rsid w:val="2EC63002"/>
    <w:rsid w:val="2F0A6B38"/>
    <w:rsid w:val="2F1E646B"/>
    <w:rsid w:val="2F214136"/>
    <w:rsid w:val="2F946CCB"/>
    <w:rsid w:val="2FCE6F45"/>
    <w:rsid w:val="2FD25781"/>
    <w:rsid w:val="2FFD7934"/>
    <w:rsid w:val="30733ACD"/>
    <w:rsid w:val="30895216"/>
    <w:rsid w:val="308C3862"/>
    <w:rsid w:val="309379D8"/>
    <w:rsid w:val="30A270F7"/>
    <w:rsid w:val="30DF1478"/>
    <w:rsid w:val="30EC586F"/>
    <w:rsid w:val="31066D6A"/>
    <w:rsid w:val="319C6071"/>
    <w:rsid w:val="31AC537E"/>
    <w:rsid w:val="31E3679B"/>
    <w:rsid w:val="31E732FD"/>
    <w:rsid w:val="31F33E31"/>
    <w:rsid w:val="32517576"/>
    <w:rsid w:val="32A83FF7"/>
    <w:rsid w:val="32BE5C2C"/>
    <w:rsid w:val="32FB6478"/>
    <w:rsid w:val="33263B3F"/>
    <w:rsid w:val="336963EB"/>
    <w:rsid w:val="33816EEB"/>
    <w:rsid w:val="33EB55CD"/>
    <w:rsid w:val="33EC4C02"/>
    <w:rsid w:val="340D2360"/>
    <w:rsid w:val="3410665D"/>
    <w:rsid w:val="34211214"/>
    <w:rsid w:val="342E63AB"/>
    <w:rsid w:val="343520A9"/>
    <w:rsid w:val="34627162"/>
    <w:rsid w:val="34950E68"/>
    <w:rsid w:val="34986E94"/>
    <w:rsid w:val="34AF62C9"/>
    <w:rsid w:val="34B0752E"/>
    <w:rsid w:val="34CB4388"/>
    <w:rsid w:val="34D3006E"/>
    <w:rsid w:val="34FA6E12"/>
    <w:rsid w:val="358D5588"/>
    <w:rsid w:val="363A3B40"/>
    <w:rsid w:val="365302AE"/>
    <w:rsid w:val="36607A0A"/>
    <w:rsid w:val="366E227C"/>
    <w:rsid w:val="366F2E0D"/>
    <w:rsid w:val="367B6A5C"/>
    <w:rsid w:val="36A74ADA"/>
    <w:rsid w:val="36AD60D5"/>
    <w:rsid w:val="36B224F9"/>
    <w:rsid w:val="36EC0CC9"/>
    <w:rsid w:val="373F410B"/>
    <w:rsid w:val="37920DA3"/>
    <w:rsid w:val="37EE7094"/>
    <w:rsid w:val="37F92C99"/>
    <w:rsid w:val="38296C89"/>
    <w:rsid w:val="383002EB"/>
    <w:rsid w:val="38586797"/>
    <w:rsid w:val="38BC0149"/>
    <w:rsid w:val="38C611F4"/>
    <w:rsid w:val="38D87D1C"/>
    <w:rsid w:val="39636459"/>
    <w:rsid w:val="396B7F6C"/>
    <w:rsid w:val="3976752B"/>
    <w:rsid w:val="39B417A9"/>
    <w:rsid w:val="39BF1980"/>
    <w:rsid w:val="39FC5695"/>
    <w:rsid w:val="3A006D8E"/>
    <w:rsid w:val="3A2B7D1D"/>
    <w:rsid w:val="3A3651E5"/>
    <w:rsid w:val="3A741703"/>
    <w:rsid w:val="3A744481"/>
    <w:rsid w:val="3A8C7BEF"/>
    <w:rsid w:val="3A906246"/>
    <w:rsid w:val="3B2349B7"/>
    <w:rsid w:val="3B2B751A"/>
    <w:rsid w:val="3B616CFF"/>
    <w:rsid w:val="3B6259F6"/>
    <w:rsid w:val="3B6C7456"/>
    <w:rsid w:val="3B976654"/>
    <w:rsid w:val="3BBEE7F0"/>
    <w:rsid w:val="3BC01EFC"/>
    <w:rsid w:val="3BCA786A"/>
    <w:rsid w:val="3BD31E2F"/>
    <w:rsid w:val="3BF15831"/>
    <w:rsid w:val="3C105946"/>
    <w:rsid w:val="3C471448"/>
    <w:rsid w:val="3C5F759A"/>
    <w:rsid w:val="3C6C525A"/>
    <w:rsid w:val="3CBB5DC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336EB"/>
    <w:rsid w:val="3F6363FE"/>
    <w:rsid w:val="3F756B8F"/>
    <w:rsid w:val="3F95482B"/>
    <w:rsid w:val="3FBFFE11"/>
    <w:rsid w:val="4019356B"/>
    <w:rsid w:val="40592157"/>
    <w:rsid w:val="406E1CAE"/>
    <w:rsid w:val="40A0133A"/>
    <w:rsid w:val="40C31A53"/>
    <w:rsid w:val="40FF545D"/>
    <w:rsid w:val="410067C8"/>
    <w:rsid w:val="418F0D2A"/>
    <w:rsid w:val="41D01505"/>
    <w:rsid w:val="41E433F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A3820"/>
    <w:rsid w:val="43C77C27"/>
    <w:rsid w:val="43DE09EE"/>
    <w:rsid w:val="44002FAD"/>
    <w:rsid w:val="44066811"/>
    <w:rsid w:val="445F0B62"/>
    <w:rsid w:val="4462171E"/>
    <w:rsid w:val="449101DD"/>
    <w:rsid w:val="44DE1391"/>
    <w:rsid w:val="451B225C"/>
    <w:rsid w:val="452410C9"/>
    <w:rsid w:val="45317DFB"/>
    <w:rsid w:val="456D3CE4"/>
    <w:rsid w:val="4579042C"/>
    <w:rsid w:val="457F0571"/>
    <w:rsid w:val="45851176"/>
    <w:rsid w:val="45C63B94"/>
    <w:rsid w:val="45E024D4"/>
    <w:rsid w:val="460E7DA5"/>
    <w:rsid w:val="464222BD"/>
    <w:rsid w:val="46422483"/>
    <w:rsid w:val="4659254A"/>
    <w:rsid w:val="465B0637"/>
    <w:rsid w:val="465E3F0D"/>
    <w:rsid w:val="466A16E6"/>
    <w:rsid w:val="46893F2B"/>
    <w:rsid w:val="46C4686E"/>
    <w:rsid w:val="46EE0346"/>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B4C51"/>
    <w:rsid w:val="495F5B3E"/>
    <w:rsid w:val="496F77D7"/>
    <w:rsid w:val="497654FD"/>
    <w:rsid w:val="4983261A"/>
    <w:rsid w:val="4994413B"/>
    <w:rsid w:val="49B64211"/>
    <w:rsid w:val="49F6167F"/>
    <w:rsid w:val="4A064FA0"/>
    <w:rsid w:val="4A16615C"/>
    <w:rsid w:val="4A4424D7"/>
    <w:rsid w:val="4AB82D0F"/>
    <w:rsid w:val="4AEB7664"/>
    <w:rsid w:val="4AFD7C19"/>
    <w:rsid w:val="4B0567D1"/>
    <w:rsid w:val="4B236AAE"/>
    <w:rsid w:val="4B707271"/>
    <w:rsid w:val="4B836777"/>
    <w:rsid w:val="4B9739F7"/>
    <w:rsid w:val="4BC7459F"/>
    <w:rsid w:val="4BEE2503"/>
    <w:rsid w:val="4C245A30"/>
    <w:rsid w:val="4CA455B7"/>
    <w:rsid w:val="4CB6685F"/>
    <w:rsid w:val="4CC367FE"/>
    <w:rsid w:val="4D077F3C"/>
    <w:rsid w:val="4D0B7988"/>
    <w:rsid w:val="4D123355"/>
    <w:rsid w:val="4D2A3B31"/>
    <w:rsid w:val="4D312C52"/>
    <w:rsid w:val="4D905305"/>
    <w:rsid w:val="4D964A72"/>
    <w:rsid w:val="4D9C1254"/>
    <w:rsid w:val="4DE131FF"/>
    <w:rsid w:val="4E615B84"/>
    <w:rsid w:val="4E793892"/>
    <w:rsid w:val="4E800872"/>
    <w:rsid w:val="4EC0693D"/>
    <w:rsid w:val="4EC569ED"/>
    <w:rsid w:val="4EC959E7"/>
    <w:rsid w:val="4ED50EA1"/>
    <w:rsid w:val="4EEC050C"/>
    <w:rsid w:val="4F104EC3"/>
    <w:rsid w:val="4F262782"/>
    <w:rsid w:val="4F47354A"/>
    <w:rsid w:val="4F911C54"/>
    <w:rsid w:val="4FE625E0"/>
    <w:rsid w:val="50084580"/>
    <w:rsid w:val="5021480F"/>
    <w:rsid w:val="505E5526"/>
    <w:rsid w:val="50962ECB"/>
    <w:rsid w:val="50A42E38"/>
    <w:rsid w:val="50A4577F"/>
    <w:rsid w:val="50B73D1F"/>
    <w:rsid w:val="50BD5BC9"/>
    <w:rsid w:val="50C11EEE"/>
    <w:rsid w:val="50E97CFC"/>
    <w:rsid w:val="50FA4028"/>
    <w:rsid w:val="510D65B7"/>
    <w:rsid w:val="511157AB"/>
    <w:rsid w:val="5142540C"/>
    <w:rsid w:val="5177735F"/>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F74B50"/>
    <w:rsid w:val="54013861"/>
    <w:rsid w:val="54487265"/>
    <w:rsid w:val="544D6070"/>
    <w:rsid w:val="54605E1E"/>
    <w:rsid w:val="54B3506A"/>
    <w:rsid w:val="54CA0D16"/>
    <w:rsid w:val="54DD4057"/>
    <w:rsid w:val="54E7490F"/>
    <w:rsid w:val="54FC0ACE"/>
    <w:rsid w:val="550764A4"/>
    <w:rsid w:val="550B2BF6"/>
    <w:rsid w:val="55214EB5"/>
    <w:rsid w:val="55364EFD"/>
    <w:rsid w:val="55534144"/>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7FE0ED"/>
    <w:rsid w:val="57921984"/>
    <w:rsid w:val="579737F0"/>
    <w:rsid w:val="57A95129"/>
    <w:rsid w:val="57AB7B30"/>
    <w:rsid w:val="57AF5251"/>
    <w:rsid w:val="57B26373"/>
    <w:rsid w:val="57B63F04"/>
    <w:rsid w:val="57CD20C2"/>
    <w:rsid w:val="57D675AB"/>
    <w:rsid w:val="57D95FDD"/>
    <w:rsid w:val="58917D2F"/>
    <w:rsid w:val="5894085C"/>
    <w:rsid w:val="58AE4F0C"/>
    <w:rsid w:val="58B85899"/>
    <w:rsid w:val="58E363A9"/>
    <w:rsid w:val="59170D31"/>
    <w:rsid w:val="595E1678"/>
    <w:rsid w:val="596D5BD4"/>
    <w:rsid w:val="597E3DD8"/>
    <w:rsid w:val="59F80043"/>
    <w:rsid w:val="5A09252F"/>
    <w:rsid w:val="5A0A04CC"/>
    <w:rsid w:val="5A0B2778"/>
    <w:rsid w:val="5A2A7C7B"/>
    <w:rsid w:val="5A3E2560"/>
    <w:rsid w:val="5A5D3B6E"/>
    <w:rsid w:val="5A625C12"/>
    <w:rsid w:val="5A637A76"/>
    <w:rsid w:val="5A6D33BA"/>
    <w:rsid w:val="5A792B1F"/>
    <w:rsid w:val="5A874767"/>
    <w:rsid w:val="5AAD6F28"/>
    <w:rsid w:val="5AD63A24"/>
    <w:rsid w:val="5AEE5590"/>
    <w:rsid w:val="5B2E1A1D"/>
    <w:rsid w:val="5B843A1C"/>
    <w:rsid w:val="5B873E3F"/>
    <w:rsid w:val="5BD1436C"/>
    <w:rsid w:val="5C02690E"/>
    <w:rsid w:val="5C196DA7"/>
    <w:rsid w:val="5C2A048C"/>
    <w:rsid w:val="5C7D4F86"/>
    <w:rsid w:val="5C80234E"/>
    <w:rsid w:val="5C8A680C"/>
    <w:rsid w:val="5D0C4701"/>
    <w:rsid w:val="5D0F0395"/>
    <w:rsid w:val="5D221076"/>
    <w:rsid w:val="5D397964"/>
    <w:rsid w:val="5D5A391C"/>
    <w:rsid w:val="5D5F10C0"/>
    <w:rsid w:val="5D891B7B"/>
    <w:rsid w:val="5DAD38EE"/>
    <w:rsid w:val="5E006862"/>
    <w:rsid w:val="5E0207B9"/>
    <w:rsid w:val="5E030FF6"/>
    <w:rsid w:val="5E1834A1"/>
    <w:rsid w:val="5E261785"/>
    <w:rsid w:val="5E4A7017"/>
    <w:rsid w:val="5E552BBA"/>
    <w:rsid w:val="5E611C10"/>
    <w:rsid w:val="5EFC7377"/>
    <w:rsid w:val="5EFF2CA6"/>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77B41"/>
    <w:rsid w:val="611D2366"/>
    <w:rsid w:val="61421856"/>
    <w:rsid w:val="615227C4"/>
    <w:rsid w:val="61654E3F"/>
    <w:rsid w:val="6182292A"/>
    <w:rsid w:val="619F7F92"/>
    <w:rsid w:val="61F94C26"/>
    <w:rsid w:val="62000E56"/>
    <w:rsid w:val="621C6A35"/>
    <w:rsid w:val="624F3E49"/>
    <w:rsid w:val="62632286"/>
    <w:rsid w:val="62885958"/>
    <w:rsid w:val="62F40B65"/>
    <w:rsid w:val="62FC2CFE"/>
    <w:rsid w:val="63024505"/>
    <w:rsid w:val="6354586C"/>
    <w:rsid w:val="635B1DB5"/>
    <w:rsid w:val="63711FED"/>
    <w:rsid w:val="63880DDC"/>
    <w:rsid w:val="638D750D"/>
    <w:rsid w:val="63AC6CC0"/>
    <w:rsid w:val="63B609B6"/>
    <w:rsid w:val="64055776"/>
    <w:rsid w:val="64240056"/>
    <w:rsid w:val="642751DF"/>
    <w:rsid w:val="64361442"/>
    <w:rsid w:val="643E143A"/>
    <w:rsid w:val="648B6EEF"/>
    <w:rsid w:val="64C158BF"/>
    <w:rsid w:val="64CE2EAA"/>
    <w:rsid w:val="653C3090"/>
    <w:rsid w:val="65744634"/>
    <w:rsid w:val="657D5398"/>
    <w:rsid w:val="65854376"/>
    <w:rsid w:val="658767BE"/>
    <w:rsid w:val="65892531"/>
    <w:rsid w:val="65CA293B"/>
    <w:rsid w:val="66195831"/>
    <w:rsid w:val="662E75B1"/>
    <w:rsid w:val="662F710B"/>
    <w:rsid w:val="66342C2E"/>
    <w:rsid w:val="663E784C"/>
    <w:rsid w:val="668B6A45"/>
    <w:rsid w:val="668F4233"/>
    <w:rsid w:val="672F3F24"/>
    <w:rsid w:val="673E055F"/>
    <w:rsid w:val="67551CE3"/>
    <w:rsid w:val="67A22552"/>
    <w:rsid w:val="67B22DCC"/>
    <w:rsid w:val="67BE71AA"/>
    <w:rsid w:val="67D90273"/>
    <w:rsid w:val="67DE5875"/>
    <w:rsid w:val="67E55852"/>
    <w:rsid w:val="67EB1AB4"/>
    <w:rsid w:val="67ED169D"/>
    <w:rsid w:val="67EE3DB1"/>
    <w:rsid w:val="67F58F01"/>
    <w:rsid w:val="67FA1285"/>
    <w:rsid w:val="685228CA"/>
    <w:rsid w:val="68551F4F"/>
    <w:rsid w:val="687C10C9"/>
    <w:rsid w:val="68840C16"/>
    <w:rsid w:val="68876EFB"/>
    <w:rsid w:val="68884654"/>
    <w:rsid w:val="689F444F"/>
    <w:rsid w:val="68B96DBB"/>
    <w:rsid w:val="68CA2805"/>
    <w:rsid w:val="68E937A3"/>
    <w:rsid w:val="68EB0086"/>
    <w:rsid w:val="690A41D9"/>
    <w:rsid w:val="693E15D3"/>
    <w:rsid w:val="69627681"/>
    <w:rsid w:val="6977531D"/>
    <w:rsid w:val="69CC2BFF"/>
    <w:rsid w:val="69FD55B8"/>
    <w:rsid w:val="6A0B1C62"/>
    <w:rsid w:val="6A2406C8"/>
    <w:rsid w:val="6A8412C2"/>
    <w:rsid w:val="6AD9F682"/>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D66C2"/>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8C5DC3"/>
    <w:rsid w:val="729023FC"/>
    <w:rsid w:val="73C0646E"/>
    <w:rsid w:val="742222F5"/>
    <w:rsid w:val="74476126"/>
    <w:rsid w:val="74706664"/>
    <w:rsid w:val="747F3682"/>
    <w:rsid w:val="749C4185"/>
    <w:rsid w:val="75067759"/>
    <w:rsid w:val="752E6DCD"/>
    <w:rsid w:val="7551380D"/>
    <w:rsid w:val="75600BE5"/>
    <w:rsid w:val="7564475C"/>
    <w:rsid w:val="756A22C6"/>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344A7C"/>
    <w:rsid w:val="78775729"/>
    <w:rsid w:val="78902FBA"/>
    <w:rsid w:val="78A42DB0"/>
    <w:rsid w:val="78A656AB"/>
    <w:rsid w:val="78B2245C"/>
    <w:rsid w:val="78E172CC"/>
    <w:rsid w:val="78EA1D1F"/>
    <w:rsid w:val="7904172F"/>
    <w:rsid w:val="790F7E27"/>
    <w:rsid w:val="791A69E7"/>
    <w:rsid w:val="792A231A"/>
    <w:rsid w:val="79316829"/>
    <w:rsid w:val="797E66A9"/>
    <w:rsid w:val="79A97383"/>
    <w:rsid w:val="79E27E8B"/>
    <w:rsid w:val="79F76D98"/>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26311"/>
    <w:rsid w:val="7B667AF9"/>
    <w:rsid w:val="7B7468F8"/>
    <w:rsid w:val="7B911309"/>
    <w:rsid w:val="7BEE0103"/>
    <w:rsid w:val="7C0A0FE4"/>
    <w:rsid w:val="7C254906"/>
    <w:rsid w:val="7C590818"/>
    <w:rsid w:val="7C7C10F6"/>
    <w:rsid w:val="7C853BEA"/>
    <w:rsid w:val="7C881368"/>
    <w:rsid w:val="7CE27788"/>
    <w:rsid w:val="7D0C32F1"/>
    <w:rsid w:val="7D0F408D"/>
    <w:rsid w:val="7D3F6BF9"/>
    <w:rsid w:val="7D491C6C"/>
    <w:rsid w:val="7D5429C0"/>
    <w:rsid w:val="7D6E6D43"/>
    <w:rsid w:val="7DB57A34"/>
    <w:rsid w:val="7DE60973"/>
    <w:rsid w:val="7DEF0916"/>
    <w:rsid w:val="7E1E5218"/>
    <w:rsid w:val="7E480746"/>
    <w:rsid w:val="7E6A07B7"/>
    <w:rsid w:val="7E9A4E1F"/>
    <w:rsid w:val="7EA7723A"/>
    <w:rsid w:val="7EDF167F"/>
    <w:rsid w:val="7EF56FBB"/>
    <w:rsid w:val="7F0768EB"/>
    <w:rsid w:val="7F143BEC"/>
    <w:rsid w:val="7F5F640D"/>
    <w:rsid w:val="7F715AF2"/>
    <w:rsid w:val="7F886E69"/>
    <w:rsid w:val="7FBF0504"/>
    <w:rsid w:val="7FE71674"/>
    <w:rsid w:val="A7FF18CA"/>
    <w:rsid w:val="B7FA3098"/>
    <w:rsid w:val="BB7FA927"/>
    <w:rsid w:val="C3B749F9"/>
    <w:rsid w:val="D49D3BF1"/>
    <w:rsid w:val="F5FFD31F"/>
    <w:rsid w:val="FF8F6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9"/>
    <w:pPr>
      <w:keepNext/>
      <w:keepLines/>
      <w:tabs>
        <w:tab w:val="left" w:pos="432"/>
      </w:tabs>
      <w:snapToGrid w:val="0"/>
      <w:spacing w:line="360" w:lineRule="auto"/>
      <w:outlineLvl w:val="0"/>
    </w:pPr>
    <w:rPr>
      <w:b/>
      <w:bCs/>
      <w:kern w:val="44"/>
      <w:sz w:val="36"/>
      <w:szCs w:val="44"/>
    </w:rPr>
  </w:style>
  <w:style w:type="paragraph" w:styleId="4">
    <w:name w:val="heading 2"/>
    <w:basedOn w:val="3"/>
    <w:next w:val="1"/>
    <w:link w:val="988"/>
    <w:qFormat/>
    <w:uiPriority w:val="0"/>
    <w:pPr>
      <w:jc w:val="left"/>
      <w:outlineLvl w:val="1"/>
    </w:pPr>
    <w:rPr>
      <w:rFonts w:ascii="仿宋_GB2312" w:hAnsi="仿宋_GB2312"/>
      <w:sz w:val="28"/>
      <w:szCs w:val="32"/>
      <w:lang w:val="zh-CN"/>
    </w:rPr>
  </w:style>
  <w:style w:type="paragraph" w:styleId="5">
    <w:name w:val="heading 3"/>
    <w:basedOn w:val="1"/>
    <w:next w:val="1"/>
    <w:link w:val="987"/>
    <w:qFormat/>
    <w:uiPriority w:val="0"/>
    <w:pPr>
      <w:keepNext/>
      <w:keepLines/>
      <w:tabs>
        <w:tab w:val="left" w:pos="900"/>
      </w:tabs>
      <w:snapToGrid w:val="0"/>
      <w:spacing w:line="360" w:lineRule="auto"/>
      <w:outlineLvl w:val="2"/>
    </w:pPr>
    <w:rPr>
      <w:b/>
      <w:bCs/>
      <w:sz w:val="24"/>
      <w:szCs w:val="32"/>
    </w:rPr>
  </w:style>
  <w:style w:type="paragraph" w:styleId="6">
    <w:name w:val="heading 4"/>
    <w:basedOn w:val="1"/>
    <w:next w:val="1"/>
    <w:link w:val="83"/>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4"/>
    <w:qFormat/>
    <w:uiPriority w:val="0"/>
    <w:pPr>
      <w:keepNext/>
      <w:keepLines/>
      <w:tabs>
        <w:tab w:val="left" w:pos="1008"/>
      </w:tabs>
      <w:snapToGrid w:val="0"/>
      <w:spacing w:line="360" w:lineRule="auto"/>
      <w:outlineLvl w:val="4"/>
    </w:pPr>
    <w:rPr>
      <w:b/>
      <w:bCs/>
      <w:sz w:val="28"/>
      <w:szCs w:val="28"/>
    </w:rPr>
  </w:style>
  <w:style w:type="paragraph" w:styleId="8">
    <w:name w:val="heading 6"/>
    <w:basedOn w:val="1"/>
    <w:next w:val="1"/>
    <w:link w:val="85"/>
    <w:qFormat/>
    <w:uiPriority w:val="0"/>
    <w:pPr>
      <w:keepNext/>
      <w:keepLines/>
      <w:tabs>
        <w:tab w:val="left" w:pos="1152"/>
      </w:tabs>
      <w:snapToGrid w:val="0"/>
      <w:spacing w:line="360" w:lineRule="auto"/>
      <w:outlineLvl w:val="5"/>
    </w:pPr>
    <w:rPr>
      <w:rFonts w:ascii="Arial" w:hAnsi="Arial" w:eastAsia="黑体"/>
      <w:b/>
      <w:bCs/>
      <w:sz w:val="24"/>
    </w:rPr>
  </w:style>
  <w:style w:type="paragraph" w:styleId="9">
    <w:name w:val="heading 7"/>
    <w:basedOn w:val="1"/>
    <w:next w:val="1"/>
    <w:link w:val="86"/>
    <w:qFormat/>
    <w:uiPriority w:val="0"/>
    <w:pPr>
      <w:keepNext/>
      <w:keepLines/>
      <w:tabs>
        <w:tab w:val="left" w:pos="1296"/>
      </w:tabs>
      <w:snapToGrid w:val="0"/>
      <w:spacing w:line="360" w:lineRule="auto"/>
      <w:outlineLvl w:val="6"/>
    </w:pPr>
    <w:rPr>
      <w:b/>
      <w:bCs/>
      <w:sz w:val="28"/>
    </w:rPr>
  </w:style>
  <w:style w:type="paragraph" w:styleId="10">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95"/>
    <w:qFormat/>
    <w:uiPriority w:val="0"/>
    <w:pPr>
      <w:spacing w:line="480" w:lineRule="exact"/>
      <w:ind w:firstLine="480" w:firstLineChars="200"/>
    </w:pPr>
    <w:rPr>
      <w:rFonts w:ascii="宋体" w:hAnsi="宋体"/>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82"/>
    <w:qFormat/>
    <w:uiPriority w:val="99"/>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8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90"/>
    <w:qFormat/>
    <w:uiPriority w:val="0"/>
    <w:pPr>
      <w:shd w:val="clear" w:color="auto" w:fill="000080"/>
    </w:pPr>
  </w:style>
  <w:style w:type="paragraph" w:styleId="20">
    <w:name w:val="annotation text"/>
    <w:basedOn w:val="1"/>
    <w:link w:val="91"/>
    <w:qFormat/>
    <w:uiPriority w:val="0"/>
    <w:pPr>
      <w:jc w:val="left"/>
    </w:pPr>
  </w:style>
  <w:style w:type="paragraph" w:styleId="21">
    <w:name w:val="Salutation"/>
    <w:basedOn w:val="1"/>
    <w:next w:val="1"/>
    <w:link w:val="92"/>
    <w:qFormat/>
    <w:uiPriority w:val="0"/>
    <w:rPr>
      <w:rFonts w:ascii="仿宋_GB2312" w:eastAsia="仿宋_GB2312"/>
      <w:sz w:val="28"/>
      <w:szCs w:val="20"/>
    </w:rPr>
  </w:style>
  <w:style w:type="paragraph" w:styleId="22">
    <w:name w:val="Body Text 3"/>
    <w:basedOn w:val="1"/>
    <w:link w:val="9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4"/>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39"/>
    <w:pPr>
      <w:ind w:left="1680" w:leftChars="800"/>
    </w:pPr>
  </w:style>
  <w:style w:type="paragraph" w:styleId="31">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2">
    <w:name w:val="Plain Text"/>
    <w:basedOn w:val="1"/>
    <w:link w:val="9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39"/>
    <w:pPr>
      <w:ind w:left="2940" w:leftChars="1400"/>
    </w:pPr>
  </w:style>
  <w:style w:type="paragraph" w:styleId="35">
    <w:name w:val="Date"/>
    <w:basedOn w:val="1"/>
    <w:next w:val="1"/>
    <w:link w:val="98"/>
    <w:qFormat/>
    <w:uiPriority w:val="0"/>
    <w:pPr>
      <w:ind w:left="100" w:leftChars="2500"/>
    </w:pPr>
    <w:rPr>
      <w:rFonts w:ascii="宋体"/>
      <w:sz w:val="24"/>
      <w:szCs w:val="21"/>
      <w:lang w:val="zh-CN"/>
    </w:rPr>
  </w:style>
  <w:style w:type="paragraph" w:styleId="36">
    <w:name w:val="Body Text Indent 2"/>
    <w:basedOn w:val="1"/>
    <w:link w:val="99"/>
    <w:qFormat/>
    <w:uiPriority w:val="0"/>
    <w:pPr>
      <w:spacing w:line="360" w:lineRule="auto"/>
      <w:ind w:firstLine="601"/>
      <w:textAlignment w:val="baseline"/>
    </w:pPr>
    <w:rPr>
      <w:rFonts w:ascii="宋体"/>
      <w:kern w:val="0"/>
      <w:sz w:val="28"/>
      <w:szCs w:val="20"/>
    </w:rPr>
  </w:style>
  <w:style w:type="paragraph" w:styleId="37">
    <w:name w:val="endnote text"/>
    <w:basedOn w:val="1"/>
    <w:link w:val="100"/>
    <w:qFormat/>
    <w:uiPriority w:val="0"/>
    <w:rPr>
      <w:lang w:val="zh-CN"/>
    </w:rPr>
  </w:style>
  <w:style w:type="paragraph" w:styleId="38">
    <w:name w:val="Balloon Text"/>
    <w:basedOn w:val="1"/>
    <w:link w:val="101"/>
    <w:qFormat/>
    <w:uiPriority w:val="0"/>
    <w:rPr>
      <w:sz w:val="18"/>
      <w:szCs w:val="18"/>
    </w:rPr>
  </w:style>
  <w:style w:type="paragraph" w:styleId="39">
    <w:name w:val="footer"/>
    <w:basedOn w:val="1"/>
    <w:link w:val="102"/>
    <w:qFormat/>
    <w:uiPriority w:val="99"/>
    <w:pPr>
      <w:tabs>
        <w:tab w:val="center" w:pos="4153"/>
        <w:tab w:val="right" w:pos="8306"/>
      </w:tabs>
      <w:snapToGrid w:val="0"/>
      <w:jc w:val="left"/>
    </w:pPr>
    <w:rPr>
      <w:sz w:val="18"/>
      <w:szCs w:val="18"/>
    </w:rPr>
  </w:style>
  <w:style w:type="paragraph" w:styleId="40">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39"/>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106"/>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39"/>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7"/>
    <w:qFormat/>
    <w:uiPriority w:val="0"/>
    <w:pPr>
      <w:spacing w:line="360" w:lineRule="auto"/>
      <w:ind w:firstLine="420"/>
    </w:pPr>
    <w:rPr>
      <w:sz w:val="24"/>
      <w:szCs w:val="20"/>
    </w:rPr>
  </w:style>
  <w:style w:type="paragraph" w:styleId="53">
    <w:name w:val="toc 2"/>
    <w:basedOn w:val="1"/>
    <w:next w:val="1"/>
    <w:qFormat/>
    <w:uiPriority w:val="39"/>
    <w:pPr>
      <w:ind w:left="420" w:leftChars="200"/>
    </w:pPr>
  </w:style>
  <w:style w:type="paragraph" w:styleId="54">
    <w:name w:val="toc 9"/>
    <w:basedOn w:val="1"/>
    <w:next w:val="1"/>
    <w:qFormat/>
    <w:uiPriority w:val="39"/>
    <w:pPr>
      <w:ind w:left="3360" w:leftChars="1600"/>
    </w:pPr>
  </w:style>
  <w:style w:type="paragraph" w:styleId="55">
    <w:name w:val="Body Text 2"/>
    <w:basedOn w:val="1"/>
    <w:link w:val="108"/>
    <w:qFormat/>
    <w:uiPriority w:val="0"/>
    <w:pPr>
      <w:spacing w:after="120" w:line="480" w:lineRule="auto"/>
    </w:pPr>
  </w:style>
  <w:style w:type="paragraph" w:styleId="5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1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11"/>
    <w:qFormat/>
    <w:uiPriority w:val="0"/>
    <w:rPr>
      <w:b/>
      <w:bCs/>
    </w:rPr>
  </w:style>
  <w:style w:type="paragraph" w:styleId="60">
    <w:name w:val="Body Text First Indent"/>
    <w:basedOn w:val="24"/>
    <w:link w:val="112"/>
    <w:qFormat/>
    <w:uiPriority w:val="0"/>
    <w:pPr>
      <w:ind w:firstLine="420"/>
    </w:pPr>
    <w:rPr>
      <w:rFonts w:hAnsi="Calibri" w:cs="Times New Roman"/>
      <w:snapToGrid/>
      <w:szCs w:val="20"/>
    </w:rPr>
  </w:style>
  <w:style w:type="paragraph" w:styleId="61">
    <w:name w:val="Body Text First Indent 2"/>
    <w:basedOn w:val="2"/>
    <w:link w:val="113"/>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character" w:customStyle="1" w:styleId="79">
    <w:name w:val="标题 2 Char"/>
    <w:qFormat/>
    <w:uiPriority w:val="0"/>
    <w:rPr>
      <w:rFonts w:ascii="Arial" w:hAnsi="Arial" w:eastAsia="黑体"/>
      <w:b/>
      <w:kern w:val="2"/>
      <w:sz w:val="32"/>
      <w:lang w:val="en-US" w:eastAsia="zh-CN"/>
    </w:rPr>
  </w:style>
  <w:style w:type="character" w:customStyle="1" w:styleId="80">
    <w:name w:val="标题 3 字符"/>
    <w:qFormat/>
    <w:uiPriority w:val="9"/>
    <w:rPr>
      <w:b/>
      <w:bCs/>
      <w:kern w:val="2"/>
      <w:sz w:val="32"/>
      <w:szCs w:val="32"/>
    </w:rPr>
  </w:style>
  <w:style w:type="character" w:customStyle="1" w:styleId="81">
    <w:name w:val="标题 1 字符1"/>
    <w:link w:val="3"/>
    <w:qFormat/>
    <w:uiPriority w:val="9"/>
    <w:rPr>
      <w:rFonts w:eastAsia="宋体"/>
      <w:b/>
      <w:bCs/>
      <w:kern w:val="44"/>
      <w:sz w:val="36"/>
      <w:szCs w:val="44"/>
    </w:rPr>
  </w:style>
  <w:style w:type="character" w:customStyle="1" w:styleId="82">
    <w:name w:val="正文缩进 字符2"/>
    <w:link w:val="16"/>
    <w:qFormat/>
    <w:uiPriority w:val="0"/>
    <w:rPr>
      <w:rFonts w:ascii="宋体" w:eastAsia="宋体"/>
      <w:snapToGrid w:val="0"/>
      <w:color w:val="000000"/>
      <w:kern w:val="28"/>
      <w:sz w:val="28"/>
      <w:lang w:val="en-US" w:eastAsia="zh-CN" w:bidi="ar-SA"/>
    </w:rPr>
  </w:style>
  <w:style w:type="character" w:customStyle="1" w:styleId="83">
    <w:name w:val="标题 4 字符1"/>
    <w:link w:val="6"/>
    <w:qFormat/>
    <w:uiPriority w:val="9"/>
    <w:rPr>
      <w:rFonts w:ascii="Arial" w:hAnsi="Arial" w:eastAsia="黑体"/>
      <w:b/>
      <w:bCs/>
      <w:kern w:val="2"/>
      <w:sz w:val="28"/>
      <w:szCs w:val="28"/>
      <w:lang w:val="zh-CN"/>
    </w:rPr>
  </w:style>
  <w:style w:type="character" w:customStyle="1" w:styleId="84">
    <w:name w:val="标题 5 字符"/>
    <w:link w:val="7"/>
    <w:qFormat/>
    <w:uiPriority w:val="0"/>
    <w:rPr>
      <w:rFonts w:eastAsia="宋体"/>
      <w:b/>
      <w:bCs/>
      <w:kern w:val="2"/>
      <w:sz w:val="28"/>
      <w:szCs w:val="28"/>
    </w:rPr>
  </w:style>
  <w:style w:type="character" w:customStyle="1" w:styleId="85">
    <w:name w:val="标题 6 字符"/>
    <w:link w:val="8"/>
    <w:qFormat/>
    <w:uiPriority w:val="0"/>
    <w:rPr>
      <w:rFonts w:ascii="Arial" w:hAnsi="Arial" w:eastAsia="黑体"/>
      <w:b/>
      <w:bCs/>
      <w:kern w:val="2"/>
      <w:sz w:val="24"/>
      <w:szCs w:val="24"/>
    </w:rPr>
  </w:style>
  <w:style w:type="character" w:customStyle="1" w:styleId="86">
    <w:name w:val="标题 7 字符"/>
    <w:link w:val="9"/>
    <w:qFormat/>
    <w:uiPriority w:val="0"/>
    <w:rPr>
      <w:rFonts w:eastAsia="宋体"/>
      <w:b/>
      <w:bCs/>
      <w:kern w:val="2"/>
      <w:sz w:val="28"/>
      <w:szCs w:val="24"/>
    </w:rPr>
  </w:style>
  <w:style w:type="character" w:customStyle="1" w:styleId="87">
    <w:name w:val="标题 8 字符"/>
    <w:link w:val="10"/>
    <w:qFormat/>
    <w:uiPriority w:val="0"/>
    <w:rPr>
      <w:rFonts w:ascii="Arial" w:hAnsi="Arial" w:eastAsia="黑体"/>
      <w:kern w:val="2"/>
      <w:sz w:val="24"/>
      <w:szCs w:val="24"/>
    </w:rPr>
  </w:style>
  <w:style w:type="character" w:customStyle="1" w:styleId="88">
    <w:name w:val="标题 9 字符"/>
    <w:link w:val="11"/>
    <w:qFormat/>
    <w:uiPriority w:val="0"/>
    <w:rPr>
      <w:rFonts w:ascii="Arial" w:hAnsi="Arial" w:eastAsia="黑体"/>
      <w:kern w:val="2"/>
      <w:sz w:val="21"/>
      <w:szCs w:val="21"/>
    </w:rPr>
  </w:style>
  <w:style w:type="character" w:customStyle="1" w:styleId="89">
    <w:name w:val="题注 字符"/>
    <w:link w:val="17"/>
    <w:qFormat/>
    <w:uiPriority w:val="0"/>
    <w:rPr>
      <w:b/>
      <w:kern w:val="2"/>
      <w:sz w:val="28"/>
    </w:rPr>
  </w:style>
  <w:style w:type="character" w:customStyle="1" w:styleId="90">
    <w:name w:val="文档结构图 字符"/>
    <w:link w:val="19"/>
    <w:qFormat/>
    <w:uiPriority w:val="0"/>
    <w:rPr>
      <w:kern w:val="2"/>
      <w:sz w:val="21"/>
      <w:szCs w:val="24"/>
      <w:shd w:val="clear" w:color="auto" w:fill="000080"/>
    </w:rPr>
  </w:style>
  <w:style w:type="character" w:customStyle="1" w:styleId="91">
    <w:name w:val="批注文字 字符1"/>
    <w:link w:val="20"/>
    <w:qFormat/>
    <w:uiPriority w:val="0"/>
    <w:rPr>
      <w:kern w:val="2"/>
      <w:sz w:val="21"/>
      <w:szCs w:val="24"/>
    </w:rPr>
  </w:style>
  <w:style w:type="character" w:customStyle="1" w:styleId="92">
    <w:name w:val="称呼 字符"/>
    <w:link w:val="21"/>
    <w:qFormat/>
    <w:uiPriority w:val="0"/>
    <w:rPr>
      <w:rFonts w:ascii="仿宋_GB2312" w:eastAsia="仿宋_GB2312"/>
      <w:kern w:val="2"/>
      <w:sz w:val="28"/>
    </w:rPr>
  </w:style>
  <w:style w:type="character" w:customStyle="1" w:styleId="93">
    <w:name w:val="正文文本 3 字符"/>
    <w:link w:val="22"/>
    <w:qFormat/>
    <w:uiPriority w:val="0"/>
    <w:rPr>
      <w:kern w:val="2"/>
      <w:sz w:val="21"/>
    </w:rPr>
  </w:style>
  <w:style w:type="character" w:customStyle="1" w:styleId="94">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5">
    <w:name w:val="正文文本缩进 字符1"/>
    <w:link w:val="2"/>
    <w:qFormat/>
    <w:uiPriority w:val="0"/>
    <w:rPr>
      <w:rFonts w:ascii="宋体" w:hAnsi="宋体"/>
      <w:kern w:val="2"/>
      <w:sz w:val="24"/>
      <w:szCs w:val="24"/>
    </w:rPr>
  </w:style>
  <w:style w:type="character" w:customStyle="1" w:styleId="96">
    <w:name w:val="HTML 地址 字符"/>
    <w:link w:val="29"/>
    <w:qFormat/>
    <w:uiPriority w:val="0"/>
    <w:rPr>
      <w:rFonts w:ascii="宋体" w:hAnsi="宋体"/>
      <w:i/>
      <w:iCs/>
      <w:sz w:val="24"/>
      <w:szCs w:val="24"/>
    </w:rPr>
  </w:style>
  <w:style w:type="character" w:customStyle="1" w:styleId="9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98">
    <w:name w:val="日期 字符"/>
    <w:link w:val="35"/>
    <w:qFormat/>
    <w:uiPriority w:val="0"/>
    <w:rPr>
      <w:rFonts w:ascii="宋体"/>
      <w:kern w:val="2"/>
      <w:sz w:val="24"/>
      <w:szCs w:val="21"/>
      <w:lang w:val="zh-CN"/>
    </w:rPr>
  </w:style>
  <w:style w:type="character" w:customStyle="1" w:styleId="99">
    <w:name w:val="正文文本缩进 2 字符"/>
    <w:link w:val="36"/>
    <w:qFormat/>
    <w:uiPriority w:val="0"/>
    <w:rPr>
      <w:rFonts w:ascii="宋体"/>
      <w:sz w:val="28"/>
    </w:rPr>
  </w:style>
  <w:style w:type="character" w:customStyle="1" w:styleId="100">
    <w:name w:val="尾注文本 字符"/>
    <w:link w:val="37"/>
    <w:qFormat/>
    <w:uiPriority w:val="0"/>
    <w:rPr>
      <w:kern w:val="2"/>
      <w:sz w:val="21"/>
      <w:szCs w:val="24"/>
      <w:lang w:val="zh-CN"/>
    </w:rPr>
  </w:style>
  <w:style w:type="character" w:customStyle="1" w:styleId="101">
    <w:name w:val="批注框文本 字符1"/>
    <w:link w:val="38"/>
    <w:qFormat/>
    <w:uiPriority w:val="0"/>
    <w:rPr>
      <w:kern w:val="2"/>
      <w:sz w:val="18"/>
      <w:szCs w:val="18"/>
    </w:rPr>
  </w:style>
  <w:style w:type="character" w:customStyle="1" w:styleId="102">
    <w:name w:val="页脚 字符2"/>
    <w:link w:val="39"/>
    <w:qFormat/>
    <w:locked/>
    <w:uiPriority w:val="99"/>
    <w:rPr>
      <w:kern w:val="2"/>
      <w:sz w:val="18"/>
      <w:szCs w:val="18"/>
    </w:rPr>
  </w:style>
  <w:style w:type="character" w:customStyle="1" w:styleId="103">
    <w:name w:val="页眉 字符2"/>
    <w:link w:val="40"/>
    <w:qFormat/>
    <w:uiPriority w:val="99"/>
    <w:rPr>
      <w:kern w:val="2"/>
      <w:sz w:val="18"/>
      <w:szCs w:val="18"/>
    </w:rPr>
  </w:style>
  <w:style w:type="character" w:customStyle="1" w:styleId="104">
    <w:name w:val="签名 字符"/>
    <w:link w:val="41"/>
    <w:qFormat/>
    <w:uiPriority w:val="0"/>
    <w:rPr>
      <w:rFonts w:eastAsia="仿宋_GB2312"/>
      <w:sz w:val="24"/>
    </w:rPr>
  </w:style>
  <w:style w:type="character" w:customStyle="1" w:styleId="105">
    <w:name w:val="副标题 字符"/>
    <w:link w:val="46"/>
    <w:qFormat/>
    <w:uiPriority w:val="0"/>
    <w:rPr>
      <w:rFonts w:ascii="Arial" w:hAnsi="Arial" w:eastAsia="隶书"/>
      <w:b/>
      <w:bCs/>
      <w:kern w:val="28"/>
      <w:sz w:val="44"/>
      <w:szCs w:val="32"/>
      <w:lang w:val="en-US" w:eastAsia="zh-CN" w:bidi="ar-SA"/>
    </w:rPr>
  </w:style>
  <w:style w:type="character" w:customStyle="1" w:styleId="106">
    <w:name w:val="脚注文本 字符"/>
    <w:link w:val="49"/>
    <w:qFormat/>
    <w:uiPriority w:val="0"/>
    <w:rPr>
      <w:color w:val="0000FF"/>
      <w:sz w:val="21"/>
    </w:rPr>
  </w:style>
  <w:style w:type="character" w:customStyle="1" w:styleId="107">
    <w:name w:val="正文文本缩进 3 字符"/>
    <w:link w:val="52"/>
    <w:qFormat/>
    <w:uiPriority w:val="0"/>
    <w:rPr>
      <w:kern w:val="2"/>
      <w:sz w:val="24"/>
    </w:rPr>
  </w:style>
  <w:style w:type="character" w:customStyle="1" w:styleId="108">
    <w:name w:val="正文文本 2 字符1"/>
    <w:link w:val="55"/>
    <w:qFormat/>
    <w:uiPriority w:val="0"/>
    <w:rPr>
      <w:kern w:val="2"/>
      <w:sz w:val="21"/>
      <w:szCs w:val="24"/>
    </w:rPr>
  </w:style>
  <w:style w:type="character" w:customStyle="1" w:styleId="109">
    <w:name w:val="HTML 预设格式 字符"/>
    <w:link w:val="56"/>
    <w:qFormat/>
    <w:uiPriority w:val="0"/>
    <w:rPr>
      <w:rFonts w:ascii="黑体" w:hAnsi="Courier New" w:eastAsia="黑体"/>
    </w:rPr>
  </w:style>
  <w:style w:type="character" w:customStyle="1" w:styleId="110">
    <w:name w:val="标题 字符"/>
    <w:link w:val="58"/>
    <w:qFormat/>
    <w:uiPriority w:val="10"/>
    <w:rPr>
      <w:b/>
      <w:sz w:val="24"/>
      <w:lang w:val="en-GB"/>
    </w:rPr>
  </w:style>
  <w:style w:type="character" w:customStyle="1" w:styleId="111">
    <w:name w:val="批注主题 字符"/>
    <w:link w:val="59"/>
    <w:qFormat/>
    <w:uiPriority w:val="0"/>
    <w:rPr>
      <w:b/>
      <w:bCs/>
      <w:kern w:val="2"/>
      <w:sz w:val="21"/>
      <w:szCs w:val="24"/>
    </w:rPr>
  </w:style>
  <w:style w:type="character" w:customStyle="1" w:styleId="112">
    <w:name w:val="正文文本首行缩进 字符"/>
    <w:link w:val="60"/>
    <w:qFormat/>
    <w:uiPriority w:val="0"/>
    <w:rPr>
      <w:rFonts w:ascii="宋体"/>
      <w:kern w:val="2"/>
      <w:sz w:val="24"/>
      <w:lang w:val="zh-CN"/>
    </w:rPr>
  </w:style>
  <w:style w:type="character" w:customStyle="1" w:styleId="113">
    <w:name w:val="正文文本首行缩进 2 字符"/>
    <w:link w:val="61"/>
    <w:qFormat/>
    <w:uiPriority w:val="0"/>
    <w:rPr>
      <w:rFonts w:ascii="宋体" w:hAnsi="宋体"/>
      <w:kern w:val="2"/>
      <w:sz w:val="21"/>
      <w:szCs w:val="24"/>
    </w:rPr>
  </w:style>
  <w:style w:type="paragraph" w:customStyle="1" w:styleId="114">
    <w:name w:val="Default"/>
    <w:link w:val="11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15">
    <w:name w:val="Default Char"/>
    <w:link w:val="114"/>
    <w:qFormat/>
    <w:uiPriority w:val="0"/>
    <w:rPr>
      <w:rFonts w:ascii="仿宋_GB2312" w:eastAsia="仿宋_GB2312" w:cs="仿宋_GB2312"/>
      <w:color w:val="000000"/>
      <w:sz w:val="24"/>
      <w:szCs w:val="24"/>
      <w:lang w:val="en-US" w:eastAsia="zh-CN" w:bidi="ar-SA"/>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仿宋" w:hAnsi="仿宋" w:eastAsia="仿宋"/>
      <w:kern w:val="2"/>
      <w:sz w:val="24"/>
      <w:szCs w:val="24"/>
    </w:rPr>
  </w:style>
  <w:style w:type="paragraph" w:customStyle="1" w:styleId="119">
    <w:name w:val="*正文"/>
    <w:basedOn w:val="1"/>
    <w:link w:val="118"/>
    <w:qFormat/>
    <w:uiPriority w:val="0"/>
    <w:pPr>
      <w:spacing w:line="360" w:lineRule="auto"/>
      <w:ind w:firstLine="420"/>
    </w:pPr>
    <w:rPr>
      <w:rFonts w:ascii="仿宋" w:hAnsi="仿宋" w:eastAsia="仿宋"/>
      <w:sz w:val="24"/>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semiHidden/>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locked/>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正文 项目2 Char"/>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0"/>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locked/>
    <w:uiPriority w:val="0"/>
    <w:rPr>
      <w:rFonts w:ascii="宋体" w:hAnsi="宋体" w:eastAsia="宋体"/>
      <w:kern w:val="2"/>
      <w:sz w:val="24"/>
      <w:lang w:val="en-US" w:eastAsia="zh-CN" w:bidi="ar-SA"/>
    </w:rPr>
  </w:style>
  <w:style w:type="character" w:customStyle="1" w:styleId="194">
    <w:name w:val="标题 2 字符"/>
    <w:qFormat/>
    <w:uiPriority w:val="0"/>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4"/>
    <w:link w:val="198"/>
    <w:qFormat/>
    <w:uiPriority w:val="0"/>
    <w:pPr>
      <w:spacing w:before="240" w:after="240" w:line="240" w:lineRule="auto"/>
      <w:jc w:val="center"/>
    </w:pPr>
    <w:rPr>
      <w:rFonts w:ascii="Calibri" w:hAnsi="Calibri"/>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semiHidden/>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semiHidden/>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99"/>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semiHidden/>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locked/>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0"/>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0"/>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5"/>
    <w:qFormat/>
    <w:uiPriority w:val="99"/>
    <w:pPr>
      <w:keepLines w:val="0"/>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maywed421"/>
    <w:qFormat/>
    <w:uiPriority w:val="0"/>
    <w:rPr>
      <w:color w:val="366FB6"/>
      <w:u w:val="none"/>
    </w:rPr>
  </w:style>
  <w:style w:type="character" w:customStyle="1" w:styleId="233">
    <w:name w:val="正文文本缩进 Char"/>
    <w:qFormat/>
    <w:uiPriority w:val="0"/>
    <w:rPr>
      <w:rFonts w:ascii="宋体" w:hAnsi="宋体"/>
      <w:kern w:val="2"/>
      <w:sz w:val="24"/>
      <w:szCs w:val="24"/>
    </w:rPr>
  </w:style>
  <w:style w:type="character" w:customStyle="1" w:styleId="234">
    <w:name w:val="Char Char102"/>
    <w:semiHidden/>
    <w:qFormat/>
    <w:uiPriority w:val="0"/>
    <w:rPr>
      <w:rFonts w:ascii="宋体" w:hAnsi="宋体"/>
      <w:kern w:val="2"/>
      <w:sz w:val="21"/>
      <w:szCs w:val="24"/>
      <w:lang w:val="en-US" w:eastAsia="zh-CN"/>
    </w:rPr>
  </w:style>
  <w:style w:type="character" w:customStyle="1" w:styleId="235">
    <w:name w:val="页眉 Char1"/>
    <w:qFormat/>
    <w:uiPriority w:val="0"/>
    <w:rPr>
      <w:rFonts w:eastAsia="宋体"/>
      <w:kern w:val="2"/>
      <w:sz w:val="18"/>
      <w:szCs w:val="18"/>
      <w:lang w:val="en-US" w:eastAsia="zh-CN" w:bidi="ar-SA"/>
    </w:rPr>
  </w:style>
  <w:style w:type="character" w:customStyle="1" w:styleId="236">
    <w:name w:val="md"/>
    <w:qFormat/>
    <w:uiPriority w:val="0"/>
    <w:rPr>
      <w:rFonts w:ascii="Arial" w:hAnsi="Arial" w:eastAsia="黑体" w:cs="Arial"/>
      <w:snapToGrid w:val="0"/>
      <w:kern w:val="0"/>
      <w:szCs w:val="21"/>
    </w:rPr>
  </w:style>
  <w:style w:type="character" w:customStyle="1" w:styleId="237">
    <w:name w:val="big1"/>
    <w:qFormat/>
    <w:uiPriority w:val="0"/>
    <w:rPr>
      <w:rFonts w:hint="eastAsia" w:ascii="宋体" w:hAnsi="宋体" w:eastAsia="宋体"/>
      <w:color w:val="333333"/>
      <w:sz w:val="22"/>
      <w:szCs w:val="22"/>
    </w:rPr>
  </w:style>
  <w:style w:type="character" w:customStyle="1" w:styleId="238">
    <w:name w:val="Char Char311"/>
    <w:qFormat/>
    <w:uiPriority w:val="0"/>
    <w:rPr>
      <w:rFonts w:eastAsia="宋体"/>
      <w:kern w:val="2"/>
      <w:sz w:val="21"/>
      <w:szCs w:val="24"/>
      <w:lang w:val="en-US" w:eastAsia="zh-CN" w:bidi="ar-SA"/>
    </w:rPr>
  </w:style>
  <w:style w:type="character" w:customStyle="1" w:styleId="239">
    <w:name w:val="Char Char81"/>
    <w:qFormat/>
    <w:uiPriority w:val="6"/>
    <w:rPr>
      <w:rFonts w:eastAsia="宋体"/>
      <w:b/>
      <w:sz w:val="24"/>
      <w:lang w:val="en-GB" w:eastAsia="zh-CN"/>
    </w:rPr>
  </w:style>
  <w:style w:type="character" w:customStyle="1" w:styleId="240">
    <w:name w:val="样式3 Char"/>
    <w:qFormat/>
    <w:uiPriority w:val="0"/>
    <w:rPr>
      <w:rFonts w:ascii="仿宋_GB2312" w:hAnsi="仿宋" w:eastAsia="仿宋_GB2312" w:cs="仿宋_GB2312"/>
      <w:sz w:val="32"/>
      <w:szCs w:val="30"/>
      <w:lang w:val="zh-CN"/>
    </w:rPr>
  </w:style>
  <w:style w:type="character" w:customStyle="1" w:styleId="241">
    <w:name w:val="正文首行缩进 2 Char1"/>
    <w:qFormat/>
    <w:uiPriority w:val="0"/>
    <w:rPr>
      <w:rFonts w:ascii="Times New Roman" w:hAnsi="Times New Roman" w:eastAsia="宋体" w:cs="Times New Roman"/>
      <w:kern w:val="2"/>
      <w:sz w:val="24"/>
      <w:szCs w:val="24"/>
    </w:rPr>
  </w:style>
  <w:style w:type="character" w:customStyle="1" w:styleId="242">
    <w:name w:val="副标题 Char2"/>
    <w:qFormat/>
    <w:uiPriority w:val="0"/>
    <w:rPr>
      <w:rFonts w:ascii="Cambria" w:hAnsi="Cambria" w:eastAsia="宋体" w:cs="Times New Roman"/>
      <w:b/>
      <w:bCs/>
      <w:snapToGrid w:val="0"/>
      <w:kern w:val="28"/>
      <w:sz w:val="32"/>
      <w:szCs w:val="32"/>
    </w:rPr>
  </w:style>
  <w:style w:type="character" w:customStyle="1" w:styleId="243">
    <w:name w:val="标题4-dyf Char"/>
    <w:link w:val="244"/>
    <w:qFormat/>
    <w:uiPriority w:val="0"/>
    <w:rPr>
      <w:rFonts w:ascii="Cambria" w:hAnsi="Cambria"/>
      <w:b/>
      <w:bCs/>
      <w:color w:val="000000"/>
      <w:kern w:val="2"/>
      <w:sz w:val="21"/>
      <w:szCs w:val="21"/>
    </w:rPr>
  </w:style>
  <w:style w:type="paragraph" w:customStyle="1" w:styleId="244">
    <w:name w:val="标题4-dyf"/>
    <w:basedOn w:val="6"/>
    <w:link w:val="24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5">
    <w:name w:val="dectext1"/>
    <w:qFormat/>
    <w:uiPriority w:val="0"/>
    <w:rPr>
      <w:rFonts w:ascii="宋体" w:hAnsi="宋体" w:eastAsia="宋体"/>
      <w:color w:val="333333"/>
      <w:sz w:val="21"/>
      <w:szCs w:val="21"/>
      <w:u w:val="none"/>
    </w:rPr>
  </w:style>
  <w:style w:type="character" w:customStyle="1" w:styleId="246">
    <w:name w:val="冯 Char"/>
    <w:link w:val="247"/>
    <w:qFormat/>
    <w:uiPriority w:val="0"/>
    <w:rPr>
      <w:rFonts w:ascii="宋体" w:hAnsi="宋体"/>
      <w:color w:val="000000"/>
      <w:sz w:val="24"/>
      <w:szCs w:val="24"/>
    </w:rPr>
  </w:style>
  <w:style w:type="paragraph" w:customStyle="1" w:styleId="247">
    <w:name w:val="冯"/>
    <w:basedOn w:val="1"/>
    <w:link w:val="246"/>
    <w:qFormat/>
    <w:uiPriority w:val="0"/>
    <w:pPr>
      <w:widowControl/>
      <w:adjustRightInd/>
      <w:spacing w:line="360" w:lineRule="auto"/>
      <w:ind w:firstLine="480" w:firstLineChars="200"/>
    </w:pPr>
    <w:rPr>
      <w:rFonts w:ascii="宋体" w:hAnsi="宋体"/>
      <w:color w:val="000000"/>
      <w:kern w:val="0"/>
      <w:sz w:val="24"/>
    </w:rPr>
  </w:style>
  <w:style w:type="character" w:customStyle="1" w:styleId="248">
    <w:name w:val="Header Char"/>
    <w:qFormat/>
    <w:locked/>
    <w:uiPriority w:val="0"/>
    <w:rPr>
      <w:rFonts w:eastAsia="宋体"/>
      <w:kern w:val="2"/>
      <w:sz w:val="18"/>
      <w:szCs w:val="18"/>
      <w:lang w:val="en-US" w:eastAsia="zh-CN" w:bidi="ar-SA"/>
    </w:rPr>
  </w:style>
  <w:style w:type="character" w:customStyle="1" w:styleId="249">
    <w:name w:val="Char Char12"/>
    <w:qFormat/>
    <w:uiPriority w:val="0"/>
    <w:rPr>
      <w:rFonts w:ascii="仿宋_GB2312" w:eastAsia="仿宋_GB2312"/>
      <w:b/>
      <w:bCs/>
      <w:kern w:val="2"/>
      <w:sz w:val="24"/>
      <w:szCs w:val="24"/>
      <w:lang w:val="zh-CN" w:eastAsia="zh-CN" w:bidi="ar-SA"/>
    </w:rPr>
  </w:style>
  <w:style w:type="character" w:customStyle="1" w:styleId="250">
    <w:name w:val="普通文字 Char3"/>
    <w:qFormat/>
    <w:uiPriority w:val="0"/>
    <w:rPr>
      <w:rFonts w:ascii="宋体" w:hAnsi="Courier New" w:eastAsia="宋体"/>
      <w:kern w:val="2"/>
      <w:sz w:val="21"/>
      <w:lang w:val="en-US" w:eastAsia="zh-CN" w:bidi="ar-SA"/>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正文首行缩进 Char Char Char Char Char"/>
    <w:qFormat/>
    <w:uiPriority w:val="0"/>
    <w:rPr>
      <w:rFonts w:ascii="宋体"/>
      <w:kern w:val="2"/>
      <w:sz w:val="24"/>
      <w:lang w:val="zh-CN"/>
    </w:rPr>
  </w:style>
  <w:style w:type="character" w:customStyle="1" w:styleId="253">
    <w:name w:val="PI Char"/>
    <w:qFormat/>
    <w:uiPriority w:val="0"/>
    <w:rPr>
      <w:rFonts w:ascii="宋体" w:hAnsi="宋体" w:eastAsia="宋体"/>
      <w:kern w:val="2"/>
      <w:sz w:val="24"/>
      <w:szCs w:val="24"/>
      <w:lang w:val="en-US" w:eastAsia="zh-CN" w:bidi="ar-SA"/>
    </w:rPr>
  </w:style>
  <w:style w:type="character" w:customStyle="1" w:styleId="254">
    <w:name w:val="style91"/>
    <w:qFormat/>
    <w:uiPriority w:val="0"/>
    <w:rPr>
      <w:color w:val="333333"/>
    </w:rPr>
  </w:style>
  <w:style w:type="character" w:customStyle="1" w:styleId="255">
    <w:name w:val="列出段落 Char2"/>
    <w:qFormat/>
    <w:uiPriority w:val="34"/>
    <w:rPr>
      <w:rFonts w:ascii="Calibri" w:hAnsi="Calibri"/>
      <w:kern w:val="2"/>
      <w:sz w:val="28"/>
    </w:rPr>
  </w:style>
  <w:style w:type="character" w:customStyle="1" w:styleId="256">
    <w:name w:val="mdeck"/>
    <w:qFormat/>
    <w:uiPriority w:val="0"/>
    <w:rPr>
      <w:rFonts w:ascii="仿宋_GB2312" w:eastAsia="微软雅黑"/>
      <w:b/>
      <w:kern w:val="2"/>
      <w:sz w:val="32"/>
      <w:szCs w:val="32"/>
      <w:lang w:val="en-US" w:eastAsia="zh-CN" w:bidi="ar-SA"/>
    </w:rPr>
  </w:style>
  <w:style w:type="character" w:customStyle="1" w:styleId="257">
    <w:name w:val="unnamed11"/>
    <w:qFormat/>
    <w:uiPriority w:val="0"/>
    <w:rPr>
      <w:sz w:val="20"/>
      <w:szCs w:val="20"/>
    </w:rPr>
  </w:style>
  <w:style w:type="character" w:customStyle="1" w:styleId="258">
    <w:name w:val="正文文本 Char2"/>
    <w:semiHidden/>
    <w:qFormat/>
    <w:uiPriority w:val="99"/>
    <w:rPr>
      <w:rFonts w:ascii="Times New Roman" w:hAnsi="Times New Roman" w:eastAsia="宋体" w:cs="Times New Roman"/>
      <w:snapToGrid w:val="0"/>
      <w:kern w:val="0"/>
      <w:szCs w:val="24"/>
    </w:rPr>
  </w:style>
  <w:style w:type="character" w:customStyle="1" w:styleId="259">
    <w:name w:val="标书正文格式 Char"/>
    <w:qFormat/>
    <w:uiPriority w:val="0"/>
    <w:rPr>
      <w:rFonts w:eastAsia="楷体_GB2312"/>
      <w:kern w:val="2"/>
      <w:sz w:val="24"/>
      <w:szCs w:val="24"/>
      <w:lang w:bidi="ar-SA"/>
    </w:rPr>
  </w:style>
  <w:style w:type="character" w:customStyle="1" w:styleId="260">
    <w:name w:val="Char Char11"/>
    <w:qFormat/>
    <w:locked/>
    <w:uiPriority w:val="0"/>
    <w:rPr>
      <w:rFonts w:ascii="宋体" w:hAnsi="宋体" w:eastAsia="宋体"/>
      <w:b/>
      <w:kern w:val="2"/>
      <w:sz w:val="24"/>
      <w:szCs w:val="24"/>
      <w:lang w:val="en-US" w:eastAsia="zh-CN" w:bidi="ar-SA"/>
    </w:rPr>
  </w:style>
  <w:style w:type="character" w:customStyle="1" w:styleId="261">
    <w:name w:val="ca-131"/>
    <w:qFormat/>
    <w:uiPriority w:val="0"/>
    <w:rPr>
      <w:rFonts w:hint="eastAsia" w:ascii="仿宋_GB2312" w:eastAsia="仿宋_GB2312"/>
      <w:b/>
      <w:bCs/>
      <w:color w:val="000000"/>
      <w:spacing w:val="-20"/>
      <w:sz w:val="24"/>
      <w:szCs w:val="24"/>
    </w:rPr>
  </w:style>
  <w:style w:type="character" w:customStyle="1" w:styleId="262">
    <w:name w:val="tw4winMark"/>
    <w:qFormat/>
    <w:uiPriority w:val="0"/>
    <w:rPr>
      <w:rFonts w:ascii="Courier New" w:hAnsi="Courier New" w:cs="Courier New"/>
      <w:vanish/>
      <w:color w:val="800080"/>
      <w:sz w:val="24"/>
      <w:szCs w:val="24"/>
      <w:vertAlign w:val="subscript"/>
    </w:rPr>
  </w:style>
  <w:style w:type="character" w:customStyle="1" w:styleId="263">
    <w:name w:val="正文样式 Char"/>
    <w:link w:val="264"/>
    <w:qFormat/>
    <w:uiPriority w:val="0"/>
    <w:rPr>
      <w:rFonts w:ascii="Calibri" w:hAnsi="Calibri"/>
      <w:sz w:val="24"/>
      <w:szCs w:val="24"/>
    </w:rPr>
  </w:style>
  <w:style w:type="paragraph" w:customStyle="1" w:styleId="264">
    <w:name w:val="正文样式"/>
    <w:basedOn w:val="1"/>
    <w:link w:val="263"/>
    <w:qFormat/>
    <w:uiPriority w:val="0"/>
    <w:pPr>
      <w:adjustRightInd/>
      <w:spacing w:line="360" w:lineRule="auto"/>
      <w:ind w:firstLine="480" w:firstLineChars="200"/>
    </w:pPr>
    <w:rPr>
      <w:kern w:val="0"/>
      <w:sz w:val="24"/>
    </w:rPr>
  </w:style>
  <w:style w:type="character" w:customStyle="1" w:styleId="265">
    <w:name w:val="表正文 Char3"/>
    <w:qFormat/>
    <w:uiPriority w:val="0"/>
    <w:rPr>
      <w:rFonts w:eastAsia="宋体"/>
    </w:rPr>
  </w:style>
  <w:style w:type="character" w:customStyle="1" w:styleId="266">
    <w:name w:val="H5 Char"/>
    <w:qFormat/>
    <w:uiPriority w:val="0"/>
    <w:rPr>
      <w:b/>
      <w:bCs/>
      <w:kern w:val="2"/>
      <w:sz w:val="28"/>
      <w:szCs w:val="28"/>
    </w:rPr>
  </w:style>
  <w:style w:type="character" w:customStyle="1" w:styleId="267">
    <w:name w:val="Char Char3"/>
    <w:qFormat/>
    <w:uiPriority w:val="0"/>
    <w:rPr>
      <w:rFonts w:eastAsia="宋体"/>
      <w:kern w:val="2"/>
      <w:sz w:val="21"/>
      <w:szCs w:val="24"/>
      <w:lang w:val="en-US" w:eastAsia="zh-CN" w:bidi="ar-SA"/>
    </w:rPr>
  </w:style>
  <w:style w:type="character" w:customStyle="1" w:styleId="268">
    <w:name w:val="正文 编号 Char"/>
    <w:qFormat/>
    <w:uiPriority w:val="0"/>
    <w:rPr>
      <w:rFonts w:ascii="仿宋_GB2312" w:hAnsi="仿宋_GB2312" w:eastAsia="仿宋_GB2312"/>
      <w:kern w:val="2"/>
      <w:sz w:val="24"/>
      <w:lang w:bidi="ar-SA"/>
    </w:rPr>
  </w:style>
  <w:style w:type="character" w:customStyle="1" w:styleId="269">
    <w:name w:val="question-title2"/>
    <w:qFormat/>
    <w:uiPriority w:val="6"/>
    <w:rPr>
      <w:rFonts w:ascii="Arial" w:hAnsi="Arial" w:eastAsia="黑体" w:cs="Arial"/>
      <w:snapToGrid w:val="0"/>
      <w:kern w:val="0"/>
      <w:szCs w:val="21"/>
    </w:rPr>
  </w:style>
  <w:style w:type="character" w:customStyle="1" w:styleId="270">
    <w:name w:val="gf正文1 Char Char"/>
    <w:link w:val="271"/>
    <w:qFormat/>
    <w:uiPriority w:val="0"/>
    <w:rPr>
      <w:rFonts w:ascii="宋体" w:hAnsi="宋体" w:cs="宋体"/>
      <w:kern w:val="2"/>
      <w:sz w:val="24"/>
      <w:szCs w:val="24"/>
    </w:rPr>
  </w:style>
  <w:style w:type="paragraph" w:customStyle="1" w:styleId="271">
    <w:name w:val="gf正文1"/>
    <w:basedOn w:val="1"/>
    <w:link w:val="27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2">
    <w:name w:val="Char Char15"/>
    <w:qFormat/>
    <w:uiPriority w:val="6"/>
    <w:rPr>
      <w:rFonts w:ascii="宋体" w:hAnsi="宋体"/>
      <w:kern w:val="1"/>
      <w:sz w:val="21"/>
    </w:rPr>
  </w:style>
  <w:style w:type="character" w:customStyle="1" w:styleId="273">
    <w:name w:val="正文缩进 Char3"/>
    <w:qFormat/>
    <w:uiPriority w:val="0"/>
    <w:rPr>
      <w:rFonts w:ascii="宋体" w:eastAsia="宋体"/>
      <w:snapToGrid w:val="0"/>
      <w:color w:val="000000"/>
      <w:kern w:val="28"/>
      <w:sz w:val="28"/>
      <w:lang w:val="en-US" w:eastAsia="zh-CN" w:bidi="ar-SA"/>
    </w:rPr>
  </w:style>
  <w:style w:type="character" w:customStyle="1" w:styleId="274">
    <w:name w:val="列出段落 Char1"/>
    <w:link w:val="275"/>
    <w:qFormat/>
    <w:uiPriority w:val="0"/>
    <w:rPr>
      <w:rFonts w:ascii="Calibri" w:hAnsi="Calibri"/>
      <w:sz w:val="24"/>
      <w:lang w:eastAsia="en-US"/>
    </w:rPr>
  </w:style>
  <w:style w:type="paragraph" w:customStyle="1" w:styleId="275">
    <w:name w:val="列表1"/>
    <w:basedOn w:val="1"/>
    <w:next w:val="276"/>
    <w:link w:val="2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6">
    <w:name w:val="列表段落1"/>
    <w:basedOn w:val="1"/>
    <w:link w:val="277"/>
    <w:qFormat/>
    <w:uiPriority w:val="99"/>
    <w:pPr>
      <w:spacing w:line="360" w:lineRule="auto"/>
      <w:ind w:firstLine="200" w:firstLineChars="200"/>
    </w:pPr>
    <w:rPr>
      <w:rFonts w:eastAsia="楷体_GB2312" w:cs="Lucida Sans"/>
      <w:sz w:val="24"/>
    </w:rPr>
  </w:style>
  <w:style w:type="character" w:customStyle="1" w:styleId="277">
    <w:name w:val="列表段落 字符1"/>
    <w:link w:val="276"/>
    <w:qFormat/>
    <w:locked/>
    <w:uiPriority w:val="34"/>
    <w:rPr>
      <w:rFonts w:eastAsia="楷体_GB2312" w:cs="Lucida Sans"/>
      <w:kern w:val="2"/>
      <w:sz w:val="24"/>
      <w:szCs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qFormat/>
    <w:uiPriority w:val="99"/>
  </w:style>
  <w:style w:type="character" w:customStyle="1" w:styleId="281">
    <w:name w:val="Ò³Ã¼ Char Char1"/>
    <w:qFormat/>
    <w:uiPriority w:val="0"/>
    <w:rPr>
      <w:rFonts w:eastAsia="宋体"/>
      <w:kern w:val="2"/>
      <w:sz w:val="18"/>
      <w:szCs w:val="18"/>
      <w:lang w:val="en-US" w:eastAsia="zh-CN" w:bidi="ar-SA"/>
    </w:rPr>
  </w:style>
  <w:style w:type="character" w:customStyle="1" w:styleId="282">
    <w:name w:val="方案正文 Char"/>
    <w:qFormat/>
    <w:uiPriority w:val="0"/>
    <w:rPr>
      <w:rFonts w:ascii="仿宋_GB2312" w:eastAsia="仿宋_GB2312"/>
      <w:b/>
      <w:color w:val="000000"/>
      <w:kern w:val="2"/>
      <w:sz w:val="24"/>
      <w:lang w:val="en-US" w:eastAsia="zh-CN" w:bidi="ar-SA"/>
    </w:rPr>
  </w:style>
  <w:style w:type="character" w:customStyle="1" w:styleId="283">
    <w:name w:val="Char Char30"/>
    <w:qFormat/>
    <w:uiPriority w:val="6"/>
    <w:rPr>
      <w:rFonts w:ascii="Arial" w:hAnsi="Arial" w:eastAsia="黑体"/>
      <w:kern w:val="1"/>
      <w:sz w:val="21"/>
      <w:szCs w:val="21"/>
    </w:rPr>
  </w:style>
  <w:style w:type="character" w:customStyle="1" w:styleId="284">
    <w:name w:val="font01"/>
    <w:qFormat/>
    <w:uiPriority w:val="0"/>
    <w:rPr>
      <w:rFonts w:hint="eastAsia" w:ascii="微软雅黑" w:hAnsi="微软雅黑" w:eastAsia="微软雅黑" w:cs="微软雅黑"/>
      <w:color w:val="000000"/>
      <w:sz w:val="20"/>
      <w:szCs w:val="20"/>
      <w:u w:val="none"/>
    </w:rPr>
  </w:style>
  <w:style w:type="character" w:customStyle="1" w:styleId="285">
    <w:name w:val="Char Char20"/>
    <w:qFormat/>
    <w:uiPriority w:val="6"/>
    <w:rPr>
      <w:kern w:val="1"/>
      <w:sz w:val="24"/>
    </w:rPr>
  </w:style>
  <w:style w:type="character" w:customStyle="1" w:styleId="286">
    <w:name w:val="tw4winExternal"/>
    <w:qFormat/>
    <w:uiPriority w:val="0"/>
    <w:rPr>
      <w:rFonts w:ascii="Courier New" w:hAnsi="Courier New" w:cs="Courier New"/>
      <w:color w:val="808080"/>
      <w:lang w:val="en-US" w:eastAsia="zh-CN"/>
    </w:rPr>
  </w:style>
  <w:style w:type="character" w:customStyle="1" w:styleId="287">
    <w:name w:val="标题 4 Char1"/>
    <w:qFormat/>
    <w:uiPriority w:val="9"/>
    <w:rPr>
      <w:rFonts w:ascii="Cambria" w:hAnsi="Cambria" w:eastAsia="宋体" w:cs="Times New Roman"/>
      <w:b/>
      <w:bCs/>
      <w:kern w:val="2"/>
      <w:sz w:val="28"/>
      <w:szCs w:val="28"/>
    </w:rPr>
  </w:style>
  <w:style w:type="character" w:customStyle="1" w:styleId="288">
    <w:name w:val="批注文字 Char2"/>
    <w:qFormat/>
    <w:uiPriority w:val="99"/>
    <w:rPr>
      <w:rFonts w:ascii="Times New Roman" w:hAnsi="Times New Roman" w:eastAsia="宋体" w:cs="Times New Roman"/>
      <w:snapToGrid w:val="0"/>
      <w:kern w:val="0"/>
      <w:szCs w:val="24"/>
    </w:rPr>
  </w:style>
  <w:style w:type="character" w:customStyle="1" w:styleId="289">
    <w:name w:val="正文文本 2 Char"/>
    <w:qFormat/>
    <w:uiPriority w:val="0"/>
    <w:rPr>
      <w:rFonts w:eastAsia="宋体"/>
      <w:kern w:val="2"/>
      <w:sz w:val="21"/>
      <w:szCs w:val="24"/>
      <w:lang w:val="en-US" w:eastAsia="zh-CN" w:bidi="ar-SA"/>
    </w:rPr>
  </w:style>
  <w:style w:type="character" w:customStyle="1" w:styleId="290">
    <w:name w:val="Ò³Ã¼ Char Char"/>
    <w:qFormat/>
    <w:uiPriority w:val="0"/>
    <w:rPr>
      <w:rFonts w:eastAsia="宋体"/>
      <w:kern w:val="2"/>
      <w:sz w:val="18"/>
      <w:lang w:val="en-US" w:eastAsia="zh-CN" w:bidi="ar-SA"/>
    </w:rPr>
  </w:style>
  <w:style w:type="character" w:customStyle="1" w:styleId="291">
    <w:name w:val="message1"/>
    <w:qFormat/>
    <w:uiPriority w:val="0"/>
    <w:rPr>
      <w:rFonts w:hint="default" w:ascii="Tahoma" w:hAnsi="Tahoma" w:cs="Tahoma"/>
      <w:sz w:val="18"/>
      <w:szCs w:val="18"/>
    </w:rPr>
  </w:style>
  <w:style w:type="character" w:customStyle="1" w:styleId="292">
    <w:name w:val="Char Char23"/>
    <w:qFormat/>
    <w:uiPriority w:val="6"/>
    <w:rPr>
      <w:color w:val="0000FF"/>
      <w:sz w:val="21"/>
    </w:rPr>
  </w:style>
  <w:style w:type="character" w:customStyle="1" w:styleId="293">
    <w:name w:val="批注框文本 字符"/>
    <w:qFormat/>
    <w:uiPriority w:val="0"/>
    <w:rPr>
      <w:rFonts w:ascii="Arial" w:hAnsi="Arial" w:eastAsia="黑体" w:cs="Arial"/>
      <w:snapToGrid w:val="0"/>
      <w:kern w:val="0"/>
      <w:sz w:val="18"/>
      <w:szCs w:val="18"/>
    </w:rPr>
  </w:style>
  <w:style w:type="character" w:customStyle="1" w:styleId="294">
    <w:name w:val="纯文本 Char2"/>
    <w:semiHidden/>
    <w:qFormat/>
    <w:uiPriority w:val="99"/>
    <w:rPr>
      <w:rFonts w:ascii="宋体" w:hAnsi="Courier New" w:eastAsia="宋体" w:cs="Courier New"/>
    </w:rPr>
  </w:style>
  <w:style w:type="character" w:customStyle="1" w:styleId="295">
    <w:name w:val="Char Char25"/>
    <w:qFormat/>
    <w:uiPriority w:val="6"/>
    <w:rPr>
      <w:rFonts w:ascii="宋体" w:hAnsi="宋体"/>
      <w:kern w:val="1"/>
      <w:sz w:val="24"/>
      <w:lang w:val="zh-CN"/>
    </w:rPr>
  </w:style>
  <w:style w:type="character" w:customStyle="1" w:styleId="296">
    <w:name w:val="Char Char411"/>
    <w:qFormat/>
    <w:uiPriority w:val="0"/>
    <w:rPr>
      <w:rFonts w:eastAsia="宋体"/>
      <w:b/>
      <w:sz w:val="24"/>
      <w:lang w:val="en-GB" w:eastAsia="zh-CN" w:bidi="ar-SA"/>
    </w:rPr>
  </w:style>
  <w:style w:type="character" w:customStyle="1" w:styleId="297">
    <w:name w:val="Heading 7 Char"/>
    <w:qFormat/>
    <w:locked/>
    <w:uiPriority w:val="0"/>
    <w:rPr>
      <w:rFonts w:ascii="宋体" w:hAnsi="宋体" w:eastAsia="宋体"/>
      <w:b/>
      <w:bCs/>
      <w:kern w:val="2"/>
      <w:sz w:val="24"/>
      <w:szCs w:val="24"/>
      <w:lang w:val="en-US" w:eastAsia="zh-CN" w:bidi="ar-SA"/>
    </w:rPr>
  </w:style>
  <w:style w:type="character" w:customStyle="1" w:styleId="298">
    <w:name w:val="此正文 Char"/>
    <w:link w:val="299"/>
    <w:qFormat/>
    <w:uiPriority w:val="0"/>
    <w:rPr>
      <w:kern w:val="2"/>
      <w:sz w:val="24"/>
      <w:szCs w:val="24"/>
    </w:rPr>
  </w:style>
  <w:style w:type="paragraph" w:customStyle="1" w:styleId="299">
    <w:name w:val="此正文"/>
    <w:basedOn w:val="1"/>
    <w:link w:val="298"/>
    <w:qFormat/>
    <w:uiPriority w:val="0"/>
    <w:pPr>
      <w:adjustRightInd/>
      <w:spacing w:line="360" w:lineRule="auto"/>
      <w:ind w:firstLine="200" w:firstLineChars="200"/>
    </w:pPr>
    <w:rPr>
      <w:sz w:val="24"/>
    </w:rPr>
  </w:style>
  <w:style w:type="character" w:customStyle="1" w:styleId="300">
    <w:name w:val="Char Char2"/>
    <w:qFormat/>
    <w:uiPriority w:val="0"/>
    <w:rPr>
      <w:rFonts w:eastAsia="宋体"/>
      <w:b/>
      <w:bCs/>
      <w:kern w:val="2"/>
      <w:sz w:val="21"/>
      <w:szCs w:val="24"/>
      <w:lang w:val="en-US" w:eastAsia="zh-CN" w:bidi="ar-SA"/>
    </w:rPr>
  </w:style>
  <w:style w:type="character" w:customStyle="1" w:styleId="301">
    <w:name w:val="Footer-Even Char1"/>
    <w:qFormat/>
    <w:uiPriority w:val="0"/>
    <w:rPr>
      <w:rFonts w:eastAsia="宋体"/>
      <w:kern w:val="2"/>
      <w:sz w:val="18"/>
      <w:szCs w:val="18"/>
      <w:lang w:val="en-US" w:eastAsia="zh-CN" w:bidi="ar-SA"/>
    </w:rPr>
  </w:style>
  <w:style w:type="character" w:customStyle="1" w:styleId="302">
    <w:name w:val="Char Char29"/>
    <w:qFormat/>
    <w:uiPriority w:val="6"/>
    <w:rPr>
      <w:rFonts w:ascii="Arial" w:hAnsi="Arial" w:eastAsia="微软雅黑"/>
      <w:b/>
      <w:kern w:val="1"/>
      <w:sz w:val="44"/>
      <w:szCs w:val="32"/>
      <w:lang w:val="en-US" w:eastAsia="zh-CN" w:bidi="ar-SA"/>
    </w:rPr>
  </w:style>
  <w:style w:type="character" w:customStyle="1" w:styleId="303">
    <w:name w:val="font81"/>
    <w:qFormat/>
    <w:uiPriority w:val="0"/>
    <w:rPr>
      <w:rFonts w:ascii="微软雅黑" w:hAnsi="微软雅黑" w:eastAsia="微软雅黑" w:cs="微软雅黑"/>
      <w:color w:val="000000"/>
      <w:sz w:val="20"/>
      <w:szCs w:val="20"/>
      <w:u w:val="none"/>
    </w:rPr>
  </w:style>
  <w:style w:type="character" w:customStyle="1" w:styleId="304">
    <w:name w:val="Char Char312"/>
    <w:qFormat/>
    <w:uiPriority w:val="0"/>
    <w:rPr>
      <w:rFonts w:ascii="Times New Roman" w:hAnsi="Times New Roman" w:eastAsia="宋体" w:cs="Times New Roman"/>
      <w:b/>
      <w:kern w:val="2"/>
      <w:sz w:val="32"/>
      <w:szCs w:val="24"/>
      <w:lang w:val="en-US" w:eastAsia="zh-CN" w:bidi="ar-SA"/>
    </w:rPr>
  </w:style>
  <w:style w:type="character" w:customStyle="1" w:styleId="305">
    <w:name w:val="t21"/>
    <w:qFormat/>
    <w:uiPriority w:val="0"/>
    <w:rPr>
      <w:rFonts w:ascii="仿宋_GB2312" w:eastAsia="微软雅黑"/>
      <w:b/>
      <w:kern w:val="2"/>
      <w:sz w:val="23"/>
      <w:szCs w:val="23"/>
      <w:lang w:val="en-US" w:eastAsia="zh-CN" w:bidi="ar-SA"/>
    </w:rPr>
  </w:style>
  <w:style w:type="character" w:customStyle="1" w:styleId="306">
    <w:name w:val="样式8 Char"/>
    <w:qFormat/>
    <w:uiPriority w:val="0"/>
    <w:rPr>
      <w:rFonts w:ascii="仿宋_GB2312" w:hAnsi="宋体" w:eastAsia="仿宋_GB2312"/>
      <w:b/>
      <w:bCs/>
      <w:kern w:val="2"/>
      <w:sz w:val="24"/>
      <w:szCs w:val="24"/>
    </w:rPr>
  </w:style>
  <w:style w:type="character" w:customStyle="1" w:styleId="307">
    <w:name w:val="表格 Char Char"/>
    <w:qFormat/>
    <w:uiPriority w:val="0"/>
    <w:rPr>
      <w:rFonts w:ascii="宋体" w:hAnsi="宋体" w:eastAsia="宋体"/>
      <w:lang w:bidi="ar-SA"/>
    </w:rPr>
  </w:style>
  <w:style w:type="character" w:customStyle="1" w:styleId="308">
    <w:name w:val="正文文本 字符1"/>
    <w:qFormat/>
    <w:uiPriority w:val="0"/>
    <w:rPr>
      <w:rFonts w:ascii="Calibri" w:hAnsi="Calibri" w:eastAsia="黑体" w:cs="Arial"/>
      <w:snapToGrid w:val="0"/>
      <w:kern w:val="2"/>
      <w:sz w:val="28"/>
      <w:szCs w:val="21"/>
    </w:rPr>
  </w:style>
  <w:style w:type="character" w:customStyle="1" w:styleId="309">
    <w:name w:val="标题 6 Char1"/>
    <w:qFormat/>
    <w:uiPriority w:val="0"/>
    <w:rPr>
      <w:rFonts w:ascii="Arial" w:hAnsi="Arial" w:eastAsia="黑体" w:cs="Times New Roman"/>
      <w:b/>
      <w:sz w:val="24"/>
      <w:szCs w:val="20"/>
      <w:lang w:bidi="ar-SA"/>
    </w:rPr>
  </w:style>
  <w:style w:type="character" w:customStyle="1" w:styleId="310">
    <w:name w:val="带编号样式 Char"/>
    <w:qFormat/>
    <w:uiPriority w:val="0"/>
    <w:rPr>
      <w:rFonts w:ascii="仿宋_GB2312" w:eastAsia="仿宋_GB2312"/>
      <w:color w:val="000000"/>
      <w:sz w:val="24"/>
      <w:lang w:bidi="ar-SA"/>
    </w:rPr>
  </w:style>
  <w:style w:type="character" w:customStyle="1" w:styleId="311">
    <w:name w:val="unnamed31"/>
    <w:qFormat/>
    <w:uiPriority w:val="0"/>
    <w:rPr>
      <w:rFonts w:ascii="Tahoma" w:hAnsi="Tahoma" w:eastAsia="宋体"/>
      <w:b/>
      <w:kern w:val="2"/>
      <w:sz w:val="24"/>
      <w:szCs w:val="32"/>
      <w:u w:val="none"/>
      <w:lang w:val="en-US" w:eastAsia="zh-CN" w:bidi="ar-SA"/>
    </w:rPr>
  </w:style>
  <w:style w:type="character" w:customStyle="1" w:styleId="312">
    <w:name w:val="正文首行缩进 Char Char Char Char Char Char1"/>
    <w:qFormat/>
    <w:uiPriority w:val="0"/>
    <w:rPr>
      <w:rFonts w:ascii="宋体" w:eastAsia="宋体"/>
      <w:kern w:val="2"/>
      <w:sz w:val="24"/>
      <w:szCs w:val="24"/>
      <w:lang w:val="zh-CN" w:bidi="ar-SA"/>
    </w:rPr>
  </w:style>
  <w:style w:type="character" w:customStyle="1" w:styleId="313">
    <w:name w:val="文本正文 Char Char"/>
    <w:qFormat/>
    <w:locked/>
    <w:uiPriority w:val="0"/>
    <w:rPr>
      <w:sz w:val="24"/>
      <w:lang w:bidi="ar-SA"/>
    </w:rPr>
  </w:style>
  <w:style w:type="character" w:customStyle="1" w:styleId="314">
    <w:name w:val="正文缩进 字符"/>
    <w:qFormat/>
    <w:uiPriority w:val="0"/>
    <w:rPr>
      <w:rFonts w:ascii="宋体" w:eastAsia="宋体"/>
      <w:snapToGrid w:val="0"/>
      <w:color w:val="000000"/>
      <w:kern w:val="28"/>
      <w:sz w:val="28"/>
      <w:lang w:val="en-US" w:eastAsia="zh-CN" w:bidi="ar-SA"/>
    </w:rPr>
  </w:style>
  <w:style w:type="character" w:customStyle="1" w:styleId="315">
    <w:name w:val="样式 样式 标题 4h4H4Fab-4T5Ref Heading 1rh1Heading sqlsect 1.2.3.... +... Char"/>
    <w:link w:val="316"/>
    <w:qFormat/>
    <w:uiPriority w:val="0"/>
    <w:rPr>
      <w:rFonts w:ascii="微软雅黑" w:hAnsi="微软雅黑" w:eastAsia="微软雅黑"/>
      <w:b/>
      <w:bCs/>
      <w:kern w:val="2"/>
      <w:sz w:val="24"/>
      <w:szCs w:val="28"/>
    </w:rPr>
  </w:style>
  <w:style w:type="paragraph" w:customStyle="1" w:styleId="316">
    <w:name w:val="样式 样式 标题 4h4H4Fab-4T5Ref Heading 1rh1Heading sqlsect 1.2.3.... +..."/>
    <w:basedOn w:val="317"/>
    <w:link w:val="315"/>
    <w:qFormat/>
    <w:uiPriority w:val="0"/>
    <w:pPr>
      <w:tabs>
        <w:tab w:val="left" w:pos="2356"/>
      </w:tabs>
    </w:pPr>
  </w:style>
  <w:style w:type="paragraph" w:customStyle="1" w:styleId="317">
    <w:name w:val="样式 标题 4h4H4Fab-4T5Ref Heading 1rh1Heading sqlsect 1.2.3...."/>
    <w:basedOn w:val="6"/>
    <w:link w:val="3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8">
    <w:name w:val="样式 标题 4h4H4Fab-4T5Ref Heading 1rh1Heading sqlsect 1.2.3.... Char"/>
    <w:link w:val="317"/>
    <w:qFormat/>
    <w:uiPriority w:val="0"/>
    <w:rPr>
      <w:rFonts w:ascii="微软雅黑" w:hAnsi="微软雅黑" w:eastAsia="微软雅黑"/>
      <w:b/>
      <w:bCs/>
      <w:kern w:val="2"/>
      <w:sz w:val="24"/>
      <w:szCs w:val="28"/>
    </w:rPr>
  </w:style>
  <w:style w:type="character" w:customStyle="1" w:styleId="319">
    <w:name w:val="正文非缩进 Char"/>
    <w:qFormat/>
    <w:uiPriority w:val="0"/>
    <w:rPr>
      <w:rFonts w:ascii="宋体" w:eastAsia="宋体"/>
      <w:snapToGrid w:val="0"/>
      <w:color w:val="000000"/>
      <w:kern w:val="28"/>
      <w:sz w:val="28"/>
      <w:lang w:val="en-US" w:eastAsia="zh-CN" w:bidi="ar-SA"/>
    </w:rPr>
  </w:style>
  <w:style w:type="character" w:customStyle="1" w:styleId="320">
    <w:name w:val="Char Char5"/>
    <w:qFormat/>
    <w:uiPriority w:val="0"/>
    <w:rPr>
      <w:rFonts w:ascii="宋体" w:hAnsi="Courier New" w:eastAsia="宋体"/>
      <w:kern w:val="2"/>
      <w:sz w:val="21"/>
      <w:lang w:val="en-US" w:eastAsia="zh-CN"/>
    </w:rPr>
  </w:style>
  <w:style w:type="character" w:customStyle="1" w:styleId="321">
    <w:name w:val="称呼 Char1"/>
    <w:qFormat/>
    <w:uiPriority w:val="0"/>
    <w:rPr>
      <w:rFonts w:ascii="Times New Roman" w:hAnsi="Times New Roman" w:eastAsia="宋体" w:cs="Times New Roman"/>
      <w:szCs w:val="24"/>
    </w:rPr>
  </w:style>
  <w:style w:type="character" w:customStyle="1" w:styleId="322">
    <w:name w:val="正文1 Char"/>
    <w:qFormat/>
    <w:uiPriority w:val="0"/>
    <w:rPr>
      <w:rFonts w:ascii="宋体" w:eastAsia="宋体"/>
      <w:snapToGrid w:val="0"/>
      <w:color w:val="000000"/>
      <w:kern w:val="28"/>
      <w:sz w:val="28"/>
      <w:lang w:val="en-US" w:eastAsia="zh-CN" w:bidi="ar-SA"/>
    </w:rPr>
  </w:style>
  <w:style w:type="character" w:customStyle="1" w:styleId="323">
    <w:name w:val="正文缩进 Char1"/>
    <w:qFormat/>
    <w:uiPriority w:val="0"/>
    <w:rPr>
      <w:rFonts w:ascii="宋体" w:eastAsia="宋体"/>
      <w:snapToGrid w:val="0"/>
      <w:color w:val="000000"/>
      <w:kern w:val="28"/>
      <w:sz w:val="28"/>
      <w:lang w:val="en-US" w:eastAsia="zh-CN" w:bidi="ar-SA"/>
    </w:rPr>
  </w:style>
  <w:style w:type="character" w:customStyle="1" w:styleId="324">
    <w:name w:val="font21"/>
    <w:qFormat/>
    <w:uiPriority w:val="0"/>
    <w:rPr>
      <w:rFonts w:hint="eastAsia" w:ascii="宋体" w:hAnsi="宋体" w:eastAsia="宋体"/>
      <w:kern w:val="2"/>
      <w:sz w:val="28"/>
      <w:szCs w:val="28"/>
      <w:lang w:val="en-US" w:eastAsia="zh-CN" w:bidi="ar-SA"/>
    </w:rPr>
  </w:style>
  <w:style w:type="character" w:customStyle="1" w:styleId="325">
    <w:name w:val="Char Char26"/>
    <w:qFormat/>
    <w:uiPriority w:val="6"/>
    <w:rPr>
      <w:kern w:val="1"/>
      <w:sz w:val="21"/>
      <w:szCs w:val="24"/>
    </w:rPr>
  </w:style>
  <w:style w:type="character" w:customStyle="1" w:styleId="326">
    <w:name w:val="Item List Char"/>
    <w:link w:val="327"/>
    <w:qFormat/>
    <w:uiPriority w:val="0"/>
    <w:rPr>
      <w:rFonts w:ascii="Arial"/>
      <w:bCs/>
      <w:sz w:val="21"/>
      <w:szCs w:val="21"/>
      <w:lang w:val="en-US" w:eastAsia="zh-CN" w:bidi="ar-SA"/>
    </w:rPr>
  </w:style>
  <w:style w:type="paragraph" w:customStyle="1" w:styleId="327">
    <w:name w:val="Item List"/>
    <w:link w:val="32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qFormat/>
    <w:uiPriority w:val="0"/>
    <w:rPr>
      <w:rFonts w:ascii="Times New Roman" w:hAnsi="Times New Roman" w:eastAsia="宋体" w:cs="Times New Roman"/>
      <w:sz w:val="18"/>
      <w:szCs w:val="18"/>
    </w:rPr>
  </w:style>
  <w:style w:type="character" w:customStyle="1" w:styleId="329">
    <w:name w:val="纯文本 Char1"/>
    <w:link w:val="330"/>
    <w:qFormat/>
    <w:uiPriority w:val="0"/>
    <w:rPr>
      <w:rFonts w:ascii="宋体" w:hAnsi="Courier New"/>
    </w:rPr>
  </w:style>
  <w:style w:type="paragraph" w:customStyle="1" w:styleId="330">
    <w:name w:val="纯文本1"/>
    <w:basedOn w:val="1"/>
    <w:link w:val="329"/>
    <w:qFormat/>
    <w:uiPriority w:val="0"/>
    <w:pPr>
      <w:adjustRightInd/>
    </w:pPr>
    <w:rPr>
      <w:rFonts w:ascii="宋体" w:hAnsi="Courier New"/>
      <w:kern w:val="0"/>
      <w:sz w:val="20"/>
      <w:szCs w:val="20"/>
    </w:rPr>
  </w:style>
  <w:style w:type="character" w:customStyle="1" w:styleId="331">
    <w:name w:val="h3 Char"/>
    <w:qFormat/>
    <w:uiPriority w:val="0"/>
    <w:rPr>
      <w:rFonts w:eastAsia="宋体"/>
      <w:b/>
      <w:kern w:val="2"/>
      <w:sz w:val="32"/>
      <w:lang w:val="en-US" w:eastAsia="zh-CN" w:bidi="ar-SA"/>
    </w:rPr>
  </w:style>
  <w:style w:type="character" w:customStyle="1" w:styleId="332">
    <w:name w:val="dandyren_title1"/>
    <w:qFormat/>
    <w:uiPriority w:val="0"/>
    <w:rPr>
      <w:b/>
      <w:bCs/>
      <w:color w:val="FF6633"/>
      <w:sz w:val="18"/>
      <w:szCs w:val="18"/>
    </w:rPr>
  </w:style>
  <w:style w:type="character" w:customStyle="1" w:styleId="333">
    <w:name w:val="Char Char31"/>
    <w:qFormat/>
    <w:uiPriority w:val="6"/>
    <w:rPr>
      <w:rFonts w:ascii="Arial" w:hAnsi="Arial" w:eastAsia="黑体"/>
      <w:kern w:val="1"/>
      <w:sz w:val="24"/>
      <w:szCs w:val="24"/>
    </w:rPr>
  </w:style>
  <w:style w:type="character" w:customStyle="1" w:styleId="334">
    <w:name w:val="h Char1"/>
    <w:qFormat/>
    <w:uiPriority w:val="0"/>
    <w:rPr>
      <w:sz w:val="18"/>
      <w:szCs w:val="18"/>
    </w:rPr>
  </w:style>
  <w:style w:type="character" w:customStyle="1" w:styleId="335">
    <w:name w:val="solutionfonts"/>
    <w:qFormat/>
    <w:uiPriority w:val="0"/>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gray6"/>
    <w:qFormat/>
    <w:uiPriority w:val="0"/>
    <w:rPr>
      <w:rFonts w:ascii="Arial" w:hAnsi="Arial" w:eastAsia="黑体" w:cs="Arial"/>
      <w:snapToGrid w:val="0"/>
      <w:kern w:val="0"/>
      <w:szCs w:val="21"/>
    </w:rPr>
  </w:style>
  <w:style w:type="character" w:customStyle="1" w:styleId="431">
    <w:name w:val="hui"/>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ind w:firstLine="482" w:firstLineChars="200"/>
      <w:jc w:val="left"/>
    </w:pPr>
    <w:rPr>
      <w:rFonts w:hAnsi="仿宋_GB2312" w:eastAsia="宋体"/>
      <w:sz w:val="24"/>
    </w:r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spacing w:before="360" w:after="360" w:line="240" w:lineRule="atLeast"/>
    </w:pPr>
    <w:rPr>
      <w:rFonts w:ascii="宋体" w:hAnsi="Arial"/>
      <w:snapToGrid w:val="0"/>
      <w:kern w:val="0"/>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7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483"/>
    <w:qFormat/>
    <w:uiPriority w:val="99"/>
    <w:rPr>
      <w:szCs w:val="22"/>
    </w:rPr>
  </w:style>
  <w:style w:type="character" w:customStyle="1" w:styleId="483">
    <w:name w:val="无间隔 字符"/>
    <w:link w:val="482"/>
    <w:qFormat/>
    <w:uiPriority w:val="99"/>
    <w:rPr>
      <w:kern w:val="2"/>
      <w:sz w:val="21"/>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114"/>
    <w:next w:val="11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114"/>
    <w:next w:val="11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link w:val="99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jc w:val="both"/>
    </w:pPr>
    <w:rPr>
      <w:rFonts w:ascii="宋体" w:hAnsi="Arial"/>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link w:val="986"/>
    <w:qFormat/>
    <w:uiPriority w:val="0"/>
    <w:pPr>
      <w:widowControl/>
      <w:tabs>
        <w:tab w:val="left" w:pos="1212"/>
        <w:tab w:val="left" w:pos="3888"/>
      </w:tabs>
      <w:snapToGrid w:val="0"/>
      <w:spacing w:line="360" w:lineRule="auto"/>
      <w:jc w:val="left"/>
    </w:pPr>
    <w:rPr>
      <w:rFonts w:ascii="宋体" w:hAnsi="宋体"/>
      <w:b/>
      <w:kern w:val="0"/>
      <w:sz w:val="24"/>
      <w:szCs w:val="20"/>
    </w:rPr>
  </w:style>
  <w:style w:type="paragraph" w:customStyle="1" w:styleId="725">
    <w:name w:val="样式 标题 3H3 + 两端对齐"/>
    <w:basedOn w:val="5"/>
    <w:qFormat/>
    <w:uiPriority w:val="0"/>
    <w:pPr>
      <w:keepLines w:val="0"/>
      <w:spacing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link w:val="989"/>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6"/>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2"/>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99"/>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7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jc w:val="center"/>
    </w:pPr>
    <w:rPr>
      <w:rFonts w:ascii="Arial" w:hAnsi="Arial" w:eastAsia="楷体"/>
      <w:b w:val="0"/>
      <w:color w:val="000000"/>
      <w:spacing w:val="14"/>
      <w:kern w:val="24"/>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Normal]"/>
    <w:qFormat/>
    <w:uiPriority w:val="0"/>
    <w:rPr>
      <w:rFonts w:ascii="宋体" w:hAnsi="宋体" w:eastAsia="宋体" w:cs="Times New Roman"/>
      <w:sz w:val="24"/>
      <w:szCs w:val="22"/>
      <w:lang w:val="zh-CN" w:eastAsia="zh-CN" w:bidi="ar-SA"/>
    </w:rPr>
  </w:style>
  <w:style w:type="character" w:customStyle="1" w:styleId="963">
    <w:name w:val="未处理的提及2"/>
    <w:unhideWhenUsed/>
    <w:qFormat/>
    <w:uiPriority w:val="99"/>
    <w:rPr>
      <w:color w:val="605E5C"/>
      <w:shd w:val="clear" w:color="auto" w:fill="E1DFDD"/>
    </w:rPr>
  </w:style>
  <w:style w:type="paragraph" w:customStyle="1" w:styleId="964">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965">
    <w:name w:val="_正文"/>
    <w:basedOn w:val="1"/>
    <w:link w:val="966"/>
    <w:qFormat/>
    <w:uiPriority w:val="0"/>
    <w:pPr>
      <w:tabs>
        <w:tab w:val="left" w:pos="840"/>
      </w:tabs>
      <w:adjustRightInd/>
      <w:spacing w:line="360" w:lineRule="auto"/>
      <w:ind w:firstLine="200" w:firstLineChars="200"/>
    </w:pPr>
    <w:rPr>
      <w:sz w:val="24"/>
    </w:rPr>
  </w:style>
  <w:style w:type="character" w:customStyle="1" w:styleId="966">
    <w:name w:val="_正文 Char"/>
    <w:link w:val="965"/>
    <w:qFormat/>
    <w:uiPriority w:val="0"/>
    <w:rPr>
      <w:rFonts w:eastAsia="宋体" w:cs="Times New Roman"/>
      <w:kern w:val="2"/>
      <w:sz w:val="24"/>
      <w:szCs w:val="24"/>
    </w:rPr>
  </w:style>
  <w:style w:type="paragraph" w:customStyle="1" w:styleId="967">
    <w:name w:val="亚运 5级标题"/>
    <w:basedOn w:val="7"/>
    <w:link w:val="968"/>
    <w:qFormat/>
    <w:uiPriority w:val="0"/>
    <w:pPr>
      <w:numPr>
        <w:ilvl w:val="4"/>
        <w:numId w:val="1"/>
      </w:numPr>
      <w:tabs>
        <w:tab w:val="left" w:pos="840"/>
        <w:tab w:val="clear" w:pos="1008"/>
      </w:tabs>
      <w:textAlignment w:val="baseline"/>
    </w:pPr>
    <w:rPr>
      <w:rFonts w:ascii="宋体" w:hAnsi="宋体"/>
      <w:color w:val="000000"/>
      <w:sz w:val="24"/>
    </w:rPr>
  </w:style>
  <w:style w:type="character" w:customStyle="1" w:styleId="968">
    <w:name w:val="亚运 5级标题 字符"/>
    <w:link w:val="967"/>
    <w:qFormat/>
    <w:uiPriority w:val="0"/>
    <w:rPr>
      <w:rFonts w:ascii="宋体" w:hAnsi="宋体"/>
      <w:color w:val="000000"/>
      <w:kern w:val="2"/>
      <w:sz w:val="24"/>
      <w:szCs w:val="28"/>
    </w:rPr>
  </w:style>
  <w:style w:type="paragraph" w:customStyle="1" w:styleId="969">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5"/>
    <w:semiHidden/>
    <w:qFormat/>
    <w:uiPriority w:val="99"/>
    <w:rPr>
      <w:rFonts w:ascii="Times New Roman" w:hAnsi="Times New Roman" w:eastAsia="宋体" w:cs="Times New Roman"/>
      <w:kern w:val="2"/>
      <w:sz w:val="21"/>
      <w:szCs w:val="24"/>
      <w:lang w:val="en-US" w:eastAsia="zh-CN" w:bidi="ar-SA"/>
    </w:rPr>
  </w:style>
  <w:style w:type="character" w:customStyle="1" w:styleId="971">
    <w:name w:val="正文缩 Char"/>
    <w:link w:val="972"/>
    <w:qFormat/>
    <w:uiPriority w:val="0"/>
    <w:rPr>
      <w:rFonts w:eastAsia="楷体_GB2312"/>
      <w:kern w:val="2"/>
      <w:sz w:val="24"/>
      <w:szCs w:val="24"/>
    </w:rPr>
  </w:style>
  <w:style w:type="paragraph" w:customStyle="1" w:styleId="972">
    <w:name w:val="正文缩"/>
    <w:basedOn w:val="1"/>
    <w:link w:val="971"/>
    <w:qFormat/>
    <w:uiPriority w:val="0"/>
    <w:pPr>
      <w:adjustRightInd/>
      <w:spacing w:line="360" w:lineRule="auto"/>
      <w:ind w:firstLine="200" w:firstLineChars="200"/>
    </w:pPr>
    <w:rPr>
      <w:rFonts w:eastAsia="楷体_GB2312"/>
      <w:sz w:val="24"/>
    </w:rPr>
  </w:style>
  <w:style w:type="character" w:customStyle="1" w:styleId="973">
    <w:name w:val="未处理的提及3"/>
    <w:unhideWhenUsed/>
    <w:qFormat/>
    <w:uiPriority w:val="99"/>
    <w:rPr>
      <w:color w:val="605E5C"/>
      <w:shd w:val="clear" w:color="auto" w:fill="E1DFDD"/>
    </w:rPr>
  </w:style>
  <w:style w:type="paragraph" w:customStyle="1" w:styleId="974">
    <w:name w:val="亚运3级标题"/>
    <w:basedOn w:val="1"/>
    <w:link w:val="975"/>
    <w:qFormat/>
    <w:uiPriority w:val="0"/>
    <w:pPr>
      <w:keepNext/>
      <w:keepLines/>
      <w:tabs>
        <w:tab w:val="left" w:pos="720"/>
        <w:tab w:val="left" w:pos="840"/>
      </w:tabs>
      <w:snapToGrid w:val="0"/>
      <w:spacing w:line="360" w:lineRule="auto"/>
      <w:outlineLvl w:val="2"/>
    </w:pPr>
    <w:rPr>
      <w:rFonts w:ascii="黑体" w:hAnsi="黑体" w:eastAsia="仿宋" w:cs="Arial"/>
      <w:bCs/>
      <w:sz w:val="30"/>
      <w:szCs w:val="30"/>
    </w:rPr>
  </w:style>
  <w:style w:type="character" w:customStyle="1" w:styleId="975">
    <w:name w:val="亚运3级标题 字符"/>
    <w:link w:val="974"/>
    <w:qFormat/>
    <w:uiPriority w:val="0"/>
    <w:rPr>
      <w:rFonts w:ascii="黑体" w:hAnsi="黑体" w:eastAsia="仿宋" w:cs="Arial"/>
      <w:bCs/>
      <w:kern w:val="2"/>
      <w:sz w:val="30"/>
      <w:szCs w:val="30"/>
    </w:rPr>
  </w:style>
  <w:style w:type="paragraph" w:customStyle="1" w:styleId="976">
    <w:name w:val="亚运 4级标题"/>
    <w:basedOn w:val="6"/>
    <w:link w:val="977"/>
    <w:qFormat/>
    <w:uiPriority w:val="0"/>
    <w:pPr>
      <w:tabs>
        <w:tab w:val="left" w:pos="840"/>
        <w:tab w:val="clear" w:pos="864"/>
      </w:tabs>
      <w:snapToGrid w:val="0"/>
      <w:spacing w:before="0" w:after="0" w:line="360" w:lineRule="auto"/>
      <w:ind w:left="0" w:firstLine="0"/>
      <w:textAlignment w:val="baseline"/>
    </w:pPr>
    <w:rPr>
      <w:rFonts w:ascii="黑体" w:hAnsi="黑体" w:eastAsia="仿宋"/>
      <w:b w:val="0"/>
      <w:color w:val="000000"/>
      <w:kern w:val="0"/>
      <w:sz w:val="30"/>
      <w:szCs w:val="30"/>
      <w:lang w:val="en-US"/>
    </w:rPr>
  </w:style>
  <w:style w:type="character" w:customStyle="1" w:styleId="977">
    <w:name w:val="亚运 4级标题 字符"/>
    <w:link w:val="976"/>
    <w:qFormat/>
    <w:uiPriority w:val="0"/>
    <w:rPr>
      <w:rFonts w:ascii="黑体" w:hAnsi="黑体" w:eastAsia="仿宋" w:cs="Times New Roman"/>
      <w:snapToGrid/>
      <w:color w:val="000000"/>
      <w:kern w:val="0"/>
      <w:sz w:val="30"/>
      <w:szCs w:val="30"/>
    </w:rPr>
  </w:style>
  <w:style w:type="character" w:customStyle="1" w:styleId="978">
    <w:name w:val="未处理的提及4"/>
    <w:basedOn w:val="69"/>
    <w:unhideWhenUsed/>
    <w:qFormat/>
    <w:uiPriority w:val="99"/>
    <w:rPr>
      <w:color w:val="605E5C"/>
      <w:shd w:val="clear" w:color="auto" w:fill="E1DFDD"/>
    </w:rPr>
  </w:style>
  <w:style w:type="paragraph" w:customStyle="1" w:styleId="979">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80">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81">
    <w:name w:val="修订8"/>
    <w:hidden/>
    <w:semiHidden/>
    <w:qFormat/>
    <w:uiPriority w:val="99"/>
    <w:rPr>
      <w:rFonts w:ascii="Times New Roman" w:hAnsi="Times New Roman" w:eastAsia="宋体" w:cs="Times New Roman"/>
      <w:kern w:val="2"/>
      <w:sz w:val="21"/>
      <w:szCs w:val="24"/>
      <w:lang w:val="en-US" w:eastAsia="zh-CN" w:bidi="ar-SA"/>
    </w:rPr>
  </w:style>
  <w:style w:type="character" w:customStyle="1" w:styleId="982">
    <w:name w:val="未处理的提及5"/>
    <w:basedOn w:val="69"/>
    <w:semiHidden/>
    <w:unhideWhenUsed/>
    <w:qFormat/>
    <w:uiPriority w:val="99"/>
    <w:rPr>
      <w:color w:val="605E5C"/>
      <w:shd w:val="clear" w:color="auto" w:fill="E1DFDD"/>
    </w:rPr>
  </w:style>
  <w:style w:type="paragraph" w:customStyle="1" w:styleId="983">
    <w:name w:val="修订9"/>
    <w:hidden/>
    <w:semiHidden/>
    <w:qFormat/>
    <w:uiPriority w:val="99"/>
    <w:rPr>
      <w:rFonts w:ascii="Times New Roman" w:hAnsi="Times New Roman" w:eastAsia="宋体" w:cs="Times New Roman"/>
      <w:kern w:val="2"/>
      <w:sz w:val="21"/>
      <w:szCs w:val="24"/>
      <w:lang w:val="en-US" w:eastAsia="zh-CN" w:bidi="ar-SA"/>
    </w:rPr>
  </w:style>
  <w:style w:type="paragraph" w:styleId="984">
    <w:name w:val="List Paragraph"/>
    <w:basedOn w:val="1"/>
    <w:qFormat/>
    <w:uiPriority w:val="34"/>
    <w:pPr>
      <w:ind w:firstLine="420" w:firstLineChars="200"/>
    </w:pPr>
  </w:style>
  <w:style w:type="paragraph" w:customStyle="1" w:styleId="985">
    <w:name w:val="表格正文"/>
    <w:qFormat/>
    <w:uiPriority w:val="0"/>
    <w:pPr>
      <w:widowControl w:val="0"/>
      <w:adjustRightInd w:val="0"/>
      <w:snapToGrid w:val="0"/>
      <w:jc w:val="center"/>
      <w:textAlignment w:val="baseline"/>
    </w:pPr>
    <w:rPr>
      <w:rFonts w:ascii="宋体" w:hAnsi="Arial" w:eastAsia="宋体" w:cs="宋体"/>
      <w:szCs w:val="18"/>
      <w:lang w:val="en-US" w:eastAsia="zh-CN" w:bidi="ar-SA"/>
    </w:rPr>
  </w:style>
  <w:style w:type="character" w:customStyle="1" w:styleId="986">
    <w:name w:val="样式1 Char"/>
    <w:link w:val="724"/>
    <w:qFormat/>
    <w:uiPriority w:val="0"/>
    <w:rPr>
      <w:rFonts w:ascii="宋体" w:hAnsi="宋体"/>
      <w:b/>
      <w:kern w:val="0"/>
      <w:sz w:val="24"/>
      <w:szCs w:val="20"/>
    </w:rPr>
  </w:style>
  <w:style w:type="character" w:customStyle="1" w:styleId="987">
    <w:name w:val="标题 3 字符1"/>
    <w:link w:val="5"/>
    <w:qFormat/>
    <w:uiPriority w:val="0"/>
    <w:rPr>
      <w:rFonts w:eastAsia="宋体"/>
      <w:b/>
      <w:bCs/>
      <w:sz w:val="24"/>
      <w:szCs w:val="32"/>
    </w:rPr>
  </w:style>
  <w:style w:type="character" w:customStyle="1" w:styleId="988">
    <w:name w:val="标题 2 字符1"/>
    <w:link w:val="4"/>
    <w:qFormat/>
    <w:uiPriority w:val="0"/>
    <w:rPr>
      <w:rFonts w:ascii="仿宋_GB2312" w:hAnsi="仿宋_GB2312" w:eastAsia="宋体"/>
      <w:sz w:val="28"/>
      <w:szCs w:val="32"/>
      <w:lang w:val="zh-CN"/>
    </w:rPr>
  </w:style>
  <w:style w:type="character" w:customStyle="1" w:styleId="989">
    <w:name w:val="样式 正1 + 首行缩进:  2 字符 Char"/>
    <w:link w:val="740"/>
    <w:qFormat/>
    <w:uiPriority w:val="0"/>
    <w:rPr>
      <w:rFonts w:ascii="仿宋_GB2312" w:eastAsia="仿宋_GB2312"/>
      <w:sz w:val="24"/>
    </w:rPr>
  </w:style>
  <w:style w:type="character" w:customStyle="1" w:styleId="990">
    <w:name w:val="一级条标题 Char"/>
    <w:link w:val="657"/>
    <w:qFormat/>
    <w:uiPriority w:val="0"/>
  </w:style>
  <w:style w:type="paragraph" w:customStyle="1" w:styleId="991">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992">
    <w:name w:val="修订11"/>
    <w:hidden/>
    <w:semiHidden/>
    <w:qFormat/>
    <w:uiPriority w:val="99"/>
    <w:rPr>
      <w:rFonts w:ascii="Times New Roman" w:hAnsi="Times New Roman" w:eastAsia="宋体" w:cs="Times New Roman"/>
      <w:kern w:val="2"/>
      <w:sz w:val="21"/>
      <w:szCs w:val="24"/>
      <w:lang w:val="en-US" w:eastAsia="zh-CN" w:bidi="ar-SA"/>
    </w:rPr>
  </w:style>
  <w:style w:type="paragraph" w:customStyle="1" w:styleId="993">
    <w:name w:val="修订12"/>
    <w:hidden/>
    <w:semiHidden/>
    <w:qFormat/>
    <w:uiPriority w:val="99"/>
    <w:rPr>
      <w:rFonts w:ascii="Times New Roman" w:hAnsi="Times New Roman" w:eastAsia="宋体" w:cs="Times New Roman"/>
      <w:kern w:val="2"/>
      <w:sz w:val="21"/>
      <w:szCs w:val="24"/>
      <w:lang w:val="en-US" w:eastAsia="zh-CN" w:bidi="ar-SA"/>
    </w:rPr>
  </w:style>
  <w:style w:type="character" w:customStyle="1" w:styleId="994">
    <w:name w:val="未处理的提及6"/>
    <w:basedOn w:val="69"/>
    <w:semiHidden/>
    <w:unhideWhenUsed/>
    <w:qFormat/>
    <w:uiPriority w:val="99"/>
    <w:rPr>
      <w:color w:val="605E5C"/>
      <w:shd w:val="clear" w:color="auto" w:fill="E1DFDD"/>
    </w:rPr>
  </w:style>
  <w:style w:type="character" w:customStyle="1" w:styleId="995">
    <w:name w:val="未处理的提及7"/>
    <w:basedOn w:val="69"/>
    <w:semiHidden/>
    <w:unhideWhenUsed/>
    <w:qFormat/>
    <w:uiPriority w:val="99"/>
    <w:rPr>
      <w:color w:val="605E5C"/>
      <w:shd w:val="clear" w:color="auto" w:fill="E1DFDD"/>
    </w:rPr>
  </w:style>
  <w:style w:type="character" w:customStyle="1" w:styleId="996">
    <w:name w:val="bookmark-item"/>
    <w:basedOn w:val="69"/>
    <w:qFormat/>
    <w:uiPriority w:val="0"/>
  </w:style>
  <w:style w:type="paragraph" w:customStyle="1" w:styleId="997">
    <w:name w:val="正文（上会）"/>
    <w:basedOn w:val="1"/>
    <w:link w:val="998"/>
    <w:qFormat/>
    <w:uiPriority w:val="0"/>
    <w:pPr>
      <w:adjustRightInd/>
      <w:spacing w:line="336" w:lineRule="auto"/>
      <w:ind w:firstLine="200" w:firstLineChars="200"/>
    </w:pPr>
    <w:rPr>
      <w:rFonts w:ascii="仿宋_GB2312" w:hAnsi="仿宋_GB2312" w:eastAsia="仿宋_GB2312" w:cs="仿宋_GB2312"/>
      <w:sz w:val="32"/>
      <w:szCs w:val="32"/>
    </w:rPr>
  </w:style>
  <w:style w:type="character" w:customStyle="1" w:styleId="998">
    <w:name w:val="正文（上会） 字符"/>
    <w:basedOn w:val="69"/>
    <w:link w:val="997"/>
    <w:qFormat/>
    <w:uiPriority w:val="0"/>
    <w:rPr>
      <w:rFonts w:ascii="仿宋_GB2312" w:hAnsi="仿宋_GB2312" w:eastAsia="仿宋_GB2312" w:cs="仿宋_GB2312"/>
      <w:kern w:val="2"/>
      <w:sz w:val="32"/>
      <w:szCs w:val="32"/>
    </w:rPr>
  </w:style>
  <w:style w:type="character" w:customStyle="1" w:styleId="999">
    <w:name w:val="未处理的提及8"/>
    <w:basedOn w:val="69"/>
    <w:semiHidden/>
    <w:unhideWhenUsed/>
    <w:qFormat/>
    <w:uiPriority w:val="99"/>
    <w:rPr>
      <w:color w:val="605E5C"/>
      <w:shd w:val="clear" w:color="auto" w:fill="E1DFDD"/>
    </w:rPr>
  </w:style>
  <w:style w:type="character" w:customStyle="1" w:styleId="1000">
    <w:name w:val="未处理的提及9"/>
    <w:basedOn w:val="69"/>
    <w:semiHidden/>
    <w:unhideWhenUsed/>
    <w:qFormat/>
    <w:uiPriority w:val="99"/>
    <w:rPr>
      <w:color w:val="605E5C"/>
      <w:shd w:val="clear" w:color="auto" w:fill="E1DFDD"/>
    </w:rPr>
  </w:style>
  <w:style w:type="character" w:customStyle="1" w:styleId="1001">
    <w:name w:val="未处理的提及10"/>
    <w:basedOn w:val="69"/>
    <w:semiHidden/>
    <w:unhideWhenUsed/>
    <w:qFormat/>
    <w:uiPriority w:val="99"/>
    <w:rPr>
      <w:color w:val="605E5C"/>
      <w:shd w:val="clear" w:color="auto" w:fill="E1DFDD"/>
    </w:rPr>
  </w:style>
  <w:style w:type="paragraph" w:customStyle="1" w:styleId="1002">
    <w:name w:val="修订13"/>
    <w:hidden/>
    <w:semiHidden/>
    <w:qFormat/>
    <w:uiPriority w:val="99"/>
    <w:rPr>
      <w:rFonts w:ascii="Times New Roman" w:hAnsi="Times New Roman" w:eastAsia="宋体" w:cs="Times New Roman"/>
      <w:kern w:val="2"/>
      <w:sz w:val="21"/>
      <w:szCs w:val="24"/>
      <w:lang w:val="en-US" w:eastAsia="zh-CN" w:bidi="ar-SA"/>
    </w:rPr>
  </w:style>
  <w:style w:type="paragraph" w:customStyle="1" w:styleId="1003">
    <w:name w:val="修订1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8834</Words>
  <Characters>50355</Characters>
  <Lines>419</Lines>
  <Paragraphs>118</Paragraphs>
  <TotalTime>3</TotalTime>
  <ScaleCrop>false</ScaleCrop>
  <LinksUpToDate>false</LinksUpToDate>
  <CharactersWithSpaces>59071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2022-09-27T07:12:00Z</dcterms:created>
  <dc:creator>kanT</dc:creator>
  <cp:lastModifiedBy>蒋银洋</cp:lastModifiedBy>
  <cp:lastPrinted>2022-09-26T07:19:00Z</cp:lastPrinted>
  <dcterms:modified xsi:type="dcterms:W3CDTF">2022-10-31T09:01:27Z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037A291DF22A49049F0EE5B3DA256A89</vt:lpwstr>
  </property>
</Properties>
</file>