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黑体" w:hAnsi="宋体" w:eastAsia="黑体" w:cs="Angsana New"/>
          <w:color w:val="auto"/>
          <w:w w:val="80"/>
          <w:sz w:val="28"/>
          <w:szCs w:val="28"/>
          <w:highlight w:val="none"/>
          <w:lang w:val="en-US" w:eastAsia="zh-CN" w:bidi="th-TH"/>
        </w:rPr>
      </w:pPr>
    </w:p>
    <w:p>
      <w:pPr>
        <w:pStyle w:val="9"/>
        <w:rPr>
          <w:rFonts w:hint="eastAsia"/>
          <w:color w:val="auto"/>
          <w:highlight w:val="none"/>
        </w:rPr>
      </w:pPr>
    </w:p>
    <w:p>
      <w:pPr>
        <w:pStyle w:val="9"/>
        <w:rPr>
          <w:rFonts w:hint="eastAsia"/>
          <w:color w:val="auto"/>
          <w:highlight w:val="none"/>
        </w:rPr>
      </w:pPr>
    </w:p>
    <w:p>
      <w:pPr>
        <w:pStyle w:val="9"/>
        <w:rPr>
          <w:rFonts w:hint="eastAsia"/>
          <w:color w:val="auto"/>
          <w:highlight w:val="none"/>
        </w:rPr>
      </w:pPr>
    </w:p>
    <w:p>
      <w:pPr>
        <w:snapToGrid w:val="0"/>
        <w:spacing w:line="360" w:lineRule="auto"/>
        <w:jc w:val="center"/>
        <w:rPr>
          <w:rFonts w:hint="eastAsia" w:ascii="黑体" w:hAnsi="宋体" w:eastAsia="黑体" w:cs="楷体_GB2312"/>
          <w:color w:val="auto"/>
          <w:w w:val="90"/>
          <w:sz w:val="44"/>
          <w:szCs w:val="44"/>
          <w:highlight w:val="none"/>
          <w:lang w:eastAsia="zh-CN"/>
        </w:rPr>
      </w:pPr>
      <w:r>
        <w:rPr>
          <w:rFonts w:hint="eastAsia" w:ascii="黑体" w:hAnsi="宋体" w:eastAsia="黑体" w:cs="楷体_GB2312"/>
          <w:color w:val="auto"/>
          <w:w w:val="90"/>
          <w:sz w:val="44"/>
          <w:szCs w:val="44"/>
          <w:highlight w:val="none"/>
          <w:lang w:eastAsia="zh-CN"/>
        </w:rPr>
        <w:t>浙江省预算管理一体化项目</w:t>
      </w:r>
    </w:p>
    <w:p>
      <w:pPr>
        <w:jc w:val="center"/>
        <w:rPr>
          <w:rFonts w:hint="eastAsia" w:ascii="宋体" w:hAnsi="宋体"/>
          <w:b/>
          <w:color w:val="auto"/>
          <w:szCs w:val="84"/>
          <w:highlight w:val="none"/>
          <w:lang w:eastAsia="zh-CN"/>
        </w:rPr>
      </w:pPr>
    </w:p>
    <w:p>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（电子招投标方式）</w:t>
      </w:r>
    </w:p>
    <w:p>
      <w:pPr>
        <w:jc w:val="center"/>
        <w:rPr>
          <w:rFonts w:hint="eastAsia" w:ascii="宋体" w:hAnsi="宋体"/>
          <w:b/>
          <w:color w:val="auto"/>
          <w:szCs w:val="84"/>
          <w:highlight w:val="none"/>
        </w:rPr>
      </w:pPr>
    </w:p>
    <w:p>
      <w:pPr>
        <w:jc w:val="center"/>
        <w:rPr>
          <w:rFonts w:hint="eastAsia" w:ascii="宋体" w:hAnsi="宋体"/>
          <w:b/>
          <w:color w:val="auto"/>
          <w:szCs w:val="84"/>
          <w:highlight w:val="none"/>
        </w:rPr>
      </w:pPr>
    </w:p>
    <w:p>
      <w:pPr>
        <w:jc w:val="center"/>
        <w:rPr>
          <w:rFonts w:hint="eastAsia" w:ascii="宋体" w:hAnsi="宋体"/>
          <w:b/>
          <w:color w:val="auto"/>
          <w:szCs w:val="84"/>
          <w:highlight w:val="none"/>
        </w:rPr>
      </w:pPr>
    </w:p>
    <w:p>
      <w:pPr>
        <w:spacing w:line="360" w:lineRule="auto"/>
        <w:jc w:val="center"/>
        <w:rPr>
          <w:rFonts w:hint="eastAsia" w:ascii="宋体" w:hAnsi="宋体"/>
          <w:b/>
          <w:color w:val="auto"/>
          <w:sz w:val="84"/>
          <w:szCs w:val="84"/>
          <w:highlight w:val="none"/>
        </w:rPr>
      </w:pPr>
      <w:r>
        <w:rPr>
          <w:rFonts w:hint="eastAsia" w:ascii="黑体" w:hAnsi="宋体" w:eastAsia="黑体" w:cs="Angsana New"/>
          <w:color w:val="auto"/>
          <w:spacing w:val="40"/>
          <w:w w:val="80"/>
          <w:sz w:val="96"/>
          <w:szCs w:val="96"/>
          <w:highlight w:val="none"/>
          <w:lang w:bidi="th-TH"/>
        </w:rPr>
        <w:t>采 购 文 件</w:t>
      </w:r>
    </w:p>
    <w:p>
      <w:pPr>
        <w:jc w:val="center"/>
        <w:rPr>
          <w:rFonts w:hint="eastAsia" w:ascii="宋体" w:hAnsi="宋体"/>
          <w:b/>
          <w:color w:val="auto"/>
          <w:szCs w:val="84"/>
          <w:highlight w:val="none"/>
        </w:rPr>
      </w:pPr>
    </w:p>
    <w:p>
      <w:pPr>
        <w:jc w:val="center"/>
        <w:rPr>
          <w:rFonts w:hint="eastAsia" w:ascii="宋体" w:hAnsi="宋体"/>
          <w:b/>
          <w:color w:val="auto"/>
          <w:szCs w:val="84"/>
          <w:highlight w:val="none"/>
        </w:rPr>
      </w:pPr>
    </w:p>
    <w:p>
      <w:pPr>
        <w:spacing w:line="360" w:lineRule="auto"/>
        <w:jc w:val="center"/>
        <w:rPr>
          <w:rFonts w:hint="eastAsia" w:ascii="宋体" w:hAnsi="宋体" w:eastAsia="宋体" w:cs="Angsana New"/>
          <w:b/>
          <w:bCs/>
          <w:color w:val="auto"/>
          <w:w w:val="80"/>
          <w:sz w:val="36"/>
          <w:szCs w:val="36"/>
          <w:highlight w:val="none"/>
          <w:lang w:eastAsia="zh-CN" w:bidi="th-TH"/>
        </w:rPr>
      </w:pPr>
      <w:r>
        <w:rPr>
          <w:rFonts w:hint="eastAsia" w:ascii="宋体" w:hAnsi="宋体" w:eastAsia="宋体" w:cs="Angsana New"/>
          <w:b/>
          <w:bCs/>
          <w:color w:val="auto"/>
          <w:w w:val="80"/>
          <w:sz w:val="36"/>
          <w:szCs w:val="36"/>
          <w:highlight w:val="none"/>
          <w:lang w:eastAsia="zh-CN" w:bidi="th-TH"/>
        </w:rPr>
        <w:t>采购编号：</w:t>
      </w:r>
      <w:r>
        <w:rPr>
          <w:rFonts w:hint="eastAsia" w:ascii="宋体" w:hAnsi="宋体" w:cs="Angsana New"/>
          <w:b/>
          <w:bCs/>
          <w:color w:val="auto"/>
          <w:w w:val="80"/>
          <w:sz w:val="36"/>
          <w:szCs w:val="36"/>
          <w:highlight w:val="none"/>
          <w:lang w:eastAsia="zh-CN" w:bidi="th-TH"/>
        </w:rPr>
        <w:t>ZJ-2272868</w:t>
      </w:r>
    </w:p>
    <w:p>
      <w:pPr>
        <w:pStyle w:val="12"/>
        <w:ind w:left="5250"/>
        <w:rPr>
          <w:rFonts w:hint="eastAsia" w:ascii="宋体" w:hAnsi="宋体"/>
          <w:color w:val="auto"/>
          <w:szCs w:val="28"/>
          <w:highlight w:val="none"/>
        </w:rPr>
      </w:pPr>
      <w:r>
        <w:rPr>
          <w:rFonts w:hint="eastAsia" w:ascii="宋体" w:hAnsi="宋体"/>
          <w:color w:val="auto"/>
          <w:highlight w:val="none"/>
        </w:rPr>
        <w:t xml:space="preserve">      </w:t>
      </w: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p>
      <w:pPr>
        <w:rPr>
          <w:rFonts w:hint="eastAsia" w:ascii="宋体" w:hAnsi="宋体"/>
          <w:b/>
          <w:color w:val="auto"/>
          <w:highlight w:val="none"/>
        </w:rPr>
      </w:pPr>
    </w:p>
    <w:tbl>
      <w:tblPr>
        <w:tblStyle w:val="19"/>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采购人</w:t>
            </w:r>
          </w:p>
        </w:tc>
        <w:tc>
          <w:tcPr>
            <w:tcW w:w="516" w:type="dxa"/>
            <w:noWrap w:val="0"/>
            <w:vAlign w:val="center"/>
          </w:tcPr>
          <w:p>
            <w:pPr>
              <w:snapToGrid w:val="0"/>
              <w:jc w:val="distribute"/>
              <w:rPr>
                <w:rFonts w:hint="eastAsia"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w:t>
            </w:r>
          </w:p>
        </w:tc>
        <w:tc>
          <w:tcPr>
            <w:tcW w:w="4411" w:type="dxa"/>
            <w:noWrap w:val="0"/>
            <w:vAlign w:val="center"/>
          </w:tcPr>
          <w:p>
            <w:pPr>
              <w:snapToGrid w:val="0"/>
              <w:jc w:val="distribute"/>
              <w:rPr>
                <w:rFonts w:hint="default" w:ascii="黑体" w:hAnsi="Courier New" w:eastAsia="黑体" w:cs="Courier New"/>
                <w:color w:val="auto"/>
                <w:sz w:val="30"/>
                <w:szCs w:val="30"/>
                <w:highlight w:val="none"/>
                <w:lang w:val="en-US" w:eastAsia="zh-CN"/>
              </w:rPr>
            </w:pPr>
            <w:r>
              <w:rPr>
                <w:rFonts w:hint="eastAsia" w:ascii="黑体" w:hAnsi="Courier New" w:eastAsia="黑体" w:cs="Courier New"/>
                <w:color w:val="auto"/>
                <w:sz w:val="30"/>
                <w:szCs w:val="30"/>
                <w:highlight w:val="none"/>
                <w:lang w:val="en-US" w:eastAsia="zh-CN"/>
              </w:rPr>
              <w:t>浙江省数字财政管理中心</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黑体" w:hAnsi="Courier New" w:eastAsia="黑体" w:cs="Courier New"/>
                <w:color w:val="auto"/>
                <w:szCs w:val="21"/>
                <w:highlight w:val="none"/>
              </w:rPr>
            </w:pPr>
          </w:p>
        </w:tc>
        <w:tc>
          <w:tcPr>
            <w:tcW w:w="516" w:type="dxa"/>
            <w:noWrap w:val="0"/>
            <w:vAlign w:val="center"/>
          </w:tcPr>
          <w:p>
            <w:pPr>
              <w:snapToGrid w:val="0"/>
              <w:jc w:val="distribute"/>
              <w:rPr>
                <w:rFonts w:hint="eastAsia" w:ascii="黑体" w:hAnsi="Courier New" w:eastAsia="黑体" w:cs="Courier New"/>
                <w:color w:val="auto"/>
                <w:szCs w:val="21"/>
                <w:highlight w:val="none"/>
              </w:rPr>
            </w:pPr>
          </w:p>
        </w:tc>
        <w:tc>
          <w:tcPr>
            <w:tcW w:w="4411" w:type="dxa"/>
            <w:noWrap w:val="0"/>
            <w:vAlign w:val="center"/>
          </w:tcPr>
          <w:p>
            <w:pPr>
              <w:snapToGrid w:val="0"/>
              <w:jc w:val="distribute"/>
              <w:rPr>
                <w:rFonts w:hint="eastAsia" w:ascii="黑体" w:hAnsi="Courier New" w:eastAsia="黑体" w:cs="Courier New"/>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采购代理机构</w:t>
            </w:r>
          </w:p>
        </w:tc>
        <w:tc>
          <w:tcPr>
            <w:tcW w:w="516" w:type="dxa"/>
            <w:noWrap w:val="0"/>
            <w:vAlign w:val="center"/>
          </w:tcPr>
          <w:p>
            <w:pPr>
              <w:snapToGrid w:val="0"/>
              <w:jc w:val="distribute"/>
              <w:rPr>
                <w:rFonts w:hint="eastAsia"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w:t>
            </w:r>
          </w:p>
        </w:tc>
        <w:tc>
          <w:tcPr>
            <w:tcW w:w="4411" w:type="dxa"/>
            <w:noWrap w:val="0"/>
            <w:vAlign w:val="center"/>
          </w:tcPr>
          <w:p>
            <w:pPr>
              <w:snapToGrid w:val="0"/>
              <w:jc w:val="distribute"/>
              <w:rPr>
                <w:rFonts w:hint="eastAsia" w:ascii="黑体" w:hAnsi="Courier New" w:eastAsia="黑体" w:cs="Courier New"/>
                <w:color w:val="auto"/>
                <w:sz w:val="30"/>
                <w:szCs w:val="30"/>
                <w:highlight w:val="none"/>
                <w:lang w:eastAsia="zh-CN"/>
              </w:rPr>
            </w:pPr>
            <w:r>
              <w:rPr>
                <w:rFonts w:hint="eastAsia" w:ascii="黑体" w:hAnsi="Courier New" w:eastAsia="黑体" w:cs="Courier New"/>
                <w:color w:val="auto"/>
                <w:sz w:val="30"/>
                <w:szCs w:val="30"/>
                <w:highlight w:val="none"/>
                <w:lang w:eastAsia="zh-CN"/>
              </w:rPr>
              <w:t>浙江国际招投标有限公司</w:t>
            </w:r>
          </w:p>
        </w:tc>
      </w:tr>
      <w:tr>
        <w:tblPrEx>
          <w:tblCellMar>
            <w:top w:w="0" w:type="dxa"/>
            <w:left w:w="108" w:type="dxa"/>
            <w:bottom w:w="0" w:type="dxa"/>
            <w:right w:w="108" w:type="dxa"/>
          </w:tblCellMar>
        </w:tblPrEx>
        <w:trPr>
          <w:trHeight w:val="656" w:hRule="atLeast"/>
          <w:jc w:val="center"/>
        </w:trPr>
        <w:tc>
          <w:tcPr>
            <w:tcW w:w="6959" w:type="dxa"/>
            <w:gridSpan w:val="3"/>
            <w:noWrap w:val="0"/>
            <w:vAlign w:val="bottom"/>
          </w:tcPr>
          <w:p>
            <w:pPr>
              <w:snapToGrid w:val="0"/>
              <w:jc w:val="center"/>
              <w:rPr>
                <w:rFonts w:hint="eastAsia"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202</w:t>
            </w:r>
            <w:r>
              <w:rPr>
                <w:rFonts w:hint="eastAsia" w:ascii="黑体" w:hAnsi="Courier New" w:eastAsia="黑体" w:cs="Courier New"/>
                <w:color w:val="auto"/>
                <w:sz w:val="30"/>
                <w:szCs w:val="30"/>
                <w:highlight w:val="none"/>
                <w:lang w:val="en-US" w:eastAsia="zh-CN"/>
              </w:rPr>
              <w:t>2</w:t>
            </w:r>
            <w:r>
              <w:rPr>
                <w:rFonts w:hint="eastAsia" w:ascii="黑体" w:hAnsi="Courier New" w:eastAsia="黑体" w:cs="Courier New"/>
                <w:color w:val="auto"/>
                <w:sz w:val="30"/>
                <w:szCs w:val="30"/>
                <w:highlight w:val="none"/>
              </w:rPr>
              <w:t>年</w:t>
            </w:r>
            <w:r>
              <w:rPr>
                <w:rFonts w:hint="eastAsia" w:ascii="黑体" w:hAnsi="Courier New" w:eastAsia="黑体" w:cs="Courier New"/>
                <w:color w:val="auto"/>
                <w:sz w:val="30"/>
                <w:szCs w:val="30"/>
                <w:highlight w:val="none"/>
                <w:lang w:val="en-US" w:eastAsia="zh-CN"/>
              </w:rPr>
              <w:t xml:space="preserve"> 11月</w:t>
            </w:r>
          </w:p>
        </w:tc>
      </w:tr>
    </w:tbl>
    <w:p>
      <w:pPr>
        <w:pStyle w:val="11"/>
        <w:spacing w:line="360" w:lineRule="auto"/>
        <w:jc w:val="center"/>
        <w:rPr>
          <w:rFonts w:hint="eastAsia" w:ascii="宋体" w:hAnsi="宋体" w:eastAsia="宋体" w:cs="宋体"/>
          <w:b/>
          <w:color w:val="auto"/>
          <w:sz w:val="28"/>
          <w:szCs w:val="28"/>
          <w:highlight w:val="none"/>
        </w:rPr>
      </w:pPr>
      <w:r>
        <w:rPr>
          <w:rFonts w:ascii="宋体" w:hAnsi="宋体"/>
          <w:b/>
          <w:color w:val="auto"/>
          <w:sz w:val="48"/>
          <w:szCs w:val="48"/>
          <w:highlight w:val="none"/>
        </w:rPr>
        <w:br w:type="page"/>
      </w:r>
      <w:r>
        <w:rPr>
          <w:rFonts w:hint="eastAsia" w:ascii="宋体" w:hAnsi="宋体" w:eastAsia="宋体" w:cs="宋体"/>
          <w:b/>
          <w:color w:val="auto"/>
          <w:sz w:val="28"/>
          <w:szCs w:val="28"/>
          <w:highlight w:val="none"/>
        </w:rPr>
        <w:t>目    录</w:t>
      </w:r>
    </w:p>
    <w:p>
      <w:pPr>
        <w:pStyle w:val="15"/>
        <w:tabs>
          <w:tab w:val="right" w:leader="dot" w:pos="8730"/>
          <w:tab w:val="clear" w:pos="8720"/>
        </w:tabs>
        <w:rPr>
          <w:color w:val="auto"/>
          <w:highlight w:val="none"/>
        </w:rPr>
      </w:pPr>
      <w:r>
        <w:rPr>
          <w:rFonts w:hint="eastAsia" w:ascii="宋体" w:hAnsi="宋体" w:eastAsia="宋体" w:cs="宋体"/>
          <w:b/>
          <w:caps w:val="0"/>
          <w:color w:val="auto"/>
          <w:sz w:val="24"/>
          <w:szCs w:val="24"/>
          <w:highlight w:val="none"/>
        </w:rPr>
        <w:fldChar w:fldCharType="begin"/>
      </w:r>
      <w:r>
        <w:rPr>
          <w:rFonts w:hint="eastAsia" w:ascii="宋体" w:hAnsi="宋体" w:eastAsia="宋体" w:cs="宋体"/>
          <w:b/>
          <w:caps w:val="0"/>
          <w:color w:val="auto"/>
          <w:sz w:val="24"/>
          <w:szCs w:val="24"/>
          <w:highlight w:val="none"/>
        </w:rPr>
        <w:instrText xml:space="preserve"> TOC \o "1-2" \u </w:instrText>
      </w:r>
      <w:r>
        <w:rPr>
          <w:rFonts w:hint="eastAsia" w:ascii="宋体" w:hAnsi="宋体" w:eastAsia="宋体" w:cs="宋体"/>
          <w:b/>
          <w:caps w:val="0"/>
          <w:color w:val="auto"/>
          <w:sz w:val="24"/>
          <w:szCs w:val="24"/>
          <w:highlight w:val="none"/>
        </w:rPr>
        <w:fldChar w:fldCharType="separate"/>
      </w:r>
      <w:r>
        <w:rPr>
          <w:rFonts w:hint="eastAsia" w:ascii="宋体" w:hAnsi="宋体" w:eastAsia="宋体" w:cs="宋体"/>
          <w:color w:val="auto"/>
          <w:szCs w:val="30"/>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_Toc27647 \h </w:instrText>
      </w:r>
      <w:r>
        <w:rPr>
          <w:color w:val="auto"/>
          <w:highlight w:val="none"/>
        </w:rPr>
        <w:fldChar w:fldCharType="separate"/>
      </w:r>
      <w:r>
        <w:rPr>
          <w:color w:val="auto"/>
          <w:highlight w:val="none"/>
        </w:rPr>
        <w:t>3</w:t>
      </w:r>
      <w:r>
        <w:rPr>
          <w:color w:val="auto"/>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第二部分  投标须知</w:t>
      </w:r>
      <w:r>
        <w:rPr>
          <w:color w:val="auto"/>
          <w:highlight w:val="none"/>
        </w:rPr>
        <w:tab/>
      </w:r>
      <w:r>
        <w:rPr>
          <w:color w:val="auto"/>
          <w:highlight w:val="none"/>
        </w:rPr>
        <w:fldChar w:fldCharType="begin"/>
      </w:r>
      <w:r>
        <w:rPr>
          <w:color w:val="auto"/>
          <w:highlight w:val="none"/>
        </w:rPr>
        <w:instrText xml:space="preserve"> PAGEREF _Toc28655 \h </w:instrText>
      </w:r>
      <w:r>
        <w:rPr>
          <w:color w:val="auto"/>
          <w:highlight w:val="none"/>
        </w:rPr>
        <w:fldChar w:fldCharType="separate"/>
      </w:r>
      <w:r>
        <w:rPr>
          <w:color w:val="auto"/>
          <w:highlight w:val="none"/>
        </w:rPr>
        <w:t>15</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_Toc22681 \h </w:instrText>
      </w:r>
      <w:r>
        <w:rPr>
          <w:color w:val="auto"/>
          <w:highlight w:val="none"/>
        </w:rPr>
        <w:fldChar w:fldCharType="separate"/>
      </w:r>
      <w:r>
        <w:rPr>
          <w:color w:val="auto"/>
          <w:highlight w:val="none"/>
        </w:rPr>
        <w:t>15</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二、采购文件</w:t>
      </w:r>
      <w:r>
        <w:rPr>
          <w:color w:val="auto"/>
          <w:highlight w:val="none"/>
        </w:rPr>
        <w:tab/>
      </w:r>
      <w:r>
        <w:rPr>
          <w:color w:val="auto"/>
          <w:highlight w:val="none"/>
        </w:rPr>
        <w:fldChar w:fldCharType="begin"/>
      </w:r>
      <w:r>
        <w:rPr>
          <w:color w:val="auto"/>
          <w:highlight w:val="none"/>
        </w:rPr>
        <w:instrText xml:space="preserve"> PAGEREF _Toc5852 \h </w:instrText>
      </w:r>
      <w:r>
        <w:rPr>
          <w:color w:val="auto"/>
          <w:highlight w:val="none"/>
        </w:rPr>
        <w:fldChar w:fldCharType="separate"/>
      </w:r>
      <w:r>
        <w:rPr>
          <w:color w:val="auto"/>
          <w:highlight w:val="none"/>
        </w:rPr>
        <w:t>16</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_Toc12860 \h </w:instrText>
      </w:r>
      <w:r>
        <w:rPr>
          <w:color w:val="auto"/>
          <w:highlight w:val="none"/>
        </w:rPr>
        <w:fldChar w:fldCharType="separate"/>
      </w:r>
      <w:r>
        <w:rPr>
          <w:color w:val="auto"/>
          <w:highlight w:val="none"/>
        </w:rPr>
        <w:t>17</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_Toc24791 \h </w:instrText>
      </w:r>
      <w:r>
        <w:rPr>
          <w:color w:val="auto"/>
          <w:highlight w:val="none"/>
        </w:rPr>
        <w:fldChar w:fldCharType="separate"/>
      </w:r>
      <w:r>
        <w:rPr>
          <w:color w:val="auto"/>
          <w:highlight w:val="none"/>
        </w:rPr>
        <w:t>22</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五、开标与评标</w:t>
      </w:r>
      <w:r>
        <w:rPr>
          <w:color w:val="auto"/>
          <w:highlight w:val="none"/>
        </w:rPr>
        <w:tab/>
      </w:r>
      <w:r>
        <w:rPr>
          <w:color w:val="auto"/>
          <w:highlight w:val="none"/>
        </w:rPr>
        <w:fldChar w:fldCharType="begin"/>
      </w:r>
      <w:r>
        <w:rPr>
          <w:color w:val="auto"/>
          <w:highlight w:val="none"/>
        </w:rPr>
        <w:instrText xml:space="preserve"> PAGEREF _Toc2372 \h </w:instrText>
      </w:r>
      <w:r>
        <w:rPr>
          <w:color w:val="auto"/>
          <w:highlight w:val="none"/>
        </w:rPr>
        <w:fldChar w:fldCharType="separate"/>
      </w:r>
      <w:r>
        <w:rPr>
          <w:color w:val="auto"/>
          <w:highlight w:val="none"/>
        </w:rPr>
        <w:t>23</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六、确定中标人及授予合同</w:t>
      </w:r>
      <w:r>
        <w:rPr>
          <w:color w:val="auto"/>
          <w:highlight w:val="none"/>
        </w:rPr>
        <w:tab/>
      </w:r>
      <w:r>
        <w:rPr>
          <w:color w:val="auto"/>
          <w:highlight w:val="none"/>
        </w:rPr>
        <w:fldChar w:fldCharType="begin"/>
      </w:r>
      <w:r>
        <w:rPr>
          <w:color w:val="auto"/>
          <w:highlight w:val="none"/>
        </w:rPr>
        <w:instrText xml:space="preserve"> PAGEREF _Toc4078 \h </w:instrText>
      </w:r>
      <w:r>
        <w:rPr>
          <w:color w:val="auto"/>
          <w:highlight w:val="none"/>
        </w:rPr>
        <w:fldChar w:fldCharType="separate"/>
      </w:r>
      <w:r>
        <w:rPr>
          <w:color w:val="auto"/>
          <w:highlight w:val="none"/>
        </w:rPr>
        <w:t>24</w:t>
      </w:r>
      <w:r>
        <w:rPr>
          <w:color w:val="auto"/>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 xml:space="preserve">第三部分 </w:t>
      </w:r>
      <w:r>
        <w:rPr>
          <w:rFonts w:hint="eastAsia" w:ascii="宋体" w:hAnsi="宋体" w:cs="宋体"/>
          <w:color w:val="auto"/>
          <w:szCs w:val="30"/>
          <w:highlight w:val="none"/>
          <w:lang w:eastAsia="zh-CN"/>
        </w:rPr>
        <w:t>采购</w:t>
      </w:r>
      <w:r>
        <w:rPr>
          <w:rFonts w:hint="eastAsia" w:ascii="宋体" w:hAnsi="宋体" w:cs="宋体"/>
          <w:color w:val="auto"/>
          <w:szCs w:val="30"/>
          <w:highlight w:val="none"/>
        </w:rPr>
        <w:t>需求</w:t>
      </w:r>
      <w:r>
        <w:rPr>
          <w:color w:val="auto"/>
          <w:highlight w:val="none"/>
        </w:rPr>
        <w:tab/>
      </w:r>
      <w:r>
        <w:rPr>
          <w:color w:val="auto"/>
          <w:highlight w:val="none"/>
        </w:rPr>
        <w:fldChar w:fldCharType="begin"/>
      </w:r>
      <w:r>
        <w:rPr>
          <w:color w:val="auto"/>
          <w:highlight w:val="none"/>
        </w:rPr>
        <w:instrText xml:space="preserve"> PAGEREF _Toc26125 \h </w:instrText>
      </w:r>
      <w:r>
        <w:rPr>
          <w:color w:val="auto"/>
          <w:highlight w:val="none"/>
        </w:rPr>
        <w:fldChar w:fldCharType="separate"/>
      </w:r>
      <w:r>
        <w:rPr>
          <w:color w:val="auto"/>
          <w:highlight w:val="none"/>
        </w:rPr>
        <w:t>27</w:t>
      </w:r>
      <w:r>
        <w:rPr>
          <w:color w:val="auto"/>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一、项目背景</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_Toc10128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二、建设目标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_Toc20696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、项目内容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_Toc26529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四、预算管理一体化新增需求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_Toc25485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五、技术需求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_Toc3537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六、省级预算管理一体化系统服务需求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_Toc910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七、市县预算管理一体化服务需求（费用标准）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_Toc9437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rPr>
        <w:fldChar w:fldCharType="end"/>
      </w:r>
    </w:p>
    <w:p>
      <w:pPr>
        <w:pStyle w:val="16"/>
        <w:tabs>
          <w:tab w:val="right" w:leader="dot" w:pos="8730"/>
          <w:tab w:val="clear" w:pos="8720"/>
        </w:tabs>
        <w:ind w:left="0" w:leftChars="0" w:firstLine="41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八、系统演示要求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_Toc20642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第四部分  合同条款</w:t>
      </w:r>
      <w:r>
        <w:rPr>
          <w:color w:val="auto"/>
          <w:highlight w:val="none"/>
        </w:rPr>
        <w:tab/>
      </w:r>
      <w:r>
        <w:rPr>
          <w:color w:val="auto"/>
          <w:highlight w:val="none"/>
        </w:rPr>
        <w:fldChar w:fldCharType="begin"/>
      </w:r>
      <w:r>
        <w:rPr>
          <w:color w:val="auto"/>
          <w:highlight w:val="none"/>
        </w:rPr>
        <w:instrText xml:space="preserve"> PAGEREF _Toc17883 \h </w:instrText>
      </w:r>
      <w:r>
        <w:rPr>
          <w:color w:val="auto"/>
          <w:highlight w:val="none"/>
        </w:rPr>
        <w:fldChar w:fldCharType="separate"/>
      </w:r>
      <w:r>
        <w:rPr>
          <w:color w:val="auto"/>
          <w:highlight w:val="none"/>
        </w:rPr>
        <w:t>44</w:t>
      </w:r>
      <w:r>
        <w:rPr>
          <w:color w:val="auto"/>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第五部分  评标办法（综合评分法）</w:t>
      </w:r>
      <w:r>
        <w:rPr>
          <w:color w:val="auto"/>
          <w:highlight w:val="none"/>
        </w:rPr>
        <w:tab/>
      </w:r>
      <w:r>
        <w:rPr>
          <w:color w:val="auto"/>
          <w:highlight w:val="none"/>
        </w:rPr>
        <w:fldChar w:fldCharType="begin"/>
      </w:r>
      <w:r>
        <w:rPr>
          <w:color w:val="auto"/>
          <w:highlight w:val="none"/>
        </w:rPr>
        <w:instrText xml:space="preserve"> PAGEREF _Toc30435 \h </w:instrText>
      </w:r>
      <w:r>
        <w:rPr>
          <w:color w:val="auto"/>
          <w:highlight w:val="none"/>
        </w:rPr>
        <w:fldChar w:fldCharType="separate"/>
      </w:r>
      <w:r>
        <w:rPr>
          <w:color w:val="auto"/>
          <w:highlight w:val="none"/>
        </w:rPr>
        <w:t>49</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_Toc6433 \h </w:instrText>
      </w:r>
      <w:r>
        <w:rPr>
          <w:color w:val="auto"/>
          <w:highlight w:val="none"/>
        </w:rPr>
        <w:fldChar w:fldCharType="separate"/>
      </w:r>
      <w:r>
        <w:rPr>
          <w:color w:val="auto"/>
          <w:highlight w:val="none"/>
        </w:rPr>
        <w:t>49</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二、评标组织</w:t>
      </w:r>
      <w:r>
        <w:rPr>
          <w:color w:val="auto"/>
          <w:highlight w:val="none"/>
        </w:rPr>
        <w:tab/>
      </w:r>
      <w:r>
        <w:rPr>
          <w:color w:val="auto"/>
          <w:highlight w:val="none"/>
        </w:rPr>
        <w:fldChar w:fldCharType="begin"/>
      </w:r>
      <w:r>
        <w:rPr>
          <w:color w:val="auto"/>
          <w:highlight w:val="none"/>
        </w:rPr>
        <w:instrText xml:space="preserve"> PAGEREF _Toc7187 \h </w:instrText>
      </w:r>
      <w:r>
        <w:rPr>
          <w:color w:val="auto"/>
          <w:highlight w:val="none"/>
        </w:rPr>
        <w:fldChar w:fldCharType="separate"/>
      </w:r>
      <w:r>
        <w:rPr>
          <w:color w:val="auto"/>
          <w:highlight w:val="none"/>
        </w:rPr>
        <w:t>49</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三、评标纪律</w:t>
      </w:r>
      <w:r>
        <w:rPr>
          <w:color w:val="auto"/>
          <w:highlight w:val="none"/>
        </w:rPr>
        <w:tab/>
      </w:r>
      <w:r>
        <w:rPr>
          <w:color w:val="auto"/>
          <w:highlight w:val="none"/>
        </w:rPr>
        <w:fldChar w:fldCharType="begin"/>
      </w:r>
      <w:r>
        <w:rPr>
          <w:color w:val="auto"/>
          <w:highlight w:val="none"/>
        </w:rPr>
        <w:instrText xml:space="preserve"> PAGEREF _Toc31018 \h </w:instrText>
      </w:r>
      <w:r>
        <w:rPr>
          <w:color w:val="auto"/>
          <w:highlight w:val="none"/>
        </w:rPr>
        <w:fldChar w:fldCharType="separate"/>
      </w:r>
      <w:r>
        <w:rPr>
          <w:color w:val="auto"/>
          <w:highlight w:val="none"/>
        </w:rPr>
        <w:t>49</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四、评标程序</w:t>
      </w:r>
      <w:r>
        <w:rPr>
          <w:color w:val="auto"/>
          <w:highlight w:val="none"/>
        </w:rPr>
        <w:tab/>
      </w:r>
      <w:r>
        <w:rPr>
          <w:color w:val="auto"/>
          <w:highlight w:val="none"/>
        </w:rPr>
        <w:fldChar w:fldCharType="begin"/>
      </w:r>
      <w:r>
        <w:rPr>
          <w:color w:val="auto"/>
          <w:highlight w:val="none"/>
        </w:rPr>
        <w:instrText xml:space="preserve"> PAGEREF _Toc1872 \h </w:instrText>
      </w:r>
      <w:r>
        <w:rPr>
          <w:color w:val="auto"/>
          <w:highlight w:val="none"/>
        </w:rPr>
        <w:fldChar w:fldCharType="separate"/>
      </w:r>
      <w:r>
        <w:rPr>
          <w:color w:val="auto"/>
          <w:highlight w:val="none"/>
        </w:rPr>
        <w:t>50</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color w:val="auto"/>
          <w:szCs w:val="21"/>
          <w:highlight w:val="none"/>
        </w:rPr>
        <w:t>五、评标细则及标准</w:t>
      </w:r>
      <w:r>
        <w:rPr>
          <w:color w:val="auto"/>
          <w:highlight w:val="none"/>
        </w:rPr>
        <w:tab/>
      </w:r>
      <w:r>
        <w:rPr>
          <w:color w:val="auto"/>
          <w:highlight w:val="none"/>
        </w:rPr>
        <w:fldChar w:fldCharType="begin"/>
      </w:r>
      <w:r>
        <w:rPr>
          <w:color w:val="auto"/>
          <w:highlight w:val="none"/>
        </w:rPr>
        <w:instrText xml:space="preserve"> PAGEREF _Toc9995 \h </w:instrText>
      </w:r>
      <w:r>
        <w:rPr>
          <w:color w:val="auto"/>
          <w:highlight w:val="none"/>
        </w:rPr>
        <w:fldChar w:fldCharType="separate"/>
      </w:r>
      <w:r>
        <w:rPr>
          <w:color w:val="auto"/>
          <w:highlight w:val="none"/>
        </w:rPr>
        <w:t>53</w:t>
      </w:r>
      <w:r>
        <w:rPr>
          <w:color w:val="auto"/>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_Toc31237 \h </w:instrText>
      </w:r>
      <w:r>
        <w:rPr>
          <w:color w:val="auto"/>
          <w:highlight w:val="none"/>
        </w:rPr>
        <w:fldChar w:fldCharType="separate"/>
      </w:r>
      <w:r>
        <w:rPr>
          <w:color w:val="auto"/>
          <w:highlight w:val="none"/>
        </w:rPr>
        <w:t>59</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cs="宋体"/>
          <w:bCs/>
          <w:snapToGrid w:val="0"/>
          <w:color w:val="auto"/>
          <w:kern w:val="0"/>
          <w:szCs w:val="21"/>
          <w:highlight w:val="none"/>
        </w:rPr>
        <w:t>一、投标文件封面（格式供参考）</w:t>
      </w:r>
      <w:r>
        <w:rPr>
          <w:color w:val="auto"/>
          <w:highlight w:val="none"/>
        </w:rPr>
        <w:tab/>
      </w:r>
      <w:r>
        <w:rPr>
          <w:color w:val="auto"/>
          <w:highlight w:val="none"/>
        </w:rPr>
        <w:fldChar w:fldCharType="begin"/>
      </w:r>
      <w:r>
        <w:rPr>
          <w:color w:val="auto"/>
          <w:highlight w:val="none"/>
        </w:rPr>
        <w:instrText xml:space="preserve"> PAGEREF _Toc30853 \h </w:instrText>
      </w:r>
      <w:r>
        <w:rPr>
          <w:color w:val="auto"/>
          <w:highlight w:val="none"/>
        </w:rPr>
        <w:fldChar w:fldCharType="separate"/>
      </w:r>
      <w:r>
        <w:rPr>
          <w:color w:val="auto"/>
          <w:highlight w:val="none"/>
        </w:rPr>
        <w:t>60</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cs="宋体"/>
          <w:bCs/>
          <w:color w:val="auto"/>
          <w:highlight w:val="none"/>
          <w:lang w:val="en-US" w:eastAsia="zh-CN"/>
        </w:rPr>
        <w:t>二</w:t>
      </w:r>
      <w:r>
        <w:rPr>
          <w:rFonts w:hint="eastAsia" w:ascii="宋体" w:hAnsi="宋体" w:cs="宋体"/>
          <w:bCs/>
          <w:color w:val="auto"/>
          <w:highlight w:val="none"/>
        </w:rPr>
        <w:t>、</w:t>
      </w:r>
      <w:r>
        <w:rPr>
          <w:rFonts w:hint="eastAsia" w:ascii="宋体" w:hAnsi="宋体" w:cs="宋体"/>
          <w:bCs/>
          <w:color w:val="auto"/>
          <w:highlight w:val="none"/>
          <w:lang w:eastAsia="zh-CN"/>
        </w:rPr>
        <w:t>资格响应文件</w:t>
      </w:r>
      <w:r>
        <w:rPr>
          <w:color w:val="auto"/>
          <w:highlight w:val="none"/>
        </w:rPr>
        <w:tab/>
      </w:r>
      <w:r>
        <w:rPr>
          <w:color w:val="auto"/>
          <w:highlight w:val="none"/>
        </w:rPr>
        <w:fldChar w:fldCharType="begin"/>
      </w:r>
      <w:r>
        <w:rPr>
          <w:color w:val="auto"/>
          <w:highlight w:val="none"/>
        </w:rPr>
        <w:instrText xml:space="preserve"> PAGEREF _Toc11494 \h </w:instrText>
      </w:r>
      <w:r>
        <w:rPr>
          <w:color w:val="auto"/>
          <w:highlight w:val="none"/>
        </w:rPr>
        <w:fldChar w:fldCharType="separate"/>
      </w:r>
      <w:r>
        <w:rPr>
          <w:color w:val="auto"/>
          <w:highlight w:val="none"/>
        </w:rPr>
        <w:t>62</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bCs/>
          <w:color w:val="auto"/>
          <w:highlight w:val="none"/>
          <w:lang w:val="en-US" w:eastAsia="zh-CN"/>
        </w:rPr>
        <w:t>三、商务技术响应文件部分格式</w:t>
      </w:r>
      <w:r>
        <w:rPr>
          <w:color w:val="auto"/>
          <w:highlight w:val="none"/>
        </w:rPr>
        <w:tab/>
      </w:r>
      <w:r>
        <w:rPr>
          <w:color w:val="auto"/>
          <w:highlight w:val="none"/>
        </w:rPr>
        <w:fldChar w:fldCharType="begin"/>
      </w:r>
      <w:r>
        <w:rPr>
          <w:color w:val="auto"/>
          <w:highlight w:val="none"/>
        </w:rPr>
        <w:instrText xml:space="preserve"> PAGEREF _Toc32146 \h </w:instrText>
      </w:r>
      <w:r>
        <w:rPr>
          <w:color w:val="auto"/>
          <w:highlight w:val="none"/>
        </w:rPr>
        <w:fldChar w:fldCharType="separate"/>
      </w:r>
      <w:r>
        <w:rPr>
          <w:color w:val="auto"/>
          <w:highlight w:val="none"/>
        </w:rPr>
        <w:t>68</w:t>
      </w:r>
      <w:r>
        <w:rPr>
          <w:color w:val="auto"/>
          <w:highlight w:val="none"/>
        </w:rPr>
        <w:fldChar w:fldCharType="end"/>
      </w:r>
    </w:p>
    <w:p>
      <w:pPr>
        <w:pStyle w:val="16"/>
        <w:tabs>
          <w:tab w:val="right" w:leader="dot" w:pos="8730"/>
          <w:tab w:val="clear" w:pos="8720"/>
        </w:tabs>
        <w:ind w:left="0" w:leftChars="0" w:firstLine="418" w:firstLineChars="209"/>
        <w:rPr>
          <w:color w:val="auto"/>
          <w:highlight w:val="none"/>
        </w:rPr>
      </w:pPr>
      <w:r>
        <w:rPr>
          <w:rFonts w:hint="eastAsia" w:ascii="宋体" w:hAnsi="宋体" w:eastAsia="宋体" w:cs="宋体"/>
          <w:bCs/>
          <w:color w:val="auto"/>
          <w:highlight w:val="none"/>
          <w:lang w:val="en-US" w:eastAsia="zh-CN"/>
        </w:rPr>
        <w:t>四、报价响应文件部分格式</w:t>
      </w:r>
      <w:r>
        <w:rPr>
          <w:color w:val="auto"/>
          <w:highlight w:val="none"/>
        </w:rPr>
        <w:tab/>
      </w:r>
      <w:r>
        <w:rPr>
          <w:color w:val="auto"/>
          <w:highlight w:val="none"/>
        </w:rPr>
        <w:fldChar w:fldCharType="begin"/>
      </w:r>
      <w:r>
        <w:rPr>
          <w:color w:val="auto"/>
          <w:highlight w:val="none"/>
        </w:rPr>
        <w:instrText xml:space="preserve"> PAGEREF _Toc2517 \h </w:instrText>
      </w:r>
      <w:r>
        <w:rPr>
          <w:color w:val="auto"/>
          <w:highlight w:val="none"/>
        </w:rPr>
        <w:fldChar w:fldCharType="separate"/>
      </w:r>
      <w:r>
        <w:rPr>
          <w:color w:val="auto"/>
          <w:highlight w:val="none"/>
        </w:rPr>
        <w:t>80</w:t>
      </w:r>
      <w:r>
        <w:rPr>
          <w:color w:val="auto"/>
          <w:highlight w:val="none"/>
        </w:rPr>
        <w:fldChar w:fldCharType="end"/>
      </w:r>
    </w:p>
    <w:p>
      <w:pPr>
        <w:pStyle w:val="15"/>
        <w:tabs>
          <w:tab w:val="right" w:leader="dot" w:pos="8730"/>
          <w:tab w:val="clear" w:pos="8720"/>
        </w:tabs>
        <w:rPr>
          <w:color w:val="auto"/>
          <w:highlight w:val="none"/>
        </w:rPr>
      </w:pPr>
      <w:r>
        <w:rPr>
          <w:rFonts w:hint="eastAsia" w:ascii="宋体" w:hAnsi="宋体" w:cs="宋体"/>
          <w:color w:val="auto"/>
          <w:szCs w:val="30"/>
          <w:highlight w:val="none"/>
        </w:rPr>
        <w:t>第七部分   其它</w:t>
      </w:r>
      <w:r>
        <w:rPr>
          <w:color w:val="auto"/>
          <w:highlight w:val="none"/>
        </w:rPr>
        <w:tab/>
      </w:r>
      <w:r>
        <w:rPr>
          <w:color w:val="auto"/>
          <w:highlight w:val="none"/>
        </w:rPr>
        <w:fldChar w:fldCharType="begin"/>
      </w:r>
      <w:r>
        <w:rPr>
          <w:color w:val="auto"/>
          <w:highlight w:val="none"/>
        </w:rPr>
        <w:instrText xml:space="preserve"> PAGEREF _Toc21291 \h </w:instrText>
      </w:r>
      <w:r>
        <w:rPr>
          <w:color w:val="auto"/>
          <w:highlight w:val="none"/>
        </w:rPr>
        <w:fldChar w:fldCharType="separate"/>
      </w:r>
      <w:r>
        <w:rPr>
          <w:color w:val="auto"/>
          <w:highlight w:val="none"/>
        </w:rPr>
        <w:t>89</w:t>
      </w:r>
      <w:r>
        <w:rPr>
          <w:color w:val="auto"/>
          <w:highlight w:val="none"/>
        </w:rPr>
        <w:fldChar w:fldCharType="end"/>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color w:val="auto"/>
          <w:sz w:val="21"/>
          <w:szCs w:val="21"/>
          <w:highlight w:val="none"/>
          <w:lang w:val="en-US" w:eastAsia="zh-CN"/>
        </w:rPr>
        <w:sectPr>
          <w:headerReference r:id="rId3" w:type="default"/>
          <w:footerReference r:id="rId4" w:type="default"/>
          <w:pgSz w:w="11906" w:h="16838"/>
          <w:pgMar w:top="1418" w:right="1588" w:bottom="1418" w:left="1588"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宋体" w:hAnsi="宋体" w:eastAsia="宋体" w:cs="宋体"/>
          <w:color w:val="auto"/>
          <w:szCs w:val="24"/>
          <w:highlight w:val="none"/>
        </w:rPr>
        <w:fldChar w:fldCharType="end"/>
      </w:r>
    </w:p>
    <w:p>
      <w:pPr>
        <w:adjustRightInd w:val="0"/>
        <w:snapToGrid w:val="0"/>
        <w:spacing w:before="120" w:beforeLines="50" w:after="120" w:afterLines="50" w:line="360" w:lineRule="auto"/>
        <w:jc w:val="center"/>
        <w:outlineLvl w:val="0"/>
        <w:rPr>
          <w:rFonts w:hint="eastAsia" w:ascii="宋体" w:hAnsi="宋体" w:eastAsia="宋体" w:cs="宋体"/>
          <w:b/>
          <w:color w:val="auto"/>
          <w:sz w:val="30"/>
          <w:szCs w:val="30"/>
          <w:highlight w:val="none"/>
        </w:rPr>
      </w:pPr>
      <w:bookmarkStart w:id="0" w:name="_Toc21665"/>
      <w:bookmarkStart w:id="1" w:name="_Toc29840"/>
      <w:bookmarkStart w:id="2" w:name="_Toc27647"/>
      <w:bookmarkStart w:id="3" w:name="_Toc13674"/>
      <w:r>
        <w:rPr>
          <w:rFonts w:hint="eastAsia" w:ascii="宋体" w:hAnsi="宋体" w:eastAsia="宋体" w:cs="宋体"/>
          <w:b/>
          <w:color w:val="auto"/>
          <w:sz w:val="30"/>
          <w:szCs w:val="30"/>
          <w:highlight w:val="none"/>
        </w:rPr>
        <w:t>第一部分  采购公告</w:t>
      </w:r>
      <w:bookmarkEnd w:id="0"/>
      <w:bookmarkEnd w:id="1"/>
      <w:bookmarkEnd w:id="2"/>
      <w:bookmarkEnd w:id="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4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ascii="宋体" w:hAnsi="宋体" w:eastAsia="宋体" w:cs="Arial"/>
                <w:b w:val="0"/>
                <w:bCs w:val="0"/>
                <w:color w:val="auto"/>
                <w:sz w:val="21"/>
                <w:szCs w:val="21"/>
                <w:highlight w:val="none"/>
              </w:rPr>
            </w:pPr>
            <w:r>
              <w:rPr>
                <w:rFonts w:hint="eastAsia" w:ascii="宋体" w:hAnsi="宋体" w:eastAsia="宋体" w:cs="Arial"/>
                <w:b w:val="0"/>
                <w:bCs w:val="0"/>
                <w:color w:val="auto"/>
                <w:sz w:val="21"/>
                <w:szCs w:val="21"/>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Arial"/>
                <w:color w:val="auto"/>
                <w:szCs w:val="21"/>
                <w:highlight w:val="none"/>
                <w:vertAlign w:val="baseline"/>
              </w:rPr>
            </w:pPr>
            <w:r>
              <w:rPr>
                <w:rFonts w:hint="eastAsia" w:ascii="宋体" w:hAnsi="宋体" w:eastAsia="宋体" w:cs="Arial"/>
                <w:b w:val="0"/>
                <w:bCs w:val="0"/>
                <w:color w:val="auto"/>
                <w:sz w:val="21"/>
                <w:szCs w:val="21"/>
                <w:highlight w:val="none"/>
              </w:rPr>
              <w:t>   </w:t>
            </w:r>
            <w:r>
              <w:rPr>
                <w:rFonts w:hint="eastAsia" w:ascii="宋体" w:hAnsi="宋体" w:eastAsia="宋体" w:cs="Arial"/>
                <w:b w:val="0"/>
                <w:bCs w:val="0"/>
                <w:color w:val="auto"/>
                <w:sz w:val="21"/>
                <w:szCs w:val="21"/>
                <w:highlight w:val="none"/>
                <w:u w:val="single"/>
              </w:rPr>
              <w:t> </w:t>
            </w:r>
            <w:r>
              <w:rPr>
                <w:rFonts w:hint="eastAsia" w:ascii="宋体" w:hAnsi="宋体" w:cs="Arial"/>
                <w:b w:val="0"/>
                <w:bCs w:val="0"/>
                <w:color w:val="auto"/>
                <w:sz w:val="21"/>
                <w:szCs w:val="21"/>
                <w:highlight w:val="none"/>
                <w:u w:val="single"/>
                <w:lang w:eastAsia="zh-CN"/>
              </w:rPr>
              <w:t>浙江省预算管理一体化项目</w:t>
            </w:r>
            <w:r>
              <w:rPr>
                <w:rFonts w:hint="eastAsia" w:ascii="宋体" w:hAnsi="宋体" w:eastAsia="宋体" w:cs="Arial"/>
                <w:b w:val="0"/>
                <w:bCs w:val="0"/>
                <w:color w:val="auto"/>
                <w:sz w:val="21"/>
                <w:szCs w:val="21"/>
                <w:highlight w:val="none"/>
                <w:u w:val="single"/>
                <w:lang w:val="en-US" w:eastAsia="zh-CN"/>
              </w:rPr>
              <w:t xml:space="preserve">  </w:t>
            </w:r>
            <w:r>
              <w:rPr>
                <w:rFonts w:hint="eastAsia" w:ascii="宋体" w:hAnsi="宋体" w:eastAsia="宋体" w:cs="Arial"/>
                <w:b w:val="0"/>
                <w:bCs w:val="0"/>
                <w:color w:val="auto"/>
                <w:sz w:val="21"/>
                <w:szCs w:val="21"/>
                <w:highlight w:val="none"/>
              </w:rPr>
              <w:t>招标项目的潜在投标人应在</w:t>
            </w:r>
            <w:r>
              <w:rPr>
                <w:rFonts w:hint="eastAsia" w:ascii="宋体" w:hAnsi="宋体" w:eastAsia="宋体" w:cs="Arial"/>
                <w:b w:val="0"/>
                <w:bCs w:val="0"/>
                <w:color w:val="auto"/>
                <w:sz w:val="21"/>
                <w:szCs w:val="21"/>
                <w:highlight w:val="none"/>
                <w:u w:val="single"/>
                <w:lang w:eastAsia="zh-CN"/>
              </w:rPr>
              <w:t>政采云平台（https://www.zcygov.cn）</w:t>
            </w:r>
            <w:r>
              <w:rPr>
                <w:rFonts w:hint="eastAsia" w:ascii="宋体" w:hAnsi="宋体" w:eastAsia="宋体" w:cs="Arial"/>
                <w:b w:val="0"/>
                <w:bCs w:val="0"/>
                <w:color w:val="auto"/>
                <w:sz w:val="21"/>
                <w:szCs w:val="21"/>
                <w:highlight w:val="none"/>
              </w:rPr>
              <w:t>获取（下载）</w:t>
            </w:r>
            <w:r>
              <w:rPr>
                <w:rFonts w:hint="eastAsia" w:ascii="宋体" w:hAnsi="宋体" w:cs="Arial"/>
                <w:b w:val="0"/>
                <w:bCs w:val="0"/>
                <w:color w:val="auto"/>
                <w:sz w:val="21"/>
                <w:szCs w:val="21"/>
                <w:highlight w:val="none"/>
                <w:lang w:eastAsia="zh-CN"/>
              </w:rPr>
              <w:t>招标</w:t>
            </w:r>
            <w:r>
              <w:rPr>
                <w:rFonts w:hint="eastAsia" w:ascii="宋体" w:hAnsi="宋体" w:eastAsia="宋体" w:cs="Arial"/>
                <w:b w:val="0"/>
                <w:bCs w:val="0"/>
                <w:color w:val="auto"/>
                <w:sz w:val="21"/>
                <w:szCs w:val="21"/>
                <w:highlight w:val="none"/>
              </w:rPr>
              <w:t>文件，并于 </w:t>
            </w:r>
            <w:r>
              <w:rPr>
                <w:rFonts w:hint="eastAsia" w:ascii="宋体" w:hAnsi="宋体" w:eastAsia="宋体" w:cs="Arial"/>
                <w:b w:val="0"/>
                <w:bCs w:val="0"/>
                <w:color w:val="auto"/>
                <w:sz w:val="21"/>
                <w:szCs w:val="21"/>
                <w:highlight w:val="none"/>
                <w:u w:val="single"/>
                <w:lang w:val="en-US" w:eastAsia="zh-CN"/>
              </w:rPr>
              <w:t xml:space="preserve"> 2022</w:t>
            </w:r>
            <w:r>
              <w:rPr>
                <w:rFonts w:hint="eastAsia" w:ascii="宋体" w:hAnsi="宋体" w:eastAsia="宋体" w:cs="Arial"/>
                <w:b w:val="0"/>
                <w:bCs w:val="0"/>
                <w:color w:val="auto"/>
                <w:sz w:val="21"/>
                <w:szCs w:val="21"/>
                <w:highlight w:val="none"/>
                <w:u w:val="single"/>
              </w:rPr>
              <w:t>年</w:t>
            </w:r>
            <w:r>
              <w:rPr>
                <w:rFonts w:hint="eastAsia" w:ascii="宋体" w:hAnsi="宋体" w:cs="Arial"/>
                <w:b w:val="0"/>
                <w:bCs w:val="0"/>
                <w:color w:val="auto"/>
                <w:sz w:val="21"/>
                <w:szCs w:val="21"/>
                <w:highlight w:val="none"/>
                <w:u w:val="single"/>
                <w:lang w:val="en-US" w:eastAsia="zh-CN"/>
              </w:rPr>
              <w:t xml:space="preserve"> 11 月 22  日</w:t>
            </w:r>
            <w:r>
              <w:rPr>
                <w:rFonts w:hint="eastAsia" w:ascii="宋体" w:hAnsi="宋体" w:eastAsia="宋体" w:cs="Arial"/>
                <w:b w:val="0"/>
                <w:bCs w:val="0"/>
                <w:color w:val="auto"/>
                <w:sz w:val="21"/>
                <w:szCs w:val="21"/>
                <w:highlight w:val="none"/>
                <w:u w:val="single"/>
              </w:rPr>
              <w:t xml:space="preserve"> </w:t>
            </w:r>
            <w:r>
              <w:rPr>
                <w:rFonts w:hint="eastAsia" w:ascii="宋体" w:hAnsi="宋体" w:cs="Arial"/>
                <w:b w:val="0"/>
                <w:bCs w:val="0"/>
                <w:color w:val="auto"/>
                <w:sz w:val="21"/>
                <w:szCs w:val="21"/>
                <w:highlight w:val="none"/>
                <w:u w:val="single"/>
                <w:lang w:val="en-US" w:eastAsia="zh-CN"/>
              </w:rPr>
              <w:t>14</w:t>
            </w:r>
            <w:r>
              <w:rPr>
                <w:rFonts w:hint="eastAsia" w:ascii="宋体" w:hAnsi="宋体" w:eastAsia="宋体" w:cs="Arial"/>
                <w:b w:val="0"/>
                <w:bCs w:val="0"/>
                <w:color w:val="auto"/>
                <w:sz w:val="21"/>
                <w:szCs w:val="21"/>
                <w:highlight w:val="none"/>
                <w:u w:val="single"/>
              </w:rPr>
              <w:t>:</w:t>
            </w:r>
            <w:r>
              <w:rPr>
                <w:rFonts w:hint="eastAsia" w:ascii="宋体" w:hAnsi="宋体" w:eastAsia="宋体" w:cs="Arial"/>
                <w:b w:val="0"/>
                <w:bCs w:val="0"/>
                <w:color w:val="auto"/>
                <w:sz w:val="21"/>
                <w:szCs w:val="21"/>
                <w:highlight w:val="none"/>
                <w:u w:val="single"/>
                <w:lang w:val="en-US" w:eastAsia="zh-CN"/>
              </w:rPr>
              <w:t>30</w:t>
            </w:r>
            <w:r>
              <w:rPr>
                <w:rFonts w:hint="eastAsia" w:ascii="宋体" w:hAnsi="宋体" w:eastAsia="宋体" w:cs="Arial"/>
                <w:b w:val="0"/>
                <w:bCs w:val="0"/>
                <w:color w:val="auto"/>
                <w:sz w:val="21"/>
                <w:szCs w:val="21"/>
                <w:highlight w:val="none"/>
                <w:u w:val="single"/>
              </w:rPr>
              <w:t> </w:t>
            </w:r>
            <w:r>
              <w:rPr>
                <w:rFonts w:hint="eastAsia" w:ascii="宋体" w:hAnsi="宋体" w:eastAsia="宋体" w:cs="Arial"/>
                <w:b w:val="0"/>
                <w:bCs w:val="0"/>
                <w:color w:val="auto"/>
                <w:sz w:val="21"/>
                <w:szCs w:val="21"/>
                <w:highlight w:val="none"/>
              </w:rPr>
              <w:t>（北京时间）前提交（上传）</w:t>
            </w:r>
            <w:r>
              <w:rPr>
                <w:rFonts w:hint="eastAsia" w:ascii="宋体" w:hAnsi="宋体" w:cs="Arial"/>
                <w:b w:val="0"/>
                <w:bCs w:val="0"/>
                <w:color w:val="auto"/>
                <w:sz w:val="21"/>
                <w:szCs w:val="21"/>
                <w:highlight w:val="none"/>
                <w:lang w:eastAsia="zh-CN"/>
              </w:rPr>
              <w:t>投标</w:t>
            </w:r>
            <w:r>
              <w:rPr>
                <w:rFonts w:hint="eastAsia" w:ascii="宋体" w:hAnsi="宋体" w:eastAsia="宋体" w:cs="Arial"/>
                <w:b w:val="0"/>
                <w:bCs w:val="0"/>
                <w:color w:val="auto"/>
                <w:sz w:val="21"/>
                <w:szCs w:val="21"/>
                <w:highlight w:val="none"/>
              </w:rPr>
              <w:t>文件。</w:t>
            </w:r>
          </w:p>
        </w:tc>
      </w:tr>
    </w:tbl>
    <w:p>
      <w:pPr>
        <w:widowControl/>
        <w:spacing w:line="360" w:lineRule="auto"/>
        <w:jc w:val="left"/>
        <w:rPr>
          <w:rFonts w:ascii="宋体" w:hAnsi="宋体" w:cs="Arial"/>
          <w:color w:val="auto"/>
          <w:kern w:val="0"/>
          <w:szCs w:val="21"/>
          <w:highlight w:val="none"/>
        </w:rPr>
      </w:pP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一、项目基本情况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kern w:val="0"/>
          <w:szCs w:val="21"/>
          <w:highlight w:val="none"/>
          <w:lang w:val="en-US" w:eastAsia="zh-CN"/>
        </w:rPr>
      </w:pPr>
      <w:r>
        <w:rPr>
          <w:rFonts w:ascii="宋体" w:hAnsi="宋体" w:cs="Arial"/>
          <w:color w:val="auto"/>
          <w:kern w:val="0"/>
          <w:szCs w:val="21"/>
          <w:highlight w:val="none"/>
        </w:rPr>
        <w:t>项目编号：</w:t>
      </w:r>
      <w:r>
        <w:rPr>
          <w:rFonts w:hint="eastAsia" w:ascii="宋体" w:hAnsi="宋体" w:cs="Arial"/>
          <w:color w:val="auto"/>
          <w:kern w:val="0"/>
          <w:szCs w:val="21"/>
          <w:highlight w:val="none"/>
          <w:lang w:val="en-US" w:eastAsia="zh-CN"/>
        </w:rPr>
        <w:t>ZJ-2272868</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项目名称：</w:t>
      </w:r>
      <w:r>
        <w:rPr>
          <w:rFonts w:hint="eastAsia" w:ascii="宋体" w:hAnsi="宋体" w:cs="Arial"/>
          <w:b w:val="0"/>
          <w:bCs w:val="0"/>
          <w:color w:val="auto"/>
          <w:sz w:val="21"/>
          <w:szCs w:val="21"/>
          <w:highlight w:val="none"/>
          <w:u w:val="none"/>
          <w:lang w:eastAsia="zh-CN"/>
        </w:rPr>
        <w:t>浙江省预算管理一体化项目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kern w:val="0"/>
          <w:szCs w:val="21"/>
          <w:highlight w:val="none"/>
          <w:lang w:val="en-US" w:eastAsia="zh-CN"/>
        </w:rPr>
      </w:pPr>
      <w:r>
        <w:rPr>
          <w:rFonts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43400000.00</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宋体"/>
          <w:b/>
          <w:color w:val="auto"/>
          <w:kern w:val="0"/>
          <w:szCs w:val="21"/>
          <w:highlight w:val="none"/>
          <w:lang w:val="en-US" w:eastAsia="zh-CN"/>
        </w:rPr>
      </w:pPr>
      <w:r>
        <w:rPr>
          <w:rFonts w:ascii="宋体" w:hAnsi="宋体" w:cs="Arial"/>
          <w:color w:val="auto"/>
          <w:kern w:val="0"/>
          <w:szCs w:val="21"/>
          <w:highlight w:val="none"/>
        </w:rPr>
        <w:t>最高限价（元）：</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lang w:eastAsia="zh-CN"/>
        </w:rPr>
        <w:t>）省本级项目费用（总价包干）最高限价：</w:t>
      </w:r>
      <w:r>
        <w:rPr>
          <w:rFonts w:hint="eastAsia" w:ascii="宋体" w:hAnsi="宋体" w:cs="宋体"/>
          <w:b/>
          <w:color w:val="auto"/>
          <w:kern w:val="0"/>
          <w:szCs w:val="21"/>
          <w:highlight w:val="none"/>
          <w:u w:val="single"/>
          <w:lang w:val="en-US" w:eastAsia="zh-CN"/>
        </w:rPr>
        <w:t xml:space="preserve"> 300 </w:t>
      </w:r>
      <w:r>
        <w:rPr>
          <w:rFonts w:hint="eastAsia" w:ascii="宋体" w:hAnsi="宋体" w:cs="宋体"/>
          <w:b/>
          <w:color w:val="auto"/>
          <w:kern w:val="0"/>
          <w:szCs w:val="21"/>
          <w:highlight w:val="none"/>
          <w:lang w:val="en-US" w:eastAsia="zh-CN"/>
        </w:rPr>
        <w:t>万元；</w:t>
      </w:r>
    </w:p>
    <w:p>
      <w:pPr>
        <w:pStyle w:val="2"/>
        <w:numPr>
          <w:ilvl w:val="0"/>
          <w:numId w:val="2"/>
        </w:numPr>
        <w:ind w:left="0" w:leftChars="0" w:firstLine="2108" w:firstLineChars="100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地市级年度服务最高限价为：</w:t>
      </w:r>
      <w:r>
        <w:rPr>
          <w:rFonts w:hint="eastAsia" w:ascii="宋体" w:hAnsi="宋体" w:eastAsia="宋体" w:cs="宋体"/>
          <w:b/>
          <w:color w:val="auto"/>
          <w:kern w:val="0"/>
          <w:sz w:val="21"/>
          <w:szCs w:val="21"/>
          <w:highlight w:val="none"/>
          <w:u w:val="single"/>
          <w:lang w:val="en-US" w:eastAsia="zh-CN" w:bidi="ar-SA"/>
        </w:rPr>
        <w:t xml:space="preserve"> 60 </w:t>
      </w:r>
      <w:r>
        <w:rPr>
          <w:rFonts w:hint="eastAsia" w:ascii="宋体" w:hAnsi="宋体" w:eastAsia="宋体" w:cs="宋体"/>
          <w:b/>
          <w:color w:val="auto"/>
          <w:kern w:val="0"/>
          <w:sz w:val="21"/>
          <w:szCs w:val="21"/>
          <w:highlight w:val="none"/>
          <w:lang w:val="en-US" w:eastAsia="zh-CN" w:bidi="ar-SA"/>
        </w:rPr>
        <w:t>万元/年/地市；</w:t>
      </w:r>
    </w:p>
    <w:p>
      <w:pPr>
        <w:pStyle w:val="2"/>
        <w:numPr>
          <w:ilvl w:val="0"/>
          <w:numId w:val="2"/>
        </w:numPr>
        <w:ind w:left="0" w:leftChars="0" w:firstLine="2108" w:firstLineChars="100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区县级年度服务最高限价为：</w:t>
      </w:r>
      <w:r>
        <w:rPr>
          <w:rFonts w:hint="eastAsia" w:ascii="宋体" w:hAnsi="宋体" w:eastAsia="宋体" w:cs="宋体"/>
          <w:b/>
          <w:color w:val="auto"/>
          <w:kern w:val="0"/>
          <w:sz w:val="21"/>
          <w:szCs w:val="21"/>
          <w:highlight w:val="none"/>
          <w:u w:val="single"/>
          <w:lang w:val="en-US" w:eastAsia="zh-CN" w:bidi="ar-SA"/>
        </w:rPr>
        <w:t xml:space="preserve"> 40 </w:t>
      </w:r>
      <w:r>
        <w:rPr>
          <w:rFonts w:hint="eastAsia" w:ascii="宋体" w:hAnsi="宋体" w:eastAsia="宋体" w:cs="宋体"/>
          <w:b/>
          <w:color w:val="auto"/>
          <w:kern w:val="0"/>
          <w:sz w:val="21"/>
          <w:szCs w:val="21"/>
          <w:highlight w:val="none"/>
          <w:lang w:val="en-US" w:eastAsia="zh-CN" w:bidi="ar-SA"/>
        </w:rPr>
        <w:t>万元/年/区县。</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采购需求：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标项名称:</w:t>
      </w:r>
      <w:r>
        <w:rPr>
          <w:rFonts w:hint="eastAsia" w:ascii="宋体" w:hAnsi="宋体" w:cs="Arial"/>
          <w:b w:val="0"/>
          <w:bCs w:val="0"/>
          <w:color w:val="auto"/>
          <w:sz w:val="21"/>
          <w:szCs w:val="21"/>
          <w:highlight w:val="none"/>
          <w:u w:val="none"/>
          <w:lang w:eastAsia="zh-CN"/>
        </w:rPr>
        <w:t>浙江省预算管理一体化项目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rPr>
        <w:t xml:space="preserve">    数量:</w:t>
      </w:r>
      <w:r>
        <w:rPr>
          <w:rFonts w:hint="eastAsia" w:ascii="宋体" w:hAnsi="宋体" w:cs="Arial"/>
          <w:color w:val="auto"/>
          <w:kern w:val="0"/>
          <w:szCs w:val="21"/>
          <w:highlight w:val="none"/>
          <w:lang w:val="en-US" w:eastAsia="zh-CN"/>
        </w:rPr>
        <w:t>1项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rPr>
        <w:t xml:space="preserve">    预算金额（元）: </w:t>
      </w:r>
      <w:r>
        <w:rPr>
          <w:rFonts w:hint="eastAsia" w:ascii="宋体" w:hAnsi="宋体" w:cs="Arial"/>
          <w:color w:val="auto"/>
          <w:kern w:val="0"/>
          <w:szCs w:val="21"/>
          <w:highlight w:val="none"/>
          <w:lang w:val="en-US" w:eastAsia="zh-CN"/>
        </w:rPr>
        <w:t>43400000.00</w:t>
      </w:r>
    </w:p>
    <w:p>
      <w:pPr>
        <w:pageBreakBefore w:val="0"/>
        <w:widowControl w:val="0"/>
        <w:kinsoku/>
        <w:wordWrap/>
        <w:topLinePunct w:val="0"/>
        <w:bidi w:val="0"/>
        <w:spacing w:line="360" w:lineRule="auto"/>
        <w:ind w:firstLine="420" w:firstLineChars="200"/>
        <w:jc w:val="left"/>
        <w:textAlignment w:val="auto"/>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简要规格描述或项目基本概况介绍、用途：</w:t>
      </w:r>
      <w:r>
        <w:rPr>
          <w:rFonts w:hint="eastAsia" w:ascii="宋体" w:hAnsi="宋体" w:cs="Arial"/>
          <w:color w:val="auto"/>
          <w:kern w:val="0"/>
          <w:szCs w:val="21"/>
          <w:highlight w:val="none"/>
          <w:lang w:val="en-US" w:eastAsia="zh-CN"/>
        </w:rPr>
        <w:t>本项目建设内容为</w:t>
      </w:r>
      <w:r>
        <w:rPr>
          <w:rFonts w:hint="eastAsia" w:ascii="宋体" w:hAnsi="宋体" w:eastAsia="宋体" w:cs="Arial"/>
          <w:color w:val="auto"/>
          <w:kern w:val="0"/>
          <w:sz w:val="21"/>
          <w:szCs w:val="21"/>
          <w:highlight w:val="none"/>
        </w:rPr>
        <w:t>在预算管理一体化系统现有版本的基础上，开展系统升级和2023年</w:t>
      </w:r>
      <w:r>
        <w:rPr>
          <w:rFonts w:hint="eastAsia" w:ascii="宋体" w:hAnsi="宋体" w:eastAsia="宋体" w:cs="Arial"/>
          <w:color w:val="auto"/>
          <w:kern w:val="0"/>
          <w:sz w:val="21"/>
          <w:szCs w:val="21"/>
          <w:highlight w:val="none"/>
          <w:lang w:val="en-US" w:eastAsia="zh-CN"/>
        </w:rPr>
        <w:t>预算管理业务</w:t>
      </w:r>
      <w:r>
        <w:rPr>
          <w:rFonts w:hint="eastAsia" w:ascii="宋体" w:hAnsi="宋体" w:eastAsia="宋体" w:cs="Arial"/>
          <w:color w:val="auto"/>
          <w:kern w:val="0"/>
          <w:sz w:val="21"/>
          <w:szCs w:val="21"/>
          <w:highlight w:val="none"/>
        </w:rPr>
        <w:t>运维工作</w:t>
      </w:r>
      <w:r>
        <w:rPr>
          <w:rFonts w:hint="eastAsia" w:ascii="宋体" w:hAnsi="宋体" w:cs="Arial"/>
          <w:color w:val="auto"/>
          <w:kern w:val="0"/>
          <w:sz w:val="21"/>
          <w:szCs w:val="21"/>
          <w:highlight w:val="none"/>
          <w:lang w:eastAsia="zh-CN"/>
        </w:rPr>
        <w:t>，</w:t>
      </w:r>
      <w:r>
        <w:rPr>
          <w:rFonts w:hint="eastAsia" w:ascii="宋体" w:hAnsi="宋体" w:cs="Arial"/>
          <w:color w:val="auto"/>
          <w:kern w:val="0"/>
          <w:szCs w:val="21"/>
          <w:highlight w:val="none"/>
          <w:lang w:val="en-US" w:eastAsia="zh-CN"/>
        </w:rPr>
        <w:t>主要</w:t>
      </w:r>
      <w:r>
        <w:rPr>
          <w:rFonts w:hint="eastAsia" w:ascii="宋体" w:hAnsi="宋体" w:cs="Arial"/>
          <w:color w:val="auto"/>
          <w:kern w:val="0"/>
          <w:sz w:val="21"/>
          <w:szCs w:val="21"/>
          <w:highlight w:val="none"/>
          <w:lang w:eastAsia="zh-CN"/>
        </w:rPr>
        <w:t>包括：</w:t>
      </w:r>
      <w:r>
        <w:rPr>
          <w:rFonts w:hint="eastAsia" w:ascii="宋体" w:hAnsi="宋体" w:eastAsia="宋体" w:cs="Arial"/>
          <w:b w:val="0"/>
          <w:color w:val="auto"/>
          <w:kern w:val="0"/>
          <w:sz w:val="21"/>
          <w:szCs w:val="21"/>
          <w:highlight w:val="none"/>
        </w:rPr>
        <w:t>实现预算管理一体化新增需求</w:t>
      </w:r>
      <w:r>
        <w:rPr>
          <w:rFonts w:hint="eastAsia" w:ascii="宋体" w:hAnsi="宋体" w:eastAsia="宋体" w:cs="Arial"/>
          <w:b w:val="0"/>
          <w:color w:val="auto"/>
          <w:kern w:val="0"/>
          <w:sz w:val="21"/>
          <w:szCs w:val="21"/>
          <w:highlight w:val="none"/>
          <w:lang w:eastAsia="zh-CN"/>
        </w:rPr>
        <w:t>、</w:t>
      </w:r>
      <w:r>
        <w:rPr>
          <w:rFonts w:hint="eastAsia" w:ascii="宋体" w:hAnsi="宋体" w:eastAsia="宋体" w:cs="Arial"/>
          <w:b w:val="0"/>
          <w:color w:val="auto"/>
          <w:kern w:val="0"/>
          <w:sz w:val="21"/>
          <w:szCs w:val="21"/>
          <w:highlight w:val="none"/>
        </w:rPr>
        <w:t>完成预算管理一体化系统全省新年度服务</w:t>
      </w:r>
      <w:r>
        <w:rPr>
          <w:rFonts w:hint="eastAsia" w:ascii="宋体" w:hAnsi="宋体" w:eastAsia="宋体" w:cs="Arial"/>
          <w:b w:val="0"/>
          <w:color w:val="auto"/>
          <w:kern w:val="0"/>
          <w:sz w:val="21"/>
          <w:szCs w:val="21"/>
          <w:highlight w:val="none"/>
          <w:lang w:eastAsia="zh-CN"/>
        </w:rPr>
        <w:t>（包括省本级和全省各市县服务）等。</w:t>
      </w:r>
      <w:r>
        <w:rPr>
          <w:rFonts w:hint="eastAsia" w:ascii="宋体" w:hAnsi="宋体" w:cs="Arial"/>
          <w:color w:val="auto"/>
          <w:kern w:val="0"/>
          <w:szCs w:val="21"/>
          <w:highlight w:val="none"/>
          <w:lang w:eastAsia="zh-CN"/>
        </w:rPr>
        <w:t>具体详见采购需求。</w:t>
      </w:r>
    </w:p>
    <w:p>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Arial"/>
          <w:color w:val="auto"/>
          <w:kern w:val="0"/>
          <w:szCs w:val="21"/>
          <w:highlight w:val="none"/>
          <w:lang w:eastAsia="zh-CN"/>
        </w:rPr>
      </w:pPr>
    </w:p>
    <w:p>
      <w:pPr>
        <w:widowControl/>
        <w:spacing w:line="360" w:lineRule="auto"/>
        <w:ind w:firstLine="840" w:firstLineChars="400"/>
        <w:jc w:val="left"/>
        <w:rPr>
          <w:rFonts w:ascii="宋体" w:hAnsi="宋体" w:cs="Arial"/>
          <w:color w:val="auto"/>
          <w:kern w:val="0"/>
          <w:szCs w:val="21"/>
          <w:highlight w:val="none"/>
        </w:rPr>
      </w:pPr>
      <w:r>
        <w:rPr>
          <w:rFonts w:hint="eastAsia" w:ascii="宋体" w:hAnsi="宋体" w:cs="Arial"/>
          <w:color w:val="auto"/>
          <w:kern w:val="0"/>
          <w:szCs w:val="21"/>
          <w:highlight w:val="none"/>
        </w:rPr>
        <w:t>备注：</w:t>
      </w:r>
    </w:p>
    <w:p>
      <w:pPr>
        <w:widowControl/>
        <w:spacing w:line="360" w:lineRule="auto"/>
        <w:ind w:firstLine="840" w:firstLineChars="400"/>
        <w:jc w:val="left"/>
        <w:rPr>
          <w:rFonts w:hint="eastAsia" w:ascii="宋体" w:hAnsi="宋体" w:cs="Arial"/>
          <w:color w:val="auto"/>
          <w:kern w:val="0"/>
          <w:szCs w:val="21"/>
          <w:highlight w:val="none"/>
          <w:lang w:val="en-US" w:eastAsia="zh-CN"/>
        </w:rPr>
      </w:pPr>
      <w:r>
        <w:rPr>
          <w:rFonts w:ascii="宋体" w:hAnsi="宋体" w:cs="Arial"/>
          <w:color w:val="auto"/>
          <w:kern w:val="0"/>
          <w:szCs w:val="21"/>
          <w:highlight w:val="none"/>
        </w:rPr>
        <w:t>合同履行期限</w:t>
      </w:r>
      <w:r>
        <w:rPr>
          <w:rFonts w:hint="eastAsia" w:ascii="宋体" w:hAnsi="宋体" w:cs="Arial"/>
          <w:color w:val="auto"/>
          <w:kern w:val="0"/>
          <w:szCs w:val="21"/>
          <w:highlight w:val="none"/>
          <w:lang w:eastAsia="zh-CN"/>
        </w:rPr>
        <w:t>：详见采购需求。</w:t>
      </w:r>
    </w:p>
    <w:p>
      <w:pPr>
        <w:widowControl/>
        <w:spacing w:line="360" w:lineRule="auto"/>
        <w:ind w:firstLine="840" w:firstLineChars="400"/>
        <w:jc w:val="left"/>
        <w:rPr>
          <w:rFonts w:ascii="宋体" w:hAnsi="宋体" w:cs="Arial"/>
          <w:color w:val="auto"/>
          <w:kern w:val="0"/>
          <w:szCs w:val="21"/>
          <w:highlight w:val="none"/>
        </w:rPr>
      </w:pPr>
      <w:r>
        <w:rPr>
          <w:rFonts w:hint="eastAsia" w:ascii="宋体" w:hAnsi="宋体" w:eastAsia="宋体" w:cs="Arial"/>
          <w:color w:val="auto"/>
          <w:szCs w:val="21"/>
          <w:highlight w:val="none"/>
        </w:rPr>
        <w:t>本项目</w:t>
      </w:r>
      <w:r>
        <w:rPr>
          <w:rFonts w:hint="eastAsia" w:ascii="宋体" w:hAnsi="宋体" w:eastAsia="宋体" w:cs="Arial"/>
          <w:i/>
          <w:iCs/>
          <w:color w:val="auto"/>
          <w:szCs w:val="21"/>
          <w:highlight w:val="none"/>
          <w:lang w:eastAsia="zh-CN"/>
        </w:rPr>
        <w:t>（是）</w:t>
      </w:r>
      <w:r>
        <w:rPr>
          <w:rFonts w:hint="eastAsia" w:ascii="宋体" w:hAnsi="宋体" w:eastAsia="宋体" w:cs="Arial"/>
          <w:color w:val="auto"/>
          <w:szCs w:val="21"/>
          <w:highlight w:val="none"/>
        </w:rPr>
        <w:t>接受联合体</w:t>
      </w:r>
      <w:r>
        <w:rPr>
          <w:rFonts w:ascii="宋体" w:hAnsi="宋体" w:cs="Arial"/>
          <w:color w:val="auto"/>
          <w:kern w:val="0"/>
          <w:szCs w:val="21"/>
          <w:highlight w:val="none"/>
        </w:rPr>
        <w:t>投标。</w:t>
      </w:r>
    </w:p>
    <w:p>
      <w:pPr>
        <w:pStyle w:val="9"/>
        <w:rPr>
          <w:color w:val="auto"/>
          <w:highlight w:val="none"/>
        </w:rPr>
      </w:pP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二、申请人的资格要求：</w:t>
      </w:r>
    </w:p>
    <w:p>
      <w:pPr>
        <w:widowControl/>
        <w:spacing w:line="360" w:lineRule="auto"/>
        <w:ind w:firstLine="420" w:firstLineChars="200"/>
        <w:jc w:val="left"/>
        <w:rPr>
          <w:rFonts w:hint="eastAsia" w:ascii="宋体" w:hAnsi="宋体" w:eastAsia="Calibri" w:cs="Arial"/>
          <w:color w:val="auto"/>
          <w:kern w:val="0"/>
          <w:szCs w:val="21"/>
          <w:highlight w:val="none"/>
          <w:lang w:eastAsia="zh-CN"/>
        </w:rPr>
      </w:pPr>
      <w:r>
        <w:rPr>
          <w:rFonts w:ascii="宋体" w:hAnsi="宋体" w:cs="Arial"/>
          <w:color w:val="auto"/>
          <w:kern w:val="0"/>
          <w:szCs w:val="21"/>
          <w:highlight w:val="none"/>
        </w:rPr>
        <w:t>1.满足《中华人民共和国政府采购法》第二十二条规定；</w:t>
      </w:r>
      <w:r>
        <w:rPr>
          <w:rFonts w:hint="eastAsia" w:ascii="宋体" w:hAnsi="宋体" w:cs="Arial"/>
          <w:color w:val="auto"/>
          <w:kern w:val="0"/>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Arial"/>
          <w:color w:val="auto"/>
          <w:kern w:val="0"/>
          <w:szCs w:val="21"/>
          <w:highlight w:val="none"/>
          <w:lang w:eastAsia="zh-CN"/>
        </w:rPr>
        <w:t>。</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2.落实政府采购政策需满足的资格要求：</w:t>
      </w:r>
      <w:r>
        <w:rPr>
          <w:rFonts w:hint="eastAsia" w:ascii="宋体" w:hAnsi="宋体" w:eastAsia="宋体" w:cs="Arial"/>
          <w:i/>
          <w:iCs/>
          <w:color w:val="auto"/>
          <w:szCs w:val="21"/>
          <w:highlight w:val="none"/>
          <w:lang w:eastAsia="zh-CN"/>
        </w:rPr>
        <w:t>无</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i/>
          <w:iCs/>
          <w:color w:val="auto"/>
          <w:szCs w:val="21"/>
          <w:highlight w:val="none"/>
        </w:rPr>
      </w:pPr>
      <w:r>
        <w:rPr>
          <w:rFonts w:ascii="宋体" w:hAnsi="宋体" w:cs="Arial"/>
          <w:color w:val="auto"/>
          <w:kern w:val="0"/>
          <w:szCs w:val="21"/>
          <w:highlight w:val="none"/>
        </w:rPr>
        <w:t>3.本项目的特定资格要求：</w:t>
      </w:r>
      <w:r>
        <w:rPr>
          <w:rFonts w:hint="eastAsia" w:ascii="宋体" w:hAnsi="宋体" w:cs="Arial"/>
          <w:color w:val="auto"/>
          <w:kern w:val="0"/>
          <w:szCs w:val="21"/>
          <w:highlight w:val="none"/>
          <w:lang w:val="en-US" w:eastAsia="zh-CN"/>
        </w:rPr>
        <w:t>无</w:t>
      </w:r>
    </w:p>
    <w:p>
      <w:pPr>
        <w:widowControl/>
        <w:spacing w:line="360" w:lineRule="auto"/>
        <w:ind w:firstLine="420" w:firstLineChars="200"/>
        <w:jc w:val="left"/>
        <w:rPr>
          <w:rFonts w:ascii="宋体" w:hAnsi="宋体" w:cs="Arial"/>
          <w:i/>
          <w:iCs/>
          <w:color w:val="auto"/>
          <w:kern w:val="0"/>
          <w:szCs w:val="21"/>
          <w:highlight w:val="none"/>
        </w:rPr>
      </w:pPr>
      <w:r>
        <w:rPr>
          <w:rFonts w:ascii="宋体" w:hAnsi="宋体" w:cs="Arial"/>
          <w:i/>
          <w:iCs/>
          <w:color w:val="auto"/>
          <w:kern w:val="0"/>
          <w:szCs w:val="21"/>
          <w:highlight w:val="none"/>
        </w:rPr>
        <w:t> </w:t>
      </w:r>
      <w:r>
        <w:rPr>
          <w:rFonts w:hint="eastAsia" w:ascii="宋体" w:hAnsi="宋体" w:cs="Arial"/>
          <w:i/>
          <w:iCs/>
          <w:color w:val="auto"/>
          <w:kern w:val="0"/>
          <w:szCs w:val="21"/>
          <w:highlight w:val="none"/>
          <w:lang w:val="en-US" w:eastAsia="zh-CN"/>
        </w:rPr>
        <w:t xml:space="preserve">   </w:t>
      </w: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三、获取招标文件</w:t>
      </w:r>
    </w:p>
    <w:p>
      <w:pPr>
        <w:widowControl/>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    时间：</w:t>
      </w:r>
      <w:r>
        <w:rPr>
          <w:rFonts w:ascii="宋体" w:hAnsi="宋体" w:cs="Arial"/>
          <w:color w:val="auto"/>
          <w:kern w:val="0"/>
          <w:szCs w:val="21"/>
          <w:highlight w:val="none"/>
          <w:u w:val="single"/>
        </w:rPr>
        <w:t> </w:t>
      </w:r>
      <w:r>
        <w:rPr>
          <w:rFonts w:hint="eastAsia" w:ascii="宋体" w:hAnsi="宋体" w:eastAsia="宋体" w:cs="Arial"/>
          <w:i/>
          <w:iCs/>
          <w:color w:val="auto"/>
          <w:szCs w:val="21"/>
          <w:highlight w:val="none"/>
          <w:u w:val="single"/>
          <w:lang w:val="en-US" w:eastAsia="zh-CN"/>
        </w:rPr>
        <w:t>/</w:t>
      </w:r>
      <w:r>
        <w:rPr>
          <w:rFonts w:ascii="宋体" w:hAnsi="宋体" w:cs="Arial"/>
          <w:color w:val="auto"/>
          <w:kern w:val="0"/>
          <w:szCs w:val="21"/>
          <w:highlight w:val="none"/>
          <w:u w:val="single"/>
        </w:rPr>
        <w:t> </w:t>
      </w:r>
      <w:r>
        <w:rPr>
          <w:rFonts w:ascii="宋体" w:hAnsi="宋体" w:cs="Arial"/>
          <w:color w:val="auto"/>
          <w:kern w:val="0"/>
          <w:szCs w:val="21"/>
          <w:highlight w:val="none"/>
        </w:rPr>
        <w:t>至 </w:t>
      </w:r>
      <w:r>
        <w:rPr>
          <w:rFonts w:ascii="宋体" w:hAnsi="宋体" w:cs="Arial"/>
          <w:color w:val="auto"/>
          <w:kern w:val="0"/>
          <w:szCs w:val="21"/>
          <w:highlight w:val="none"/>
          <w:u w:val="single"/>
        </w:rPr>
        <w:t> </w:t>
      </w:r>
      <w:r>
        <w:rPr>
          <w:rFonts w:hint="eastAsia" w:ascii="宋体" w:hAnsi="宋体" w:cs="Arial"/>
          <w:color w:val="auto"/>
          <w:kern w:val="0"/>
          <w:szCs w:val="21"/>
          <w:highlight w:val="none"/>
          <w:u w:val="single"/>
          <w:lang w:eastAsia="zh-CN"/>
        </w:rPr>
        <w:t>2022</w:t>
      </w:r>
      <w:r>
        <w:rPr>
          <w:rFonts w:hint="eastAsia" w:ascii="宋体" w:hAnsi="宋体" w:cs="Arial"/>
          <w:color w:val="auto"/>
          <w:kern w:val="0"/>
          <w:szCs w:val="21"/>
          <w:highlight w:val="none"/>
          <w:u w:val="single"/>
        </w:rPr>
        <w:t>年</w:t>
      </w:r>
      <w:r>
        <w:rPr>
          <w:rFonts w:hint="eastAsia" w:ascii="宋体" w:hAnsi="宋体" w:cs="Arial"/>
          <w:color w:val="auto"/>
          <w:kern w:val="0"/>
          <w:szCs w:val="21"/>
          <w:highlight w:val="none"/>
          <w:u w:val="single"/>
          <w:lang w:val="en-US" w:eastAsia="zh-CN"/>
        </w:rPr>
        <w:t xml:space="preserve"> 11 月 22  日</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u w:val="single"/>
          <w:lang w:val="en-US" w:eastAsia="zh-CN"/>
        </w:rPr>
        <w:t>14</w:t>
      </w:r>
      <w:r>
        <w:rPr>
          <w:rFonts w:hint="eastAsia" w:ascii="宋体" w:hAnsi="宋体" w:cs="Arial"/>
          <w:color w:val="auto"/>
          <w:kern w:val="0"/>
          <w:szCs w:val="21"/>
          <w:highlight w:val="none"/>
          <w:u w:val="single"/>
        </w:rPr>
        <w:t>: 30</w:t>
      </w:r>
      <w:r>
        <w:rPr>
          <w:rFonts w:hint="eastAsia" w:ascii="宋体" w:hAnsi="宋体" w:eastAsia="宋体" w:cs="Arial"/>
          <w:i/>
          <w:iCs/>
          <w:color w:val="auto"/>
          <w:szCs w:val="21"/>
          <w:highlight w:val="none"/>
          <w:u w:val="single"/>
          <w:lang w:val="en-US" w:eastAsia="zh-CN"/>
        </w:rPr>
        <w:t xml:space="preserve"> </w:t>
      </w:r>
      <w:r>
        <w:rPr>
          <w:rFonts w:ascii="宋体" w:hAnsi="宋体" w:cs="Arial"/>
          <w:color w:val="auto"/>
          <w:kern w:val="0"/>
          <w:szCs w:val="21"/>
          <w:highlight w:val="none"/>
          <w:u w:val="single"/>
        </w:rPr>
        <w:t> </w:t>
      </w:r>
      <w:r>
        <w:rPr>
          <w:rFonts w:ascii="宋体" w:hAnsi="宋体" w:cs="Arial"/>
          <w:color w:val="auto"/>
          <w:kern w:val="0"/>
          <w:szCs w:val="21"/>
          <w:highlight w:val="none"/>
        </w:rPr>
        <w:t>，每天上午</w:t>
      </w:r>
      <w:r>
        <w:rPr>
          <w:rFonts w:ascii="宋体" w:hAnsi="宋体" w:cs="Arial"/>
          <w:color w:val="auto"/>
          <w:kern w:val="0"/>
          <w:szCs w:val="21"/>
          <w:highlight w:val="none"/>
          <w:u w:val="single"/>
        </w:rPr>
        <w:t> 00:00至12:00</w:t>
      </w:r>
      <w:r>
        <w:rPr>
          <w:rFonts w:ascii="宋体" w:hAnsi="宋体" w:cs="Arial"/>
          <w:color w:val="auto"/>
          <w:kern w:val="0"/>
          <w:szCs w:val="21"/>
          <w:highlight w:val="none"/>
        </w:rPr>
        <w:t> ，下午</w:t>
      </w:r>
      <w:r>
        <w:rPr>
          <w:rFonts w:ascii="宋体" w:hAnsi="宋体" w:cs="Arial"/>
          <w:color w:val="auto"/>
          <w:kern w:val="0"/>
          <w:szCs w:val="21"/>
          <w:highlight w:val="none"/>
          <w:u w:val="single"/>
        </w:rPr>
        <w:t> 12:00至23:59 </w:t>
      </w:r>
      <w:r>
        <w:rPr>
          <w:rFonts w:ascii="宋体" w:hAnsi="宋体" w:cs="Arial"/>
          <w:color w:val="auto"/>
          <w:kern w:val="0"/>
          <w:szCs w:val="21"/>
          <w:highlight w:val="none"/>
        </w:rPr>
        <w:t>（北京时间，线上获取法定节假日均可，线下获取文件法定节假日除外）</w:t>
      </w:r>
    </w:p>
    <w:p>
      <w:pPr>
        <w:widowControl/>
        <w:spacing w:line="360" w:lineRule="auto"/>
        <w:ind w:firstLine="630"/>
        <w:jc w:val="left"/>
        <w:rPr>
          <w:rFonts w:ascii="宋体" w:hAnsi="宋体" w:cs="Arial"/>
          <w:color w:val="auto"/>
          <w:kern w:val="0"/>
          <w:szCs w:val="21"/>
          <w:highlight w:val="none"/>
        </w:rPr>
      </w:pPr>
      <w:r>
        <w:rPr>
          <w:rFonts w:ascii="宋体" w:hAnsi="宋体" w:cs="Arial"/>
          <w:color w:val="auto"/>
          <w:kern w:val="0"/>
          <w:szCs w:val="21"/>
          <w:highlight w:val="none"/>
        </w:rPr>
        <w:t>地点（网址）：</w:t>
      </w:r>
      <w:r>
        <w:rPr>
          <w:rFonts w:hint="eastAsia" w:ascii="宋体" w:hAnsi="宋体" w:cs="Arial"/>
          <w:color w:val="auto"/>
          <w:kern w:val="0"/>
          <w:szCs w:val="21"/>
          <w:highlight w:val="none"/>
        </w:rPr>
        <w:t>浙江政府采购网（https://zfcg.czt.zj.gov.cn）</w:t>
      </w:r>
      <w:r>
        <w:rPr>
          <w:rFonts w:ascii="宋体" w:hAnsi="宋体" w:cs="Arial"/>
          <w:color w:val="auto"/>
          <w:kern w:val="0"/>
          <w:szCs w:val="21"/>
          <w:highlight w:val="none"/>
        </w:rPr>
        <w:t> </w:t>
      </w:r>
    </w:p>
    <w:p>
      <w:pPr>
        <w:widowControl/>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    方式：</w:t>
      </w:r>
      <w:r>
        <w:rPr>
          <w:rFonts w:hint="eastAsia" w:ascii="宋体" w:hAnsi="宋体" w:cs="Arial"/>
          <w:color w:val="auto"/>
          <w:kern w:val="0"/>
          <w:szCs w:val="21"/>
          <w:highlight w:val="none"/>
          <w:lang w:eastAsia="zh-CN"/>
        </w:rPr>
        <w:t>供应商登录政采云平台（https://www.zcygov.cn/）在线申请获取采购文件</w:t>
      </w:r>
    </w:p>
    <w:p>
      <w:pPr>
        <w:widowControl/>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    售价（元）：0 </w:t>
      </w: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四、提交投标文件截止时间、开标时间和地点</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提交投标文件截止时间：</w:t>
      </w:r>
      <w:r>
        <w:rPr>
          <w:rFonts w:ascii="宋体" w:hAnsi="宋体" w:cs="Arial"/>
          <w:color w:val="auto"/>
          <w:kern w:val="0"/>
          <w:szCs w:val="21"/>
          <w:highlight w:val="none"/>
          <w:u w:val="single"/>
        </w:rPr>
        <w:t> </w:t>
      </w:r>
      <w:r>
        <w:rPr>
          <w:rFonts w:hint="eastAsia" w:ascii="宋体" w:hAnsi="宋体" w:cs="Arial"/>
          <w:color w:val="auto"/>
          <w:kern w:val="0"/>
          <w:szCs w:val="21"/>
          <w:highlight w:val="none"/>
          <w:u w:val="single"/>
          <w:lang w:val="en-US" w:eastAsia="zh-CN"/>
        </w:rPr>
        <w:t>2022年  11 月 22  日</w:t>
      </w:r>
      <w:r>
        <w:rPr>
          <w:rFonts w:ascii="宋体" w:hAnsi="宋体" w:cs="Arial"/>
          <w:color w:val="auto"/>
          <w:kern w:val="0"/>
          <w:szCs w:val="21"/>
          <w:highlight w:val="none"/>
          <w:u w:val="single"/>
        </w:rPr>
        <w:t xml:space="preserve"> </w:t>
      </w:r>
      <w:r>
        <w:rPr>
          <w:rFonts w:hint="eastAsia" w:ascii="宋体" w:hAnsi="宋体" w:cs="Arial"/>
          <w:color w:val="auto"/>
          <w:kern w:val="0"/>
          <w:szCs w:val="21"/>
          <w:highlight w:val="none"/>
          <w:u w:val="single"/>
          <w:lang w:val="en-US" w:eastAsia="zh-CN"/>
        </w:rPr>
        <w:t>14</w:t>
      </w:r>
      <w:r>
        <w:rPr>
          <w:rFonts w:ascii="宋体" w:hAnsi="宋体" w:cs="Arial"/>
          <w:color w:val="auto"/>
          <w:kern w:val="0"/>
          <w:szCs w:val="21"/>
          <w:highlight w:val="none"/>
          <w:u w:val="single"/>
        </w:rPr>
        <w:t>:</w:t>
      </w:r>
      <w:r>
        <w:rPr>
          <w:rFonts w:hint="eastAsia" w:ascii="宋体" w:hAnsi="宋体" w:cs="Arial"/>
          <w:color w:val="auto"/>
          <w:kern w:val="0"/>
          <w:szCs w:val="21"/>
          <w:highlight w:val="none"/>
          <w:u w:val="single"/>
          <w:lang w:val="en-US" w:eastAsia="zh-CN"/>
        </w:rPr>
        <w:t xml:space="preserve"> 30</w:t>
      </w:r>
      <w:r>
        <w:rPr>
          <w:rFonts w:ascii="宋体" w:hAnsi="宋体" w:cs="Arial"/>
          <w:color w:val="auto"/>
          <w:kern w:val="0"/>
          <w:szCs w:val="21"/>
          <w:highlight w:val="none"/>
          <w:u w:val="single"/>
        </w:rPr>
        <w:t>  </w:t>
      </w:r>
      <w:r>
        <w:rPr>
          <w:rFonts w:ascii="宋体" w:hAnsi="宋体" w:cs="Arial"/>
          <w:color w:val="auto"/>
          <w:kern w:val="0"/>
          <w:szCs w:val="21"/>
          <w:highlight w:val="none"/>
        </w:rPr>
        <w:t>（北京时间）</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投标地点（网址）：</w:t>
      </w:r>
      <w:r>
        <w:rPr>
          <w:rFonts w:ascii="宋体" w:hAnsi="宋体" w:cs="Arial"/>
          <w:color w:val="auto"/>
          <w:kern w:val="0"/>
          <w:szCs w:val="21"/>
          <w:highlight w:val="none"/>
          <w:u w:val="single"/>
        </w:rPr>
        <w:t>线上</w:t>
      </w:r>
      <w:r>
        <w:rPr>
          <w:rFonts w:hint="eastAsia" w:ascii="宋体" w:hAnsi="宋体" w:cs="Arial"/>
          <w:color w:val="auto"/>
          <w:kern w:val="0"/>
          <w:szCs w:val="21"/>
          <w:highlight w:val="none"/>
          <w:u w:val="single"/>
          <w:lang w:eastAsia="zh-CN"/>
        </w:rPr>
        <w:t>（请登录政采云平台上传投标文件）</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开标时间：</w:t>
      </w:r>
      <w:r>
        <w:rPr>
          <w:rFonts w:hint="eastAsia" w:ascii="宋体" w:hAnsi="宋体" w:cs="Arial"/>
          <w:color w:val="auto"/>
          <w:kern w:val="0"/>
          <w:szCs w:val="21"/>
          <w:highlight w:val="none"/>
          <w:u w:val="single"/>
          <w:lang w:val="en-US" w:eastAsia="zh-CN"/>
        </w:rPr>
        <w:t>2022年  11  月  22  日14</w:t>
      </w:r>
      <w:r>
        <w:rPr>
          <w:rFonts w:ascii="宋体" w:hAnsi="宋体" w:cs="Arial"/>
          <w:color w:val="auto"/>
          <w:kern w:val="0"/>
          <w:szCs w:val="21"/>
          <w:highlight w:val="none"/>
          <w:u w:val="single"/>
        </w:rPr>
        <w:t>:</w:t>
      </w:r>
      <w:r>
        <w:rPr>
          <w:rFonts w:hint="eastAsia" w:ascii="宋体" w:hAnsi="宋体" w:cs="Arial"/>
          <w:color w:val="auto"/>
          <w:kern w:val="0"/>
          <w:szCs w:val="21"/>
          <w:highlight w:val="none"/>
          <w:u w:val="single"/>
          <w:lang w:val="en-US" w:eastAsia="zh-CN"/>
        </w:rPr>
        <w:t xml:space="preserve"> 30</w:t>
      </w:r>
      <w:r>
        <w:rPr>
          <w:rFonts w:ascii="宋体" w:hAnsi="宋体" w:cs="Arial"/>
          <w:color w:val="auto"/>
          <w:kern w:val="0"/>
          <w:szCs w:val="21"/>
          <w:highlight w:val="none"/>
          <w:u w:val="single"/>
        </w:rPr>
        <w:t> </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开标地点（网址）：</w:t>
      </w:r>
      <w:r>
        <w:rPr>
          <w:rFonts w:ascii="宋体" w:hAnsi="宋体" w:cs="Arial"/>
          <w:color w:val="auto"/>
          <w:kern w:val="0"/>
          <w:szCs w:val="21"/>
          <w:highlight w:val="none"/>
          <w:u w:val="single"/>
        </w:rPr>
        <w:t>线上（</w:t>
      </w:r>
      <w:r>
        <w:rPr>
          <w:rFonts w:hint="eastAsia" w:ascii="宋体" w:hAnsi="宋体" w:cs="Arial"/>
          <w:color w:val="auto"/>
          <w:kern w:val="0"/>
          <w:szCs w:val="21"/>
          <w:highlight w:val="none"/>
          <w:u w:val="single"/>
          <w:lang w:eastAsia="zh-CN"/>
        </w:rPr>
        <w:t>请登录政采云投标客户端开标大厅</w:t>
      </w:r>
      <w:r>
        <w:rPr>
          <w:rFonts w:ascii="宋体" w:hAnsi="宋体" w:cs="Arial"/>
          <w:color w:val="auto"/>
          <w:kern w:val="0"/>
          <w:szCs w:val="21"/>
          <w:highlight w:val="none"/>
          <w:u w:val="single"/>
        </w:rPr>
        <w:t>） </w:t>
      </w: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五、公告期限</w:t>
      </w:r>
    </w:p>
    <w:p>
      <w:pPr>
        <w:widowControl/>
        <w:spacing w:line="360" w:lineRule="auto"/>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自本公告发布之日起5个工作日。</w:t>
      </w:r>
    </w:p>
    <w:p>
      <w:pPr>
        <w:widowControl/>
        <w:spacing w:line="360" w:lineRule="auto"/>
        <w:rPr>
          <w:rFonts w:hint="eastAsia" w:eastAsia="宋体"/>
          <w:color w:val="auto"/>
          <w:highlight w:val="none"/>
          <w:lang w:val="en-US" w:eastAsia="zh-CN"/>
        </w:rPr>
      </w:pPr>
      <w:r>
        <w:rPr>
          <w:rFonts w:ascii="宋体" w:hAnsi="宋体" w:cs="Arial"/>
          <w:b/>
          <w:bCs/>
          <w:color w:val="auto"/>
          <w:kern w:val="0"/>
          <w:szCs w:val="21"/>
          <w:highlight w:val="none"/>
        </w:rPr>
        <w:t>六、其他补充事</w:t>
      </w:r>
      <w:r>
        <w:rPr>
          <w:rFonts w:hint="eastAsia" w:ascii="宋体" w:hAnsi="宋体" w:cs="Arial"/>
          <w:b/>
          <w:bCs/>
          <w:color w:val="auto"/>
          <w:kern w:val="0"/>
          <w:szCs w:val="21"/>
          <w:highlight w:val="none"/>
          <w:lang w:val="en-US" w:eastAsia="zh-CN"/>
        </w:rPr>
        <w:t>项</w:t>
      </w:r>
    </w:p>
    <w:p>
      <w:pPr>
        <w:widowControl/>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Arial"/>
          <w:color w:val="auto"/>
          <w:kern w:val="0"/>
          <w:szCs w:val="21"/>
          <w:highlight w:val="none"/>
        </w:rPr>
        <w:t>。</w:t>
      </w:r>
    </w:p>
    <w:p>
      <w:pPr>
        <w:widowControl/>
        <w:spacing w:line="360" w:lineRule="auto"/>
        <w:ind w:firstLine="420" w:firstLineChars="200"/>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rPr>
        <w:t>、</w:t>
      </w:r>
      <w:r>
        <w:rPr>
          <w:rFonts w:hint="eastAsia" w:ascii="宋体" w:hAnsi="宋体" w:cs="Arial"/>
          <w:color w:val="auto"/>
          <w:kern w:val="0"/>
          <w:szCs w:val="21"/>
          <w:highlight w:val="none"/>
          <w:lang w:eastAsia="zh-CN"/>
        </w:rPr>
        <w:t>其他事项</w:t>
      </w:r>
    </w:p>
    <w:p>
      <w:pPr>
        <w:widowControl/>
        <w:spacing w:line="360" w:lineRule="auto"/>
        <w:ind w:firstLine="420" w:firstLineChars="200"/>
        <w:jc w:val="left"/>
        <w:rPr>
          <w:rFonts w:hint="eastAsia" w:ascii="宋体" w:hAnsi="宋体" w:eastAsia="宋体" w:cs="宋体"/>
          <w:i/>
          <w:iCs/>
          <w:color w:val="auto"/>
          <w:kern w:val="0"/>
          <w:szCs w:val="21"/>
          <w:highlight w:val="none"/>
          <w:lang w:val="en-US" w:eastAsia="zh-CN"/>
        </w:rPr>
      </w:pPr>
      <w:r>
        <w:rPr>
          <w:rFonts w:ascii="宋体" w:hAnsi="宋体" w:cs="Arial"/>
          <w:color w:val="auto"/>
          <w:kern w:val="0"/>
          <w:szCs w:val="21"/>
          <w:highlight w:val="none"/>
        </w:rPr>
        <w:t>（1）采购项目需要落实的政府采购政策：</w:t>
      </w:r>
      <w:r>
        <w:rPr>
          <w:rFonts w:hint="eastAsia" w:ascii="宋体" w:hAnsi="宋体" w:cs="Arial"/>
          <w:color w:val="auto"/>
          <w:kern w:val="0"/>
          <w:szCs w:val="21"/>
          <w:highlight w:val="none"/>
        </w:rPr>
        <w:t>《政府采购促进中小企业发展管理办法》</w:t>
      </w:r>
      <w:r>
        <w:rPr>
          <w:rFonts w:ascii="宋体" w:hAnsi="宋体" w:cs="Arial"/>
          <w:color w:val="auto"/>
          <w:kern w:val="0"/>
          <w:szCs w:val="21"/>
          <w:highlight w:val="none"/>
        </w:rPr>
        <w:t>、《关于促进残疾人就业政府采购政策的通知》（财库〔2017〕141号）、《关于政府采购支持监狱企业发展有关问题的通知》（财库[2014]68号）、《关于调整优化节能产品环境标志产品政府采购执行机制的通知》（财库[2019]9号）。</w:t>
      </w:r>
    </w:p>
    <w:p>
      <w:pPr>
        <w:widowControl/>
        <w:spacing w:line="360" w:lineRule="auto"/>
        <w:ind w:firstLine="384"/>
        <w:jc w:val="left"/>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rPr>
        <w:t>本项目采取电子招投标，电子招投标有关事项说明：</w:t>
      </w:r>
    </w:p>
    <w:p>
      <w:pPr>
        <w:widowControl/>
        <w:spacing w:line="360" w:lineRule="auto"/>
        <w:ind w:firstLine="384"/>
        <w:jc w:val="left"/>
        <w:rPr>
          <w:rFonts w:ascii="宋体" w:hAnsi="宋体" w:cs="Arial"/>
          <w:color w:val="auto"/>
          <w:kern w:val="0"/>
          <w:szCs w:val="21"/>
          <w:highlight w:val="none"/>
        </w:rPr>
      </w:pPr>
      <w:r>
        <w:rPr>
          <w:rFonts w:ascii="宋体" w:hAnsi="宋体" w:cs="Arial"/>
          <w:color w:val="auto"/>
          <w:kern w:val="0"/>
          <w:szCs w:val="21"/>
          <w:highlight w:val="none"/>
        </w:rPr>
        <w:t>A.本项目通过“浙江政府采购网（http://zfcg.czt.zj.gov.cn）”实行电子投标，供应商须安装客户端软件，并按照采购文件和电子交易平台的要求制作投标文件。</w:t>
      </w:r>
    </w:p>
    <w:p>
      <w:pPr>
        <w:widowControl/>
        <w:spacing w:line="360" w:lineRule="auto"/>
        <w:ind w:firstLine="384"/>
        <w:jc w:val="left"/>
        <w:rPr>
          <w:rFonts w:ascii="宋体" w:hAnsi="宋体" w:cs="Arial"/>
          <w:color w:val="auto"/>
          <w:kern w:val="0"/>
          <w:szCs w:val="21"/>
          <w:highlight w:val="none"/>
        </w:rPr>
      </w:pPr>
      <w:r>
        <w:rPr>
          <w:rFonts w:ascii="宋体" w:hAnsi="宋体" w:cs="Arial"/>
          <w:color w:val="auto"/>
          <w:kern w:val="0"/>
          <w:szCs w:val="21"/>
          <w:highlight w:val="none"/>
        </w:rPr>
        <w:t>客户端软件下载方式：供应商可通过“浙江政府采购网-下载专区-电子交易客户端”进行下载。</w:t>
      </w:r>
    </w:p>
    <w:p>
      <w:pPr>
        <w:widowControl/>
        <w:spacing w:line="360" w:lineRule="auto"/>
        <w:ind w:firstLine="384"/>
        <w:jc w:val="left"/>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B.</w:t>
      </w:r>
      <w:r>
        <w:rPr>
          <w:rFonts w:ascii="宋体" w:hAnsi="宋体" w:cs="Arial"/>
          <w:color w:val="auto"/>
          <w:kern w:val="0"/>
          <w:szCs w:val="21"/>
          <w:highlight w:val="none"/>
        </w:rPr>
        <w:t>供应商须申领CA，并在浙江政府采购网完成绑定方可进行投标文件的编制，CA相关操作可参考“浙江政府采购网-下载专区-电子交易客户端-CA驱动和申领流程”。</w:t>
      </w:r>
    </w:p>
    <w:p>
      <w:pPr>
        <w:widowControl/>
        <w:spacing w:line="360" w:lineRule="auto"/>
        <w:ind w:firstLine="384"/>
        <w:jc w:val="left"/>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C.供应商登录浙江政府采购网（http://zfcg.czt.zj.gov.cn/）进入政采云系统“项目采购”模块“获取采购文件”菜单，进行网上获取采购文件。通过本公告下方“游客，浏览采购文件”下载的采购文件仅供浏览。</w:t>
      </w:r>
    </w:p>
    <w:p>
      <w:pPr>
        <w:widowControl/>
        <w:spacing w:line="360" w:lineRule="auto"/>
        <w:ind w:firstLine="384"/>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（3）说明：</w:t>
      </w:r>
    </w:p>
    <w:p>
      <w:pPr>
        <w:widowControl/>
        <w:numPr>
          <w:ilvl w:val="0"/>
          <w:numId w:val="0"/>
        </w:numPr>
        <w:spacing w:line="360" w:lineRule="auto"/>
        <w:ind w:left="0" w:leftChars="0" w:firstLine="420" w:firstLineChars="200"/>
        <w:jc w:val="left"/>
        <w:rPr>
          <w:rFonts w:hint="eastAsia" w:ascii="宋体" w:hAnsi="宋体" w:cs="Arial"/>
          <w:i/>
          <w:iCs/>
          <w:color w:val="auto"/>
          <w:kern w:val="0"/>
          <w:szCs w:val="21"/>
          <w:highlight w:val="none"/>
        </w:rPr>
      </w:pPr>
      <w:r>
        <w:rPr>
          <w:rFonts w:hint="eastAsia" w:ascii="宋体" w:hAnsi="宋体" w:cs="Arial"/>
          <w:i/>
          <w:iCs/>
          <w:color w:val="auto"/>
          <w:kern w:val="0"/>
          <w:szCs w:val="21"/>
          <w:highlight w:val="none"/>
          <w:lang w:val="en-US" w:eastAsia="zh-CN"/>
        </w:rPr>
        <w:t>A.</w:t>
      </w:r>
      <w:r>
        <w:rPr>
          <w:rFonts w:hint="eastAsia" w:ascii="宋体" w:hAnsi="宋体" w:cs="Arial"/>
          <w:i/>
          <w:iCs/>
          <w:color w:val="auto"/>
          <w:kern w:val="0"/>
          <w:szCs w:val="21"/>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widowControl/>
        <w:numPr>
          <w:ilvl w:val="0"/>
          <w:numId w:val="0"/>
        </w:numPr>
        <w:spacing w:line="360" w:lineRule="auto"/>
        <w:ind w:left="0" w:leftChars="0" w:firstLine="420" w:firstLineChars="200"/>
        <w:jc w:val="left"/>
        <w:rPr>
          <w:rFonts w:hint="eastAsia" w:ascii="宋体" w:hAnsi="宋体" w:cs="Arial"/>
          <w:i/>
          <w:iCs/>
          <w:color w:val="auto"/>
          <w:kern w:val="0"/>
          <w:szCs w:val="21"/>
          <w:highlight w:val="none"/>
        </w:rPr>
      </w:pPr>
      <w:r>
        <w:rPr>
          <w:rFonts w:hint="eastAsia" w:ascii="宋体" w:hAnsi="宋体" w:cs="Arial"/>
          <w:i/>
          <w:iCs/>
          <w:color w:val="auto"/>
          <w:kern w:val="0"/>
          <w:szCs w:val="21"/>
          <w:highlight w:val="none"/>
          <w:lang w:val="en-US" w:eastAsia="zh-CN"/>
        </w:rPr>
        <w:t>B.</w:t>
      </w:r>
      <w:r>
        <w:rPr>
          <w:rFonts w:hint="eastAsia" w:ascii="宋体" w:hAnsi="宋体" w:cs="Arial"/>
          <w:i/>
          <w:iCs/>
          <w:color w:val="auto"/>
          <w:kern w:val="0"/>
          <w:szCs w:val="21"/>
          <w:highlight w:val="none"/>
        </w:rPr>
        <w:t>供应商未被列入失信被执行人名单、重大税收违法案件当事人名单、政府采购严重违法失信行为记录名单，信用信息以信用中国网站（www.creditchina.gov.cn）、中国政府采购网（www.ccgp.gov.cn）公布为准； 　　</w:t>
      </w:r>
    </w:p>
    <w:p>
      <w:pPr>
        <w:widowControl/>
        <w:numPr>
          <w:ilvl w:val="0"/>
          <w:numId w:val="0"/>
        </w:numPr>
        <w:spacing w:line="360" w:lineRule="auto"/>
        <w:ind w:left="0" w:leftChars="0" w:firstLine="420" w:firstLineChars="200"/>
        <w:jc w:val="left"/>
        <w:rPr>
          <w:rFonts w:ascii="宋体" w:hAnsi="宋体" w:cs="Arial"/>
          <w:i/>
          <w:iCs/>
          <w:color w:val="auto"/>
          <w:kern w:val="0"/>
          <w:szCs w:val="21"/>
          <w:highlight w:val="none"/>
        </w:rPr>
      </w:pPr>
      <w:r>
        <w:rPr>
          <w:rFonts w:hint="eastAsia" w:ascii="宋体" w:hAnsi="宋体" w:cs="Arial"/>
          <w:i/>
          <w:iCs/>
          <w:color w:val="auto"/>
          <w:kern w:val="0"/>
          <w:szCs w:val="21"/>
          <w:highlight w:val="none"/>
          <w:lang w:val="en-US" w:eastAsia="zh-CN"/>
        </w:rPr>
        <w:t>C.</w:t>
      </w:r>
      <w:r>
        <w:rPr>
          <w:rFonts w:hint="eastAsia" w:ascii="宋体" w:hAnsi="宋体" w:cs="Arial"/>
          <w:i/>
          <w:iCs/>
          <w:color w:val="auto"/>
          <w:kern w:val="0"/>
          <w:szCs w:val="21"/>
          <w:highlight w:val="none"/>
        </w:rPr>
        <w:t>单位负责人为同一人或者存在直接控股、管理关系的不同供应商，不得同时参加同一合同项下的投标</w:t>
      </w:r>
      <w:r>
        <w:rPr>
          <w:rFonts w:hint="eastAsia" w:ascii="宋体" w:hAnsi="宋体" w:cs="Arial"/>
          <w:i/>
          <w:iCs/>
          <w:color w:val="auto"/>
          <w:kern w:val="0"/>
          <w:szCs w:val="21"/>
          <w:highlight w:val="none"/>
          <w:lang w:eastAsia="zh-CN"/>
        </w:rPr>
        <w:t>。</w:t>
      </w:r>
      <w:r>
        <w:rPr>
          <w:rFonts w:hint="eastAsia" w:ascii="宋体" w:hAnsi="宋体" w:cs="Arial"/>
          <w:i/>
          <w:iCs/>
          <w:color w:val="auto"/>
          <w:kern w:val="0"/>
          <w:szCs w:val="21"/>
          <w:highlight w:val="none"/>
        </w:rPr>
        <w:t> </w:t>
      </w:r>
    </w:p>
    <w:p>
      <w:pPr>
        <w:pStyle w:val="15"/>
        <w:rPr>
          <w:color w:val="auto"/>
          <w:highlight w:val="none"/>
        </w:rPr>
      </w:pPr>
    </w:p>
    <w:p>
      <w:pPr>
        <w:widowControl/>
        <w:spacing w:line="360" w:lineRule="auto"/>
        <w:rPr>
          <w:rFonts w:ascii="宋体" w:hAnsi="宋体" w:cs="Arial"/>
          <w:color w:val="auto"/>
          <w:kern w:val="0"/>
          <w:szCs w:val="21"/>
          <w:highlight w:val="none"/>
        </w:rPr>
      </w:pPr>
      <w:r>
        <w:rPr>
          <w:rFonts w:ascii="宋体" w:hAnsi="宋体" w:cs="Arial"/>
          <w:b/>
          <w:bCs/>
          <w:color w:val="auto"/>
          <w:kern w:val="0"/>
          <w:szCs w:val="21"/>
          <w:highlight w:val="none"/>
        </w:rPr>
        <w:t>七、</w:t>
      </w:r>
      <w:r>
        <w:rPr>
          <w:rFonts w:hint="eastAsia" w:ascii="宋体" w:hAnsi="宋体" w:cs="Arial"/>
          <w:b/>
          <w:bCs/>
          <w:color w:val="auto"/>
          <w:kern w:val="0"/>
          <w:szCs w:val="21"/>
          <w:highlight w:val="none"/>
        </w:rPr>
        <w:t>对本次采购提出询问、质疑、投诉，请按以下方式联系</w:t>
      </w:r>
      <w:r>
        <w:rPr>
          <w:rFonts w:ascii="宋体" w:hAnsi="宋体" w:cs="Arial"/>
          <w:color w:val="auto"/>
          <w:kern w:val="0"/>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1.采购人信息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名    称：</w:t>
      </w:r>
      <w:r>
        <w:rPr>
          <w:rFonts w:hint="eastAsia" w:ascii="宋体" w:hAnsi="宋体" w:eastAsia="宋体" w:cs="Arial"/>
          <w:color w:val="auto"/>
          <w:szCs w:val="21"/>
          <w:highlight w:val="none"/>
          <w:u w:val="single"/>
          <w:lang w:eastAsia="zh-CN"/>
        </w:rPr>
        <w:t>浙江省数字财政管理中心</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rPr>
        <w:t>地    址：</w:t>
      </w:r>
      <w:r>
        <w:rPr>
          <w:rFonts w:hint="eastAsia" w:ascii="宋体" w:hAnsi="宋体" w:eastAsia="宋体" w:cs="Arial"/>
          <w:color w:val="auto"/>
          <w:szCs w:val="21"/>
          <w:highlight w:val="none"/>
          <w:u w:val="single"/>
          <w:lang w:eastAsia="zh-CN"/>
        </w:rPr>
        <w:t>杭州市环城西路</w:t>
      </w:r>
      <w:r>
        <w:rPr>
          <w:rFonts w:hint="eastAsia" w:ascii="宋体" w:hAnsi="宋体" w:eastAsia="宋体" w:cs="Arial"/>
          <w:color w:val="auto"/>
          <w:szCs w:val="21"/>
          <w:highlight w:val="none"/>
          <w:u w:val="single"/>
          <w:lang w:val="en-US" w:eastAsia="zh-CN"/>
        </w:rPr>
        <w:t xml:space="preserve">37号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u w:val="single"/>
          <w:lang w:val="en-US" w:eastAsia="zh-CN"/>
        </w:rPr>
      </w:pPr>
      <w:r>
        <w:rPr>
          <w:rFonts w:hint="eastAsia" w:ascii="宋体" w:hAnsi="宋体" w:eastAsia="宋体" w:cs="Arial"/>
          <w:color w:val="auto"/>
          <w:szCs w:val="21"/>
          <w:highlight w:val="none"/>
        </w:rPr>
        <w:t>传    真：</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项目联系人（询问）：</w:t>
      </w:r>
      <w:r>
        <w:rPr>
          <w:rFonts w:hint="eastAsia" w:ascii="宋体" w:hAnsi="宋体" w:eastAsia="宋体" w:cs="Arial"/>
          <w:color w:val="auto"/>
          <w:szCs w:val="21"/>
          <w:highlight w:val="none"/>
          <w:u w:val="single"/>
          <w:lang w:val="en-US" w:eastAsia="zh-CN"/>
        </w:rPr>
        <w:t xml:space="preserve">   </w:t>
      </w:r>
      <w:r>
        <w:rPr>
          <w:rFonts w:hint="eastAsia" w:ascii="宋体" w:hAnsi="宋体" w:cs="Arial"/>
          <w:color w:val="auto"/>
          <w:szCs w:val="21"/>
          <w:highlight w:val="none"/>
          <w:u w:val="single"/>
          <w:lang w:val="en-US" w:eastAsia="zh-CN"/>
        </w:rPr>
        <w:t>金雪姣</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u w:val="single"/>
          <w:lang w:val="en-US" w:eastAsia="zh-CN"/>
        </w:rPr>
      </w:pPr>
      <w:r>
        <w:rPr>
          <w:rFonts w:hint="eastAsia" w:ascii="宋体" w:hAnsi="宋体" w:eastAsia="宋体" w:cs="Arial"/>
          <w:color w:val="auto"/>
          <w:szCs w:val="21"/>
          <w:highlight w:val="none"/>
        </w:rPr>
        <w:t>项目联系方式（询问）：</w:t>
      </w:r>
      <w:r>
        <w:rPr>
          <w:rFonts w:hint="eastAsia" w:ascii="宋体" w:hAnsi="宋体" w:cs="Arial"/>
          <w:color w:val="auto"/>
          <w:szCs w:val="21"/>
          <w:highlight w:val="none"/>
          <w:u w:val="single"/>
          <w:lang w:val="en-US" w:eastAsia="zh-CN"/>
        </w:rPr>
        <w:t>0571-87055732</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u w:val="single"/>
        </w:rPr>
      </w:pPr>
      <w:r>
        <w:rPr>
          <w:rFonts w:hint="eastAsia" w:ascii="宋体" w:hAnsi="宋体" w:eastAsia="宋体" w:cs="Arial"/>
          <w:color w:val="auto"/>
          <w:szCs w:val="21"/>
          <w:highlight w:val="none"/>
        </w:rPr>
        <w:t> </w:t>
      </w:r>
      <w:r>
        <w:rPr>
          <w:rFonts w:hint="eastAsia" w:ascii="宋体" w:hAnsi="宋体" w:eastAsia="宋体" w:cs="Arial"/>
          <w:color w:val="auto"/>
          <w:szCs w:val="21"/>
          <w:highlight w:val="none"/>
          <w:lang w:val="en-US" w:eastAsia="zh-CN"/>
        </w:rPr>
        <w:t xml:space="preserve">  </w:t>
      </w:r>
      <w:r>
        <w:rPr>
          <w:rFonts w:hint="eastAsia" w:ascii="宋体" w:hAnsi="宋体" w:eastAsia="宋体" w:cs="Arial"/>
          <w:color w:val="auto"/>
          <w:szCs w:val="21"/>
          <w:highlight w:val="none"/>
        </w:rPr>
        <w:t>质疑联系人： </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u w:val="single"/>
        </w:rPr>
        <w:t>王洪俊</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u w:val="singl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质疑联系方式：</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u w:val="single"/>
        </w:rPr>
        <w:t>13588886501</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left="420" w:hanging="420" w:hangingChars="200"/>
        <w:jc w:val="left"/>
        <w:textAlignment w:val="auto"/>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left="420" w:hanging="422" w:hangingChars="200"/>
        <w:jc w:val="left"/>
        <w:textAlignment w:val="auto"/>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2.采购代理机构信息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名    称： </w:t>
      </w:r>
      <w:r>
        <w:rPr>
          <w:rFonts w:hint="eastAsia" w:ascii="宋体" w:hAnsi="宋体" w:eastAsia="宋体" w:cs="Arial"/>
          <w:color w:val="auto"/>
          <w:szCs w:val="21"/>
          <w:highlight w:val="none"/>
          <w:u w:val="single"/>
          <w:lang w:eastAsia="zh-CN"/>
        </w:rPr>
        <w:t>浙江国际招投标有限公司</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地    址： </w:t>
      </w:r>
      <w:r>
        <w:rPr>
          <w:rFonts w:hint="eastAsia" w:ascii="宋体" w:hAnsi="宋体" w:eastAsia="宋体" w:cs="Arial"/>
          <w:color w:val="auto"/>
          <w:szCs w:val="21"/>
          <w:highlight w:val="none"/>
          <w:u w:val="single"/>
          <w:lang w:eastAsia="zh-CN"/>
        </w:rPr>
        <w:t>杭州市</w:t>
      </w:r>
      <w:r>
        <w:rPr>
          <w:rFonts w:hint="eastAsia" w:ascii="宋体" w:hAnsi="宋体" w:eastAsia="宋体" w:cs="Arial"/>
          <w:color w:val="auto"/>
          <w:szCs w:val="21"/>
          <w:highlight w:val="none"/>
          <w:u w:val="single"/>
        </w:rPr>
        <w:t>文三路90号东部软件园</w:t>
      </w:r>
      <w:r>
        <w:rPr>
          <w:rFonts w:hint="eastAsia" w:ascii="宋体" w:hAnsi="宋体" w:eastAsia="宋体" w:cs="Arial"/>
          <w:color w:val="auto"/>
          <w:szCs w:val="21"/>
          <w:highlight w:val="none"/>
          <w:u w:val="single"/>
          <w:lang w:val="en-US" w:eastAsia="zh-CN"/>
        </w:rPr>
        <w:t>1</w:t>
      </w:r>
      <w:r>
        <w:rPr>
          <w:rFonts w:hint="eastAsia" w:ascii="宋体" w:hAnsi="宋体" w:eastAsia="宋体" w:cs="Arial"/>
          <w:color w:val="auto"/>
          <w:szCs w:val="21"/>
          <w:highlight w:val="none"/>
          <w:u w:val="single"/>
        </w:rPr>
        <w:t>号楼</w:t>
      </w:r>
      <w:r>
        <w:rPr>
          <w:rFonts w:hint="eastAsia" w:ascii="宋体" w:hAnsi="宋体" w:eastAsia="宋体" w:cs="Arial"/>
          <w:color w:val="auto"/>
          <w:szCs w:val="21"/>
          <w:highlight w:val="none"/>
          <w:u w:val="single"/>
          <w:lang w:val="en-US" w:eastAsia="zh-CN"/>
        </w:rPr>
        <w:t>3</w:t>
      </w:r>
      <w:r>
        <w:rPr>
          <w:rFonts w:hint="eastAsia" w:ascii="宋体" w:hAnsi="宋体" w:eastAsia="宋体" w:cs="Arial"/>
          <w:color w:val="auto"/>
          <w:szCs w:val="21"/>
          <w:highlight w:val="none"/>
          <w:u w:val="single"/>
        </w:rPr>
        <w:t>楼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传    真：</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u w:val="single"/>
          <w:lang w:val="en-US" w:eastAsia="zh-CN"/>
        </w:rPr>
        <w:t>0571-88473430</w:t>
      </w:r>
      <w:r>
        <w:rPr>
          <w:rFonts w:hint="eastAsia" w:ascii="宋体" w:hAnsi="宋体" w:eastAsia="宋体" w:cs="Arial"/>
          <w:color w:val="auto"/>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项目联系人（询问）：</w:t>
      </w:r>
      <w:r>
        <w:rPr>
          <w:rFonts w:hint="eastAsia" w:ascii="宋体" w:hAnsi="宋体" w:eastAsia="宋体" w:cs="Arial"/>
          <w:color w:val="auto"/>
          <w:szCs w:val="21"/>
          <w:highlight w:val="none"/>
          <w:u w:val="single"/>
          <w:lang w:val="en-US" w:eastAsia="zh-CN"/>
        </w:rPr>
        <w:t xml:space="preserve"> 周卉</w:t>
      </w:r>
      <w:r>
        <w:rPr>
          <w:rFonts w:hint="eastAsia" w:ascii="宋体" w:hAnsi="宋体" w:eastAsia="宋体" w:cs="Arial"/>
          <w:color w:val="auto"/>
          <w:szCs w:val="21"/>
          <w:highlight w:val="none"/>
          <w:u w:val="single"/>
          <w:lang w:eastAsia="zh-CN"/>
        </w:rPr>
        <w:t>、郑珊珊</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szCs w:val="21"/>
          <w:highlight w:val="none"/>
          <w:lang w:val="en-US"/>
        </w:rPr>
      </w:pPr>
      <w:r>
        <w:rPr>
          <w:rFonts w:hint="eastAsia" w:ascii="宋体" w:hAnsi="宋体" w:eastAsia="宋体" w:cs="Arial"/>
          <w:color w:val="auto"/>
          <w:szCs w:val="21"/>
          <w:highlight w:val="none"/>
        </w:rPr>
        <w:t>项目联系方式（询问）：</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u w:val="single"/>
          <w:lang w:val="en-US" w:eastAsia="zh-CN"/>
        </w:rPr>
        <w:t xml:space="preserve">0571-81061843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质疑联系人：</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u w:val="single"/>
          <w:lang w:val="en-US" w:eastAsia="zh-CN"/>
        </w:rPr>
        <w:t>周群峰</w:t>
      </w:r>
      <w:r>
        <w:rPr>
          <w:rFonts w:hint="eastAsia" w:ascii="宋体" w:hAnsi="宋体" w:eastAsia="宋体" w:cs="Arial"/>
          <w:color w:val="auto"/>
          <w:szCs w:val="21"/>
          <w:highlight w:val="none"/>
          <w:u w:val="singl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质疑联系方式：</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u w:val="single"/>
          <w:lang w:val="en-US" w:eastAsia="zh-CN"/>
        </w:rPr>
        <w:t xml:space="preserve">0571-81061821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left="420" w:hanging="420" w:hangingChars="200"/>
        <w:jc w:val="left"/>
        <w:textAlignment w:val="auto"/>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left="420" w:hanging="422" w:hangingChars="200"/>
        <w:jc w:val="left"/>
        <w:textAlignment w:val="auto"/>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3.同级政府采购监督管理部门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名    称： </w:t>
      </w:r>
      <w:r>
        <w:rPr>
          <w:rFonts w:hint="eastAsia" w:ascii="宋体" w:hAnsi="宋体" w:eastAsia="宋体" w:cs="Arial"/>
          <w:color w:val="auto"/>
          <w:szCs w:val="21"/>
          <w:highlight w:val="none"/>
          <w:u w:val="single"/>
          <w:lang w:val="en-US" w:eastAsia="zh-CN"/>
        </w:rPr>
        <w:t xml:space="preserve">  浙江省财政厅政府采购监管处</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地    址： </w:t>
      </w:r>
      <w:r>
        <w:rPr>
          <w:rFonts w:hint="eastAsia" w:ascii="宋体" w:hAnsi="宋体" w:eastAsia="宋体" w:cs="Arial"/>
          <w:color w:val="auto"/>
          <w:szCs w:val="21"/>
          <w:highlight w:val="none"/>
          <w:u w:val="single"/>
          <w:lang w:val="en-US" w:eastAsia="zh-CN"/>
        </w:rPr>
        <w:t xml:space="preserve">   </w:t>
      </w:r>
      <w:r>
        <w:rPr>
          <w:rFonts w:hint="eastAsia" w:ascii="宋体" w:hAnsi="宋体" w:eastAsia="宋体" w:cs="Arial"/>
          <w:color w:val="auto"/>
          <w:szCs w:val="21"/>
          <w:highlight w:val="none"/>
          <w:u w:val="single"/>
          <w:lang w:eastAsia="zh-CN"/>
        </w:rPr>
        <w:t>杭州市环城西路</w:t>
      </w:r>
      <w:r>
        <w:rPr>
          <w:rFonts w:hint="eastAsia" w:ascii="宋体" w:hAnsi="宋体" w:eastAsia="宋体" w:cs="Arial"/>
          <w:color w:val="auto"/>
          <w:szCs w:val="21"/>
          <w:highlight w:val="none"/>
          <w:u w:val="single"/>
          <w:lang w:val="en-US" w:eastAsia="zh-CN"/>
        </w:rPr>
        <w:t>37号</w:t>
      </w:r>
      <w:r>
        <w:rPr>
          <w:rFonts w:hint="eastAsia" w:ascii="宋体" w:hAnsi="宋体" w:eastAsia="宋体" w:cs="Arial"/>
          <w:color w:val="auto"/>
          <w:szCs w:val="21"/>
          <w:highlight w:val="none"/>
          <w:u w:val="single"/>
        </w:rPr>
        <w:t>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rPr>
        <w:t>传    真： </w:t>
      </w:r>
      <w:r>
        <w:rPr>
          <w:rFonts w:hint="eastAsia" w:ascii="宋体" w:hAnsi="宋体" w:eastAsia="宋体" w:cs="Arial"/>
          <w:color w:val="auto"/>
          <w:szCs w:val="21"/>
          <w:highlight w:val="none"/>
          <w:u w:val="single"/>
          <w:lang w:val="en-US" w:eastAsia="zh-CN"/>
        </w:rPr>
        <w:t xml:space="preserve">    </w:t>
      </w:r>
      <w:r>
        <w:rPr>
          <w:rFonts w:hint="default" w:ascii="宋体" w:hAnsi="宋体" w:eastAsia="宋体" w:cs="Arial"/>
          <w:color w:val="auto"/>
          <w:szCs w:val="21"/>
          <w:highlight w:val="none"/>
          <w:u w:val="single"/>
          <w:lang w:val="en-US" w:eastAsia="zh-CN"/>
        </w:rPr>
        <w:t>0571-87057615</w:t>
      </w:r>
      <w:r>
        <w:rPr>
          <w:rFonts w:hint="eastAsia" w:ascii="宋体" w:hAnsi="宋体" w:eastAsia="宋体" w:cs="Arial"/>
          <w:color w:val="auto"/>
          <w:szCs w:val="21"/>
          <w:highlight w:val="none"/>
          <w:u w:val="single"/>
        </w:rPr>
        <w:t xml:space="preserve"> </w:t>
      </w:r>
      <w:r>
        <w:rPr>
          <w:rFonts w:hint="eastAsia" w:ascii="宋体" w:hAnsi="宋体" w:eastAsia="宋体" w:cs="Arial"/>
          <w:color w:val="auto"/>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联系人 ： </w:t>
      </w:r>
      <w:r>
        <w:rPr>
          <w:rFonts w:hint="eastAsia" w:ascii="宋体" w:hAnsi="宋体" w:eastAsia="宋体" w:cs="Arial"/>
          <w:color w:val="auto"/>
          <w:szCs w:val="21"/>
          <w:highlight w:val="none"/>
          <w:u w:val="single"/>
          <w:lang w:val="en-US" w:eastAsia="zh-CN"/>
        </w:rPr>
        <w:t xml:space="preserve">   齐鲁、吴聪瑜  　</w:t>
      </w:r>
      <w:r>
        <w:rPr>
          <w:rFonts w:hint="eastAsia" w:ascii="宋体" w:hAnsi="宋体" w:eastAsia="宋体" w:cs="Arial"/>
          <w:color w:val="auto"/>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监督投诉电话：</w:t>
      </w:r>
      <w:r>
        <w:rPr>
          <w:rFonts w:hint="eastAsia" w:ascii="宋体" w:hAnsi="宋体" w:eastAsia="宋体" w:cs="Arial"/>
          <w:color w:val="auto"/>
          <w:szCs w:val="21"/>
          <w:highlight w:val="none"/>
          <w:u w:val="single"/>
          <w:lang w:val="en-US" w:eastAsia="zh-CN"/>
        </w:rPr>
        <w:t xml:space="preserve"> 0571-87057612、87058489 　</w:t>
      </w:r>
      <w:r>
        <w:rPr>
          <w:rFonts w:hint="eastAsia" w:ascii="宋体" w:hAnsi="宋体" w:eastAsia="宋体" w:cs="Arial"/>
          <w:color w:val="auto"/>
          <w:szCs w:val="21"/>
          <w:highlight w:val="none"/>
        </w:rPr>
        <w:t>　</w:t>
      </w:r>
    </w:p>
    <w:p>
      <w:pPr>
        <w:pStyle w:val="2"/>
        <w:ind w:left="0" w:leftChars="0"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政策咨询：何一平、冯华，0571-87058424、87055741</w:t>
      </w:r>
    </w:p>
    <w:p>
      <w:pPr>
        <w:pStyle w:val="2"/>
        <w:ind w:left="0" w:leftChars="0" w:firstLine="0" w:firstLineChars="0"/>
        <w:rPr>
          <w:rFonts w:hint="eastAsia"/>
          <w:color w:val="auto"/>
          <w:highlight w:val="none"/>
          <w:lang w:eastAsia="zh-CN"/>
        </w:rPr>
      </w:pPr>
    </w:p>
    <w:p>
      <w:pPr>
        <w:widowControl/>
        <w:spacing w:line="360" w:lineRule="auto"/>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 xml:space="preserve">    </w:t>
      </w:r>
      <w:r>
        <w:rPr>
          <w:rFonts w:ascii="宋体" w:hAnsi="宋体" w:cs="Arial"/>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auto"/>
        <w:jc w:val="left"/>
        <w:rPr>
          <w:rFonts w:hint="eastAsia" w:ascii="宋体" w:hAnsi="宋体" w:cs="宋体"/>
          <w:color w:val="auto"/>
          <w:kern w:val="0"/>
          <w:szCs w:val="21"/>
          <w:highlight w:val="none"/>
        </w:rPr>
      </w:pPr>
      <w:r>
        <w:rPr>
          <w:rFonts w:hint="eastAsia" w:ascii="宋体" w:hAnsi="宋体" w:cs="Arial"/>
          <w:color w:val="auto"/>
          <w:kern w:val="0"/>
          <w:szCs w:val="21"/>
          <w:highlight w:val="none"/>
          <w:lang w:val="en-US" w:eastAsia="zh-CN"/>
        </w:rPr>
        <w:t xml:space="preserve">    </w:t>
      </w:r>
      <w:r>
        <w:rPr>
          <w:rFonts w:ascii="宋体" w:hAnsi="宋体" w:cs="Arial"/>
          <w:color w:val="auto"/>
          <w:kern w:val="0"/>
          <w:szCs w:val="21"/>
          <w:highlight w:val="none"/>
        </w:rPr>
        <w:t>CA问题联系电话（人工）：汇信CA 400-888-4636；天谷CA 400-087-8198。</w:t>
      </w:r>
    </w:p>
    <w:p>
      <w:pPr>
        <w:widowControl/>
        <w:tabs>
          <w:tab w:val="left" w:pos="8647"/>
        </w:tabs>
        <w:adjustRightInd w:val="0"/>
        <w:snapToGrid w:val="0"/>
        <w:spacing w:line="360" w:lineRule="auto"/>
        <w:ind w:right="-59" w:firstLine="420" w:firstLineChars="200"/>
        <w:jc w:val="right"/>
        <w:rPr>
          <w:rFonts w:hint="eastAsia" w:ascii="宋体" w:hAnsi="宋体" w:cs="宋体"/>
          <w:color w:val="auto"/>
          <w:kern w:val="0"/>
          <w:szCs w:val="21"/>
          <w:highlight w:val="none"/>
        </w:rPr>
      </w:pP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bCs/>
          <w:color w:val="auto"/>
          <w:sz w:val="28"/>
          <w:szCs w:val="21"/>
          <w:highlight w:val="none"/>
        </w:rPr>
        <w:br w:type="page"/>
      </w:r>
      <w:r>
        <w:rPr>
          <w:rFonts w:hint="eastAsia" w:ascii="宋体" w:hAnsi="宋体" w:cs="宋体"/>
          <w:b/>
          <w:color w:val="auto"/>
          <w:sz w:val="30"/>
          <w:szCs w:val="30"/>
          <w:highlight w:val="none"/>
        </w:rPr>
        <w:t>前 附 表</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noWrap w:val="0"/>
            <w:vAlign w:val="center"/>
          </w:tcPr>
          <w:p>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00" w:type="dxa"/>
            <w:noWrap w:val="0"/>
            <w:vAlign w:val="center"/>
          </w:tcPr>
          <w:p>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   目</w:t>
            </w:r>
          </w:p>
        </w:tc>
        <w:tc>
          <w:tcPr>
            <w:tcW w:w="6383" w:type="dxa"/>
            <w:noWrap w:val="0"/>
            <w:vAlign w:val="center"/>
          </w:tcPr>
          <w:p>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383" w:type="dxa"/>
            <w:noWrap w:val="0"/>
            <w:vAlign w:val="center"/>
          </w:tcPr>
          <w:p>
            <w:pPr>
              <w:snapToGrid w:val="0"/>
              <w:spacing w:line="320" w:lineRule="exact"/>
              <w:rPr>
                <w:rFonts w:hint="eastAsia" w:ascii="宋体" w:hAnsi="宋体" w:eastAsia="宋体" w:cs="宋体"/>
                <w:color w:val="auto"/>
                <w:szCs w:val="21"/>
                <w:highlight w:val="none"/>
                <w:lang w:eastAsia="zh-CN"/>
              </w:rPr>
            </w:pPr>
            <w:r>
              <w:rPr>
                <w:rFonts w:hint="eastAsia" w:ascii="宋体" w:hAnsi="宋体" w:cs="Arial"/>
                <w:b w:val="0"/>
                <w:bCs w:val="0"/>
                <w:color w:val="auto"/>
                <w:sz w:val="21"/>
                <w:szCs w:val="21"/>
                <w:highlight w:val="none"/>
                <w:u w:val="none"/>
                <w:lang w:eastAsia="zh-CN"/>
              </w:rPr>
              <w:t>浙江省预算管理一体化项目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00" w:type="dxa"/>
            <w:noWrap w:val="0"/>
            <w:vAlign w:val="center"/>
          </w:tcPr>
          <w:p>
            <w:pPr>
              <w:adjustRightInd w:val="0"/>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服务地点</w:t>
            </w:r>
          </w:p>
        </w:tc>
        <w:tc>
          <w:tcPr>
            <w:tcW w:w="6383" w:type="dxa"/>
            <w:noWrap w:val="0"/>
            <w:vAlign w:val="center"/>
          </w:tcPr>
          <w:p>
            <w:pPr>
              <w:adjustRightInd w:val="0"/>
              <w:snapToGrid w:val="0"/>
              <w:spacing w:line="320" w:lineRule="exact"/>
              <w:rPr>
                <w:rFonts w:hint="default" w:ascii="宋体" w:hAnsi="宋体" w:eastAsia="宋体" w:cs="宋体"/>
                <w:strike w:val="0"/>
                <w:snapToGrid w:val="0"/>
                <w:color w:val="auto"/>
                <w:kern w:val="0"/>
                <w:szCs w:val="21"/>
                <w:highlight w:val="none"/>
                <w:lang w:val="en-US" w:eastAsia="zh-CN"/>
              </w:rPr>
            </w:pPr>
            <w:r>
              <w:rPr>
                <w:rFonts w:hint="eastAsia" w:ascii="宋体" w:hAnsi="宋体" w:eastAsia="宋体" w:cs="宋体"/>
                <w:strike w:val="0"/>
                <w:snapToGrid w:val="0"/>
                <w:color w:val="auto"/>
                <w:kern w:val="0"/>
                <w:szCs w:val="21"/>
                <w:highlight w:val="none"/>
                <w:lang w:val="en-US" w:eastAsia="zh-CN"/>
              </w:rPr>
              <w:t>浙江省财政厅（杭州市环城西路37号）</w:t>
            </w:r>
            <w:r>
              <w:rPr>
                <w:rFonts w:hint="eastAsia" w:ascii="宋体" w:hAnsi="宋体" w:cs="宋体"/>
                <w:strike w:val="0"/>
                <w:snapToGrid w:val="0"/>
                <w:color w:val="auto"/>
                <w:kern w:val="0"/>
                <w:szCs w:val="21"/>
                <w:highlight w:val="none"/>
                <w:lang w:val="en-US" w:eastAsia="zh-CN"/>
              </w:rPr>
              <w:t>及全省各市县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6383" w:type="dxa"/>
            <w:noWrap w:val="0"/>
            <w:vAlign w:val="center"/>
          </w:tcPr>
          <w:p>
            <w:pPr>
              <w:snapToGrid w:val="0"/>
              <w:spacing w:line="320" w:lineRule="exac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ZJ-2272868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p>
        </w:tc>
        <w:tc>
          <w:tcPr>
            <w:tcW w:w="6383" w:type="dxa"/>
            <w:noWrap w:val="0"/>
            <w:vAlign w:val="center"/>
          </w:tcPr>
          <w:p>
            <w:pPr>
              <w:snapToGrid w:val="0"/>
              <w:spacing w:line="32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383" w:type="dxa"/>
            <w:noWrap w:val="0"/>
            <w:vAlign w:val="center"/>
          </w:tcPr>
          <w:p>
            <w:pPr>
              <w:pageBreakBefore w:val="0"/>
              <w:widowControl w:val="0"/>
              <w:kinsoku/>
              <w:wordWrap/>
              <w:topLinePunct w:val="0"/>
              <w:bidi w:val="0"/>
              <w:spacing w:line="360" w:lineRule="auto"/>
              <w:jc w:val="left"/>
              <w:textAlignment w:val="auto"/>
              <w:rPr>
                <w:rFonts w:hint="eastAsia" w:ascii="宋体" w:hAnsi="宋体" w:eastAsia="宋体" w:cs="宋体"/>
                <w:color w:val="auto"/>
                <w:szCs w:val="21"/>
                <w:highlight w:val="none"/>
              </w:rPr>
            </w:pPr>
            <w:r>
              <w:rPr>
                <w:rFonts w:hint="eastAsia" w:ascii="宋体" w:hAnsi="宋体" w:cs="Arial"/>
                <w:color w:val="auto"/>
                <w:kern w:val="0"/>
                <w:szCs w:val="21"/>
                <w:highlight w:val="none"/>
                <w:lang w:val="en-US" w:eastAsia="zh-CN"/>
              </w:rPr>
              <w:t>本项目建设内容为</w:t>
            </w:r>
            <w:r>
              <w:rPr>
                <w:rFonts w:hint="eastAsia" w:ascii="宋体" w:hAnsi="宋体" w:eastAsia="宋体" w:cs="Arial"/>
                <w:color w:val="auto"/>
                <w:kern w:val="0"/>
                <w:sz w:val="21"/>
                <w:szCs w:val="21"/>
                <w:highlight w:val="none"/>
              </w:rPr>
              <w:t>在预算管理一体化系统现有版本的基础上，开展系统升级和2023年</w:t>
            </w:r>
            <w:r>
              <w:rPr>
                <w:rFonts w:hint="eastAsia" w:ascii="宋体" w:hAnsi="宋体" w:eastAsia="宋体" w:cs="Arial"/>
                <w:color w:val="auto"/>
                <w:kern w:val="0"/>
                <w:sz w:val="21"/>
                <w:szCs w:val="21"/>
                <w:highlight w:val="none"/>
                <w:lang w:val="en-US" w:eastAsia="zh-CN"/>
              </w:rPr>
              <w:t>预算管理业务</w:t>
            </w:r>
            <w:r>
              <w:rPr>
                <w:rFonts w:hint="eastAsia" w:ascii="宋体" w:hAnsi="宋体" w:eastAsia="宋体" w:cs="Arial"/>
                <w:color w:val="auto"/>
                <w:kern w:val="0"/>
                <w:sz w:val="21"/>
                <w:szCs w:val="21"/>
                <w:highlight w:val="none"/>
              </w:rPr>
              <w:t>运维工作</w:t>
            </w:r>
            <w:r>
              <w:rPr>
                <w:rFonts w:hint="eastAsia" w:ascii="宋体" w:hAnsi="宋体" w:cs="Arial"/>
                <w:color w:val="auto"/>
                <w:kern w:val="0"/>
                <w:sz w:val="21"/>
                <w:szCs w:val="21"/>
                <w:highlight w:val="none"/>
                <w:lang w:eastAsia="zh-CN"/>
              </w:rPr>
              <w:t>，</w:t>
            </w:r>
            <w:r>
              <w:rPr>
                <w:rFonts w:hint="eastAsia" w:ascii="宋体" w:hAnsi="宋体" w:cs="Arial"/>
                <w:color w:val="auto"/>
                <w:kern w:val="0"/>
                <w:szCs w:val="21"/>
                <w:highlight w:val="none"/>
                <w:lang w:val="en-US" w:eastAsia="zh-CN"/>
              </w:rPr>
              <w:t>主要</w:t>
            </w:r>
            <w:r>
              <w:rPr>
                <w:rFonts w:hint="eastAsia" w:ascii="宋体" w:hAnsi="宋体" w:cs="Arial"/>
                <w:color w:val="auto"/>
                <w:kern w:val="0"/>
                <w:sz w:val="21"/>
                <w:szCs w:val="21"/>
                <w:highlight w:val="none"/>
                <w:lang w:eastAsia="zh-CN"/>
              </w:rPr>
              <w:t>包括：</w:t>
            </w:r>
            <w:r>
              <w:rPr>
                <w:rFonts w:hint="eastAsia" w:ascii="宋体" w:hAnsi="宋体" w:eastAsia="宋体" w:cs="Arial"/>
                <w:b w:val="0"/>
                <w:color w:val="auto"/>
                <w:kern w:val="0"/>
                <w:sz w:val="21"/>
                <w:szCs w:val="21"/>
                <w:highlight w:val="none"/>
              </w:rPr>
              <w:t>实现预算管理一体化新增需求</w:t>
            </w:r>
            <w:r>
              <w:rPr>
                <w:rFonts w:hint="eastAsia" w:ascii="宋体" w:hAnsi="宋体" w:eastAsia="宋体" w:cs="Arial"/>
                <w:b w:val="0"/>
                <w:color w:val="auto"/>
                <w:kern w:val="0"/>
                <w:sz w:val="21"/>
                <w:szCs w:val="21"/>
                <w:highlight w:val="none"/>
                <w:lang w:eastAsia="zh-CN"/>
              </w:rPr>
              <w:t>、</w:t>
            </w:r>
            <w:r>
              <w:rPr>
                <w:rFonts w:hint="eastAsia" w:ascii="宋体" w:hAnsi="宋体" w:eastAsia="宋体" w:cs="Arial"/>
                <w:b w:val="0"/>
                <w:color w:val="auto"/>
                <w:kern w:val="0"/>
                <w:sz w:val="21"/>
                <w:szCs w:val="21"/>
                <w:highlight w:val="none"/>
              </w:rPr>
              <w:t>完成预算管理一体化系统全省新年度服务</w:t>
            </w:r>
            <w:r>
              <w:rPr>
                <w:rFonts w:hint="eastAsia" w:ascii="宋体" w:hAnsi="宋体" w:eastAsia="宋体" w:cs="Arial"/>
                <w:b w:val="0"/>
                <w:color w:val="auto"/>
                <w:kern w:val="0"/>
                <w:sz w:val="21"/>
                <w:szCs w:val="21"/>
                <w:highlight w:val="none"/>
                <w:lang w:eastAsia="zh-CN"/>
              </w:rPr>
              <w:t>（包括省本级和全省各市县服务）等。</w:t>
            </w:r>
            <w:r>
              <w:rPr>
                <w:rFonts w:hint="eastAsia" w:ascii="宋体" w:hAnsi="宋体" w:cs="Arial"/>
                <w:color w:val="auto"/>
                <w:kern w:val="0"/>
                <w:szCs w:val="21"/>
                <w:highlight w:val="none"/>
                <w:lang w:eastAsia="zh-CN"/>
              </w:rPr>
              <w:t>具体详见采购需求。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800" w:type="dxa"/>
            <w:noWrap w:val="0"/>
            <w:vAlign w:val="center"/>
          </w:tcPr>
          <w:p>
            <w:pPr>
              <w:adjustRightInd w:val="0"/>
              <w:snapToGrid w:val="0"/>
              <w:spacing w:line="360" w:lineRule="exact"/>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eastAsia="zh-CN"/>
              </w:rPr>
              <w:t>工期及</w:t>
            </w:r>
            <w:r>
              <w:rPr>
                <w:rFonts w:hint="eastAsia" w:ascii="宋体" w:hAnsi="宋体" w:eastAsia="宋体" w:cs="宋体"/>
                <w:snapToGrid w:val="0"/>
                <w:color w:val="auto"/>
                <w:kern w:val="0"/>
                <w:szCs w:val="21"/>
                <w:highlight w:val="none"/>
              </w:rPr>
              <w:t>服务期</w:t>
            </w:r>
          </w:p>
        </w:tc>
        <w:tc>
          <w:tcPr>
            <w:tcW w:w="6383" w:type="dxa"/>
            <w:noWrap w:val="0"/>
            <w:vAlign w:val="center"/>
          </w:tcPr>
          <w:p>
            <w:pPr>
              <w:spacing w:line="360" w:lineRule="auto"/>
              <w:jc w:val="left"/>
              <w:rPr>
                <w:rFonts w:hint="eastAsia" w:ascii="宋体" w:hAnsi="宋体" w:eastAsia="宋体" w:cs="宋体"/>
                <w:bCs/>
                <w:snapToGrid w:val="0"/>
                <w:color w:val="auto"/>
                <w:kern w:val="0"/>
                <w:szCs w:val="21"/>
                <w:highlight w:val="none"/>
                <w:lang w:eastAsia="zh-CN"/>
              </w:rPr>
            </w:pPr>
            <w:r>
              <w:rPr>
                <w:rFonts w:hint="eastAsia" w:ascii="宋体" w:hAnsi="宋体" w:eastAsia="宋体" w:cs="Arial"/>
                <w:color w:val="auto"/>
                <w:kern w:val="0"/>
                <w:sz w:val="21"/>
                <w:szCs w:val="21"/>
                <w:highlight w:val="none"/>
              </w:rPr>
              <w:t>在合同签订2个月内按采购文件要求完成系统升级</w:t>
            </w:r>
            <w:r>
              <w:rPr>
                <w:rFonts w:hint="eastAsia" w:ascii="宋体" w:hAnsi="宋体" w:cs="Arial"/>
                <w:color w:val="auto"/>
                <w:kern w:val="0"/>
                <w:sz w:val="21"/>
                <w:szCs w:val="21"/>
                <w:highlight w:val="none"/>
                <w:lang w:eastAsia="zh-CN"/>
              </w:rPr>
              <w:t>，</w:t>
            </w:r>
            <w:r>
              <w:rPr>
                <w:rFonts w:hint="eastAsia" w:ascii="宋体" w:hAnsi="宋体" w:eastAsia="宋体" w:cs="Arial"/>
                <w:color w:val="auto"/>
                <w:kern w:val="0"/>
                <w:szCs w:val="21"/>
                <w:highlight w:val="none"/>
                <w:lang w:val="en-US" w:eastAsia="zh-CN"/>
              </w:rPr>
              <w:t>同时对省级及各实施市县提供一年的服务。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383" w:type="dxa"/>
            <w:noWrap w:val="0"/>
            <w:vAlign w:val="center"/>
          </w:tcPr>
          <w:p>
            <w:pPr>
              <w:snapToGrid w:val="0"/>
              <w:spacing w:line="320" w:lineRule="exact"/>
              <w:rPr>
                <w:rFonts w:hint="eastAsia"/>
                <w:color w:val="auto"/>
                <w:highlight w:val="none"/>
                <w:lang w:eastAsia="zh-CN"/>
              </w:rPr>
            </w:pPr>
            <w:r>
              <w:rPr>
                <w:rFonts w:hint="eastAsia"/>
                <w:color w:val="auto"/>
                <w:highlight w:val="none"/>
              </w:rPr>
              <w:t>财政资金</w:t>
            </w:r>
            <w:r>
              <w:rPr>
                <w:rFonts w:hint="eastAsia"/>
                <w:color w:val="auto"/>
                <w:highlight w:val="none"/>
                <w:lang w:eastAsia="zh-CN"/>
              </w:rPr>
              <w:t>。</w:t>
            </w:r>
          </w:p>
          <w:p>
            <w:pPr>
              <w:snapToGrid w:val="0"/>
              <w:spacing w:line="320" w:lineRule="exact"/>
              <w:rPr>
                <w:rFonts w:hint="eastAsia"/>
                <w:color w:val="auto"/>
                <w:highlight w:val="none"/>
                <w:lang w:val="en-US" w:eastAsia="zh-CN"/>
              </w:rPr>
            </w:pPr>
            <w:r>
              <w:rPr>
                <w:rFonts w:hint="eastAsia"/>
                <w:color w:val="auto"/>
                <w:highlight w:val="none"/>
                <w:lang w:val="en-US" w:eastAsia="zh-CN"/>
              </w:rPr>
              <w:t>采购计划文号：临[2022]57545号 （省本级）</w:t>
            </w:r>
          </w:p>
          <w:p>
            <w:pPr>
              <w:snapToGrid w:val="0"/>
              <w:spacing w:line="320" w:lineRule="exact"/>
              <w:ind w:firstLine="1470" w:firstLineChars="700"/>
              <w:rPr>
                <w:rFonts w:hint="default"/>
                <w:color w:val="auto"/>
                <w:highlight w:val="none"/>
                <w:lang w:val="en-US" w:eastAsia="zh-CN"/>
              </w:rPr>
            </w:pPr>
            <w:r>
              <w:rPr>
                <w:rFonts w:hint="eastAsia"/>
                <w:color w:val="auto"/>
                <w:highlight w:val="none"/>
                <w:lang w:val="en-US" w:eastAsia="zh-CN"/>
              </w:rPr>
              <w:t>临[2022]58158号 （各市县）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15"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00" w:type="dxa"/>
            <w:noWrap w:val="0"/>
            <w:vAlign w:val="center"/>
          </w:tcPr>
          <w:p>
            <w:pPr>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▲采购预算</w:t>
            </w:r>
          </w:p>
        </w:tc>
        <w:tc>
          <w:tcPr>
            <w:tcW w:w="6383" w:type="dxa"/>
            <w:noWrap w:val="0"/>
            <w:vAlign w:val="center"/>
          </w:tcPr>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本项目采购预算为人民币</w:t>
            </w:r>
            <w:r>
              <w:rPr>
                <w:rFonts w:hint="eastAsia" w:ascii="宋体" w:hAnsi="宋体" w:cs="宋体"/>
                <w:b/>
                <w:color w:val="auto"/>
                <w:kern w:val="0"/>
                <w:szCs w:val="21"/>
                <w:highlight w:val="none"/>
                <w:u w:val="single"/>
                <w:lang w:val="en-US" w:eastAsia="zh-CN"/>
              </w:rPr>
              <w:t xml:space="preserve"> 4340 </w:t>
            </w:r>
            <w:r>
              <w:rPr>
                <w:rFonts w:hint="eastAsia" w:ascii="宋体" w:hAnsi="宋体" w:cs="宋体"/>
                <w:b/>
                <w:color w:val="auto"/>
                <w:kern w:val="0"/>
                <w:szCs w:val="21"/>
                <w:highlight w:val="none"/>
              </w:rPr>
              <w:t>万元</w:t>
            </w:r>
            <w:r>
              <w:rPr>
                <w:rFonts w:hint="eastAsia" w:ascii="宋体" w:hAnsi="宋体" w:cs="宋体"/>
                <w:b/>
                <w:color w:val="auto"/>
                <w:kern w:val="0"/>
                <w:szCs w:val="21"/>
                <w:highlight w:val="none"/>
                <w:lang w:eastAsia="zh-CN"/>
              </w:rPr>
              <w:t>，其中报价</w:t>
            </w:r>
            <w:r>
              <w:rPr>
                <w:rFonts w:hint="eastAsia" w:ascii="宋体" w:hAnsi="宋体" w:cs="宋体"/>
                <w:b/>
                <w:color w:val="auto"/>
                <w:kern w:val="0"/>
                <w:szCs w:val="21"/>
                <w:highlight w:val="none"/>
                <w:lang w:val="en-US" w:eastAsia="zh-CN"/>
              </w:rPr>
              <w:t>包含</w:t>
            </w:r>
            <w:r>
              <w:rPr>
                <w:rFonts w:hint="eastAsia" w:ascii="宋体" w:hAnsi="宋体" w:cs="宋体"/>
                <w:b/>
                <w:color w:val="auto"/>
                <w:kern w:val="0"/>
                <w:szCs w:val="21"/>
                <w:highlight w:val="none"/>
                <w:lang w:eastAsia="zh-CN"/>
              </w:rPr>
              <w:t>以下两部分：</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color w:val="auto"/>
                <w:kern w:val="0"/>
                <w:szCs w:val="21"/>
                <w:highlight w:val="none"/>
                <w:lang w:val="en-US" w:eastAsia="zh-CN"/>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lang w:eastAsia="zh-CN"/>
              </w:rPr>
              <w:t>）省本级项目费用（总价包干）最高限价：</w:t>
            </w:r>
            <w:r>
              <w:rPr>
                <w:rFonts w:hint="eastAsia" w:ascii="宋体" w:hAnsi="宋体" w:cs="宋体"/>
                <w:b/>
                <w:color w:val="auto"/>
                <w:kern w:val="0"/>
                <w:szCs w:val="21"/>
                <w:highlight w:val="none"/>
                <w:u w:val="single"/>
                <w:lang w:val="en-US" w:eastAsia="zh-CN"/>
              </w:rPr>
              <w:t xml:space="preserve"> 300 </w:t>
            </w:r>
            <w:r>
              <w:rPr>
                <w:rFonts w:hint="eastAsia" w:ascii="宋体" w:hAnsi="宋体" w:cs="宋体"/>
                <w:b/>
                <w:color w:val="auto"/>
                <w:kern w:val="0"/>
                <w:szCs w:val="21"/>
                <w:highlight w:val="none"/>
                <w:lang w:val="en-US" w:eastAsia="zh-CN"/>
              </w:rPr>
              <w:t>万元；</w:t>
            </w:r>
          </w:p>
          <w:p>
            <w:pPr>
              <w:pStyle w:val="2"/>
              <w:ind w:left="0" w:leftChars="0" w:firstLine="0" w:firstLineChars="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（2）市县标准年度服务费用：包括</w:t>
            </w:r>
            <w:r>
              <w:rPr>
                <w:rFonts w:hint="eastAsia" w:ascii="宋体" w:hAnsi="宋体" w:eastAsia="宋体" w:cs="宋体"/>
                <w:b/>
                <w:color w:val="auto"/>
                <w:kern w:val="0"/>
                <w:sz w:val="21"/>
                <w:szCs w:val="21"/>
                <w:highlight w:val="none"/>
              </w:rPr>
              <w:t>新年度初始化设置、培训和日常运维服务费用</w:t>
            </w:r>
            <w:r>
              <w:rPr>
                <w:rFonts w:hint="eastAsia" w:ascii="宋体" w:hAnsi="宋体" w:eastAsia="宋体" w:cs="宋体"/>
                <w:b/>
                <w:color w:val="auto"/>
                <w:kern w:val="0"/>
                <w:sz w:val="21"/>
                <w:szCs w:val="21"/>
                <w:highlight w:val="none"/>
                <w:lang w:eastAsia="zh-CN"/>
              </w:rPr>
              <w:t>等全部实施费用，其中</w:t>
            </w:r>
            <w:r>
              <w:rPr>
                <w:rFonts w:hint="eastAsia" w:ascii="宋体" w:hAnsi="宋体" w:eastAsia="宋体" w:cs="宋体"/>
                <w:b/>
                <w:color w:val="auto"/>
                <w:kern w:val="0"/>
                <w:sz w:val="21"/>
                <w:szCs w:val="21"/>
                <w:highlight w:val="none"/>
                <w:lang w:val="en-US" w:eastAsia="zh-CN" w:bidi="ar-SA"/>
              </w:rPr>
              <w:t>地市级年度服务最高限价为：</w:t>
            </w:r>
            <w:r>
              <w:rPr>
                <w:rFonts w:hint="eastAsia" w:ascii="宋体" w:hAnsi="宋体" w:eastAsia="宋体" w:cs="宋体"/>
                <w:b/>
                <w:color w:val="auto"/>
                <w:kern w:val="0"/>
                <w:sz w:val="21"/>
                <w:szCs w:val="21"/>
                <w:highlight w:val="none"/>
                <w:u w:val="single"/>
                <w:lang w:val="en-US" w:eastAsia="zh-CN" w:bidi="ar-SA"/>
              </w:rPr>
              <w:t xml:space="preserve"> 60 </w:t>
            </w:r>
            <w:r>
              <w:rPr>
                <w:rFonts w:hint="eastAsia" w:ascii="宋体" w:hAnsi="宋体" w:eastAsia="宋体" w:cs="宋体"/>
                <w:b/>
                <w:color w:val="auto"/>
                <w:kern w:val="0"/>
                <w:sz w:val="21"/>
                <w:szCs w:val="21"/>
                <w:highlight w:val="none"/>
                <w:lang w:val="en-US" w:eastAsia="zh-CN" w:bidi="ar-SA"/>
              </w:rPr>
              <w:t>万元/年/地市，区县级年度服务最高限价为：</w:t>
            </w:r>
            <w:r>
              <w:rPr>
                <w:rFonts w:hint="eastAsia" w:ascii="宋体" w:hAnsi="宋体" w:eastAsia="宋体" w:cs="宋体"/>
                <w:b/>
                <w:color w:val="auto"/>
                <w:kern w:val="0"/>
                <w:sz w:val="21"/>
                <w:szCs w:val="21"/>
                <w:highlight w:val="none"/>
                <w:u w:val="single"/>
                <w:lang w:val="en-US" w:eastAsia="zh-CN" w:bidi="ar-SA"/>
              </w:rPr>
              <w:t xml:space="preserve"> 40 </w:t>
            </w:r>
            <w:r>
              <w:rPr>
                <w:rFonts w:hint="eastAsia" w:ascii="宋体" w:hAnsi="宋体" w:eastAsia="宋体" w:cs="宋体"/>
                <w:b/>
                <w:color w:val="auto"/>
                <w:kern w:val="0"/>
                <w:sz w:val="21"/>
                <w:szCs w:val="21"/>
                <w:highlight w:val="none"/>
                <w:lang w:val="en-US" w:eastAsia="zh-CN" w:bidi="ar-SA"/>
              </w:rPr>
              <w:t>万元/年/区县。</w:t>
            </w:r>
          </w:p>
          <w:p>
            <w:pPr>
              <w:snapToGrid w:val="0"/>
              <w:spacing w:line="320" w:lineRule="exact"/>
              <w:rPr>
                <w:rFonts w:hint="eastAsia" w:ascii="宋体" w:hAnsi="宋体" w:eastAsia="宋体" w:cs="宋体"/>
                <w:b/>
                <w:color w:val="auto"/>
                <w:szCs w:val="21"/>
                <w:highlight w:val="none"/>
                <w:lang w:eastAsia="zh-CN"/>
              </w:rPr>
            </w:pPr>
            <w:r>
              <w:rPr>
                <w:rFonts w:hint="eastAsia" w:ascii="宋体" w:hAnsi="宋体" w:cs="宋体"/>
                <w:b/>
                <w:color w:val="auto"/>
                <w:kern w:val="0"/>
                <w:szCs w:val="21"/>
                <w:highlight w:val="none"/>
              </w:rPr>
              <w:t>超过</w:t>
            </w:r>
            <w:r>
              <w:rPr>
                <w:rFonts w:hint="eastAsia" w:ascii="宋体" w:hAnsi="宋体" w:cs="宋体"/>
                <w:b/>
                <w:color w:val="auto"/>
                <w:kern w:val="0"/>
                <w:szCs w:val="21"/>
                <w:highlight w:val="none"/>
                <w:lang w:eastAsia="zh-CN"/>
              </w:rPr>
              <w:t>以上任一最高限价规定</w:t>
            </w:r>
            <w:r>
              <w:rPr>
                <w:rFonts w:hint="eastAsia" w:ascii="宋体" w:hAnsi="宋体" w:cs="宋体"/>
                <w:b/>
                <w:color w:val="auto"/>
                <w:kern w:val="0"/>
                <w:szCs w:val="21"/>
                <w:highlight w:val="none"/>
              </w:rPr>
              <w:t>的报价</w:t>
            </w:r>
            <w:r>
              <w:rPr>
                <w:rFonts w:hint="eastAsia" w:ascii="宋体" w:hAnsi="宋体" w:cs="宋体"/>
                <w:b/>
                <w:color w:val="auto"/>
                <w:kern w:val="0"/>
                <w:szCs w:val="21"/>
                <w:highlight w:val="none"/>
                <w:lang w:eastAsia="zh-CN"/>
              </w:rPr>
              <w:t>，均</w:t>
            </w:r>
            <w:r>
              <w:rPr>
                <w:rFonts w:hint="eastAsia" w:ascii="宋体" w:hAnsi="宋体" w:cs="宋体"/>
                <w:b/>
                <w:color w:val="auto"/>
                <w:kern w:val="0"/>
                <w:szCs w:val="21"/>
                <w:highlight w:val="none"/>
              </w:rPr>
              <w:t>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7"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383"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资格后审。</w:t>
            </w:r>
          </w:p>
          <w:p>
            <w:pPr>
              <w:snapToGrid w:val="0"/>
              <w:spacing w:line="320" w:lineRule="exact"/>
              <w:rPr>
                <w:rFonts w:hint="eastAsia" w:ascii="宋体" w:hAnsi="宋体" w:eastAsia="宋体" w:cs="宋体"/>
                <w:color w:val="auto"/>
                <w:szCs w:val="21"/>
                <w:highlight w:val="none"/>
              </w:rPr>
            </w:pPr>
            <w:r>
              <w:rPr>
                <w:rFonts w:hint="eastAsia" w:ascii="宋体" w:hAnsi="宋体" w:cs="宋体"/>
                <w:color w:val="auto"/>
                <w:szCs w:val="21"/>
                <w:highlight w:val="none"/>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383" w:type="dxa"/>
            <w:noWrap w:val="0"/>
            <w:vAlign w:val="center"/>
          </w:tcPr>
          <w:p>
            <w:pPr>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383" w:type="dxa"/>
            <w:noWrap w:val="0"/>
            <w:vAlign w:val="center"/>
          </w:tcPr>
          <w:p>
            <w:pPr>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招标答疑</w:t>
            </w:r>
          </w:p>
        </w:tc>
        <w:tc>
          <w:tcPr>
            <w:tcW w:w="6383" w:type="dxa"/>
            <w:noWrap w:val="0"/>
            <w:vAlign w:val="center"/>
          </w:tcPr>
          <w:p>
            <w:pPr>
              <w:snapToGrid w:val="0"/>
              <w:spacing w:line="32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投标人如认为采购文件表述不清晰的，必须在</w:t>
            </w:r>
            <w:r>
              <w:rPr>
                <w:rFonts w:hint="eastAsia" w:ascii="宋体" w:hAnsi="宋体" w:eastAsia="宋体" w:cs="宋体"/>
                <w:color w:val="auto"/>
                <w:szCs w:val="21"/>
                <w:highlight w:val="none"/>
                <w:lang w:eastAsia="zh-CN"/>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 xml:space="preserve">  11 </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 xml:space="preserve"> 9 </w:t>
            </w:r>
            <w:r>
              <w:rPr>
                <w:rFonts w:hint="eastAsia" w:ascii="宋体" w:hAnsi="宋体" w:eastAsia="宋体" w:cs="宋体"/>
                <w:color w:val="auto"/>
                <w:szCs w:val="21"/>
                <w:highlight w:val="none"/>
              </w:rPr>
              <w:t>日</w:t>
            </w:r>
            <w:r>
              <w:rPr>
                <w:rFonts w:hint="eastAsia" w:ascii="宋体" w:hAnsi="宋体" w:eastAsia="宋体" w:cs="宋体"/>
                <w:snapToGrid w:val="0"/>
                <w:color w:val="auto"/>
                <w:kern w:val="0"/>
                <w:szCs w:val="21"/>
                <w:highlight w:val="none"/>
                <w:lang w:val="en-US" w:eastAsia="zh-CN"/>
              </w:rPr>
              <w:t xml:space="preserve">  12</w:t>
            </w:r>
            <w:r>
              <w:rPr>
                <w:rFonts w:hint="eastAsia" w:ascii="宋体" w:hAnsi="宋体" w:eastAsia="宋体" w:cs="宋体"/>
                <w:snapToGrid w:val="0"/>
                <w:color w:val="auto"/>
                <w:kern w:val="0"/>
                <w:szCs w:val="21"/>
                <w:highlight w:val="none"/>
              </w:rPr>
              <w:t>时之前、将要求答疑的问题传真</w:t>
            </w:r>
            <w:r>
              <w:rPr>
                <w:rFonts w:hint="eastAsia" w:ascii="宋体" w:hAnsi="宋体" w:eastAsia="宋体" w:cs="宋体"/>
                <w:snapToGrid w:val="0"/>
                <w:color w:val="auto"/>
                <w:kern w:val="0"/>
                <w:szCs w:val="21"/>
                <w:highlight w:val="none"/>
                <w:lang w:eastAsia="zh-CN"/>
              </w:rPr>
              <w:t>至</w:t>
            </w:r>
            <w:r>
              <w:rPr>
                <w:rFonts w:hint="eastAsia" w:ascii="宋体" w:hAnsi="宋体" w:eastAsia="宋体" w:cs="宋体"/>
                <w:bCs/>
                <w:snapToGrid w:val="0"/>
                <w:color w:val="auto"/>
                <w:kern w:val="0"/>
                <w:szCs w:val="21"/>
                <w:highlight w:val="none"/>
                <w:u w:val="single"/>
              </w:rPr>
              <w:t>0571－</w:t>
            </w:r>
            <w:r>
              <w:rPr>
                <w:rFonts w:hint="eastAsia" w:ascii="宋体" w:hAnsi="宋体" w:eastAsia="宋体" w:cs="宋体"/>
                <w:bCs/>
                <w:snapToGrid w:val="0"/>
                <w:color w:val="auto"/>
                <w:kern w:val="0"/>
                <w:szCs w:val="21"/>
                <w:highlight w:val="none"/>
                <w:u w:val="single"/>
                <w:lang w:val="en-US" w:eastAsia="zh-CN"/>
              </w:rPr>
              <w:t xml:space="preserve">88473430 </w:t>
            </w:r>
            <w:r>
              <w:rPr>
                <w:rFonts w:hint="eastAsia" w:ascii="宋体" w:hAnsi="宋体" w:eastAsia="宋体" w:cs="宋体"/>
                <w:b/>
                <w:bCs/>
                <w:snapToGrid w:val="0"/>
                <w:color w:val="auto"/>
                <w:kern w:val="0"/>
                <w:szCs w:val="21"/>
                <w:highlight w:val="none"/>
              </w:rPr>
              <w:t>,</w:t>
            </w:r>
            <w:r>
              <w:rPr>
                <w:rFonts w:hint="eastAsia" w:ascii="宋体" w:hAnsi="宋体" w:eastAsia="宋体" w:cs="宋体"/>
                <w:snapToGrid w:val="0"/>
                <w:color w:val="auto"/>
                <w:kern w:val="0"/>
                <w:szCs w:val="21"/>
                <w:highlight w:val="none"/>
              </w:rPr>
              <w:t>并发电子邮件至</w:t>
            </w:r>
            <w:r>
              <w:rPr>
                <w:rFonts w:hint="eastAsia" w:ascii="宋体" w:hAnsi="宋体" w:eastAsia="宋体" w:cs="宋体"/>
                <w:snapToGrid w:val="0"/>
                <w:color w:val="auto"/>
                <w:kern w:val="0"/>
                <w:szCs w:val="21"/>
                <w:highlight w:val="none"/>
                <w:u w:val="single"/>
                <w:lang w:val="en-US" w:eastAsia="zh-CN"/>
              </w:rPr>
              <w:t xml:space="preserve">22553113@qq.com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电子邮件与书面文件有不一致的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一律以书面文件为准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。截止期后的疑问将不予受理、答复。</w:t>
            </w:r>
            <w:r>
              <w:rPr>
                <w:rFonts w:hint="eastAsia" w:ascii="宋体" w:hAnsi="宋体" w:eastAsia="宋体" w:cs="宋体"/>
                <w:color w:val="auto"/>
                <w:szCs w:val="21"/>
                <w:highlight w:val="none"/>
              </w:rPr>
              <w:t>答疑回复内容是采购文件的组成部份，并将以更正（澄清）公告形式告知所有</w:t>
            </w: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rPr>
              <w:t>采购文件的投标人。请</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密切关注公告</w:t>
            </w:r>
            <w:r>
              <w:rPr>
                <w:rFonts w:hint="eastAsia" w:ascii="宋体" w:hAnsi="宋体" w:eastAsia="宋体" w:cs="宋体"/>
                <w:color w:val="auto"/>
                <w:szCs w:val="21"/>
                <w:highlight w:val="none"/>
                <w:lang w:eastAsia="zh-CN"/>
              </w:rPr>
              <w:t>信息</w:t>
            </w:r>
            <w:r>
              <w:rPr>
                <w:rFonts w:hint="eastAsia" w:ascii="宋体" w:hAnsi="宋体" w:eastAsia="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采购文件的澄清与修改</w:t>
            </w:r>
          </w:p>
        </w:tc>
        <w:tc>
          <w:tcPr>
            <w:tcW w:w="6383" w:type="dxa"/>
            <w:noWrap w:val="0"/>
            <w:vAlign w:val="center"/>
          </w:tcPr>
          <w:p>
            <w:pPr>
              <w:snapToGrid w:val="0"/>
              <w:spacing w:line="320" w:lineRule="exact"/>
              <w:ind w:right="105" w:rightChars="5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在投标截止时间15天前，采购人有权澄清和修改采购文件，并以</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eastAsia="宋体" w:cs="宋体"/>
                <w:snapToGrid w:val="0"/>
                <w:color w:val="auto"/>
                <w:kern w:val="0"/>
                <w:szCs w:val="21"/>
                <w:highlight w:val="none"/>
              </w:rPr>
              <w:t>形式通知所有已</w:t>
            </w:r>
            <w:r>
              <w:rPr>
                <w:rFonts w:hint="eastAsia" w:ascii="宋体" w:hAnsi="宋体" w:eastAsia="宋体" w:cs="宋体"/>
                <w:snapToGrid w:val="0"/>
                <w:color w:val="auto"/>
                <w:kern w:val="0"/>
                <w:szCs w:val="21"/>
                <w:highlight w:val="none"/>
                <w:lang w:eastAsia="zh-CN"/>
              </w:rPr>
              <w:t>获取</w:t>
            </w:r>
            <w:r>
              <w:rPr>
                <w:rFonts w:hint="eastAsia" w:ascii="宋体" w:hAnsi="宋体" w:eastAsia="宋体" w:cs="宋体"/>
                <w:snapToGrid w:val="0"/>
                <w:color w:val="auto"/>
                <w:kern w:val="0"/>
                <w:szCs w:val="21"/>
                <w:highlight w:val="none"/>
              </w:rPr>
              <w:t>采购文件的投标人。修改和澄清（答疑）答复的</w:t>
            </w:r>
            <w:r>
              <w:rPr>
                <w:rFonts w:hint="eastAsia" w:ascii="宋体" w:hAnsi="宋体" w:eastAsia="宋体" w:cs="宋体"/>
                <w:snapToGrid w:val="0"/>
                <w:color w:val="auto"/>
                <w:kern w:val="0"/>
                <w:szCs w:val="21"/>
                <w:highlight w:val="none"/>
                <w:lang w:val="en-US" w:eastAsia="zh-CN"/>
              </w:rPr>
              <w:t>内容</w:t>
            </w:r>
            <w:r>
              <w:rPr>
                <w:rFonts w:hint="eastAsia" w:ascii="宋体" w:hAnsi="宋体" w:eastAsia="宋体" w:cs="宋体"/>
                <w:snapToGrid w:val="0"/>
                <w:color w:val="auto"/>
                <w:kern w:val="0"/>
                <w:szCs w:val="21"/>
                <w:highlight w:val="none"/>
              </w:rPr>
              <w:t>作为采购文件的补充和组成部分，对所有投标人均有约束力。</w:t>
            </w:r>
            <w:r>
              <w:rPr>
                <w:rFonts w:hint="eastAsia" w:ascii="宋体" w:hAnsi="宋体" w:eastAsia="宋体" w:cs="宋体"/>
                <w:color w:val="auto"/>
                <w:szCs w:val="21"/>
                <w:highlight w:val="none"/>
              </w:rPr>
              <w:t>请</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密切关注公告</w:t>
            </w:r>
            <w:r>
              <w:rPr>
                <w:rFonts w:hint="eastAsia" w:ascii="宋体" w:hAnsi="宋体" w:eastAsia="宋体" w:cs="宋体"/>
                <w:color w:val="auto"/>
                <w:szCs w:val="21"/>
                <w:highlight w:val="none"/>
                <w:lang w:eastAsia="zh-CN"/>
              </w:rPr>
              <w:t>信息</w:t>
            </w:r>
            <w:r>
              <w:rPr>
                <w:rFonts w:hint="eastAsia" w:ascii="宋体" w:hAnsi="宋体" w:eastAsia="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val="en-US" w:eastAsia="zh-CN"/>
              </w:rPr>
              <w:t>形式</w:t>
            </w:r>
          </w:p>
        </w:tc>
        <w:tc>
          <w:tcPr>
            <w:tcW w:w="6383" w:type="dxa"/>
            <w:noWrap w:val="0"/>
            <w:vAlign w:val="center"/>
          </w:tcPr>
          <w:p>
            <w:pPr>
              <w:snapToGrid w:val="0"/>
              <w:spacing w:line="320" w:lineRule="exact"/>
              <w:ind w:right="105" w:rightChars="5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电子投标文</w:t>
            </w:r>
            <w:r>
              <w:rPr>
                <w:rFonts w:hint="eastAsia" w:ascii="宋体" w:hAnsi="宋体" w:eastAsia="宋体"/>
                <w:color w:val="auto"/>
                <w:szCs w:val="21"/>
                <w:highlight w:val="none"/>
                <w:lang w:val="en-US" w:eastAsia="zh-CN"/>
              </w:rPr>
              <w:t>件</w:t>
            </w:r>
            <w:r>
              <w:rPr>
                <w:rFonts w:hint="default" w:ascii="宋体" w:hAnsi="宋体" w:eastAsia="宋体"/>
                <w:color w:val="auto"/>
                <w:szCs w:val="21"/>
                <w:highlight w:val="none"/>
                <w:lang w:val="en-US" w:eastAsia="zh-CN"/>
              </w:rPr>
              <w:t>包括“电子加密投标文件”和“备份投标文件”，在投标文件编制完成后同时生成</w:t>
            </w:r>
            <w:r>
              <w:rPr>
                <w:rFonts w:hint="eastAsia" w:ascii="宋体" w:hAnsi="宋体" w:eastAsia="宋体"/>
                <w:color w:val="auto"/>
                <w:szCs w:val="21"/>
                <w:highlight w:val="none"/>
                <w:lang w:val="en-US" w:eastAsia="zh-CN"/>
              </w:rPr>
              <w:t>。</w:t>
            </w:r>
          </w:p>
          <w:p>
            <w:pPr>
              <w:numPr>
                <w:ilvl w:val="0"/>
                <w:numId w:val="3"/>
              </w:numPr>
              <w:snapToGrid w:val="0"/>
              <w:spacing w:line="320" w:lineRule="exact"/>
              <w:ind w:right="105" w:rightChars="5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“电子加密投标文件”是指通过“政采云电子交易客户端”完成投标文件编制后生成并加密的数据电文形式的投标文件。</w:t>
            </w:r>
          </w:p>
          <w:p>
            <w:pPr>
              <w:numPr>
                <w:ilvl w:val="0"/>
                <w:numId w:val="3"/>
              </w:numPr>
              <w:snapToGrid w:val="0"/>
              <w:spacing w:line="320" w:lineRule="exact"/>
              <w:ind w:left="0" w:leftChars="0" w:firstLine="0" w:firstLineChars="0"/>
              <w:rPr>
                <w:rFonts w:hint="eastAsia" w:ascii="宋体" w:hAnsi="宋体" w:eastAsia="宋体" w:cs="宋体"/>
                <w:color w:val="auto"/>
                <w:szCs w:val="21"/>
                <w:highlight w:val="none"/>
              </w:rPr>
            </w:pPr>
            <w:r>
              <w:rPr>
                <w:rFonts w:hint="default" w:ascii="宋体" w:hAnsi="宋体" w:eastAsia="宋体"/>
                <w:color w:val="auto"/>
                <w:szCs w:val="21"/>
                <w:highlight w:val="none"/>
                <w:lang w:val="en-US" w:eastAsia="zh-CN"/>
              </w:rPr>
              <w:t>“备份投标文件”是指与“电子加密投标文件”同时生成的数据电文形式的电子文件（备份标书</w:t>
            </w:r>
            <w:r>
              <w:rPr>
                <w:rFonts w:hint="eastAsia" w:ascii="宋体" w:hAnsi="宋体"/>
                <w:color w:val="auto"/>
                <w:szCs w:val="21"/>
                <w:highlight w:val="none"/>
                <w:lang w:val="en-US" w:eastAsia="zh-CN"/>
              </w:rPr>
              <w:t>，用于供应商标书解密异常时应急使用</w:t>
            </w:r>
            <w:r>
              <w:rPr>
                <w:rFonts w:hint="default" w:ascii="宋体" w:hAnsi="宋体" w:eastAsia="宋体"/>
                <w:color w:val="auto"/>
                <w:szCs w:val="21"/>
                <w:highlight w:val="none"/>
                <w:lang w:val="en-US" w:eastAsia="zh-CN"/>
              </w:rPr>
              <w:t>），其他方式编制的备份投标文件视为无效备份投标文件</w:t>
            </w:r>
            <w:r>
              <w:rPr>
                <w:rFonts w:hint="eastAsia" w:ascii="宋体" w:hAnsi="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noWrap w:val="0"/>
            <w:vAlign w:val="center"/>
          </w:tcPr>
          <w:p>
            <w:pPr>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投标文件份数</w:t>
            </w:r>
          </w:p>
        </w:tc>
        <w:tc>
          <w:tcPr>
            <w:tcW w:w="6383" w:type="dxa"/>
            <w:noWrap w:val="0"/>
            <w:vAlign w:val="center"/>
          </w:tcPr>
          <w:p>
            <w:pPr>
              <w:numPr>
                <w:ilvl w:val="0"/>
                <w:numId w:val="4"/>
              </w:numPr>
              <w:snapToGrid w:val="0"/>
              <w:spacing w:line="320" w:lineRule="exact"/>
              <w:rPr>
                <w:rFonts w:hint="eastAsia"/>
                <w:color w:val="auto"/>
                <w:highlight w:val="none"/>
                <w:lang w:eastAsia="zh-CN"/>
              </w:rPr>
            </w:pPr>
            <w:r>
              <w:rPr>
                <w:rFonts w:hint="eastAsia"/>
                <w:color w:val="auto"/>
                <w:highlight w:val="none"/>
                <w:lang w:eastAsia="zh-CN"/>
              </w:rPr>
              <w:t>一份电子加密标书（后缀格式为.jmbs），一份备份标书文件（后缀格式为.bfbs）。</w:t>
            </w:r>
          </w:p>
          <w:p>
            <w:pPr>
              <w:snapToGrid w:val="0"/>
              <w:spacing w:line="320" w:lineRule="exact"/>
              <w:rPr>
                <w:rFonts w:hint="eastAsia"/>
                <w:color w:val="auto"/>
                <w:highlight w:val="none"/>
                <w:lang w:val="en-US" w:eastAsia="zh-CN"/>
              </w:rPr>
            </w:pPr>
            <w:r>
              <w:rPr>
                <w:rFonts w:hint="eastAsia"/>
                <w:color w:val="auto"/>
                <w:highlight w:val="none"/>
                <w:lang w:val="en-US" w:eastAsia="zh-CN"/>
              </w:rPr>
              <w:t>每份电子投标文件应包括资格响应文件、商务技术响应文件及报价响应文件三部分内容。</w:t>
            </w:r>
          </w:p>
          <w:p>
            <w:pPr>
              <w:pStyle w:val="8"/>
              <w:numPr>
                <w:ilvl w:val="0"/>
                <w:numId w:val="4"/>
              </w:numPr>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如中标，中标人需根据招标人要求提供纸质投标文件至少</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648" w:type="dxa"/>
            <w:vMerge w:val="restart"/>
            <w:noWrap w:val="0"/>
            <w:vAlign w:val="center"/>
          </w:tcPr>
          <w:p>
            <w:pPr>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800" w:type="dxa"/>
            <w:vMerge w:val="restart"/>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投标文件</w:t>
            </w:r>
            <w:r>
              <w:rPr>
                <w:rFonts w:hint="eastAsia" w:ascii="宋体" w:hAnsi="宋体"/>
                <w:color w:val="auto"/>
                <w:szCs w:val="21"/>
                <w:highlight w:val="none"/>
                <w:lang w:eastAsia="zh-CN"/>
              </w:rPr>
              <w:t>的上传和递交</w:t>
            </w:r>
          </w:p>
        </w:tc>
        <w:tc>
          <w:tcPr>
            <w:tcW w:w="6383" w:type="dxa"/>
            <w:noWrap w:val="0"/>
            <w:vAlign w:val="center"/>
          </w:tcPr>
          <w:p>
            <w:pPr>
              <w:numPr>
                <w:ilvl w:val="0"/>
                <w:numId w:val="0"/>
              </w:numPr>
              <w:snapToGrid w:val="0"/>
              <w:spacing w:line="320" w:lineRule="exact"/>
              <w:rPr>
                <w:rFonts w:hint="eastAsia" w:ascii="宋体" w:hAnsi="宋体" w:cs="Courier New"/>
                <w:color w:val="auto"/>
                <w:szCs w:val="21"/>
                <w:highlight w:val="none"/>
                <w:lang w:eastAsia="zh-CN"/>
              </w:rPr>
            </w:pPr>
            <w:r>
              <w:rPr>
                <w:rFonts w:hint="eastAsia" w:ascii="宋体" w:hAnsi="宋体" w:cs="Courier New"/>
                <w:color w:val="auto"/>
                <w:szCs w:val="21"/>
                <w:highlight w:val="none"/>
                <w:lang w:val="en-US" w:eastAsia="zh-CN"/>
              </w:rPr>
              <w:t>1.电子加密投标文件：</w:t>
            </w:r>
            <w:r>
              <w:rPr>
                <w:rFonts w:hint="eastAsia" w:ascii="宋体" w:hAnsi="宋体" w:cs="Courier New"/>
                <w:color w:val="auto"/>
                <w:szCs w:val="21"/>
                <w:highlight w:val="none"/>
              </w:rPr>
              <w:t>投标文件制作完成并生成加密标书，</w:t>
            </w:r>
            <w:r>
              <w:rPr>
                <w:rFonts w:hint="eastAsia" w:ascii="宋体" w:hAnsi="宋体" w:cs="Courier New"/>
                <w:color w:val="auto"/>
                <w:szCs w:val="21"/>
                <w:highlight w:val="none"/>
                <w:lang w:eastAsia="zh-CN"/>
              </w:rPr>
              <w:t>在投标截止时间</w:t>
            </w:r>
            <w:r>
              <w:rPr>
                <w:rFonts w:hint="eastAsia" w:ascii="宋体" w:hAnsi="宋体" w:cs="Courier New"/>
                <w:color w:val="auto"/>
                <w:szCs w:val="21"/>
                <w:highlight w:val="none"/>
              </w:rPr>
              <w:t>前，供应商需将加密的投标文件上传至政采云平台，在开标时间开始后</w:t>
            </w:r>
            <w:r>
              <w:rPr>
                <w:rFonts w:hint="eastAsia" w:ascii="宋体" w:hAnsi="宋体" w:cs="Courier New"/>
                <w:color w:val="auto"/>
                <w:szCs w:val="21"/>
                <w:highlight w:val="none"/>
                <w:u w:val="single"/>
                <w:lang w:val="en-US" w:eastAsia="zh-CN"/>
              </w:rPr>
              <w:t xml:space="preserve"> 30 </w:t>
            </w:r>
            <w:r>
              <w:rPr>
                <w:rFonts w:hint="eastAsia" w:ascii="宋体" w:hAnsi="宋体" w:cs="Courier New"/>
                <w:color w:val="auto"/>
                <w:szCs w:val="21"/>
                <w:highlight w:val="none"/>
              </w:rPr>
              <w:t>分钟内，解密投标文件</w:t>
            </w:r>
            <w:r>
              <w:rPr>
                <w:rFonts w:hint="eastAsia" w:ascii="宋体" w:hAnsi="宋体" w:cs="Courier New"/>
                <w:color w:val="auto"/>
                <w:szCs w:val="21"/>
                <w:highlight w:val="none"/>
                <w:lang w:eastAsia="zh-CN"/>
              </w:rPr>
              <w:t>。</w:t>
            </w:r>
          </w:p>
          <w:p>
            <w:pPr>
              <w:widowControl w:val="0"/>
              <w:numPr>
                <w:ilvl w:val="0"/>
                <w:numId w:val="0"/>
              </w:numPr>
              <w:snapToGrid w:val="0"/>
              <w:spacing w:line="320" w:lineRule="exact"/>
              <w:jc w:val="both"/>
              <w:rPr>
                <w:rFonts w:hint="eastAsia" w:ascii="宋体" w:hAnsi="宋体" w:cs="Courier New"/>
                <w:b/>
                <w:bCs/>
                <w:color w:val="auto"/>
                <w:szCs w:val="21"/>
                <w:highlight w:val="none"/>
                <w:lang w:eastAsia="zh-CN"/>
              </w:rPr>
            </w:pPr>
            <w:r>
              <w:rPr>
                <w:rFonts w:hint="eastAsia" w:ascii="宋体" w:hAnsi="宋体" w:cs="Courier New"/>
                <w:b/>
                <w:bCs/>
                <w:color w:val="auto"/>
                <w:szCs w:val="21"/>
                <w:highlight w:val="none"/>
                <w:lang w:eastAsia="zh-CN"/>
              </w:rPr>
              <w:t>a.供应商未能在投标截止时间前成功上传电子加密投标文件的投标无效。</w:t>
            </w:r>
          </w:p>
          <w:p>
            <w:pPr>
              <w:widowControl w:val="0"/>
              <w:numPr>
                <w:ilvl w:val="0"/>
                <w:numId w:val="0"/>
              </w:numPr>
              <w:snapToGrid w:val="0"/>
              <w:spacing w:line="320" w:lineRule="exact"/>
              <w:ind w:left="0" w:leftChars="0" w:firstLine="0" w:firstLineChars="0"/>
              <w:jc w:val="both"/>
              <w:rPr>
                <w:rFonts w:hint="default" w:ascii="宋体" w:hAnsi="宋体" w:eastAsia="宋体"/>
                <w:color w:val="auto"/>
                <w:szCs w:val="21"/>
                <w:highlight w:val="none"/>
                <w:lang w:val="en-US" w:eastAsia="zh-CN"/>
              </w:rPr>
            </w:pPr>
            <w:r>
              <w:rPr>
                <w:rFonts w:hint="eastAsia" w:ascii="宋体" w:hAnsi="宋体" w:cs="Courier New"/>
                <w:color w:val="auto"/>
                <w:szCs w:val="21"/>
                <w:highlight w:val="none"/>
                <w:lang w:eastAsia="zh-CN"/>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0" w:hRule="atLeast"/>
          <w:jc w:val="center"/>
        </w:trPr>
        <w:tc>
          <w:tcPr>
            <w:tcW w:w="648" w:type="dxa"/>
            <w:vMerge w:val="continue"/>
            <w:noWrap w:val="0"/>
            <w:vAlign w:val="center"/>
          </w:tcPr>
          <w:p>
            <w:pPr>
              <w:adjustRightInd w:val="0"/>
              <w:jc w:val="center"/>
              <w:rPr>
                <w:rFonts w:hint="eastAsia" w:ascii="宋体" w:hAnsi="宋体" w:eastAsia="宋体" w:cs="宋体"/>
                <w:color w:val="auto"/>
                <w:szCs w:val="21"/>
                <w:highlight w:val="none"/>
                <w:lang w:val="en-US" w:eastAsia="zh-CN"/>
              </w:rPr>
            </w:pPr>
          </w:p>
        </w:tc>
        <w:tc>
          <w:tcPr>
            <w:tcW w:w="1800" w:type="dxa"/>
            <w:vMerge w:val="continue"/>
            <w:noWrap w:val="0"/>
            <w:vAlign w:val="center"/>
          </w:tcPr>
          <w:p>
            <w:pPr>
              <w:snapToGrid w:val="0"/>
              <w:spacing w:line="360" w:lineRule="exact"/>
              <w:jc w:val="center"/>
              <w:rPr>
                <w:rFonts w:hint="eastAsia" w:ascii="宋体" w:hAnsi="宋体" w:eastAsia="宋体" w:cs="宋体"/>
                <w:color w:val="auto"/>
                <w:szCs w:val="21"/>
                <w:highlight w:val="none"/>
              </w:rPr>
            </w:pPr>
          </w:p>
        </w:tc>
        <w:tc>
          <w:tcPr>
            <w:tcW w:w="6383" w:type="dxa"/>
            <w:noWrap w:val="0"/>
            <w:vAlign w:val="center"/>
          </w:tcPr>
          <w:p>
            <w:pPr>
              <w:snapToGrid w:val="0"/>
              <w:spacing w:line="320" w:lineRule="exact"/>
              <w:rPr>
                <w:rFonts w:hint="eastAsia" w:ascii="宋体" w:hAnsi="宋体" w:cs="Courier New"/>
                <w:color w:val="auto"/>
                <w:szCs w:val="21"/>
                <w:highlight w:val="none"/>
                <w:lang w:eastAsia="zh-CN"/>
              </w:rPr>
            </w:pPr>
            <w:r>
              <w:rPr>
                <w:rFonts w:hint="eastAsia" w:ascii="宋体" w:hAnsi="宋体" w:cs="Courier New"/>
                <w:color w:val="auto"/>
                <w:szCs w:val="21"/>
                <w:highlight w:val="none"/>
                <w:lang w:val="en-US" w:eastAsia="zh-CN"/>
              </w:rPr>
              <w:t>2.</w:t>
            </w:r>
            <w:r>
              <w:rPr>
                <w:rFonts w:hint="eastAsia" w:ascii="宋体" w:hAnsi="宋体" w:cs="Courier New"/>
                <w:color w:val="auto"/>
                <w:szCs w:val="21"/>
                <w:highlight w:val="none"/>
                <w:lang w:eastAsia="zh-CN"/>
              </w:rPr>
              <w:t>备份投标文件：供应商</w:t>
            </w:r>
            <w:r>
              <w:rPr>
                <w:rFonts w:hint="eastAsia" w:ascii="宋体" w:hAnsi="宋体" w:cs="Courier New"/>
                <w:color w:val="auto"/>
                <w:szCs w:val="21"/>
                <w:highlight w:val="none"/>
                <w:lang w:val="en-US" w:eastAsia="zh-CN"/>
              </w:rPr>
              <w:t>确保在投标截止时间前，</w:t>
            </w:r>
            <w:r>
              <w:rPr>
                <w:rFonts w:hint="eastAsia" w:ascii="宋体" w:hAnsi="宋体" w:cs="Courier New"/>
                <w:color w:val="auto"/>
                <w:szCs w:val="21"/>
                <w:highlight w:val="none"/>
                <w:lang w:eastAsia="zh-CN"/>
              </w:rPr>
              <w:t>将备份投标文件通过快递形式</w:t>
            </w:r>
            <w:r>
              <w:rPr>
                <w:rFonts w:hint="eastAsia" w:ascii="宋体" w:hAnsi="宋体" w:cs="Courier New"/>
                <w:color w:val="auto"/>
                <w:szCs w:val="21"/>
                <w:highlight w:val="none"/>
                <w:lang w:val="en-US" w:eastAsia="zh-CN"/>
              </w:rPr>
              <w:t>寄达</w:t>
            </w:r>
            <w:r>
              <w:rPr>
                <w:rFonts w:hint="eastAsia" w:ascii="宋体" w:hAnsi="宋体" w:cs="Courier New"/>
                <w:color w:val="auto"/>
                <w:szCs w:val="21"/>
                <w:highlight w:val="none"/>
                <w:lang w:eastAsia="zh-CN"/>
              </w:rPr>
              <w:t>采购代理机构</w:t>
            </w:r>
            <w:r>
              <w:rPr>
                <w:rFonts w:hint="eastAsia" w:ascii="宋体" w:hAnsi="宋体" w:cs="Courier New"/>
                <w:color w:val="auto"/>
                <w:szCs w:val="21"/>
                <w:highlight w:val="none"/>
                <w:lang w:val="en-US" w:eastAsia="zh-CN"/>
              </w:rPr>
              <w:t>处</w:t>
            </w:r>
            <w:r>
              <w:rPr>
                <w:rFonts w:hint="eastAsia" w:ascii="宋体" w:hAnsi="宋体" w:cs="Courier New"/>
                <w:color w:val="auto"/>
                <w:szCs w:val="21"/>
                <w:highlight w:val="none"/>
                <w:lang w:eastAsia="zh-CN"/>
              </w:rPr>
              <w:t>，以便</w:t>
            </w:r>
            <w:r>
              <w:rPr>
                <w:rFonts w:hint="eastAsia" w:ascii="宋体" w:hAnsi="宋体"/>
                <w:color w:val="auto"/>
                <w:szCs w:val="21"/>
                <w:highlight w:val="none"/>
                <w:lang w:val="en-US" w:eastAsia="zh-CN"/>
              </w:rPr>
              <w:t>标书解密异常时应急使用</w:t>
            </w:r>
            <w:r>
              <w:rPr>
                <w:rFonts w:hint="eastAsia" w:ascii="宋体" w:hAnsi="宋体" w:cs="Courier New"/>
                <w:color w:val="auto"/>
                <w:szCs w:val="21"/>
                <w:highlight w:val="none"/>
                <w:lang w:eastAsia="zh-CN"/>
              </w:rPr>
              <w:t>（邮寄地址：</w:t>
            </w:r>
            <w:r>
              <w:rPr>
                <w:rFonts w:hint="eastAsia" w:ascii="宋体" w:hAnsi="宋体" w:cs="Courier New"/>
                <w:color w:val="auto"/>
                <w:szCs w:val="21"/>
                <w:highlight w:val="none"/>
                <w:lang w:val="en-US" w:eastAsia="zh-CN"/>
              </w:rPr>
              <w:t>杭州市文三路90号东部软件园1号楼3楼305室， 接收人：陈秋阳，电话：0571-81061841</w:t>
            </w:r>
            <w:r>
              <w:rPr>
                <w:rFonts w:hint="eastAsia" w:ascii="宋体" w:hAnsi="宋体" w:cs="Courier New"/>
                <w:color w:val="auto"/>
                <w:szCs w:val="21"/>
                <w:highlight w:val="none"/>
                <w:lang w:eastAsia="zh-CN"/>
              </w:rPr>
              <w:t>）。</w:t>
            </w:r>
          </w:p>
          <w:p>
            <w:pPr>
              <w:widowControl w:val="0"/>
              <w:numPr>
                <w:ilvl w:val="0"/>
                <w:numId w:val="0"/>
              </w:numPr>
              <w:snapToGrid w:val="0"/>
              <w:spacing w:line="320" w:lineRule="exact"/>
              <w:jc w:val="both"/>
              <w:rPr>
                <w:rFonts w:hint="eastAsia" w:ascii="宋体" w:hAnsi="宋体" w:cs="Courier New"/>
                <w:color w:val="auto"/>
                <w:szCs w:val="21"/>
                <w:highlight w:val="none"/>
                <w:lang w:eastAsia="zh-CN"/>
              </w:rPr>
            </w:pPr>
            <w:r>
              <w:rPr>
                <w:rFonts w:hint="eastAsia" w:ascii="宋体" w:hAnsi="宋体" w:cs="Courier New"/>
                <w:color w:val="auto"/>
                <w:szCs w:val="21"/>
                <w:highlight w:val="none"/>
                <w:lang w:eastAsia="zh-CN"/>
              </w:rPr>
              <w:t>a.备份投标文件递交要求：供应商须将备份投标文件以光盘或</w:t>
            </w:r>
            <w:r>
              <w:rPr>
                <w:rFonts w:hint="eastAsia" w:ascii="宋体" w:hAnsi="宋体" w:cs="Courier New"/>
                <w:color w:val="auto"/>
                <w:szCs w:val="21"/>
                <w:highlight w:val="none"/>
                <w:lang w:val="en-US" w:eastAsia="zh-CN"/>
              </w:rPr>
              <w:t>U盘形式放在密</w:t>
            </w:r>
            <w:r>
              <w:rPr>
                <w:rFonts w:hint="eastAsia" w:ascii="宋体" w:hAnsi="宋体" w:eastAsia="宋体" w:cs="Courier New"/>
                <w:color w:val="auto"/>
                <w:szCs w:val="21"/>
                <w:highlight w:val="none"/>
                <w:lang w:val="en-US" w:eastAsia="zh-CN"/>
              </w:rPr>
              <w:t>封袋中，密封后并</w:t>
            </w:r>
            <w:r>
              <w:rPr>
                <w:rFonts w:hint="eastAsia" w:ascii="宋体" w:hAnsi="宋体" w:eastAsia="宋体" w:cs="Courier New"/>
                <w:color w:val="auto"/>
                <w:szCs w:val="21"/>
                <w:highlight w:val="none"/>
                <w:lang w:eastAsia="zh-CN"/>
              </w:rPr>
              <w:t>在密封袋上注明投标项目名称、投标单位名称并加盖公章</w:t>
            </w:r>
            <w:r>
              <w:rPr>
                <w:rFonts w:hint="eastAsia" w:ascii="宋体" w:hAnsi="宋体" w:eastAsia="宋体" w:cs="Courier New"/>
                <w:b w:val="0"/>
                <w:bCs w:val="0"/>
                <w:color w:val="auto"/>
                <w:sz w:val="21"/>
                <w:szCs w:val="21"/>
                <w:highlight w:val="none"/>
              </w:rPr>
              <w:t>(联合体投标的，包装物封面需注明联合体投标，并注明联合体成员各方的名称和联合协议中约定的牵头人的名称)</w:t>
            </w:r>
            <w:r>
              <w:rPr>
                <w:rFonts w:hint="eastAsia" w:ascii="宋体" w:hAnsi="宋体" w:eastAsia="宋体" w:cs="Courier New"/>
                <w:b w:val="0"/>
                <w:bCs w:val="0"/>
                <w:color w:val="auto"/>
                <w:sz w:val="21"/>
                <w:szCs w:val="21"/>
                <w:highlight w:val="none"/>
                <w:lang w:eastAsia="zh-CN"/>
              </w:rPr>
              <w:t>。</w:t>
            </w:r>
            <w:r>
              <w:rPr>
                <w:rFonts w:hint="eastAsia" w:ascii="宋体" w:hAnsi="宋体" w:eastAsia="宋体" w:cs="Courier New"/>
                <w:color w:val="auto"/>
                <w:szCs w:val="21"/>
                <w:highlight w:val="none"/>
                <w:lang w:eastAsia="zh-CN"/>
              </w:rPr>
              <w:t>未</w:t>
            </w:r>
            <w:r>
              <w:rPr>
                <w:rFonts w:hint="eastAsia" w:ascii="宋体" w:hAnsi="宋体" w:cs="Courier New"/>
                <w:color w:val="auto"/>
                <w:szCs w:val="21"/>
                <w:highlight w:val="none"/>
                <w:lang w:eastAsia="zh-CN"/>
              </w:rPr>
              <w:t>密封包装或者逾期邮寄送达的“备份投标文件”将不予接收。</w:t>
            </w:r>
          </w:p>
          <w:p>
            <w:pPr>
              <w:snapToGrid w:val="0"/>
              <w:spacing w:line="320" w:lineRule="exact"/>
              <w:rPr>
                <w:rFonts w:hint="default" w:ascii="宋体" w:hAnsi="宋体" w:eastAsia="宋体"/>
                <w:color w:val="auto"/>
                <w:szCs w:val="21"/>
                <w:highlight w:val="none"/>
                <w:lang w:val="en-US" w:eastAsia="zh-CN"/>
              </w:rPr>
            </w:pPr>
            <w:r>
              <w:rPr>
                <w:rFonts w:hint="eastAsia" w:ascii="宋体" w:hAnsi="宋体" w:cs="Courier New"/>
                <w:color w:val="auto"/>
                <w:szCs w:val="21"/>
                <w:highlight w:val="none"/>
                <w:lang w:val="en-US" w:eastAsia="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65" w:hRule="atLeast"/>
          <w:jc w:val="center"/>
        </w:trPr>
        <w:tc>
          <w:tcPr>
            <w:tcW w:w="648" w:type="dxa"/>
            <w:vMerge w:val="continue"/>
            <w:noWrap w:val="0"/>
            <w:vAlign w:val="center"/>
          </w:tcPr>
          <w:p>
            <w:pPr>
              <w:adjustRightInd w:val="0"/>
              <w:jc w:val="center"/>
              <w:rPr>
                <w:rFonts w:hint="eastAsia" w:ascii="宋体" w:hAnsi="宋体" w:eastAsia="宋体" w:cs="宋体"/>
                <w:color w:val="auto"/>
                <w:szCs w:val="21"/>
                <w:highlight w:val="none"/>
                <w:lang w:val="en-US" w:eastAsia="zh-CN"/>
              </w:rPr>
            </w:pPr>
          </w:p>
        </w:tc>
        <w:tc>
          <w:tcPr>
            <w:tcW w:w="1800" w:type="dxa"/>
            <w:vMerge w:val="continue"/>
            <w:noWrap w:val="0"/>
            <w:vAlign w:val="center"/>
          </w:tcPr>
          <w:p>
            <w:pPr>
              <w:snapToGrid w:val="0"/>
              <w:spacing w:line="360" w:lineRule="exact"/>
              <w:jc w:val="center"/>
              <w:rPr>
                <w:rFonts w:hint="eastAsia" w:ascii="宋体" w:hAnsi="宋体" w:eastAsia="宋体" w:cs="宋体"/>
                <w:color w:val="auto"/>
                <w:szCs w:val="21"/>
                <w:highlight w:val="none"/>
              </w:rPr>
            </w:pPr>
          </w:p>
        </w:tc>
        <w:tc>
          <w:tcPr>
            <w:tcW w:w="6383" w:type="dxa"/>
            <w:noWrap w:val="0"/>
            <w:vAlign w:val="center"/>
          </w:tcPr>
          <w:p>
            <w:pPr>
              <w:snapToGrid w:val="0"/>
              <w:spacing w:line="320" w:lineRule="exac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3.电子加密投标文件的解密和异常情况处理：</w:t>
            </w:r>
          </w:p>
          <w:p>
            <w:pPr>
              <w:snapToGrid w:val="0"/>
              <w:spacing w:line="320" w:lineRule="exac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a.开标后，各投标供应商代表应当在限定时间内自行完成“电子加密投标文件”的在线解密。</w:t>
            </w:r>
          </w:p>
          <w:p>
            <w:pPr>
              <w:snapToGrid w:val="0"/>
              <w:spacing w:line="320" w:lineRule="exac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20" w:lineRule="exac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c.投标截止时间前，投标供应商仅递交了“备份投标文件”而未将电子加密投标文件上传至“政府采购云平台”的，投标无效。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noWrap w:val="0"/>
            <w:vAlign w:val="center"/>
          </w:tcPr>
          <w:p>
            <w:pPr>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投标文件、流程文件签章</w:t>
            </w:r>
          </w:p>
        </w:tc>
        <w:tc>
          <w:tcPr>
            <w:tcW w:w="6383" w:type="dxa"/>
            <w:noWrap w:val="0"/>
            <w:vAlign w:val="center"/>
          </w:tcPr>
          <w:p>
            <w:pPr>
              <w:numPr>
                <w:ilvl w:val="0"/>
                <w:numId w:val="5"/>
              </w:numPr>
              <w:snapToGrid w:val="0"/>
              <w:spacing w:line="320" w:lineRule="exact"/>
              <w:jc w:val="both"/>
              <w:rPr>
                <w:rFonts w:hint="eastAsia"/>
                <w:color w:val="auto"/>
                <w:highlight w:val="none"/>
                <w:lang w:val="en-US" w:eastAsia="zh-CN"/>
              </w:rPr>
            </w:pPr>
            <w:r>
              <w:rPr>
                <w:rFonts w:hint="default"/>
                <w:color w:val="auto"/>
                <w:highlight w:val="none"/>
                <w:lang w:val="en-US" w:eastAsia="zh-CN"/>
              </w:rPr>
              <w:t>电子投标文件</w:t>
            </w:r>
            <w:r>
              <w:rPr>
                <w:rFonts w:hint="eastAsia"/>
                <w:color w:val="auto"/>
                <w:highlight w:val="none"/>
                <w:lang w:val="en-US" w:eastAsia="zh-CN"/>
              </w:rPr>
              <w:t>必须有电子签章；</w:t>
            </w:r>
          </w:p>
          <w:p>
            <w:pPr>
              <w:numPr>
                <w:ilvl w:val="0"/>
                <w:numId w:val="5"/>
              </w:numPr>
              <w:snapToGrid w:val="0"/>
              <w:spacing w:line="320" w:lineRule="exact"/>
              <w:ind w:left="0" w:leftChars="0" w:firstLine="0" w:firstLineChars="0"/>
              <w:jc w:val="both"/>
              <w:rPr>
                <w:rFonts w:hint="eastAsia"/>
                <w:color w:val="auto"/>
                <w:highlight w:val="none"/>
                <w:lang w:val="en-US" w:eastAsia="zh-CN"/>
              </w:rPr>
            </w:pPr>
            <w:r>
              <w:rPr>
                <w:rFonts w:hint="eastAsia"/>
                <w:color w:val="auto"/>
                <w:highlight w:val="none"/>
                <w:lang w:val="en-US" w:eastAsia="zh-CN"/>
              </w:rPr>
              <w:t>开标后，相关信息记录确认、澄清说明、回复等内容，电子签章、或者签章后上传相关文件，均认可；</w:t>
            </w:r>
          </w:p>
          <w:p>
            <w:pPr>
              <w:pStyle w:val="2"/>
              <w:numPr>
                <w:ilvl w:val="0"/>
                <w:numId w:val="5"/>
              </w:numPr>
              <w:ind w:left="0" w:leftChars="0" w:firstLine="0" w:firstLineChars="0"/>
              <w:rPr>
                <w:rFonts w:hint="eastAsia"/>
                <w:color w:val="auto"/>
                <w:highlight w:val="none"/>
                <w:lang w:val="en-US" w:eastAsia="zh-CN"/>
              </w:rPr>
            </w:pPr>
            <w:r>
              <w:rPr>
                <w:rFonts w:hint="eastAsia" w:ascii="Calibri" w:hAnsi="Calibri" w:eastAsia="宋体"/>
                <w:color w:val="auto"/>
                <w:kern w:val="2"/>
                <w:sz w:val="21"/>
                <w:szCs w:val="24"/>
                <w:highlight w:val="none"/>
                <w:lang w:val="en-US" w:eastAsia="zh-CN" w:bidi="ar-SA"/>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6383" w:type="dxa"/>
            <w:noWrap w:val="0"/>
            <w:vAlign w:val="center"/>
          </w:tcPr>
          <w:p>
            <w:pPr>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noWrap w:val="0"/>
            <w:vAlign w:val="center"/>
          </w:tcPr>
          <w:p>
            <w:pPr>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投标文件上传截止时间及</w:t>
            </w:r>
            <w:r>
              <w:rPr>
                <w:rFonts w:hint="eastAsia" w:ascii="宋体" w:hAnsi="宋体" w:eastAsia="宋体" w:cs="宋体"/>
                <w:color w:val="auto"/>
                <w:szCs w:val="21"/>
                <w:highlight w:val="none"/>
              </w:rPr>
              <w:t>开标时间</w:t>
            </w:r>
          </w:p>
        </w:tc>
        <w:tc>
          <w:tcPr>
            <w:tcW w:w="6383" w:type="dxa"/>
            <w:noWrap w:val="0"/>
            <w:vAlign w:val="center"/>
          </w:tcPr>
          <w:p>
            <w:pPr>
              <w:adjustRightInd w:val="0"/>
              <w:snapToGrid w:val="0"/>
              <w:spacing w:line="320" w:lineRule="exact"/>
              <w:ind w:left="15" w:hanging="14" w:hangingChars="7"/>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kern w:val="0"/>
                <w:szCs w:val="21"/>
                <w:highlight w:val="none"/>
                <w:lang w:eastAsia="zh-CN"/>
              </w:rPr>
              <w:t>2022</w:t>
            </w:r>
            <w:r>
              <w:rPr>
                <w:rFonts w:hint="eastAsia" w:ascii="宋体" w:hAnsi="宋体" w:eastAsia="宋体" w:cs="宋体"/>
                <w:b w:val="0"/>
                <w:bCs w:val="0"/>
                <w:color w:val="auto"/>
                <w:kern w:val="0"/>
                <w:szCs w:val="21"/>
                <w:highlight w:val="none"/>
              </w:rPr>
              <w:t>年</w:t>
            </w:r>
            <w:r>
              <w:rPr>
                <w:rFonts w:hint="eastAsia" w:ascii="宋体" w:hAnsi="宋体" w:cs="宋体"/>
                <w:b w:val="0"/>
                <w:bCs w:val="0"/>
                <w:color w:val="auto"/>
                <w:kern w:val="0"/>
                <w:szCs w:val="21"/>
                <w:highlight w:val="none"/>
                <w:lang w:val="en-US" w:eastAsia="zh-CN"/>
              </w:rPr>
              <w:t xml:space="preserve"> 11  月 22  日14</w:t>
            </w:r>
            <w:bookmarkStart w:id="411" w:name="_GoBack"/>
            <w:bookmarkEnd w:id="411"/>
            <w:r>
              <w:rPr>
                <w:rFonts w:hint="eastAsia" w:ascii="宋体" w:hAnsi="宋体" w:eastAsia="宋体" w:cs="宋体"/>
                <w:b w:val="0"/>
                <w:bCs w:val="0"/>
                <w:color w:val="auto"/>
                <w:kern w:val="0"/>
                <w:szCs w:val="21"/>
                <w:highlight w:val="none"/>
                <w:lang w:val="en-US" w:eastAsia="zh-CN"/>
              </w:rPr>
              <w:t xml:space="preserve">时30分00秒（北京时间）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eastAsia="zh-CN"/>
              </w:rPr>
              <w:t>开标程序</w:t>
            </w:r>
          </w:p>
        </w:tc>
        <w:tc>
          <w:tcPr>
            <w:tcW w:w="6383" w:type="dxa"/>
            <w:noWrap w:val="0"/>
            <w:vAlign w:val="center"/>
          </w:tcPr>
          <w:p>
            <w:pPr>
              <w:adjustRightInd w:val="0"/>
              <w:snapToGrid w:val="0"/>
              <w:spacing w:line="320" w:lineRule="exact"/>
              <w:ind w:left="15" w:hanging="14" w:hangingChars="7"/>
              <w:rPr>
                <w:rFonts w:hint="eastAsia"/>
                <w:color w:val="auto"/>
                <w:highlight w:val="none"/>
                <w:lang w:val="en-US" w:eastAsia="zh-CN"/>
              </w:rPr>
            </w:pPr>
            <w:r>
              <w:rPr>
                <w:rFonts w:hint="eastAsia"/>
                <w:color w:val="auto"/>
                <w:highlight w:val="none"/>
                <w:lang w:val="en-US" w:eastAsia="zh-CN"/>
              </w:rPr>
              <w:t>1.采购代理机构按照招标文件规定的时间通过电子交易平台组织开标，所有投标人均应当准时在线参加。投标人不足3家的，不得开标。</w:t>
            </w:r>
          </w:p>
          <w:p>
            <w:pPr>
              <w:adjustRightInd w:val="0"/>
              <w:snapToGrid w:val="0"/>
              <w:spacing w:line="320" w:lineRule="exact"/>
              <w:ind w:left="15" w:hanging="14" w:hangingChars="7"/>
              <w:rPr>
                <w:rFonts w:hint="eastAsia"/>
                <w:color w:val="auto"/>
                <w:highlight w:val="none"/>
              </w:rPr>
            </w:pPr>
            <w:r>
              <w:rPr>
                <w:rFonts w:hint="eastAsia"/>
                <w:color w:val="auto"/>
                <w:highlight w:val="none"/>
                <w:lang w:val="en-US" w:eastAsia="zh-CN"/>
              </w:rPr>
              <w:t>2.</w:t>
            </w:r>
            <w:r>
              <w:rPr>
                <w:rFonts w:hint="eastAsia"/>
                <w:color w:val="auto"/>
                <w:highlight w:val="none"/>
                <w:lang w:eastAsia="zh-CN"/>
              </w:rPr>
              <w:t>开标时，</w:t>
            </w:r>
            <w:r>
              <w:rPr>
                <w:rFonts w:hint="eastAsia"/>
                <w:color w:val="auto"/>
                <w:highlight w:val="none"/>
              </w:rPr>
              <w:t>采购代理机构点击【开始解密】，供应商</w:t>
            </w:r>
            <w:r>
              <w:rPr>
                <w:rFonts w:hint="eastAsia"/>
                <w:color w:val="auto"/>
                <w:highlight w:val="none"/>
                <w:lang w:eastAsia="zh-CN"/>
              </w:rPr>
              <w:t>应</w:t>
            </w:r>
            <w:r>
              <w:rPr>
                <w:rFonts w:hint="eastAsia"/>
                <w:color w:val="auto"/>
                <w:highlight w:val="none"/>
              </w:rPr>
              <w:t>在</w:t>
            </w:r>
            <w:r>
              <w:rPr>
                <w:rFonts w:hint="eastAsia"/>
                <w:color w:val="auto"/>
                <w:highlight w:val="none"/>
                <w:u w:val="single"/>
                <w:lang w:val="en-US" w:eastAsia="zh-CN"/>
              </w:rPr>
              <w:t xml:space="preserve"> 30 </w:t>
            </w:r>
            <w:r>
              <w:rPr>
                <w:rFonts w:hint="eastAsia"/>
                <w:color w:val="auto"/>
                <w:highlight w:val="none"/>
                <w:lang w:val="en-US" w:eastAsia="zh-CN"/>
              </w:rPr>
              <w:t>分钟</w:t>
            </w:r>
            <w:r>
              <w:rPr>
                <w:rFonts w:hint="eastAsia"/>
                <w:color w:val="auto"/>
                <w:highlight w:val="none"/>
              </w:rPr>
              <w:t>内完成解密</w:t>
            </w:r>
            <w:r>
              <w:rPr>
                <w:rFonts w:hint="eastAsia"/>
                <w:color w:val="auto"/>
                <w:highlight w:val="none"/>
                <w:lang w:eastAsia="zh-CN"/>
              </w:rPr>
              <w:t>。</w:t>
            </w:r>
            <w:r>
              <w:rPr>
                <w:rFonts w:hint="eastAsia"/>
                <w:color w:val="auto"/>
                <w:highlight w:val="none"/>
              </w:rPr>
              <w:t>供应商在规定的时间内都已完成解密</w:t>
            </w:r>
            <w:r>
              <w:rPr>
                <w:rFonts w:hint="eastAsia"/>
                <w:color w:val="auto"/>
                <w:highlight w:val="none"/>
                <w:lang w:eastAsia="zh-CN"/>
              </w:rPr>
              <w:t>，</w:t>
            </w:r>
            <w:r>
              <w:rPr>
                <w:rFonts w:hint="eastAsia"/>
                <w:color w:val="auto"/>
                <w:highlight w:val="none"/>
              </w:rPr>
              <w:t>则系统自动结束解密；供应商超过解密时限，默认自动放弃；</w:t>
            </w:r>
          </w:p>
          <w:p>
            <w:pPr>
              <w:adjustRightInd w:val="0"/>
              <w:snapToGrid w:val="0"/>
              <w:spacing w:line="320" w:lineRule="exact"/>
              <w:ind w:left="15" w:hanging="14" w:hangingChars="7"/>
              <w:rPr>
                <w:rFonts w:hint="eastAsia"/>
                <w:color w:val="auto"/>
                <w:highlight w:val="none"/>
              </w:rPr>
            </w:pPr>
            <w:r>
              <w:rPr>
                <w:rFonts w:hint="eastAsia"/>
                <w:color w:val="auto"/>
                <w:highlight w:val="none"/>
                <w:lang w:val="en-US" w:eastAsia="zh-CN"/>
              </w:rPr>
              <w:t>异常处理：如供应商在开标时因遗失CA或其他原因导致</w:t>
            </w:r>
            <w:r>
              <w:rPr>
                <w:rFonts w:hint="eastAsia"/>
                <w:color w:val="auto"/>
                <w:highlight w:val="none"/>
                <w:lang w:eastAsia="zh-CN"/>
              </w:rPr>
              <w:t>解密不成功时</w:t>
            </w:r>
            <w:r>
              <w:rPr>
                <w:rFonts w:hint="eastAsia"/>
                <w:color w:val="auto"/>
                <w:highlight w:val="none"/>
              </w:rPr>
              <w:t>，如供应商</w:t>
            </w:r>
            <w:r>
              <w:rPr>
                <w:rFonts w:hint="eastAsia"/>
                <w:color w:val="auto"/>
                <w:highlight w:val="none"/>
                <w:lang w:eastAsia="zh-CN"/>
              </w:rPr>
              <w:t>已</w:t>
            </w:r>
            <w:r>
              <w:rPr>
                <w:rFonts w:hint="eastAsia"/>
                <w:color w:val="auto"/>
                <w:highlight w:val="none"/>
              </w:rPr>
              <w:t>按规定递交了“备份投标文件”的，采购代理机构通过【异常处理】端</w:t>
            </w:r>
            <w:r>
              <w:rPr>
                <w:rFonts w:hint="eastAsia"/>
                <w:color w:val="auto"/>
                <w:highlight w:val="none"/>
                <w:lang w:eastAsia="zh-CN"/>
              </w:rPr>
              <w:t>口对备份投标文件</w:t>
            </w:r>
            <w:r>
              <w:rPr>
                <w:rFonts w:hint="eastAsia"/>
                <w:color w:val="auto"/>
                <w:highlight w:val="none"/>
              </w:rPr>
              <w:t>上传、解密</w:t>
            </w:r>
            <w:r>
              <w:rPr>
                <w:rFonts w:hint="eastAsia"/>
                <w:color w:val="auto"/>
                <w:highlight w:val="none"/>
                <w:lang w:eastAsia="zh-CN"/>
              </w:rPr>
              <w:t>；</w:t>
            </w:r>
          </w:p>
          <w:p>
            <w:pPr>
              <w:adjustRightInd w:val="0"/>
              <w:snapToGrid w:val="0"/>
              <w:spacing w:line="320" w:lineRule="exact"/>
              <w:ind w:left="15" w:hanging="14" w:hangingChars="7"/>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eastAsia="zh-CN"/>
              </w:rPr>
              <w:t>商务技术文件开启</w:t>
            </w:r>
            <w:r>
              <w:rPr>
                <w:rFonts w:hint="eastAsia"/>
                <w:color w:val="auto"/>
                <w:highlight w:val="none"/>
              </w:rPr>
              <w:t>后</w:t>
            </w:r>
            <w:r>
              <w:rPr>
                <w:rFonts w:hint="eastAsia"/>
                <w:color w:val="auto"/>
                <w:highlight w:val="none"/>
                <w:lang w:val="en-US" w:eastAsia="zh-CN"/>
              </w:rPr>
              <w:t>30分钟内</w:t>
            </w:r>
            <w:r>
              <w:rPr>
                <w:rFonts w:hint="eastAsia"/>
                <w:color w:val="auto"/>
                <w:highlight w:val="none"/>
              </w:rPr>
              <w:t>，</w:t>
            </w:r>
            <w:r>
              <w:rPr>
                <w:rFonts w:hint="eastAsia"/>
                <w:color w:val="auto"/>
                <w:highlight w:val="none"/>
                <w:lang w:val="en-US" w:eastAsia="zh-CN"/>
              </w:rPr>
              <w:t>供应商通过邮件形式将经授权代表签署的《政府采购活动现场确认声明书》（格式见采购文件第七部分）扫描件发至代理机构经办人邮箱（邮箱地址：654017693@qq.com， 联系人：陈秋阳， 电话：0571-81061841）；</w:t>
            </w:r>
          </w:p>
          <w:p>
            <w:pPr>
              <w:adjustRightInd w:val="0"/>
              <w:snapToGrid w:val="0"/>
              <w:spacing w:line="320" w:lineRule="exact"/>
              <w:ind w:left="15" w:hanging="15" w:hangingChars="7"/>
              <w:rPr>
                <w:rFonts w:hint="eastAsia"/>
                <w:b/>
                <w:bCs/>
                <w:color w:val="auto"/>
                <w:highlight w:val="none"/>
                <w:lang w:val="en-US" w:eastAsia="zh-CN"/>
              </w:rPr>
            </w:pPr>
            <w:r>
              <w:rPr>
                <w:rFonts w:hint="eastAsia"/>
                <w:b/>
                <w:bCs/>
                <w:color w:val="auto"/>
                <w:highlight w:val="none"/>
                <w:lang w:val="en-US" w:eastAsia="zh-CN"/>
              </w:rPr>
              <w:t>说明：不填写或未按规定发出邮件的，视同默认不存在确认声明书中的相关违规情形。</w:t>
            </w:r>
          </w:p>
          <w:p>
            <w:pPr>
              <w:adjustRightInd w:val="0"/>
              <w:snapToGrid w:val="0"/>
              <w:spacing w:line="320" w:lineRule="exact"/>
              <w:ind w:left="14" w:leftChars="0" w:hanging="14" w:hangingChars="7"/>
              <w:rPr>
                <w:rFonts w:hint="eastAsia"/>
                <w:color w:val="auto"/>
                <w:highlight w:val="none"/>
                <w:lang w:eastAsia="zh-CN"/>
              </w:rPr>
            </w:pPr>
            <w:r>
              <w:rPr>
                <w:rFonts w:hint="eastAsia"/>
                <w:color w:val="auto"/>
                <w:highlight w:val="none"/>
                <w:lang w:val="en-US" w:eastAsia="zh-CN"/>
              </w:rPr>
              <w:t>4.</w:t>
            </w:r>
            <w:r>
              <w:rPr>
                <w:rFonts w:hint="eastAsia"/>
                <w:color w:val="auto"/>
                <w:highlight w:val="none"/>
              </w:rPr>
              <w:t>采购组织机构点击【开启标书信息】，开启标书成功</w:t>
            </w:r>
            <w:r>
              <w:rPr>
                <w:rFonts w:hint="eastAsia"/>
                <w:color w:val="auto"/>
                <w:highlight w:val="none"/>
                <w:lang w:eastAsia="zh-CN"/>
              </w:rPr>
              <w:t>后</w:t>
            </w:r>
            <w:r>
              <w:rPr>
                <w:rFonts w:hint="eastAsia"/>
                <w:color w:val="auto"/>
                <w:highlight w:val="none"/>
              </w:rPr>
              <w:t>进入开标流程</w:t>
            </w:r>
            <w:r>
              <w:rPr>
                <w:rFonts w:hint="eastAsia"/>
                <w:color w:val="auto"/>
                <w:highlight w:val="none"/>
                <w:lang w:eastAsia="zh-CN"/>
              </w:rPr>
              <w:t>。</w:t>
            </w:r>
          </w:p>
          <w:p>
            <w:pPr>
              <w:pStyle w:val="2"/>
              <w:ind w:left="0" w:leftChars="0" w:firstLine="0" w:firstLineChars="0"/>
              <w:rPr>
                <w:rFonts w:hint="eastAsia"/>
                <w:color w:val="auto"/>
                <w:highlight w:val="none"/>
                <w:lang w:val="en-US"/>
              </w:rPr>
            </w:pPr>
            <w:r>
              <w:rPr>
                <w:rFonts w:hint="eastAsia" w:ascii="Calibri" w:hAnsi="Calibri" w:eastAsia="宋体"/>
                <w:color w:val="auto"/>
                <w:kern w:val="2"/>
                <w:sz w:val="21"/>
                <w:szCs w:val="24"/>
                <w:highlight w:val="none"/>
                <w:lang w:val="en-US" w:eastAsia="zh-CN" w:bidi="ar-SA"/>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800" w:type="dxa"/>
            <w:noWrap w:val="0"/>
            <w:vAlign w:val="center"/>
          </w:tcPr>
          <w:p>
            <w:pPr>
              <w:snapToGrid w:val="0"/>
              <w:spacing w:line="36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资格审查</w:t>
            </w:r>
          </w:p>
        </w:tc>
        <w:tc>
          <w:tcPr>
            <w:tcW w:w="6383" w:type="dxa"/>
            <w:noWrap w:val="0"/>
            <w:vAlign w:val="center"/>
          </w:tcPr>
          <w:p>
            <w:pPr>
              <w:adjustRightInd w:val="0"/>
              <w:snapToGrid w:val="0"/>
              <w:spacing w:line="320" w:lineRule="exact"/>
              <w:ind w:left="15" w:hanging="14" w:hangingChars="7"/>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1.开标后，由采购人或采购代理机构代表根据采购文件的规定对投标人的基本资格条件、落实政府采购政策需满足的资格要求及特定资格条件进行审。</w:t>
            </w:r>
          </w:p>
          <w:p>
            <w:pPr>
              <w:adjustRightInd w:val="0"/>
              <w:snapToGrid w:val="0"/>
              <w:spacing w:line="320" w:lineRule="exact"/>
              <w:ind w:left="15" w:hanging="14" w:hangingChars="7"/>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2.投标人未按照招标文件要求提供与基本资格条件、特定资格条件相应的有效资格证明材料的，视为投标人不具备招标文件中规定的资格要求，其投标无效。</w:t>
            </w:r>
          </w:p>
          <w:p>
            <w:pPr>
              <w:adjustRightInd w:val="0"/>
              <w:snapToGrid w:val="0"/>
              <w:spacing w:line="320" w:lineRule="exact"/>
              <w:ind w:left="15" w:hanging="14" w:hangingChars="7"/>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3.对未通过资格审查的投标人，采购人或采购机构告知其未通过的原因。</w:t>
            </w:r>
          </w:p>
          <w:p>
            <w:pPr>
              <w:adjustRightInd w:val="0"/>
              <w:snapToGrid w:val="0"/>
              <w:spacing w:line="320" w:lineRule="exact"/>
              <w:ind w:left="15" w:hanging="14" w:hangingChars="7"/>
              <w:rPr>
                <w:rFonts w:hint="eastAsia"/>
                <w:color w:val="auto"/>
                <w:highlight w:val="none"/>
                <w:lang w:val="en-US" w:eastAsia="zh-CN"/>
              </w:rPr>
            </w:pPr>
            <w:r>
              <w:rPr>
                <w:rFonts w:hint="eastAsia" w:ascii="宋体" w:hAnsi="宋体" w:eastAsia="宋体" w:cs="宋体"/>
                <w:color w:val="auto"/>
                <w:highlight w:val="none"/>
                <w:lang w:val="en-US" w:eastAsia="zh-CN"/>
              </w:rPr>
              <w:t>4.合格投标人不足3家的，不再评标。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800" w:type="dxa"/>
            <w:noWrap w:val="0"/>
            <w:vAlign w:val="center"/>
          </w:tcPr>
          <w:p>
            <w:pPr>
              <w:snapToGrid w:val="0"/>
              <w:spacing w:line="36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评标程序</w:t>
            </w:r>
          </w:p>
        </w:tc>
        <w:tc>
          <w:tcPr>
            <w:tcW w:w="6383" w:type="dxa"/>
            <w:noWrap w:val="0"/>
            <w:vAlign w:val="center"/>
          </w:tcPr>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符合性评审</w:t>
            </w:r>
            <w:r>
              <w:rPr>
                <w:rFonts w:hint="eastAsia" w:ascii="宋体" w:hAnsi="宋体" w:eastAsia="宋体"/>
                <w:color w:val="auto"/>
                <w:highlight w:val="none"/>
                <w:lang w:val="en-US" w:eastAsia="zh-CN"/>
              </w:rPr>
              <w:t>：依据采购文件的规定，对商务技术文件的有效性、完整性和对采购文件的响应程度进行审查，以确定是否对采购文件的实质性要求作出响应。具体审查内容见评标办法“无效投标的认定”。</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商务技术评分</w:t>
            </w:r>
            <w:r>
              <w:rPr>
                <w:rFonts w:hint="eastAsia" w:ascii="宋体" w:hAnsi="宋体" w:eastAsia="宋体"/>
                <w:color w:val="auto"/>
                <w:highlight w:val="none"/>
                <w:lang w:val="en-US" w:eastAsia="zh-CN"/>
              </w:rPr>
              <w:t>：由评标委员会对各投标人的技术商务文件充分审核、讨论及评议后，独立评分。</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商务技术评分汇总</w:t>
            </w:r>
            <w:r>
              <w:rPr>
                <w:rFonts w:hint="eastAsia" w:ascii="宋体" w:hAnsi="宋体" w:eastAsia="宋体"/>
                <w:color w:val="auto"/>
                <w:highlight w:val="none"/>
                <w:lang w:val="en-US" w:eastAsia="zh-CN"/>
              </w:rPr>
              <w:t>。</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商务技术结果公布</w:t>
            </w:r>
            <w:r>
              <w:rPr>
                <w:rFonts w:hint="eastAsia" w:ascii="宋体" w:hAnsi="宋体" w:eastAsia="宋体"/>
                <w:color w:val="auto"/>
                <w:highlight w:val="none"/>
                <w:lang w:val="en-US" w:eastAsia="zh-CN"/>
              </w:rPr>
              <w:t>：代理机构</w:t>
            </w:r>
            <w:r>
              <w:rPr>
                <w:rFonts w:hint="eastAsia" w:ascii="宋体" w:hAnsi="宋体" w:eastAsia="宋体" w:cs="宋体"/>
                <w:color w:val="auto"/>
                <w:szCs w:val="21"/>
                <w:highlight w:val="none"/>
              </w:rPr>
              <w:t>在线公布经商务技术评审后有效投标人的名单，同时公布其商务技术部分得分情况</w:t>
            </w:r>
            <w:r>
              <w:rPr>
                <w:rFonts w:hint="eastAsia" w:ascii="宋体" w:hAnsi="宋体" w:eastAsia="宋体"/>
                <w:color w:val="auto"/>
                <w:highlight w:val="none"/>
                <w:lang w:val="en-US" w:eastAsia="zh-CN"/>
              </w:rPr>
              <w:t>。</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开启</w:t>
            </w:r>
            <w:r>
              <w:rPr>
                <w:rFonts w:hint="eastAsia" w:ascii="宋体" w:hAnsi="宋体" w:eastAsia="宋体"/>
                <w:color w:val="auto"/>
                <w:highlight w:val="none"/>
                <w:lang w:val="en-US" w:eastAsia="zh-CN"/>
              </w:rPr>
              <w:t>报价响应文件：采购代理机构成功开启报价响应文件后，方可查看各供应商报价情况。</w:t>
            </w:r>
          </w:p>
          <w:p>
            <w:pPr>
              <w:pStyle w:val="11"/>
              <w:numPr>
                <w:ilvl w:val="0"/>
                <w:numId w:val="0"/>
              </w:numPr>
              <w:snapToGrid w:val="0"/>
              <w:spacing w:line="320" w:lineRule="exac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代理机构点击“开启签字时段”，供应商对开标纪录进行在线签字确认（不予确认的应说明理由，否则视为无异议）。</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报价评审</w:t>
            </w:r>
            <w:r>
              <w:rPr>
                <w:rFonts w:hint="eastAsia" w:ascii="宋体" w:hAnsi="宋体" w:eastAsia="宋体"/>
                <w:color w:val="auto"/>
                <w:highlight w:val="none"/>
                <w:lang w:val="en-US" w:eastAsia="zh-CN"/>
              </w:rPr>
              <w:t>：由评标委员会对报价文件的有效性及报价的合理性、准确性等进行审查核实。</w:t>
            </w:r>
          </w:p>
          <w:p>
            <w:pPr>
              <w:pStyle w:val="11"/>
              <w:numPr>
                <w:ilvl w:val="0"/>
                <w:numId w:val="6"/>
              </w:numPr>
              <w:snapToGrid w:val="0"/>
              <w:spacing w:line="320" w:lineRule="exact"/>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得分汇总</w:t>
            </w:r>
          </w:p>
          <w:p>
            <w:pPr>
              <w:pStyle w:val="11"/>
              <w:numPr>
                <w:ilvl w:val="0"/>
                <w:numId w:val="6"/>
              </w:numPr>
              <w:snapToGrid w:val="0"/>
              <w:spacing w:line="320" w:lineRule="exact"/>
              <w:rPr>
                <w:rFonts w:hint="eastAsia" w:ascii="宋体" w:hAnsi="宋体" w:eastAsia="宋体" w:cs="宋体"/>
                <w:color w:val="auto"/>
                <w:highlight w:val="none"/>
              </w:rPr>
            </w:pPr>
            <w:r>
              <w:rPr>
                <w:rFonts w:hint="default" w:ascii="宋体" w:hAnsi="宋体" w:eastAsia="宋体"/>
                <w:color w:val="auto"/>
                <w:highlight w:val="none"/>
                <w:lang w:val="en-US" w:eastAsia="zh-CN"/>
              </w:rPr>
              <w:t>结果公布</w:t>
            </w:r>
            <w:r>
              <w:rPr>
                <w:rFonts w:hint="eastAsia" w:ascii="宋体" w:hAnsi="宋体" w:eastAsia="宋体"/>
                <w:color w:val="auto"/>
                <w:highlight w:val="none"/>
                <w:lang w:val="en-US" w:eastAsia="zh-CN"/>
              </w:rPr>
              <w:t>：供应商可通过在线平台查看评审结果。</w:t>
            </w:r>
          </w:p>
          <w:p>
            <w:pPr>
              <w:pStyle w:val="11"/>
              <w:numPr>
                <w:ilvl w:val="0"/>
                <w:numId w:val="0"/>
              </w:numPr>
              <w:snapToGrid w:val="0"/>
              <w:spacing w:line="320" w:lineRule="exact"/>
              <w:ind w:left="0" w:leftChars="0" w:firstLine="0" w:firstLineChars="0"/>
              <w:rPr>
                <w:rFonts w:hint="eastAsia" w:ascii="宋体" w:hAnsi="宋体"/>
                <w:b w:val="0"/>
                <w:bCs w:val="0"/>
                <w:snapToGrid w:val="0"/>
                <w:color w:val="auto"/>
                <w:kern w:val="0"/>
                <w:szCs w:val="21"/>
                <w:highlight w:val="none"/>
                <w:lang w:val="en-US" w:eastAsia="zh-CN"/>
              </w:rPr>
            </w:pPr>
            <w:r>
              <w:rPr>
                <w:rFonts w:hint="eastAsia" w:ascii="宋体" w:hAnsi="宋体" w:eastAsia="宋体"/>
                <w:color w:val="auto"/>
                <w:highlight w:val="none"/>
                <w:lang w:val="en-US" w:eastAsia="zh-CN"/>
              </w:rPr>
              <w:t>注：除邮件交互外，如政采云平台提供信息发布、澄清说明、数据交换等操作方式的，或者</w:t>
            </w:r>
            <w:r>
              <w:rPr>
                <w:rFonts w:hint="eastAsia" w:ascii="Calibri" w:hAnsi="Calibri" w:eastAsia="Calibri"/>
                <w:color w:val="auto"/>
                <w:kern w:val="2"/>
                <w:sz w:val="21"/>
                <w:szCs w:val="24"/>
                <w:highlight w:val="none"/>
                <w:lang w:val="en-US" w:eastAsia="zh-CN" w:bidi="ar-SA"/>
              </w:rPr>
              <w:t>政采云系统平台有新的操作流程的，按其规定</w:t>
            </w:r>
            <w:r>
              <w:rPr>
                <w:rFonts w:hint="eastAsia" w:ascii="宋体" w:hAnsi="宋体" w:eastAsia="宋体"/>
                <w:color w:val="auto"/>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23</w:t>
            </w:r>
          </w:p>
        </w:tc>
        <w:tc>
          <w:tcPr>
            <w:tcW w:w="1800" w:type="dxa"/>
            <w:noWrap w:val="0"/>
            <w:vAlign w:val="center"/>
          </w:tcPr>
          <w:p>
            <w:pPr>
              <w:adjustRightInd w:val="0"/>
              <w:snapToGrid w:val="0"/>
              <w:spacing w:line="360" w:lineRule="exact"/>
              <w:jc w:val="center"/>
              <w:rPr>
                <w:rFonts w:hint="eastAsia" w:ascii="宋体" w:hAnsi="宋体"/>
                <w:color w:val="auto"/>
                <w:kern w:val="2"/>
                <w:sz w:val="21"/>
                <w:szCs w:val="21"/>
                <w:highlight w:val="none"/>
                <w:lang w:val="en-US" w:eastAsia="zh-CN" w:bidi="ar-SA"/>
              </w:rPr>
            </w:pPr>
            <w:r>
              <w:rPr>
                <w:rFonts w:hint="eastAsia" w:ascii="宋体" w:hAnsi="宋体"/>
                <w:snapToGrid w:val="0"/>
                <w:color w:val="auto"/>
                <w:kern w:val="0"/>
                <w:sz w:val="21"/>
                <w:szCs w:val="21"/>
                <w:highlight w:val="none"/>
              </w:rPr>
              <w:t>询标澄清</w:t>
            </w:r>
          </w:p>
        </w:tc>
        <w:tc>
          <w:tcPr>
            <w:tcW w:w="6383" w:type="dxa"/>
            <w:noWrap w:val="0"/>
            <w:vAlign w:val="center"/>
          </w:tcPr>
          <w:p>
            <w:pPr>
              <w:pStyle w:val="11"/>
              <w:adjustRightInd w:val="0"/>
              <w:snapToGrid w:val="0"/>
              <w:spacing w:line="320" w:lineRule="exact"/>
              <w:rPr>
                <w:rFonts w:hint="eastAsia" w:ascii="宋体" w:hAnsi="宋体" w:eastAsia="宋体" w:cs="楷体_GB2312"/>
                <w:color w:val="auto"/>
                <w:kern w:val="2"/>
                <w:sz w:val="21"/>
                <w:szCs w:val="21"/>
                <w:highlight w:val="none"/>
                <w:lang w:val="en-US" w:eastAsia="zh-CN" w:bidi="ar-SA"/>
              </w:rPr>
            </w:pP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评</w:t>
            </w:r>
            <w:r>
              <w:rPr>
                <w:rFonts w:hint="eastAsia" w:ascii="宋体" w:hAnsi="宋体" w:eastAsia="宋体"/>
                <w:color w:val="auto"/>
                <w:sz w:val="21"/>
                <w:szCs w:val="21"/>
                <w:highlight w:val="none"/>
              </w:rPr>
              <w:t>标过程中，如评审小组对</w:t>
            </w:r>
            <w:r>
              <w:rPr>
                <w:rFonts w:hint="eastAsia" w:ascii="宋体" w:hAnsi="宋体" w:eastAsia="宋体"/>
                <w:color w:val="auto"/>
                <w:sz w:val="21"/>
                <w:szCs w:val="21"/>
                <w:highlight w:val="none"/>
                <w:lang w:eastAsia="zh-CN"/>
              </w:rPr>
              <w:t>投</w:t>
            </w:r>
            <w:r>
              <w:rPr>
                <w:rFonts w:hint="eastAsia" w:ascii="宋体" w:hAnsi="宋体" w:eastAsia="宋体"/>
                <w:color w:val="auto"/>
                <w:sz w:val="21"/>
                <w:szCs w:val="21"/>
                <w:highlight w:val="none"/>
              </w:rPr>
              <w:t>标文件有疑问，由评审组长将问题汇总后发起询标</w:t>
            </w:r>
            <w:r>
              <w:rPr>
                <w:rFonts w:hint="eastAsia" w:ascii="宋体" w:hAnsi="宋体" w:eastAsia="宋体"/>
                <w:color w:val="auto"/>
                <w:sz w:val="21"/>
                <w:szCs w:val="21"/>
                <w:highlight w:val="none"/>
                <w:lang w:eastAsia="zh-CN"/>
              </w:rPr>
              <w:t>澄清</w:t>
            </w:r>
            <w:r>
              <w:rPr>
                <w:rFonts w:hint="eastAsia" w:ascii="宋体" w:hAnsi="宋体" w:eastAsia="宋体"/>
                <w:color w:val="auto"/>
                <w:sz w:val="21"/>
                <w:szCs w:val="21"/>
                <w:highlight w:val="none"/>
              </w:rPr>
              <w:t>函</w:t>
            </w:r>
            <w:r>
              <w:rPr>
                <w:rFonts w:hint="eastAsia" w:ascii="宋体" w:hAnsi="宋体" w:eastAsia="宋体"/>
                <w:color w:val="auto"/>
                <w:sz w:val="21"/>
                <w:szCs w:val="21"/>
                <w:highlight w:val="none"/>
                <w:lang w:eastAsia="zh-CN"/>
              </w:rPr>
              <w:t>（或由采购代理机构代替评审组长发起询标澄清函），</w:t>
            </w:r>
            <w:r>
              <w:rPr>
                <w:rFonts w:hint="eastAsia" w:ascii="宋体" w:hAnsi="宋体" w:eastAsia="宋体"/>
                <w:color w:val="auto"/>
                <w:sz w:val="21"/>
                <w:szCs w:val="21"/>
                <w:highlight w:val="none"/>
              </w:rPr>
              <w:t>供应商</w:t>
            </w:r>
            <w:r>
              <w:rPr>
                <w:rFonts w:hint="eastAsia" w:ascii="宋体" w:hAnsi="宋体" w:eastAsia="宋体"/>
                <w:color w:val="auto"/>
                <w:sz w:val="21"/>
                <w:szCs w:val="21"/>
                <w:highlight w:val="none"/>
                <w:lang w:eastAsia="zh-CN"/>
              </w:rPr>
              <w:t>应</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规定</w:t>
            </w:r>
            <w:r>
              <w:rPr>
                <w:rFonts w:hint="eastAsia" w:ascii="宋体" w:hAnsi="宋体" w:eastAsia="宋体"/>
                <w:color w:val="auto"/>
                <w:sz w:val="21"/>
                <w:szCs w:val="21"/>
                <w:highlight w:val="none"/>
              </w:rPr>
              <w:t>截止时间前回复</w:t>
            </w:r>
            <w:r>
              <w:rPr>
                <w:rFonts w:hint="eastAsia" w:ascii="宋体" w:hAnsi="宋体" w:eastAsia="宋体"/>
                <w:color w:val="auto"/>
                <w:sz w:val="21"/>
                <w:szCs w:val="21"/>
                <w:highlight w:val="none"/>
                <w:lang w:eastAsia="zh-CN"/>
              </w:rPr>
              <w:t>相关内容并加盖供应商电子签章后上传提交（或通过平台上传经授权代表签字或加盖公章的扫描件）。</w:t>
            </w:r>
            <w:r>
              <w:rPr>
                <w:rFonts w:hint="eastAsia" w:ascii="宋体" w:hAnsi="宋体" w:eastAsia="宋体"/>
                <w:color w:val="auto"/>
                <w:sz w:val="21"/>
                <w:szCs w:val="21"/>
                <w:highlight w:val="none"/>
                <w:lang w:val="en-US" w:eastAsia="zh-CN"/>
              </w:rPr>
              <w:t>逾期答复的，投标人</w:t>
            </w:r>
            <w:r>
              <w:rPr>
                <w:rFonts w:hint="eastAsia" w:ascii="宋体" w:hAnsi="宋体" w:eastAsia="宋体" w:cs="宋体"/>
                <w:color w:val="auto"/>
                <w:szCs w:val="21"/>
                <w:highlight w:val="none"/>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48" w:type="dxa"/>
            <w:noWrap w:val="0"/>
            <w:vAlign w:val="center"/>
          </w:tcPr>
          <w:p>
            <w:pPr>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383" w:type="dxa"/>
            <w:noWrap w:val="0"/>
            <w:vAlign w:val="center"/>
          </w:tcPr>
          <w:p>
            <w:pPr>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投标截止日后</w:t>
            </w:r>
            <w:r>
              <w:rPr>
                <w:rFonts w:hint="eastAsia" w:ascii="宋体" w:hAnsi="宋体" w:eastAsia="宋体" w:cs="宋体"/>
                <w:b/>
                <w:bCs/>
                <w:color w:val="auto"/>
                <w:szCs w:val="21"/>
                <w:highlight w:val="none"/>
              </w:rPr>
              <w:t>90天</w:t>
            </w:r>
            <w:r>
              <w:rPr>
                <w:rFonts w:hint="eastAsia" w:ascii="宋体" w:hAnsi="宋体" w:eastAsia="宋体" w:cs="宋体"/>
                <w:color w:val="auto"/>
                <w:szCs w:val="21"/>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383" w:type="dxa"/>
            <w:noWrap w:val="0"/>
            <w:vAlign w:val="center"/>
          </w:tcPr>
          <w:p>
            <w:pPr>
              <w:pStyle w:val="11"/>
              <w:snapToGrid w:val="0"/>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履约保证金为项目总金额的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rPr>
              <w:t>完成合同约定的全部履约内容后无息退回履约保证金。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1800" w:type="dxa"/>
            <w:noWrap w:val="0"/>
            <w:vAlign w:val="center"/>
          </w:tcPr>
          <w:p>
            <w:pPr>
              <w:adjustRightInd w:val="0"/>
              <w:snapToGrid w:val="0"/>
              <w:spacing w:line="360" w:lineRule="exact"/>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t>公告发布媒体</w:t>
            </w:r>
          </w:p>
        </w:tc>
        <w:tc>
          <w:tcPr>
            <w:tcW w:w="6383" w:type="dxa"/>
            <w:noWrap w:val="0"/>
            <w:vAlign w:val="center"/>
          </w:tcPr>
          <w:p>
            <w:pPr>
              <w:pStyle w:val="11"/>
              <w:adjustRightInd w:val="0"/>
              <w:snapToGrid w:val="0"/>
              <w:spacing w:line="320" w:lineRule="exact"/>
              <w:rPr>
                <w:rFonts w:hint="eastAsia" w:ascii="宋体" w:hAnsi="宋体" w:eastAsia="宋体" w:cs="宋体"/>
                <w:color w:val="auto"/>
                <w:sz w:val="24"/>
                <w:highlight w:val="none"/>
              </w:rPr>
            </w:pPr>
            <w:r>
              <w:rPr>
                <w:rFonts w:hint="eastAsia" w:ascii="宋体" w:hAnsi="宋体" w:eastAsia="宋体" w:cs="宋体"/>
                <w:color w:val="auto"/>
                <w:kern w:val="0"/>
                <w:highlight w:val="none"/>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noWrap w:val="0"/>
            <w:vAlign w:val="center"/>
          </w:tcPr>
          <w:p>
            <w:pPr>
              <w:adjustRightInd w:val="0"/>
              <w:spacing w:line="34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7</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w:t>
            </w:r>
          </w:p>
        </w:tc>
        <w:tc>
          <w:tcPr>
            <w:tcW w:w="6383" w:type="dxa"/>
            <w:noWrap w:val="0"/>
            <w:vAlign w:val="center"/>
          </w:tcPr>
          <w:p>
            <w:pPr>
              <w:snapToGrid w:val="0"/>
              <w:spacing w:line="320" w:lineRule="exact"/>
              <w:rPr>
                <w:rFonts w:hint="eastAsia" w:ascii="宋体" w:hAnsi="宋体" w:eastAsia="宋体" w:cs="宋体"/>
                <w:b w:val="0"/>
                <w:bCs w:val="0"/>
                <w:snapToGrid w:val="0"/>
                <w:color w:val="auto"/>
                <w:kern w:val="0"/>
                <w:szCs w:val="21"/>
                <w:highlight w:val="none"/>
              </w:rPr>
            </w:pPr>
            <w:r>
              <w:rPr>
                <w:rFonts w:hint="eastAsia" w:ascii="宋体" w:hAnsi="宋体" w:eastAsia="宋体" w:cs="宋体"/>
                <w:b w:val="0"/>
                <w:bCs w:val="0"/>
                <w:snapToGrid w:val="0"/>
                <w:color w:val="auto"/>
                <w:kern w:val="0"/>
                <w:szCs w:val="21"/>
                <w:highlight w:val="none"/>
              </w:rPr>
              <w:t>根据《中华人民共和国政府采购法》第五十二条、《中华人民共和国政府采购法实施条例》第五十三条、《政府采购质疑和投诉办法》的规定：</w:t>
            </w:r>
          </w:p>
          <w:p>
            <w:pPr>
              <w:snapToGrid w:val="0"/>
              <w:spacing w:line="320" w:lineRule="exact"/>
              <w:rPr>
                <w:rFonts w:hint="eastAsia" w:ascii="宋体" w:hAnsi="宋体" w:eastAsia="宋体" w:cs="宋体"/>
                <w:b w:val="0"/>
                <w:bCs w:val="0"/>
                <w:snapToGrid w:val="0"/>
                <w:color w:val="auto"/>
                <w:kern w:val="0"/>
                <w:szCs w:val="21"/>
                <w:highlight w:val="none"/>
              </w:rPr>
            </w:pPr>
            <w:r>
              <w:rPr>
                <w:rFonts w:hint="eastAsia" w:ascii="宋体" w:hAnsi="宋体" w:eastAsia="宋体" w:cs="宋体"/>
                <w:b w:val="0"/>
                <w:bCs w:val="0"/>
                <w:snapToGrid w:val="0"/>
                <w:color w:val="auto"/>
                <w:kern w:val="0"/>
                <w:szCs w:val="21"/>
                <w:highlight w:val="none"/>
              </w:rPr>
              <w:t>投标人认为采购（招标）文件、采购过程、中标或者成交结果使自己的权益受到损害的，可以在知道或者应知其权益受到损害之日起7个工作日内，以书面形式向采购人、采购代理机构提出质疑。</w:t>
            </w:r>
          </w:p>
          <w:p>
            <w:pPr>
              <w:snapToGrid w:val="0"/>
              <w:spacing w:line="320" w:lineRule="exac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本项目要求投标人在法定质疑期内一次性提出针对同一采购程序环节的质疑</w:t>
            </w:r>
            <w:r>
              <w:rPr>
                <w:rFonts w:hint="eastAsia" w:ascii="宋体" w:hAnsi="宋体" w:eastAsia="宋体" w:cs="宋体"/>
                <w:b w:val="0"/>
                <w:bCs w:val="0"/>
                <w:snapToGrid w:val="0"/>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1800" w:type="dxa"/>
            <w:noWrap w:val="0"/>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w:t>
            </w:r>
          </w:p>
        </w:tc>
        <w:tc>
          <w:tcPr>
            <w:tcW w:w="6383" w:type="dxa"/>
            <w:noWrap w:val="0"/>
            <w:vAlign w:val="center"/>
          </w:tcPr>
          <w:p>
            <w:pPr>
              <w:snapToGrid w:val="0"/>
              <w:spacing w:line="32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spacing w:line="32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78" w:hRule="atLeast"/>
          <w:jc w:val="center"/>
        </w:trPr>
        <w:tc>
          <w:tcPr>
            <w:tcW w:w="648"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1800" w:type="dxa"/>
            <w:noWrap w:val="0"/>
            <w:vAlign w:val="center"/>
          </w:tcPr>
          <w:p>
            <w:pPr>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tc>
        <w:tc>
          <w:tcPr>
            <w:tcW w:w="6383" w:type="dxa"/>
            <w:noWrap w:val="0"/>
            <w:vAlign w:val="center"/>
          </w:tcPr>
          <w:p>
            <w:pPr>
              <w:pStyle w:val="11"/>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11"/>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1"/>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（3）质疑、投诉人未按前列序号第</w:t>
            </w:r>
            <w:r>
              <w:rPr>
                <w:rFonts w:hint="eastAsia" w:ascii="宋体" w:hAnsi="宋体" w:eastAsia="宋体" w:cs="宋体"/>
                <w:snapToGrid w:val="0"/>
                <w:color w:val="auto"/>
                <w:kern w:val="0"/>
                <w:highlight w:val="none"/>
                <w:lang w:val="en-US" w:eastAsia="zh-CN"/>
              </w:rPr>
              <w:t>26</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27</w:t>
            </w:r>
            <w:r>
              <w:rPr>
                <w:rFonts w:hint="eastAsia" w:ascii="宋体" w:hAnsi="宋体" w:eastAsia="宋体" w:cs="宋体"/>
                <w:snapToGrid w:val="0"/>
                <w:color w:val="auto"/>
                <w:kern w:val="0"/>
                <w:highlight w:val="none"/>
              </w:rPr>
              <w:t>条规定进行质疑、投诉（申诉）、举报等，均属于扰乱政府采购市场不良行为。</w:t>
            </w:r>
          </w:p>
          <w:p>
            <w:pPr>
              <w:pStyle w:val="11"/>
              <w:snapToGrid w:val="0"/>
              <w:spacing w:line="320" w:lineRule="exact"/>
              <w:rPr>
                <w:rFonts w:hint="eastAsia" w:ascii="宋体" w:hAnsi="宋体" w:eastAsia="宋体" w:cs="宋体"/>
                <w:b/>
                <w:color w:val="auto"/>
                <w:highlight w:val="none"/>
              </w:rPr>
            </w:pPr>
            <w:r>
              <w:rPr>
                <w:rFonts w:hint="eastAsia" w:ascii="宋体" w:hAnsi="宋体" w:eastAsia="宋体" w:cs="宋体"/>
                <w:b/>
                <w:bCs/>
                <w:snapToGrid w:val="0"/>
                <w:color w:val="auto"/>
                <w:kern w:val="0"/>
                <w:highlight w:val="none"/>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648"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800" w:type="dxa"/>
            <w:noWrap w:val="0"/>
            <w:vAlign w:val="center"/>
          </w:tcPr>
          <w:p>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采购代理服务费</w:t>
            </w:r>
          </w:p>
        </w:tc>
        <w:tc>
          <w:tcPr>
            <w:tcW w:w="6383" w:type="dxa"/>
            <w:noWrap w:val="0"/>
            <w:vAlign w:val="center"/>
          </w:tcPr>
          <w:p>
            <w:pPr>
              <w:adjustRightInd w:val="0"/>
              <w:snapToGrid w:val="0"/>
              <w:spacing w:line="360" w:lineRule="exact"/>
              <w:rPr>
                <w:rFonts w:hint="eastAsia" w:ascii="宋体" w:hAnsi="宋体"/>
                <w:color w:val="auto"/>
                <w:highlight w:val="none"/>
              </w:rPr>
            </w:pPr>
            <w:r>
              <w:rPr>
                <w:rFonts w:hint="eastAsia" w:ascii="宋体" w:hAnsi="宋体"/>
                <w:color w:val="auto"/>
                <w:highlight w:val="none"/>
              </w:rPr>
              <w:t>本项目的</w:t>
            </w:r>
            <w:r>
              <w:rPr>
                <w:rFonts w:hint="eastAsia" w:ascii="宋体" w:hAnsi="宋体"/>
                <w:color w:val="auto"/>
                <w:szCs w:val="21"/>
                <w:highlight w:val="none"/>
              </w:rPr>
              <w:t>采购</w:t>
            </w:r>
            <w:r>
              <w:rPr>
                <w:rFonts w:hint="eastAsia" w:ascii="宋体" w:hAnsi="宋体"/>
                <w:color w:val="auto"/>
                <w:highlight w:val="none"/>
              </w:rPr>
              <w:t>代理费由中标人支付，收费标准按投标总价参考原国家计委（计价格[2002]1980号）和国家发展改革委办公厅（发改办价格[2003]857号）文件计取，低于5000元时按5000元/标项收取，由中标人在领取中标通知书时一次性向采购代理机构付清。</w:t>
            </w:r>
          </w:p>
          <w:p>
            <w:pPr>
              <w:adjustRightInd w:val="0"/>
              <w:snapToGrid w:val="0"/>
              <w:spacing w:line="36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收款单位（户名）:</w:t>
            </w:r>
            <w:r>
              <w:rPr>
                <w:rFonts w:hint="eastAsia" w:ascii="宋体" w:hAnsi="宋体" w:cs="宋体"/>
                <w:color w:val="auto"/>
                <w:kern w:val="0"/>
                <w:szCs w:val="21"/>
                <w:highlight w:val="none"/>
                <w:lang w:eastAsia="zh-CN"/>
              </w:rPr>
              <w:t>浙江国际招投标有限公司</w:t>
            </w:r>
          </w:p>
          <w:p>
            <w:pPr>
              <w:adjustRightInd w:val="0"/>
              <w:snapToGri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开户银行：中国工商银行杭州武林支行</w:t>
            </w:r>
          </w:p>
          <w:p>
            <w:pPr>
              <w:adjustRightInd w:val="0"/>
              <w:snapToGri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银行账号：1202021209906782015</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hAnsi="宋体"/>
                <w:b/>
                <w:snapToGrid w:val="0"/>
                <w:color w:val="auto"/>
                <w:kern w:val="0"/>
                <w:szCs w:val="21"/>
                <w:highlight w:val="none"/>
              </w:rPr>
              <w:t>▲投标时应提供“中标服务费承诺书”，否则作无效标处理。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noWrap w:val="0"/>
            <w:vAlign w:val="center"/>
          </w:tcPr>
          <w:p>
            <w:pPr>
              <w:adjustRightInd w:val="0"/>
              <w:snapToGrid w:val="0"/>
              <w:jc w:val="center"/>
              <w:rPr>
                <w:rFonts w:hint="default"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31</w:t>
            </w:r>
          </w:p>
        </w:tc>
        <w:tc>
          <w:tcPr>
            <w:tcW w:w="1800" w:type="dxa"/>
            <w:noWrap w:val="0"/>
            <w:vAlign w:val="center"/>
          </w:tcPr>
          <w:p>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节能环保要求</w:t>
            </w:r>
          </w:p>
        </w:tc>
        <w:tc>
          <w:tcPr>
            <w:tcW w:w="6383" w:type="dxa"/>
            <w:noWrap w:val="0"/>
            <w:vAlign w:val="center"/>
          </w:tcPr>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noWrap w:val="0"/>
            <w:vAlign w:val="center"/>
          </w:tcPr>
          <w:p>
            <w:pPr>
              <w:adjustRightInd w:val="0"/>
              <w:snapToGrid w:val="0"/>
              <w:jc w:val="center"/>
              <w:rPr>
                <w:rFonts w:hint="default"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32</w:t>
            </w:r>
          </w:p>
        </w:tc>
        <w:tc>
          <w:tcPr>
            <w:tcW w:w="1800" w:type="dxa"/>
            <w:noWrap w:val="0"/>
            <w:vAlign w:val="center"/>
          </w:tcPr>
          <w:p>
            <w:pPr>
              <w:spacing w:line="276"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进口产品投标</w:t>
            </w:r>
          </w:p>
        </w:tc>
        <w:tc>
          <w:tcPr>
            <w:tcW w:w="6383" w:type="dxa"/>
            <w:noWrap w:val="0"/>
            <w:vAlign w:val="center"/>
          </w:tcPr>
          <w:p>
            <w:pPr>
              <w:spacing w:line="276" w:lineRule="auto"/>
              <w:rPr>
                <w:rFonts w:hint="eastAsia" w:ascii="宋体" w:hAnsi="宋体" w:eastAsia="Calibri" w:cs="宋体"/>
                <w:bCs/>
                <w:color w:val="auto"/>
                <w:kern w:val="2"/>
                <w:sz w:val="21"/>
                <w:szCs w:val="21"/>
                <w:highlight w:val="none"/>
                <w:lang w:val="en-US" w:eastAsia="zh-CN" w:bidi="ar-SA"/>
              </w:rPr>
            </w:pPr>
            <w:r>
              <w:rPr>
                <w:rFonts w:hint="eastAsia" w:ascii="宋体" w:hAnsi="宋体" w:cs="宋体"/>
                <w:bCs/>
                <w:color w:val="auto"/>
                <w:szCs w:val="21"/>
                <w:highlight w:val="none"/>
              </w:rPr>
              <w:t>不</w:t>
            </w:r>
            <w:r>
              <w:rPr>
                <w:rFonts w:hint="eastAsia" w:ascii="宋体" w:hAnsi="宋体" w:cs="宋体"/>
                <w:bCs/>
                <w:color w:val="auto"/>
                <w:szCs w:val="21"/>
                <w:highlight w:val="none"/>
                <w:lang w:eastAsia="zh-CN"/>
              </w:rPr>
              <w:t>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noWrap w:val="0"/>
            <w:vAlign w:val="center"/>
          </w:tcPr>
          <w:p>
            <w:pPr>
              <w:adjustRightInd w:val="0"/>
              <w:snapToGrid w:val="0"/>
              <w:jc w:val="center"/>
              <w:rPr>
                <w:rFonts w:hint="default"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33</w:t>
            </w:r>
          </w:p>
        </w:tc>
        <w:tc>
          <w:tcPr>
            <w:tcW w:w="1800"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是否专门面向</w:t>
            </w:r>
          </w:p>
          <w:p>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中小</w:t>
            </w:r>
            <w:r>
              <w:rPr>
                <w:rFonts w:hint="eastAsia" w:ascii="宋体" w:hAnsi="宋体" w:cs="宋体"/>
                <w:color w:val="auto"/>
                <w:szCs w:val="21"/>
                <w:highlight w:val="none"/>
                <w:lang w:eastAsia="zh-CN"/>
              </w:rPr>
              <w:t>微</w:t>
            </w:r>
            <w:r>
              <w:rPr>
                <w:rFonts w:hint="eastAsia" w:ascii="宋体" w:hAnsi="宋体" w:cs="宋体"/>
                <w:color w:val="auto"/>
                <w:szCs w:val="21"/>
                <w:highlight w:val="none"/>
              </w:rPr>
              <w:t>企业采购</w:t>
            </w:r>
          </w:p>
        </w:tc>
        <w:tc>
          <w:tcPr>
            <w:tcW w:w="6383" w:type="dxa"/>
            <w:noWrap w:val="0"/>
            <w:vAlign w:val="center"/>
          </w:tcPr>
          <w:p>
            <w:pPr>
              <w:widowControl/>
              <w:spacing w:line="276" w:lineRule="auto"/>
              <w:jc w:val="left"/>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p>
            <w:pPr>
              <w:widowControl/>
              <w:spacing w:line="276" w:lineRule="auto"/>
              <w:jc w:val="left"/>
              <w:rPr>
                <w:rFonts w:hint="default"/>
                <w:color w:val="auto"/>
                <w:highlight w:val="none"/>
                <w:lang w:val="en-US" w:eastAsia="zh-CN"/>
              </w:rPr>
            </w:pPr>
            <w:r>
              <w:rPr>
                <w:rFonts w:hint="eastAsia" w:ascii="Calibri" w:hAnsi="Calibri" w:eastAsia="宋体" w:cs="Times New Roman"/>
                <w:color w:val="auto"/>
                <w:kern w:val="2"/>
                <w:sz w:val="21"/>
                <w:highlight w:val="none"/>
              </w:rPr>
              <w:t>以联合体形式参加政府采购活动，联合体各方均为中小企业的，联合体视同中小企业。其中，联合体各方均为小微企业的，联合体视同小微企业。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648" w:type="dxa"/>
            <w:noWrap w:val="0"/>
            <w:vAlign w:val="center"/>
          </w:tcPr>
          <w:p>
            <w:pPr>
              <w:adjustRightInd w:val="0"/>
              <w:snapToGrid w:val="0"/>
              <w:jc w:val="center"/>
              <w:rPr>
                <w:rFonts w:hint="default"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34</w:t>
            </w:r>
          </w:p>
        </w:tc>
        <w:tc>
          <w:tcPr>
            <w:tcW w:w="1800" w:type="dxa"/>
            <w:noWrap w:val="0"/>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是否</w:t>
            </w:r>
            <w:r>
              <w:rPr>
                <w:rFonts w:hint="eastAsia" w:ascii="宋体" w:hAnsi="宋体" w:cs="宋体"/>
                <w:color w:val="auto"/>
                <w:szCs w:val="21"/>
                <w:highlight w:val="none"/>
                <w:lang w:eastAsia="zh-CN"/>
              </w:rPr>
              <w:t>允许分包</w:t>
            </w:r>
          </w:p>
        </w:tc>
        <w:tc>
          <w:tcPr>
            <w:tcW w:w="6383" w:type="dxa"/>
            <w:noWrap w:val="0"/>
            <w:vAlign w:val="center"/>
          </w:tcPr>
          <w:p>
            <w:pPr>
              <w:widowControl/>
              <w:numPr>
                <w:ilvl w:val="0"/>
                <w:numId w:val="0"/>
              </w:numPr>
              <w:spacing w:line="276" w:lineRule="auto"/>
              <w:jc w:val="left"/>
              <w:rPr>
                <w:rFonts w:hint="eastAsia" w:ascii="Calibri" w:hAnsi="Calibri" w:eastAsia="宋体" w:cs="Times New Roman"/>
                <w:color w:val="auto"/>
                <w:highlight w:val="none"/>
                <w:lang w:val="en-US" w:eastAsia="zh-CN"/>
              </w:rPr>
            </w:pPr>
            <w:r>
              <w:rPr>
                <w:rFonts w:hint="eastAsia"/>
                <w:color w:val="auto"/>
                <w:highlight w:val="none"/>
                <w:lang w:val="en-US" w:eastAsia="zh-CN"/>
              </w:rPr>
              <w:t>是（可对本项</w:t>
            </w:r>
            <w:r>
              <w:rPr>
                <w:rFonts w:hint="eastAsia" w:ascii="Calibri" w:hAnsi="Calibri" w:eastAsia="宋体" w:cs="Times New Roman"/>
                <w:color w:val="auto"/>
                <w:highlight w:val="none"/>
                <w:lang w:val="en-US" w:eastAsia="zh-CN"/>
              </w:rPr>
              <w:t>目</w:t>
            </w:r>
            <w:r>
              <w:rPr>
                <w:rFonts w:hint="eastAsia" w:ascii="Calibri" w:hAnsi="Calibri" w:eastAsia="宋体" w:cs="Times New Roman"/>
                <w:color w:val="auto"/>
                <w:sz w:val="21"/>
                <w:highlight w:val="none"/>
              </w:rPr>
              <w:t>非主体、非关键性</w:t>
            </w:r>
            <w:r>
              <w:rPr>
                <w:rFonts w:hint="eastAsia" w:ascii="Calibri" w:hAnsi="Calibri" w:eastAsia="宋体" w:cs="Times New Roman"/>
                <w:color w:val="auto"/>
                <w:sz w:val="21"/>
                <w:highlight w:val="none"/>
                <w:lang w:eastAsia="zh-CN"/>
              </w:rPr>
              <w:t>工作进行分包</w:t>
            </w:r>
            <w:r>
              <w:rPr>
                <w:rFonts w:hint="eastAsia" w:ascii="Calibri" w:hAnsi="Calibri" w:eastAsia="宋体" w:cs="Times New Roman"/>
                <w:color w:val="auto"/>
                <w:highlight w:val="none"/>
                <w:lang w:val="en-US" w:eastAsia="zh-CN"/>
              </w:rPr>
              <w:t>）</w:t>
            </w:r>
          </w:p>
          <w:p>
            <w:pPr>
              <w:widowControl/>
              <w:numPr>
                <w:ilvl w:val="0"/>
                <w:numId w:val="0"/>
              </w:numPr>
              <w:spacing w:line="276" w:lineRule="auto"/>
              <w:rPr>
                <w:rFonts w:hint="eastAsia"/>
                <w:color w:val="auto"/>
                <w:highlight w:val="none"/>
                <w:lang w:val="en-US" w:eastAsia="zh-CN"/>
              </w:rPr>
            </w:pPr>
            <w:r>
              <w:rPr>
                <w:rFonts w:hint="eastAsia" w:ascii="Calibri" w:hAnsi="Calibri" w:eastAsia="宋体" w:cs="Times New Roman"/>
                <w:color w:val="auto"/>
                <w:sz w:val="21"/>
                <w:highlight w:val="none"/>
              </w:rPr>
              <w:t>中小企业享受扶持政策获得政府采购合同的，小微企业不得将合同分包给大中型企业，中型企业不得将合同分包给大型企业。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99" w:hRule="atLeast"/>
          <w:jc w:val="center"/>
        </w:trPr>
        <w:tc>
          <w:tcPr>
            <w:tcW w:w="648" w:type="dxa"/>
            <w:noWrap w:val="0"/>
            <w:vAlign w:val="center"/>
          </w:tcPr>
          <w:p>
            <w:pPr>
              <w:adjustRightInd w:val="0"/>
              <w:snapToGrid w:val="0"/>
              <w:jc w:val="center"/>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35</w:t>
            </w:r>
          </w:p>
        </w:tc>
        <w:tc>
          <w:tcPr>
            <w:tcW w:w="1800" w:type="dxa"/>
            <w:noWrap w:val="0"/>
            <w:vAlign w:val="center"/>
          </w:tcPr>
          <w:p>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支持中小企业</w:t>
            </w:r>
          </w:p>
        </w:tc>
        <w:tc>
          <w:tcPr>
            <w:tcW w:w="6383" w:type="dxa"/>
            <w:noWrap w:val="0"/>
            <w:vAlign w:val="center"/>
          </w:tcPr>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一、说明</w:t>
            </w: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1、企业类型</w:t>
            </w: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（1）中小企业</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符合中小企业划分标准的个体工商户，在政府采购活动中视同中小企业。</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在服务采购项目中，服务由中小企业承接，即提供服务的人员为中小企业依照《中华人民共和国劳动合同法》订立劳动合同的从业人员。可享受相关中小企业扶持政策。</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以联合体形式参加政府采购活动，联合体各方均为中小企业的，联合体视同中小企业。其中，联合体各方均为小微企业的，联合体视同小微企业。</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投标文件中须同时出具《政府采购促进中小企业发展管理办法》【财库（</w:t>
            </w:r>
            <w:r>
              <w:rPr>
                <w:rFonts w:hint="eastAsia"/>
                <w:color w:val="auto"/>
                <w:highlight w:val="none"/>
                <w:lang w:val="en-US" w:eastAsia="zh-CN"/>
              </w:rPr>
              <w:t>2020）46号】</w:t>
            </w:r>
            <w:r>
              <w:rPr>
                <w:rFonts w:hint="eastAsia"/>
                <w:color w:val="auto"/>
                <w:highlight w:val="none"/>
                <w:lang w:eastAsia="zh-CN"/>
              </w:rPr>
              <w:t>规定的《中小企业声明函》，否则不得享受价格扣除。</w:t>
            </w: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（2）残疾人福利性单位</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符合《关于促进残疾人就业政府采购政策的通知》（财库〔2017〕141号）规定的条件并提供提供《残疾人福利性单位声明函》的残疾人福利性单位视同小型、微型企业；</w:t>
            </w: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（3）监狱企业</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color w:val="auto"/>
                <w:highlight w:val="none"/>
                <w:lang w:eastAsia="zh-CN"/>
              </w:rPr>
            </w:pP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2.价格扣除有关政策</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color w:val="auto"/>
                <w:highlight w:val="none"/>
                <w:lang w:val="en-US" w:eastAsia="zh-CN"/>
              </w:rPr>
              <w:t>2</w:t>
            </w:r>
            <w:r>
              <w:rPr>
                <w:rFonts w:hint="eastAsia"/>
                <w:color w:val="auto"/>
                <w:highlight w:val="none"/>
                <w:lang w:eastAsia="zh-CN"/>
              </w:rPr>
              <w:t>0%的扣除，用扣除后的价格参加评审。</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color w:val="auto"/>
                <w:highlight w:val="none"/>
                <w:lang w:val="en-US" w:eastAsia="zh-CN"/>
              </w:rPr>
              <w:t>6</w:t>
            </w:r>
            <w:r>
              <w:rPr>
                <w:rFonts w:hint="eastAsia"/>
                <w:color w:val="auto"/>
                <w:highlight w:val="none"/>
                <w:lang w:eastAsia="zh-CN"/>
              </w:rPr>
              <w:t>%的扣除，用扣除后的价格参加评审。</w:t>
            </w:r>
          </w:p>
          <w:p>
            <w:pPr>
              <w:adjustRightInd w:val="0"/>
              <w:snapToGrid w:val="0"/>
              <w:spacing w:line="320" w:lineRule="exact"/>
              <w:ind w:firstLine="420" w:firstLineChars="200"/>
              <w:rPr>
                <w:rFonts w:hint="eastAsia"/>
                <w:color w:val="auto"/>
                <w:highlight w:val="none"/>
                <w:lang w:eastAsia="zh-CN"/>
              </w:rPr>
            </w:pPr>
            <w:r>
              <w:rPr>
                <w:rFonts w:hint="eastAsia"/>
                <w:color w:val="auto"/>
                <w:highlight w:val="none"/>
                <w:lang w:eastAsia="zh-CN"/>
              </w:rPr>
              <w:t>组成联合体或者接受分包的小微企业与联合体内其他企业、分包企业之间存在直接控股、管理关系的，不享受价格扣除优惠政策。</w:t>
            </w:r>
          </w:p>
          <w:p>
            <w:pPr>
              <w:adjustRightInd w:val="0"/>
              <w:snapToGrid w:val="0"/>
              <w:spacing w:line="320" w:lineRule="exact"/>
              <w:rPr>
                <w:rFonts w:hint="default"/>
                <w:b/>
                <w:bCs/>
                <w:color w:val="auto"/>
                <w:highlight w:val="none"/>
                <w:lang w:val="en-US" w:eastAsia="zh-CN"/>
              </w:rPr>
            </w:pPr>
            <w:r>
              <w:rPr>
                <w:rFonts w:hint="eastAsia"/>
                <w:b/>
                <w:bCs/>
                <w:color w:val="auto"/>
                <w:highlight w:val="none"/>
                <w:lang w:val="en-US" w:eastAsia="zh-CN"/>
              </w:rPr>
              <w:t>二、针对本项目的相关规定</w:t>
            </w:r>
          </w:p>
          <w:p>
            <w:pPr>
              <w:adjustRightInd w:val="0"/>
              <w:snapToGrid w:val="0"/>
              <w:spacing w:line="320" w:lineRule="exact"/>
              <w:ind w:firstLine="211" w:firstLineChars="100"/>
              <w:rPr>
                <w:rFonts w:hint="eastAsia"/>
                <w:b/>
                <w:bCs/>
                <w:color w:val="auto"/>
                <w:highlight w:val="none"/>
                <w:lang w:val="en-US" w:eastAsia="zh-CN"/>
              </w:rPr>
            </w:pPr>
            <w:r>
              <w:rPr>
                <w:rFonts w:hint="eastAsia"/>
                <w:b/>
                <w:bCs/>
                <w:color w:val="auto"/>
                <w:highlight w:val="none"/>
                <w:lang w:val="en-US" w:eastAsia="zh-CN"/>
              </w:rPr>
              <w:t>1.政府采购目录类别：服务类。</w:t>
            </w:r>
          </w:p>
          <w:p>
            <w:pPr>
              <w:adjustRightInd w:val="0"/>
              <w:snapToGrid w:val="0"/>
              <w:spacing w:line="320" w:lineRule="exact"/>
              <w:ind w:firstLine="211" w:firstLineChars="100"/>
              <w:rPr>
                <w:rFonts w:hint="eastAsia"/>
                <w:b/>
                <w:bCs/>
                <w:color w:val="auto"/>
                <w:highlight w:val="none"/>
                <w:lang w:eastAsia="zh-CN"/>
              </w:rPr>
            </w:pPr>
            <w:r>
              <w:rPr>
                <w:rFonts w:hint="eastAsia"/>
                <w:b/>
                <w:bCs/>
                <w:color w:val="auto"/>
                <w:highlight w:val="none"/>
                <w:lang w:val="en-US" w:eastAsia="zh-CN"/>
              </w:rPr>
              <w:t>2.</w:t>
            </w:r>
            <w:r>
              <w:rPr>
                <w:rFonts w:hint="eastAsia"/>
                <w:b/>
                <w:bCs/>
                <w:color w:val="auto"/>
                <w:highlight w:val="none"/>
                <w:lang w:eastAsia="zh-CN"/>
              </w:rPr>
              <w:t>本项目对符合规定的小微企业（含小型企业）报价给予</w:t>
            </w:r>
            <w:r>
              <w:rPr>
                <w:rFonts w:hint="eastAsia"/>
                <w:b/>
                <w:bCs/>
                <w:color w:val="auto"/>
                <w:highlight w:val="none"/>
                <w:u w:val="single"/>
                <w:lang w:val="en-US" w:eastAsia="zh-CN"/>
              </w:rPr>
              <w:t xml:space="preserve"> 20  </w:t>
            </w:r>
            <w:r>
              <w:rPr>
                <w:rFonts w:hint="eastAsia"/>
                <w:b/>
                <w:bCs/>
                <w:color w:val="auto"/>
                <w:highlight w:val="none"/>
                <w:lang w:val="en-US" w:eastAsia="zh-CN"/>
              </w:rPr>
              <w:t>%的扣除。</w:t>
            </w:r>
            <w:r>
              <w:rPr>
                <w:rFonts w:hint="eastAsia"/>
                <w:b/>
                <w:bCs/>
                <w:color w:val="auto"/>
                <w:highlight w:val="none"/>
                <w:lang w:eastAsia="zh-CN"/>
              </w:rPr>
              <w:t xml:space="preserve">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b/>
                <w:bCs/>
                <w:color w:val="auto"/>
                <w:highlight w:val="none"/>
                <w:lang w:val="en-US" w:eastAsia="zh-CN"/>
              </w:rPr>
              <w:t>6</w:t>
            </w:r>
            <w:r>
              <w:rPr>
                <w:rFonts w:hint="eastAsia"/>
                <w:b/>
                <w:bCs/>
                <w:color w:val="auto"/>
                <w:highlight w:val="none"/>
                <w:lang w:eastAsia="zh-CN"/>
              </w:rPr>
              <w:t>%的扣除，用扣除后的价格参加评审。</w:t>
            </w:r>
          </w:p>
          <w:p>
            <w:pPr>
              <w:pStyle w:val="7"/>
              <w:ind w:firstLine="211" w:firstLineChars="100"/>
              <w:rPr>
                <w:rFonts w:hint="default"/>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本项目采购标的对应的中小企业计划分标准所属行业为：</w:t>
            </w:r>
            <w:r>
              <w:rPr>
                <w:rFonts w:hint="eastAsia"/>
                <w:b/>
                <w:bCs/>
                <w:color w:val="auto"/>
                <w:highlight w:val="none"/>
                <w:u w:val="single"/>
                <w:lang w:val="en-US" w:eastAsia="zh-CN"/>
              </w:rPr>
              <w:t xml:space="preserve"> 软件和信息技术服务 </w:t>
            </w:r>
            <w:r>
              <w:rPr>
                <w:rFonts w:hint="eastAsia"/>
                <w:b/>
                <w:bCs/>
                <w:color w:val="auto"/>
                <w:highlight w:val="none"/>
                <w:u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restart"/>
            <w:noWrap w:val="0"/>
            <w:vAlign w:val="center"/>
          </w:tcPr>
          <w:p>
            <w:pPr>
              <w:adjustRightInd w:val="0"/>
              <w:snapToGrid w:val="0"/>
              <w:jc w:val="center"/>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36</w:t>
            </w:r>
          </w:p>
        </w:tc>
        <w:tc>
          <w:tcPr>
            <w:tcW w:w="1800" w:type="dxa"/>
            <w:vMerge w:val="restart"/>
            <w:noWrap w:val="0"/>
            <w:vAlign w:val="center"/>
          </w:tcPr>
          <w:p>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投标人信用信息事项</w:t>
            </w:r>
          </w:p>
        </w:tc>
        <w:tc>
          <w:tcPr>
            <w:tcW w:w="6383" w:type="dxa"/>
            <w:noWrap w:val="0"/>
            <w:vAlign w:val="center"/>
          </w:tcPr>
          <w:p>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信用信息查询渠道：“信用中国”网站(www.creditchina.gov.cn)、中国政府采购网(www.ccgp.gov.cn)。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noWrap w:val="0"/>
            <w:vAlign w:val="center"/>
          </w:tcPr>
          <w:p>
            <w:pPr>
              <w:jc w:val="center"/>
              <w:rPr>
                <w:rFonts w:hint="eastAsia" w:ascii="宋体" w:hAnsi="宋体" w:eastAsia="宋体" w:cs="宋体"/>
                <w:color w:val="auto"/>
                <w:szCs w:val="21"/>
                <w:highlight w:val="none"/>
              </w:rPr>
            </w:pPr>
          </w:p>
        </w:tc>
        <w:tc>
          <w:tcPr>
            <w:tcW w:w="1800" w:type="dxa"/>
            <w:vMerge w:val="continue"/>
            <w:noWrap w:val="0"/>
            <w:vAlign w:val="center"/>
          </w:tcPr>
          <w:p>
            <w:pPr>
              <w:snapToGrid w:val="0"/>
              <w:spacing w:line="360" w:lineRule="auto"/>
              <w:rPr>
                <w:rFonts w:hint="eastAsia" w:ascii="宋体" w:hAnsi="宋体" w:eastAsia="宋体" w:cs="宋体"/>
                <w:b/>
                <w:color w:val="auto"/>
                <w:sz w:val="24"/>
                <w:highlight w:val="none"/>
              </w:rPr>
            </w:pPr>
          </w:p>
        </w:tc>
        <w:tc>
          <w:tcPr>
            <w:tcW w:w="6383" w:type="dxa"/>
            <w:noWrap w:val="0"/>
            <w:vAlign w:val="center"/>
          </w:tcPr>
          <w:p>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648" w:type="dxa"/>
            <w:vMerge w:val="continue"/>
            <w:noWrap w:val="0"/>
            <w:vAlign w:val="center"/>
          </w:tcPr>
          <w:p>
            <w:pPr>
              <w:jc w:val="center"/>
              <w:rPr>
                <w:rFonts w:hint="eastAsia" w:ascii="宋体" w:hAnsi="宋体" w:eastAsia="宋体" w:cs="宋体"/>
                <w:color w:val="auto"/>
                <w:szCs w:val="21"/>
                <w:highlight w:val="none"/>
              </w:rPr>
            </w:pPr>
          </w:p>
        </w:tc>
        <w:tc>
          <w:tcPr>
            <w:tcW w:w="1800" w:type="dxa"/>
            <w:vMerge w:val="continue"/>
            <w:noWrap w:val="0"/>
            <w:vAlign w:val="center"/>
          </w:tcPr>
          <w:p>
            <w:pPr>
              <w:snapToGrid w:val="0"/>
              <w:spacing w:line="360" w:lineRule="auto"/>
              <w:rPr>
                <w:rFonts w:hint="eastAsia" w:ascii="宋体" w:hAnsi="宋体" w:eastAsia="宋体" w:cs="宋体"/>
                <w:b/>
                <w:color w:val="auto"/>
                <w:sz w:val="24"/>
                <w:highlight w:val="none"/>
              </w:rPr>
            </w:pPr>
          </w:p>
        </w:tc>
        <w:tc>
          <w:tcPr>
            <w:tcW w:w="6383" w:type="dxa"/>
            <w:noWrap w:val="0"/>
            <w:vAlign w:val="center"/>
          </w:tcPr>
          <w:p>
            <w:pPr>
              <w:numPr>
                <w:ilvl w:val="0"/>
                <w:numId w:val="0"/>
              </w:numPr>
              <w:tabs>
                <w:tab w:val="left" w:pos="210"/>
                <w:tab w:val="left" w:pos="640"/>
              </w:tabs>
              <w:snapToGrid w:val="0"/>
              <w:spacing w:line="360" w:lineRule="auto"/>
              <w:ind w:left="0" w:leftChars="0" w:firstLine="0" w:firstLineChars="0"/>
              <w:jc w:val="left"/>
              <w:outlineLvl w:val="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信用信息的使用规则：经查询列入失信被执行人名单、重大税收违法案件当事人名单、政府采购严重违法失信行为记录名单的投标人的投标文件将被拒绝。</w:t>
            </w:r>
          </w:p>
          <w:p>
            <w:pPr>
              <w:numPr>
                <w:ilvl w:val="0"/>
                <w:numId w:val="0"/>
              </w:numPr>
              <w:tabs>
                <w:tab w:val="left" w:pos="210"/>
                <w:tab w:val="left" w:pos="640"/>
              </w:tabs>
              <w:adjustRightInd/>
              <w:snapToGrid w:val="0"/>
              <w:spacing w:line="360" w:lineRule="auto"/>
              <w:jc w:val="left"/>
              <w:outlineLvl w:val="2"/>
              <w:rPr>
                <w:rFonts w:hint="eastAsia" w:ascii="宋体" w:hAnsi="宋体" w:eastAsia="宋体" w:cs="宋体"/>
                <w:snapToGrid w:val="0"/>
                <w:color w:val="auto"/>
                <w:kern w:val="0"/>
                <w:highlight w:val="none"/>
              </w:rPr>
            </w:pPr>
            <w:r>
              <w:rPr>
                <w:rFonts w:hint="eastAsia" w:ascii="宋体" w:hAnsi="宋体" w:eastAsia="宋体" w:cs="宋体"/>
                <w:b w:val="0"/>
                <w:bCs w:val="0"/>
                <w:snapToGrid w:val="0"/>
                <w:color w:val="auto"/>
                <w:kern w:val="0"/>
                <w:sz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6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37</w:t>
            </w:r>
          </w:p>
        </w:tc>
        <w:tc>
          <w:tcPr>
            <w:tcW w:w="1800" w:type="dxa"/>
            <w:noWrap w:val="0"/>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snapToGrid w:val="0"/>
                <w:color w:val="auto"/>
                <w:kern w:val="0"/>
                <w:sz w:val="21"/>
                <w:highlight w:val="none"/>
                <w:lang w:eastAsia="zh-CN"/>
              </w:rPr>
              <w:t>演示</w:t>
            </w:r>
          </w:p>
        </w:tc>
        <w:tc>
          <w:tcPr>
            <w:tcW w:w="6383" w:type="dxa"/>
            <w:noWrap w:val="0"/>
            <w:vAlign w:val="center"/>
          </w:tcPr>
          <w:p>
            <w:pPr>
              <w:numPr>
                <w:ilvl w:val="0"/>
                <w:numId w:val="0"/>
              </w:numPr>
              <w:tabs>
                <w:tab w:val="left" w:pos="210"/>
                <w:tab w:val="left" w:pos="640"/>
              </w:tabs>
              <w:snapToGrid w:val="0"/>
              <w:spacing w:line="360" w:lineRule="auto"/>
              <w:jc w:val="left"/>
              <w:outlineLvl w:val="2"/>
              <w:rPr>
                <w:rFonts w:hint="eastAsia" w:ascii="宋体" w:hAnsi="宋体" w:eastAsia="宋体" w:cs="宋体"/>
                <w:snapToGrid w:val="0"/>
                <w:color w:val="auto"/>
                <w:kern w:val="0"/>
                <w:sz w:val="21"/>
                <w:highlight w:val="none"/>
              </w:rPr>
            </w:pPr>
            <w:r>
              <w:rPr>
                <w:rFonts w:hint="eastAsia" w:ascii="宋体" w:hAnsi="宋体" w:eastAsia="宋体" w:cs="宋体"/>
                <w:bCs w:val="0"/>
                <w:snapToGrid w:val="0"/>
                <w:color w:val="auto"/>
                <w:kern w:val="0"/>
                <w:sz w:val="21"/>
                <w:highlight w:val="none"/>
              </w:rPr>
              <w:t>要求演示，</w:t>
            </w:r>
          </w:p>
          <w:p>
            <w:pPr>
              <w:numPr>
                <w:ilvl w:val="0"/>
                <w:numId w:val="0"/>
              </w:numPr>
              <w:tabs>
                <w:tab w:val="left" w:pos="210"/>
                <w:tab w:val="left" w:pos="640"/>
              </w:tabs>
              <w:snapToGrid w:val="0"/>
              <w:spacing w:line="360" w:lineRule="auto"/>
              <w:jc w:val="left"/>
              <w:outlineLvl w:val="2"/>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 xml:space="preserve">（ </w:t>
            </w:r>
            <w:r>
              <w:rPr>
                <w:rFonts w:hint="eastAsia" w:ascii="宋体" w:hAnsi="宋体" w:eastAsia="宋体" w:cs="宋体"/>
                <w:bCs w:val="0"/>
                <w:snapToGrid w:val="0"/>
                <w:color w:val="auto"/>
                <w:kern w:val="0"/>
                <w:sz w:val="21"/>
                <w:highlight w:val="none"/>
              </w:rPr>
              <w:t>√</w:t>
            </w:r>
            <w:r>
              <w:rPr>
                <w:rFonts w:hint="eastAsia" w:ascii="宋体" w:hAnsi="宋体" w:eastAsia="宋体" w:cs="宋体"/>
                <w:snapToGrid w:val="0"/>
                <w:color w:val="auto"/>
                <w:kern w:val="0"/>
                <w:sz w:val="21"/>
                <w:highlight w:val="none"/>
              </w:rPr>
              <w:t xml:space="preserve"> ）方式一：现场演示。</w:t>
            </w:r>
          </w:p>
          <w:p>
            <w:pPr>
              <w:numPr>
                <w:ilvl w:val="0"/>
                <w:numId w:val="0"/>
              </w:numPr>
              <w:tabs>
                <w:tab w:val="left" w:pos="210"/>
                <w:tab w:val="left" w:pos="640"/>
              </w:tabs>
              <w:snapToGrid w:val="0"/>
              <w:spacing w:line="360" w:lineRule="auto"/>
              <w:jc w:val="left"/>
              <w:outlineLvl w:val="2"/>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1、现场演示：在评标时安排每个投标人现场演示，每个投标人演示时间不超过</w:t>
            </w:r>
            <w:r>
              <w:rPr>
                <w:rFonts w:hint="eastAsia" w:ascii="宋体" w:hAnsi="宋体" w:eastAsia="宋体" w:cs="宋体"/>
                <w:snapToGrid w:val="0"/>
                <w:color w:val="auto"/>
                <w:kern w:val="0"/>
                <w:sz w:val="21"/>
                <w:highlight w:val="none"/>
                <w:lang w:val="en-US" w:eastAsia="zh-CN"/>
              </w:rPr>
              <w:t>2</w:t>
            </w:r>
            <w:r>
              <w:rPr>
                <w:rFonts w:hint="eastAsia" w:ascii="宋体" w:hAnsi="宋体" w:eastAsia="宋体" w:cs="宋体"/>
                <w:snapToGrid w:val="0"/>
                <w:color w:val="auto"/>
                <w:kern w:val="0"/>
                <w:sz w:val="21"/>
                <w:highlight w:val="none"/>
              </w:rPr>
              <w:t>0分钟。人员不超过</w:t>
            </w:r>
            <w:r>
              <w:rPr>
                <w:rFonts w:hint="eastAsia" w:ascii="宋体" w:hAnsi="宋体" w:eastAsia="宋体" w:cs="宋体"/>
                <w:snapToGrid w:val="0"/>
                <w:color w:val="auto"/>
                <w:kern w:val="0"/>
                <w:sz w:val="21"/>
                <w:highlight w:val="none"/>
                <w:lang w:val="en-US" w:eastAsia="zh-CN"/>
              </w:rPr>
              <w:t>2</w:t>
            </w:r>
            <w:r>
              <w:rPr>
                <w:rFonts w:hint="eastAsia" w:ascii="宋体" w:hAnsi="宋体" w:eastAsia="宋体" w:cs="宋体"/>
                <w:snapToGrid w:val="0"/>
                <w:color w:val="auto"/>
                <w:kern w:val="0"/>
                <w:sz w:val="21"/>
                <w:highlight w:val="none"/>
              </w:rPr>
              <w:t>人，除法定代表人或其授权代表以外的现场演示人员进场时携带身份证、授权委托书（详见招标文件格式范例附件，法人代表可不携带，携带身份证），否则不得进场。现场演示后按要求解答评标委员会的提问。</w:t>
            </w:r>
          </w:p>
          <w:p>
            <w:pPr>
              <w:numPr>
                <w:ilvl w:val="0"/>
                <w:numId w:val="0"/>
              </w:numPr>
              <w:tabs>
                <w:tab w:val="left" w:pos="210"/>
                <w:tab w:val="left" w:pos="640"/>
              </w:tabs>
              <w:snapToGrid w:val="0"/>
              <w:spacing w:line="360" w:lineRule="auto"/>
              <w:jc w:val="left"/>
              <w:outlineLvl w:val="2"/>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 xml:space="preserve">2、现场演示到场时间：开标当天9：30分前统一在杭州市西湖区文三路90号东部软件园1号楼 </w:t>
            </w:r>
            <w:r>
              <w:rPr>
                <w:rFonts w:hint="eastAsia" w:ascii="宋体" w:hAnsi="宋体" w:eastAsia="宋体" w:cs="宋体"/>
                <w:snapToGrid w:val="0"/>
                <w:color w:val="auto"/>
                <w:kern w:val="0"/>
                <w:sz w:val="21"/>
                <w:highlight w:val="none"/>
                <w:lang w:val="en-US" w:eastAsia="zh-CN"/>
              </w:rPr>
              <w:t>301</w:t>
            </w:r>
            <w:r>
              <w:rPr>
                <w:rFonts w:hint="eastAsia" w:ascii="宋体" w:hAnsi="宋体" w:eastAsia="宋体" w:cs="宋体"/>
                <w:snapToGrid w:val="0"/>
                <w:color w:val="auto"/>
                <w:kern w:val="0"/>
                <w:sz w:val="21"/>
                <w:highlight w:val="none"/>
              </w:rPr>
              <w:t>开标室等候。</w:t>
            </w:r>
          </w:p>
          <w:p>
            <w:pPr>
              <w:numPr>
                <w:ilvl w:val="0"/>
                <w:numId w:val="0"/>
              </w:numPr>
              <w:tabs>
                <w:tab w:val="left" w:pos="210"/>
                <w:tab w:val="left" w:pos="640"/>
              </w:tabs>
              <w:adjustRightInd/>
              <w:snapToGrid w:val="0"/>
              <w:spacing w:line="360" w:lineRule="auto"/>
              <w:jc w:val="left"/>
              <w:outlineLvl w:val="2"/>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请投标人做好疫情防控，进场时戴好口罩，出示健康码。</w:t>
            </w:r>
          </w:p>
          <w:p>
            <w:pPr>
              <w:numPr>
                <w:ilvl w:val="0"/>
                <w:numId w:val="0"/>
              </w:numPr>
              <w:tabs>
                <w:tab w:val="left" w:pos="210"/>
                <w:tab w:val="left" w:pos="640"/>
              </w:tabs>
              <w:adjustRightInd/>
              <w:snapToGrid w:val="0"/>
              <w:spacing w:line="360" w:lineRule="auto"/>
              <w:ind w:left="0" w:leftChars="0" w:firstLine="0" w:firstLineChars="0"/>
              <w:jc w:val="left"/>
              <w:outlineLvl w:val="2"/>
              <w:rPr>
                <w:rFonts w:hint="eastAsia" w:ascii="宋体" w:hAnsi="宋体" w:eastAsia="宋体" w:cs="宋体"/>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highlight w:val="none"/>
                <w:lang w:val="en-US" w:eastAsia="zh-CN"/>
              </w:rPr>
              <w:t>（</w:t>
            </w:r>
            <w:r>
              <w:rPr>
                <w:rFonts w:hint="eastAsia" w:ascii="宋体" w:hAnsi="宋体" w:eastAsia="宋体" w:cs="宋体"/>
                <w:bCs w:val="0"/>
                <w:snapToGrid w:val="0"/>
                <w:color w:val="auto"/>
                <w:kern w:val="0"/>
                <w:sz w:val="21"/>
                <w:highlight w:val="none"/>
              </w:rPr>
              <w:t>√</w:t>
            </w:r>
            <w:r>
              <w:rPr>
                <w:rFonts w:hint="eastAsia" w:ascii="宋体" w:hAnsi="宋体" w:eastAsia="宋体" w:cs="宋体"/>
                <w:snapToGrid w:val="0"/>
                <w:color w:val="auto"/>
                <w:kern w:val="0"/>
                <w:sz w:val="21"/>
                <w:highlight w:val="none"/>
              </w:rPr>
              <w:t xml:space="preserve"> </w:t>
            </w:r>
            <w:r>
              <w:rPr>
                <w:rFonts w:hint="eastAsia" w:ascii="宋体" w:hAnsi="宋体" w:eastAsia="宋体" w:cs="宋体"/>
                <w:snapToGrid w:val="0"/>
                <w:color w:val="auto"/>
                <w:kern w:val="0"/>
                <w:sz w:val="21"/>
                <w:highlight w:val="none"/>
                <w:lang w:val="en-US" w:eastAsia="zh-CN"/>
              </w:rPr>
              <w:t>）</w:t>
            </w:r>
            <w:r>
              <w:rPr>
                <w:rFonts w:hint="eastAsia" w:ascii="宋体" w:hAnsi="宋体" w:eastAsia="宋体" w:cs="宋体"/>
                <w:snapToGrid w:val="0"/>
                <w:color w:val="auto"/>
                <w:kern w:val="0"/>
                <w:sz w:val="21"/>
                <w:highlight w:val="none"/>
              </w:rPr>
              <w:t>方式</w:t>
            </w:r>
            <w:r>
              <w:rPr>
                <w:rFonts w:hint="eastAsia" w:ascii="宋体" w:hAnsi="宋体" w:eastAsia="宋体" w:cs="宋体"/>
                <w:snapToGrid w:val="0"/>
                <w:color w:val="auto"/>
                <w:kern w:val="0"/>
                <w:sz w:val="21"/>
                <w:highlight w:val="none"/>
                <w:lang w:eastAsia="zh-CN"/>
              </w:rPr>
              <w:t>二</w:t>
            </w:r>
            <w:r>
              <w:rPr>
                <w:rFonts w:hint="eastAsia" w:ascii="宋体" w:hAnsi="宋体" w:eastAsia="宋体" w:cs="宋体"/>
                <w:snapToGrid w:val="0"/>
                <w:color w:val="auto"/>
                <w:kern w:val="0"/>
                <w:sz w:val="21"/>
                <w:highlight w:val="none"/>
              </w:rPr>
              <w:t>：</w:t>
            </w:r>
            <w:r>
              <w:rPr>
                <w:rFonts w:hint="eastAsia" w:ascii="宋体" w:hAnsi="宋体" w:eastAsia="宋体" w:cs="宋体"/>
                <w:snapToGrid w:val="0"/>
                <w:color w:val="auto"/>
                <w:kern w:val="0"/>
                <w:sz w:val="21"/>
                <w:highlight w:val="none"/>
                <w:lang w:eastAsia="zh-CN"/>
              </w:rPr>
              <w:t>视频演示</w:t>
            </w:r>
            <w:r>
              <w:rPr>
                <w:rFonts w:hint="eastAsia" w:ascii="宋体" w:hAnsi="宋体" w:eastAsia="宋体" w:cs="宋体"/>
                <w:b/>
                <w:bCs/>
                <w:snapToGrid w:val="0"/>
                <w:color w:val="auto"/>
                <w:kern w:val="0"/>
                <w:sz w:val="21"/>
                <w:highlight w:val="none"/>
                <w:lang w:eastAsia="zh-CN"/>
              </w:rPr>
              <w:t>（仅限因疫情影响无法实现现场演示的投标人）</w:t>
            </w:r>
            <w:r>
              <w:rPr>
                <w:rFonts w:hint="eastAsia" w:ascii="宋体" w:hAnsi="宋体" w:eastAsia="宋体" w:cs="宋体"/>
                <w:snapToGrid w:val="0"/>
                <w:color w:val="auto"/>
                <w:kern w:val="0"/>
                <w:sz w:val="21"/>
                <w:highlight w:val="none"/>
                <w:lang w:eastAsia="zh-CN"/>
              </w:rPr>
              <w:t>。受疫情影响，如投标人无法进行现场演示的，可递交demo演示视频。投标人可将按采购文件评分要求录制的视频随备份响应文件在提交投标文件截止时间前通过快递形式寄达或现场送达采购代理机构处，（邮寄/送达地址：杭州市西湖区文三路90号东部软件园1号楼3楼305室，接收人：郑珊珊，电话：0571-81061842）。在提交投标文件截止时间后送达的，不予接收；未递交系统演示视频的视为自动放弃系统演示。</w:t>
            </w:r>
          </w:p>
        </w:tc>
      </w:tr>
    </w:tbl>
    <w:p>
      <w:pPr>
        <w:rPr>
          <w:rFonts w:hint="eastAsia" w:ascii="宋体" w:hAnsi="宋体" w:cs="宋体"/>
          <w:color w:val="auto"/>
          <w:szCs w:val="21"/>
          <w:highlight w:val="none"/>
        </w:rPr>
      </w:pP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注：以上内容如有变化将另行</w:t>
      </w:r>
      <w:r>
        <w:rPr>
          <w:rFonts w:hint="eastAsia" w:ascii="宋体" w:hAnsi="宋体" w:cs="宋体"/>
          <w:color w:val="auto"/>
          <w:szCs w:val="21"/>
          <w:highlight w:val="none"/>
          <w:lang w:eastAsia="zh-CN"/>
        </w:rPr>
        <w:t>公告</w:t>
      </w:r>
      <w:r>
        <w:rPr>
          <w:rFonts w:hint="eastAsia" w:ascii="宋体" w:hAnsi="宋体" w:cs="宋体"/>
          <w:color w:val="auto"/>
          <w:szCs w:val="21"/>
          <w:highlight w:val="none"/>
        </w:rPr>
        <w:t>通知。如通知其中某一内容发生变化，其余未提及的将不作变动。</w:t>
      </w:r>
      <w:bookmarkStart w:id="4" w:name="_Toc240450076"/>
      <w:bookmarkStart w:id="5" w:name="_Toc251566649"/>
    </w:p>
    <w:p>
      <w:pPr>
        <w:adjustRightInd w:val="0"/>
        <w:snapToGrid w:val="0"/>
        <w:spacing w:before="120" w:beforeLines="50" w:after="120" w:afterLines="50"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br w:type="page"/>
      </w:r>
      <w:bookmarkStart w:id="6" w:name="_Toc2187"/>
      <w:bookmarkStart w:id="7" w:name="_Toc17306"/>
      <w:bookmarkStart w:id="8" w:name="_Toc28655"/>
      <w:bookmarkStart w:id="9" w:name="_Toc5601"/>
      <w:r>
        <w:rPr>
          <w:rFonts w:hint="eastAsia" w:ascii="宋体" w:hAnsi="宋体" w:cs="宋体"/>
          <w:b/>
          <w:color w:val="auto"/>
          <w:sz w:val="30"/>
          <w:szCs w:val="30"/>
          <w:highlight w:val="none"/>
        </w:rPr>
        <w:t>第二部分  投标须知</w:t>
      </w:r>
      <w:bookmarkEnd w:id="4"/>
      <w:bookmarkEnd w:id="5"/>
      <w:bookmarkEnd w:id="6"/>
      <w:bookmarkEnd w:id="7"/>
      <w:bookmarkEnd w:id="8"/>
      <w:bookmarkEnd w:id="9"/>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10" w:name="_Toc12000"/>
      <w:bookmarkStart w:id="11" w:name="_Toc240450077"/>
      <w:bookmarkStart w:id="12" w:name="_Toc22681"/>
      <w:bookmarkStart w:id="13" w:name="_Toc251566650"/>
      <w:bookmarkStart w:id="14" w:name="_Toc2673"/>
      <w:bookmarkStart w:id="15" w:name="_Toc15671"/>
      <w:r>
        <w:rPr>
          <w:rFonts w:hint="eastAsia" w:ascii="宋体" w:hAnsi="宋体" w:eastAsia="宋体" w:cs="宋体"/>
          <w:color w:val="auto"/>
          <w:sz w:val="21"/>
          <w:szCs w:val="21"/>
          <w:highlight w:val="none"/>
        </w:rPr>
        <w:t>一、总则</w:t>
      </w:r>
      <w:bookmarkEnd w:id="10"/>
      <w:bookmarkEnd w:id="11"/>
      <w:bookmarkEnd w:id="12"/>
      <w:bookmarkEnd w:id="13"/>
      <w:bookmarkEnd w:id="14"/>
      <w:bookmarkEnd w:id="15"/>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本次招标工作是按照《中华人民共和国政府采购法》、《中华人民共和国政府采购法实施条例》、《政府采购货物和服务招标投标管理办法》等相关法律法规组织和实施，并接受政府采购监督管</w:t>
      </w:r>
      <w:r>
        <w:rPr>
          <w:rFonts w:hint="eastAsia" w:ascii="宋体" w:hAnsi="宋体" w:cs="宋体"/>
          <w:snapToGrid w:val="0"/>
          <w:color w:val="auto"/>
          <w:kern w:val="0"/>
          <w:szCs w:val="21"/>
          <w:highlight w:val="none"/>
          <w:lang w:eastAsia="zh-CN"/>
        </w:rPr>
        <w:t>理部门的</w:t>
      </w:r>
      <w:r>
        <w:rPr>
          <w:rFonts w:hint="eastAsia" w:ascii="宋体" w:hAnsi="宋体" w:cs="宋体"/>
          <w:snapToGrid w:val="0"/>
          <w:color w:val="auto"/>
          <w:kern w:val="0"/>
          <w:szCs w:val="21"/>
          <w:highlight w:val="none"/>
        </w:rPr>
        <w:t>监督。</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1．适用范围</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 本采购文件仅适用于本次招标项目。</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 本项目采购方式为公开招标。</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 投标须知为招标文件的通用条款，如通用条款与前附表、用户需求、合同条款等特定条款不一致的，请按特定条款执行。</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2．定义</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2.1“采购人”系指</w:t>
      </w:r>
      <w:r>
        <w:rPr>
          <w:rFonts w:hint="eastAsia" w:ascii="宋体" w:hAnsi="宋体" w:eastAsia="宋体" w:cs="宋体"/>
          <w:snapToGrid w:val="0"/>
          <w:color w:val="auto"/>
          <w:kern w:val="0"/>
          <w:szCs w:val="21"/>
          <w:highlight w:val="none"/>
          <w:lang w:val="en-US" w:eastAsia="zh-CN"/>
        </w:rPr>
        <w:t>浙江省数字财政管理中心</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2.2“采购代理机构”系指</w:t>
      </w:r>
      <w:r>
        <w:rPr>
          <w:rFonts w:hint="eastAsia" w:ascii="宋体" w:hAnsi="宋体" w:eastAsia="宋体" w:cs="宋体"/>
          <w:snapToGrid w:val="0"/>
          <w:color w:val="auto"/>
          <w:kern w:val="0"/>
          <w:szCs w:val="21"/>
          <w:highlight w:val="none"/>
          <w:lang w:eastAsia="zh-CN"/>
        </w:rPr>
        <w:t>浙江国际招投标有限公司</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2.3“监督管理部门”系指</w:t>
      </w:r>
      <w:r>
        <w:rPr>
          <w:rFonts w:hint="eastAsia" w:ascii="宋体" w:hAnsi="宋体" w:eastAsia="宋体" w:cs="宋体"/>
          <w:snapToGrid w:val="0"/>
          <w:color w:val="auto"/>
          <w:kern w:val="0"/>
          <w:szCs w:val="21"/>
          <w:highlight w:val="none"/>
          <w:lang w:val="en-US" w:eastAsia="zh-CN"/>
        </w:rPr>
        <w:t>浙江省财政厅政府采购监管处</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2.4“投标人”系指响应本次招标，参加本次投标的独立法人。</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2.5“服务”系指采购文件或合同规定投标人须承担的服务以及其他类似的义务。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2.6“实质性条款”系指采购文件条款前标注“▲”标识的条款。</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2.7电子签章：本文件所提及电子签章系指各供应商通过CA锁对投标文件中对应内容进行签章，表明签名人认可其中的内容。</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2.8公章：系指单位法定名称章。</w:t>
      </w:r>
    </w:p>
    <w:p>
      <w:pPr>
        <w:adjustRightInd w:val="0"/>
        <w:snapToGrid w:val="0"/>
        <w:spacing w:line="360" w:lineRule="auto"/>
        <w:ind w:firstLine="420" w:firstLineChars="200"/>
        <w:rPr>
          <w:rFonts w:hint="eastAsia" w:eastAsia="宋体"/>
          <w:color w:val="auto"/>
          <w:highlight w:val="none"/>
          <w:lang w:val="en-US" w:eastAsia="zh-CN"/>
        </w:rPr>
      </w:pPr>
      <w:r>
        <w:rPr>
          <w:rFonts w:hint="eastAsia" w:ascii="宋体" w:hAnsi="宋体" w:eastAsia="宋体" w:cs="宋体"/>
          <w:snapToGrid w:val="0"/>
          <w:color w:val="auto"/>
          <w:kern w:val="0"/>
          <w:szCs w:val="21"/>
          <w:highlight w:val="none"/>
          <w:lang w:val="en-US" w:eastAsia="zh-CN"/>
        </w:rPr>
        <w:t>2.9</w:t>
      </w:r>
      <w:r>
        <w:rPr>
          <w:rFonts w:hint="eastAsia" w:ascii="宋体" w:hAnsi="宋体"/>
          <w:snapToGrid w:val="0"/>
          <w:color w:val="auto"/>
          <w:kern w:val="0"/>
          <w:szCs w:val="21"/>
          <w:highlight w:val="none"/>
        </w:rPr>
        <w:t>官方指定网站公示的内容视为书面告知</w:t>
      </w:r>
      <w:r>
        <w:rPr>
          <w:rFonts w:hint="eastAsia" w:ascii="宋体" w:hAnsi="宋体"/>
          <w:snapToGrid w:val="0"/>
          <w:color w:val="auto"/>
          <w:kern w:val="0"/>
          <w:szCs w:val="21"/>
          <w:highlight w:val="none"/>
          <w:lang w:eastAsia="zh-CN"/>
        </w:rPr>
        <w:t>。</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3．合格的投标人及合格的投标货物和服务</w:t>
      </w:r>
    </w:p>
    <w:p>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3.1合格的投标人，详见采购公告第</w:t>
      </w:r>
      <w:r>
        <w:rPr>
          <w:rFonts w:hint="eastAsia" w:ascii="宋体" w:hAnsi="宋体" w:eastAsia="宋体" w:cs="宋体"/>
          <w:snapToGrid w:val="0"/>
          <w:color w:val="auto"/>
          <w:kern w:val="0"/>
          <w:highlight w:val="none"/>
          <w:lang w:eastAsia="zh-CN"/>
        </w:rPr>
        <w:t>二</w:t>
      </w:r>
      <w:r>
        <w:rPr>
          <w:rFonts w:hint="eastAsia" w:ascii="宋体" w:hAnsi="宋体" w:eastAsia="宋体" w:cs="宋体"/>
          <w:snapToGrid w:val="0"/>
          <w:color w:val="auto"/>
          <w:kern w:val="0"/>
          <w:highlight w:val="none"/>
        </w:rPr>
        <w:t>条规定的投标人必须具备的资格条件并经采购人或采购代理机构审查通过的。</w:t>
      </w:r>
    </w:p>
    <w:p>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3.2对投标人的限制</w:t>
      </w:r>
    </w:p>
    <w:p>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3.2.3以联合体形式参加政府采购活动的，联合体各方不得再单独参加或者与其他投标人另外组成联合体参加同一合同项下的政府采购活动；</w:t>
      </w:r>
    </w:p>
    <w:p>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3.2.4为证明投标人拥有的业绩、荣誉、知识产权、项目案例等而在投标文件中提供的证明材料必须为投标人自身所有。不同法人、其他组织的资料与投标人无关。</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4．相关说明</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 投标费用</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投标人应承担其参加投标所涉及的一切费用，不管投标结果如何，采购人对这些费用不负任何责任。</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4.3投标人投标所使用的资格、信誉、荣誉、业绩与企业认证必须为本法人所拥有。投标人投标拟派项目实施人员必须为本法人员工。</w:t>
      </w:r>
    </w:p>
    <w:p>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4.4投标人应仔细阅读采购文件的所有内容，按照采购文件的要求提交投标文件，并对所提供的全部资料的真实性承担法律责任。</w:t>
      </w:r>
    </w:p>
    <w:p>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4.5投标人在投标活动中提供任何虚假材料,其投标无效，并报监管部门查处；中标后发现的,按《政府采购货物和服务招标投标管理办法》</w:t>
      </w:r>
      <w:r>
        <w:rPr>
          <w:rFonts w:hint="eastAsia" w:ascii="宋体" w:hAnsi="宋体" w:eastAsia="宋体" w:cs="宋体"/>
          <w:b/>
          <w:bCs/>
          <w:snapToGrid w:val="0"/>
          <w:color w:val="auto"/>
          <w:kern w:val="0"/>
          <w:szCs w:val="21"/>
          <w:highlight w:val="none"/>
          <w:lang w:eastAsia="zh-CN"/>
        </w:rPr>
        <w:t>（</w:t>
      </w:r>
      <w:r>
        <w:rPr>
          <w:rFonts w:hint="eastAsia" w:ascii="宋体" w:hAnsi="宋体" w:eastAsia="宋体" w:cs="宋体"/>
          <w:b/>
          <w:bCs/>
          <w:snapToGrid w:val="0"/>
          <w:color w:val="auto"/>
          <w:kern w:val="0"/>
          <w:szCs w:val="21"/>
          <w:highlight w:val="none"/>
          <w:lang w:val="en-US" w:eastAsia="zh-CN"/>
        </w:rPr>
        <w:t>财政部令第87号</w:t>
      </w:r>
      <w:r>
        <w:rPr>
          <w:rFonts w:hint="eastAsia" w:ascii="宋体" w:hAnsi="宋体" w:eastAsia="宋体" w:cs="宋体"/>
          <w:b/>
          <w:bCs/>
          <w:snapToGrid w:val="0"/>
          <w:color w:val="auto"/>
          <w:kern w:val="0"/>
          <w:szCs w:val="21"/>
          <w:highlight w:val="none"/>
          <w:lang w:eastAsia="zh-CN"/>
        </w:rPr>
        <w:t>）</w:t>
      </w:r>
      <w:r>
        <w:rPr>
          <w:rFonts w:hint="eastAsia" w:ascii="宋体" w:hAnsi="宋体" w:eastAsia="宋体" w:cs="宋体"/>
          <w:b/>
          <w:bCs/>
          <w:snapToGrid w:val="0"/>
          <w:color w:val="auto"/>
          <w:kern w:val="0"/>
          <w:szCs w:val="21"/>
          <w:highlight w:val="none"/>
        </w:rPr>
        <w:t>相关规定承担相应的法律责任。</w:t>
      </w:r>
    </w:p>
    <w:p>
      <w:pPr>
        <w:numPr>
          <w:ilvl w:val="0"/>
          <w:numId w:val="0"/>
        </w:numPr>
        <w:adjustRightInd w:val="0"/>
        <w:snapToGrid w:val="0"/>
        <w:spacing w:line="360" w:lineRule="auto"/>
        <w:ind w:left="0" w:leftChars="0"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Cs w:val="21"/>
          <w:highlight w:val="none"/>
          <w:lang w:val="en-US" w:eastAsia="zh-CN"/>
        </w:rPr>
        <w:t>4.6</w:t>
      </w:r>
      <w:r>
        <w:rPr>
          <w:rFonts w:hint="eastAsia" w:ascii="宋体" w:hAnsi="宋体" w:eastAsia="宋体" w:cs="宋体"/>
          <w:b/>
          <w:bCs/>
          <w:snapToGrid w:val="0"/>
          <w:color w:val="auto"/>
          <w:kern w:val="0"/>
          <w:sz w:val="21"/>
          <w:szCs w:val="21"/>
          <w:highlight w:val="none"/>
        </w:rPr>
        <w:t>采购人优先采购被认定为首台套产品和“制造精品”的自主创新产品。对省级以上主管部门认定的首台套产品，自纳入《省推广应用指导目录》起三年内参加政府采购活动,视同已具备相应销售业绩,业绩分为满分。</w:t>
      </w:r>
    </w:p>
    <w:p>
      <w:pPr>
        <w:numPr>
          <w:ilvl w:val="0"/>
          <w:numId w:val="0"/>
        </w:numPr>
        <w:adjustRightInd w:val="0"/>
        <w:snapToGrid w:val="0"/>
        <w:spacing w:line="360" w:lineRule="auto"/>
        <w:ind w:left="0" w:leftChars="0" w:firstLine="422" w:firstLineChars="200"/>
        <w:rPr>
          <w:rFonts w:hint="eastAsia" w:ascii="宋体" w:hAnsi="宋体" w:eastAsia="宋体" w:cs="宋体"/>
          <w:b/>
          <w:bCs/>
          <w:snapToGrid w:val="0"/>
          <w:color w:val="auto"/>
          <w:kern w:val="0"/>
          <w:sz w:val="21"/>
          <w:szCs w:val="21"/>
          <w:highlight w:val="none"/>
        </w:rPr>
      </w:pPr>
    </w:p>
    <w:p>
      <w:pPr>
        <w:pStyle w:val="9"/>
        <w:rPr>
          <w:rFonts w:hint="default" w:eastAsia="宋体"/>
          <w:color w:val="auto"/>
          <w:highlight w:val="none"/>
          <w:lang w:val="en-US" w:eastAsia="zh-CN"/>
        </w:rPr>
      </w:pP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16" w:name="_Toc251566651"/>
      <w:bookmarkStart w:id="17" w:name="_Toc240450078"/>
      <w:bookmarkStart w:id="18" w:name="_Toc22750"/>
      <w:bookmarkStart w:id="19" w:name="_Toc3702"/>
      <w:bookmarkStart w:id="20" w:name="_Toc27862"/>
      <w:bookmarkStart w:id="21" w:name="_Toc5852"/>
      <w:r>
        <w:rPr>
          <w:rFonts w:hint="eastAsia" w:ascii="宋体" w:hAnsi="宋体" w:eastAsia="宋体" w:cs="宋体"/>
          <w:color w:val="auto"/>
          <w:sz w:val="21"/>
          <w:szCs w:val="21"/>
          <w:highlight w:val="none"/>
        </w:rPr>
        <w:t>二、</w:t>
      </w:r>
      <w:bookmarkEnd w:id="16"/>
      <w:bookmarkEnd w:id="17"/>
      <w:r>
        <w:rPr>
          <w:rFonts w:hint="eastAsia" w:ascii="宋体" w:hAnsi="宋体" w:eastAsia="宋体" w:cs="宋体"/>
          <w:color w:val="auto"/>
          <w:sz w:val="21"/>
          <w:szCs w:val="21"/>
          <w:highlight w:val="none"/>
        </w:rPr>
        <w:t>采购文件</w:t>
      </w:r>
      <w:bookmarkEnd w:id="18"/>
      <w:bookmarkEnd w:id="19"/>
      <w:bookmarkEnd w:id="20"/>
      <w:bookmarkEnd w:id="21"/>
    </w:p>
    <w:p>
      <w:pPr>
        <w:adjustRightInd w:val="0"/>
        <w:snapToGrid w:val="0"/>
        <w:spacing w:before="120" w:beforeLines="50"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5．采购文件构成</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本采购文件包括目录所示内容及所有按本须知第6、7条发出的补充资料。</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5.4 本采购文件由采购人或采购代理机构依据相关法律、法规、规章、省市规定及采购文件进行解释。</w:t>
      </w:r>
    </w:p>
    <w:p>
      <w:pPr>
        <w:adjustRightInd w:val="0"/>
        <w:snapToGrid w:val="0"/>
        <w:spacing w:before="120" w:beforeLines="50"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6．采购文件的澄清</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 投标人在</w:t>
      </w:r>
      <w:r>
        <w:rPr>
          <w:rFonts w:hint="eastAsia" w:ascii="宋体" w:hAnsi="宋体" w:eastAsia="宋体" w:cs="宋体"/>
          <w:snapToGrid w:val="0"/>
          <w:color w:val="auto"/>
          <w:kern w:val="0"/>
          <w:szCs w:val="21"/>
          <w:highlight w:val="none"/>
          <w:lang w:val="en-US" w:eastAsia="zh-CN"/>
        </w:rPr>
        <w:t>获取</w:t>
      </w:r>
      <w:r>
        <w:rPr>
          <w:rFonts w:hint="eastAsia" w:ascii="宋体" w:hAnsi="宋体" w:cs="宋体"/>
          <w:snapToGrid w:val="0"/>
          <w:color w:val="auto"/>
          <w:kern w:val="0"/>
          <w:szCs w:val="21"/>
          <w:highlight w:val="none"/>
        </w:rPr>
        <w:t>采购文件后，若有问题需要澄清或认为有必要与采购人进行技术交流，应于前附表规定的时间前，将问题传真至</w:t>
      </w:r>
      <w:r>
        <w:rPr>
          <w:rFonts w:hint="eastAsia" w:ascii="宋体" w:hAnsi="宋体" w:cs="宋体"/>
          <w:snapToGrid w:val="0"/>
          <w:color w:val="auto"/>
          <w:kern w:val="0"/>
          <w:szCs w:val="21"/>
          <w:highlight w:val="none"/>
          <w:u w:val="single"/>
          <w:lang w:val="en-US" w:eastAsia="zh-CN"/>
        </w:rPr>
        <w:t xml:space="preserve"> 0571-88473430 </w:t>
      </w:r>
      <w:r>
        <w:rPr>
          <w:rFonts w:hint="eastAsia" w:ascii="宋体" w:hAnsi="宋体" w:cs="宋体"/>
          <w:snapToGrid w:val="0"/>
          <w:color w:val="auto"/>
          <w:kern w:val="0"/>
          <w:szCs w:val="21"/>
          <w:highlight w:val="none"/>
        </w:rPr>
        <w:t>，同时将问题发电子邮件至</w:t>
      </w:r>
      <w:r>
        <w:rPr>
          <w:rFonts w:hint="eastAsia" w:ascii="宋体" w:hAnsi="宋体" w:cs="宋体"/>
          <w:snapToGrid w:val="0"/>
          <w:color w:val="auto"/>
          <w:kern w:val="0"/>
          <w:szCs w:val="21"/>
          <w:highlight w:val="none"/>
          <w:u w:val="single"/>
          <w:lang w:val="en-US" w:eastAsia="zh-CN"/>
        </w:rPr>
        <w:t xml:space="preserve"> 22553113@qq.com </w:t>
      </w:r>
      <w:r>
        <w:rPr>
          <w:rFonts w:hint="eastAsia" w:ascii="宋体" w:hAnsi="宋体" w:cs="宋体"/>
          <w:snapToGrid w:val="0"/>
          <w:color w:val="auto"/>
          <w:kern w:val="0"/>
          <w:szCs w:val="21"/>
          <w:highlight w:val="none"/>
        </w:rPr>
        <w:t>（电子邮件与书面文件有不一致的，以书面文件为准）。截止期后的疑问将不予受理、答复。</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 投标人要求解释或澄清的问题应以书面</w:t>
      </w:r>
      <w:r>
        <w:rPr>
          <w:rFonts w:hint="eastAsia" w:ascii="宋体" w:hAnsi="宋体" w:cs="宋体"/>
          <w:snapToGrid w:val="0"/>
          <w:color w:val="auto"/>
          <w:kern w:val="0"/>
          <w:szCs w:val="21"/>
          <w:highlight w:val="none"/>
          <w:lang w:eastAsia="zh-CN"/>
        </w:rPr>
        <w:t>或邮件</w:t>
      </w:r>
      <w:r>
        <w:rPr>
          <w:rFonts w:hint="eastAsia" w:ascii="宋体" w:hAnsi="宋体" w:cs="宋体"/>
          <w:snapToGrid w:val="0"/>
          <w:color w:val="auto"/>
          <w:kern w:val="0"/>
          <w:szCs w:val="21"/>
          <w:highlight w:val="none"/>
        </w:rPr>
        <w:t>形式</w:t>
      </w:r>
      <w:r>
        <w:rPr>
          <w:rFonts w:hint="eastAsia" w:ascii="宋体" w:hAnsi="宋体" w:cs="宋体"/>
          <w:snapToGrid w:val="0"/>
          <w:color w:val="auto"/>
          <w:kern w:val="0"/>
          <w:szCs w:val="21"/>
          <w:highlight w:val="none"/>
          <w:lang w:eastAsia="zh-CN"/>
        </w:rPr>
        <w:t>提交</w:t>
      </w:r>
      <w:r>
        <w:rPr>
          <w:rFonts w:hint="eastAsia" w:ascii="宋体" w:hAnsi="宋体" w:cs="宋体"/>
          <w:snapToGrid w:val="0"/>
          <w:color w:val="auto"/>
          <w:kern w:val="0"/>
          <w:szCs w:val="21"/>
          <w:highlight w:val="none"/>
        </w:rPr>
        <w:t>，并加盖公章、写明日期。</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6.3 所有要求解释或澄清的问题都予以解答，答疑</w:t>
      </w:r>
      <w:r>
        <w:rPr>
          <w:rFonts w:hint="eastAsia" w:ascii="宋体" w:hAnsi="宋体" w:eastAsia="宋体" w:cs="宋体"/>
          <w:snapToGrid w:val="0"/>
          <w:color w:val="auto"/>
          <w:kern w:val="0"/>
          <w:szCs w:val="21"/>
          <w:highlight w:val="none"/>
          <w:lang w:val="en-US" w:eastAsia="zh-CN"/>
        </w:rPr>
        <w:t>内容</w:t>
      </w:r>
      <w:r>
        <w:rPr>
          <w:rFonts w:hint="eastAsia" w:ascii="宋体" w:hAnsi="宋体" w:cs="宋体"/>
          <w:snapToGrid w:val="0"/>
          <w:color w:val="auto"/>
          <w:kern w:val="0"/>
          <w:szCs w:val="21"/>
          <w:highlight w:val="none"/>
        </w:rPr>
        <w:t>与补充</w:t>
      </w:r>
      <w:r>
        <w:rPr>
          <w:rFonts w:hint="eastAsia" w:ascii="宋体" w:hAnsi="宋体" w:eastAsia="宋体" w:cs="宋体"/>
          <w:snapToGrid w:val="0"/>
          <w:color w:val="auto"/>
          <w:kern w:val="0"/>
          <w:szCs w:val="21"/>
          <w:highlight w:val="none"/>
          <w:lang w:val="en-US" w:eastAsia="zh-CN"/>
        </w:rPr>
        <w:t>内容</w:t>
      </w:r>
      <w:r>
        <w:rPr>
          <w:rFonts w:hint="eastAsia" w:ascii="宋体" w:hAnsi="宋体" w:cs="宋体"/>
          <w:snapToGrid w:val="0"/>
          <w:color w:val="auto"/>
          <w:kern w:val="0"/>
          <w:szCs w:val="21"/>
          <w:highlight w:val="none"/>
        </w:rPr>
        <w:t>以</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cs="宋体"/>
          <w:snapToGrid w:val="0"/>
          <w:color w:val="auto"/>
          <w:kern w:val="0"/>
          <w:szCs w:val="21"/>
          <w:highlight w:val="none"/>
        </w:rPr>
        <w:t>形式告知所有</w:t>
      </w:r>
      <w:r>
        <w:rPr>
          <w:rFonts w:hint="eastAsia" w:ascii="宋体" w:hAnsi="宋体" w:cs="宋体"/>
          <w:snapToGrid w:val="0"/>
          <w:color w:val="auto"/>
          <w:kern w:val="0"/>
          <w:szCs w:val="21"/>
          <w:highlight w:val="none"/>
          <w:lang w:eastAsia="zh-CN"/>
        </w:rPr>
        <w:t>获取</w:t>
      </w:r>
      <w:r>
        <w:rPr>
          <w:rFonts w:hint="eastAsia" w:ascii="宋体" w:hAnsi="宋体" w:cs="宋体"/>
          <w:snapToGrid w:val="0"/>
          <w:color w:val="auto"/>
          <w:kern w:val="0"/>
          <w:szCs w:val="21"/>
          <w:highlight w:val="none"/>
        </w:rPr>
        <w:t>采购文件的投标人。</w:t>
      </w:r>
    </w:p>
    <w:p>
      <w:pPr>
        <w:adjustRightInd w:val="0"/>
        <w:snapToGrid w:val="0"/>
        <w:spacing w:before="120" w:beforeLines="50"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7．采购文件的修改</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 采购人或者采购代理机构可以对已发出的采购文件进行必要的澄清或者修改。澄清或者修改的内容可能影响投标文件编制的，采购人或者采购代理机构应当在投标截止时间至少15日前，以</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cs="宋体"/>
          <w:snapToGrid w:val="0"/>
          <w:color w:val="auto"/>
          <w:kern w:val="0"/>
          <w:szCs w:val="21"/>
          <w:highlight w:val="none"/>
        </w:rPr>
        <w:t>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7.2 采购文件的修改将以</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cs="宋体"/>
          <w:snapToGrid w:val="0"/>
          <w:color w:val="auto"/>
          <w:kern w:val="0"/>
          <w:szCs w:val="21"/>
          <w:highlight w:val="none"/>
        </w:rPr>
        <w:t>通知所有</w:t>
      </w:r>
      <w:r>
        <w:rPr>
          <w:rFonts w:hint="eastAsia" w:ascii="宋体" w:hAnsi="宋体" w:cs="宋体"/>
          <w:snapToGrid w:val="0"/>
          <w:color w:val="auto"/>
          <w:kern w:val="0"/>
          <w:szCs w:val="21"/>
          <w:highlight w:val="none"/>
          <w:lang w:eastAsia="zh-CN"/>
        </w:rPr>
        <w:t>获取</w:t>
      </w:r>
      <w:r>
        <w:rPr>
          <w:rFonts w:hint="eastAsia" w:ascii="宋体" w:hAnsi="宋体" w:cs="宋体"/>
          <w:snapToGrid w:val="0"/>
          <w:color w:val="auto"/>
          <w:kern w:val="0"/>
          <w:szCs w:val="21"/>
          <w:highlight w:val="none"/>
        </w:rPr>
        <w:t>采购文件的投标人，并对其具有约束力。</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人应及时关注浙江政府采购网上该项目的公告信息</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 在</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cs="宋体"/>
          <w:snapToGrid w:val="0"/>
          <w:color w:val="auto"/>
          <w:kern w:val="0"/>
          <w:szCs w:val="21"/>
          <w:highlight w:val="none"/>
        </w:rPr>
        <w:t>发布后，如果投标人认为</w:t>
      </w:r>
      <w:r>
        <w:rPr>
          <w:rFonts w:hint="eastAsia" w:ascii="宋体" w:hAnsi="宋体" w:cs="宋体"/>
          <w:snapToGrid w:val="0"/>
          <w:color w:val="auto"/>
          <w:kern w:val="0"/>
          <w:szCs w:val="21"/>
          <w:highlight w:val="none"/>
          <w:lang w:val="en-US" w:eastAsia="zh-CN"/>
        </w:rPr>
        <w:t>编制</w:t>
      </w:r>
      <w:r>
        <w:rPr>
          <w:rFonts w:hint="eastAsia" w:ascii="宋体" w:hAnsi="宋体" w:cs="宋体"/>
          <w:snapToGrid w:val="0"/>
          <w:color w:val="auto"/>
          <w:kern w:val="0"/>
          <w:szCs w:val="21"/>
          <w:highlight w:val="none"/>
        </w:rPr>
        <w:t>投标文件的时间不充分的，必须在</w:t>
      </w:r>
      <w:r>
        <w:rPr>
          <w:rFonts w:hint="eastAsia" w:ascii="宋体" w:hAnsi="宋体" w:cs="宋体"/>
          <w:snapToGrid w:val="0"/>
          <w:color w:val="auto"/>
          <w:kern w:val="0"/>
          <w:szCs w:val="21"/>
          <w:highlight w:val="none"/>
          <w:lang w:val="en-US" w:eastAsia="zh-CN"/>
        </w:rPr>
        <w:t>公告发布之日的</w:t>
      </w:r>
      <w:r>
        <w:rPr>
          <w:rFonts w:hint="eastAsia" w:ascii="宋体" w:hAnsi="宋体" w:cs="宋体"/>
          <w:snapToGrid w:val="0"/>
          <w:color w:val="auto"/>
          <w:kern w:val="0"/>
          <w:szCs w:val="21"/>
          <w:highlight w:val="none"/>
        </w:rPr>
        <w:t>24小时内通知采购人和采购代理机构。否则，视同投标人有充足时间编制投标文件。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r>
        <w:rPr>
          <w:rFonts w:hint="eastAsia" w:ascii="宋体" w:hAnsi="宋体" w:cs="宋体"/>
          <w:snapToGrid w:val="0"/>
          <w:color w:val="auto"/>
          <w:kern w:val="0"/>
          <w:szCs w:val="21"/>
          <w:highlight w:val="none"/>
          <w:lang w:val="en-US" w:eastAsia="zh-CN"/>
        </w:rPr>
        <w:t>4</w:t>
      </w:r>
      <w:r>
        <w:rPr>
          <w:rFonts w:hint="eastAsia" w:ascii="宋体" w:hAnsi="宋体" w:cs="宋体"/>
          <w:snapToGrid w:val="0"/>
          <w:color w:val="auto"/>
          <w:kern w:val="0"/>
          <w:szCs w:val="21"/>
          <w:highlight w:val="none"/>
        </w:rPr>
        <w:t>采购文件澄清、答复、修改、补充的内容为采购文件的组成部分。当采购文件与采购文件的答复、澄清、修改、补充通知就同一内容的表述不一致时，以最后发出的</w:t>
      </w:r>
      <w:r>
        <w:rPr>
          <w:rFonts w:hint="eastAsia" w:ascii="宋体" w:hAnsi="宋体" w:eastAsia="宋体" w:cs="宋体"/>
          <w:snapToGrid w:val="0"/>
          <w:color w:val="auto"/>
          <w:kern w:val="0"/>
          <w:szCs w:val="21"/>
          <w:highlight w:val="none"/>
          <w:lang w:val="en-US" w:eastAsia="zh-CN"/>
        </w:rPr>
        <w:t>更正（澄清）公告</w:t>
      </w:r>
      <w:r>
        <w:rPr>
          <w:rFonts w:hint="eastAsia" w:ascii="宋体" w:hAnsi="宋体" w:cs="宋体"/>
          <w:snapToGrid w:val="0"/>
          <w:color w:val="auto"/>
          <w:kern w:val="0"/>
          <w:szCs w:val="21"/>
          <w:highlight w:val="none"/>
        </w:rPr>
        <w:t>为准。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7.6 采购文件的澄清、答复、修改或补充都应该通过本代理机构以法定形式发布，除此以外的发布不属于采购文件的组成部分。</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22" w:name="_Toc24173"/>
      <w:bookmarkStart w:id="23" w:name="_Toc8352"/>
      <w:bookmarkStart w:id="24" w:name="_Toc12860"/>
      <w:bookmarkStart w:id="25" w:name="_Toc240450079"/>
      <w:bookmarkStart w:id="26" w:name="_Toc251566652"/>
      <w:bookmarkStart w:id="27" w:name="_Toc31368"/>
      <w:r>
        <w:rPr>
          <w:rFonts w:hint="eastAsia" w:ascii="宋体" w:hAnsi="宋体" w:eastAsia="宋体" w:cs="宋体"/>
          <w:color w:val="auto"/>
          <w:sz w:val="21"/>
          <w:szCs w:val="21"/>
          <w:highlight w:val="none"/>
        </w:rPr>
        <w:t>三、投标文件的编制</w:t>
      </w:r>
      <w:bookmarkEnd w:id="22"/>
      <w:bookmarkEnd w:id="23"/>
      <w:bookmarkEnd w:id="24"/>
      <w:bookmarkEnd w:id="25"/>
      <w:bookmarkEnd w:id="26"/>
      <w:bookmarkEnd w:id="27"/>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lang w:val="en-US" w:eastAsia="zh-CN"/>
        </w:rPr>
      </w:pPr>
      <w:r>
        <w:rPr>
          <w:rFonts w:hint="eastAsia" w:ascii="宋体" w:hAnsi="宋体" w:eastAsia="宋体" w:cs="宋体"/>
          <w:b/>
          <w:snapToGrid w:val="0"/>
          <w:color w:val="auto"/>
          <w:kern w:val="0"/>
          <w:szCs w:val="21"/>
          <w:highlight w:val="none"/>
        </w:rPr>
        <w:t>8．投标文件的语言、计量单位、形式及效力</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lang w:val="en-US" w:eastAsia="zh-CN"/>
        </w:rPr>
        <w:t>8.1</w:t>
      </w:r>
      <w:r>
        <w:rPr>
          <w:rFonts w:hint="eastAsia" w:ascii="宋体" w:hAnsi="宋体" w:eastAsia="宋体" w:cs="宋体"/>
          <w:b/>
          <w:snapToGrid w:val="0"/>
          <w:color w:val="auto"/>
          <w:kern w:val="0"/>
          <w:szCs w:val="21"/>
          <w:highlight w:val="none"/>
        </w:rPr>
        <w:t>语言及计量单位</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8.1</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 xml:space="preserve">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2 除采购文件另有规定外，投标文件所使用的计量单位，均须采用中华人民共和国法定计量单位，否则视同未响应。</w:t>
      </w:r>
    </w:p>
    <w:p>
      <w:pPr>
        <w:adjustRightInd w:val="0"/>
        <w:snapToGrid w:val="0"/>
        <w:spacing w:before="120" w:beforeLines="50"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lang w:val="en-US" w:eastAsia="zh-CN"/>
        </w:rPr>
        <w:t>8.2</w:t>
      </w:r>
      <w:r>
        <w:rPr>
          <w:rFonts w:hint="eastAsia" w:ascii="宋体" w:hAnsi="宋体" w:eastAsia="宋体" w:cs="宋体"/>
          <w:b/>
          <w:snapToGrid w:val="0"/>
          <w:color w:val="auto"/>
          <w:kern w:val="0"/>
          <w:szCs w:val="21"/>
          <w:highlight w:val="none"/>
        </w:rPr>
        <w:t>投标文件的形式和效力</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8.2.1</w:t>
      </w:r>
      <w:r>
        <w:rPr>
          <w:rFonts w:hint="eastAsia" w:ascii="宋体" w:hAnsi="宋体" w:eastAsia="宋体" w:cs="宋体"/>
          <w:snapToGrid w:val="0"/>
          <w:color w:val="auto"/>
          <w:kern w:val="0"/>
          <w:szCs w:val="21"/>
          <w:highlight w:val="none"/>
        </w:rPr>
        <w:t>投标文件为电子投标文件，电子投标文件按“政采云供应商项目采购-电子招投标操作指南”及本招标文件要求制作、加密传输。</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8.2.2</w:t>
      </w:r>
      <w:r>
        <w:rPr>
          <w:rFonts w:hint="eastAsia" w:ascii="宋体" w:hAnsi="宋体" w:eastAsia="宋体" w:cs="宋体"/>
          <w:snapToGrid w:val="0"/>
          <w:color w:val="auto"/>
          <w:kern w:val="0"/>
          <w:szCs w:val="21"/>
          <w:highlight w:val="none"/>
        </w:rPr>
        <w:t>投标文件未在投标截止时间前完成传输的，视为</w:t>
      </w:r>
      <w:r>
        <w:rPr>
          <w:rFonts w:hint="eastAsia" w:ascii="宋体" w:hAnsi="宋体" w:eastAsia="宋体" w:cs="宋体"/>
          <w:snapToGrid w:val="0"/>
          <w:color w:val="auto"/>
          <w:kern w:val="0"/>
          <w:szCs w:val="21"/>
          <w:highlight w:val="none"/>
          <w:lang w:val="en-US" w:eastAsia="zh-CN"/>
        </w:rPr>
        <w:t>未按时递交投标文件；</w:t>
      </w:r>
      <w:r>
        <w:rPr>
          <w:rFonts w:hint="eastAsia" w:ascii="宋体" w:hAnsi="宋体" w:eastAsia="宋体" w:cs="宋体"/>
          <w:snapToGrid w:val="0"/>
          <w:color w:val="auto"/>
          <w:kern w:val="0"/>
          <w:szCs w:val="21"/>
          <w:highlight w:val="none"/>
        </w:rPr>
        <w:t>投标文件未按时解密，视为投标文件撤回。</w:t>
      </w:r>
    </w:p>
    <w:p>
      <w:pPr>
        <w:adjustRightInd w:val="0"/>
        <w:snapToGrid w:val="0"/>
        <w:spacing w:before="120" w:beforeLines="50"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9．投标文件构成</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投标人向采购人递交的投标文件均由</w:t>
      </w:r>
      <w:r>
        <w:rPr>
          <w:rFonts w:hint="eastAsia" w:ascii="宋体" w:hAnsi="宋体" w:eastAsia="宋体" w:cs="宋体"/>
          <w:b/>
          <w:bCs/>
          <w:snapToGrid w:val="0"/>
          <w:color w:val="auto"/>
          <w:kern w:val="0"/>
          <w:szCs w:val="21"/>
          <w:highlight w:val="none"/>
          <w:lang w:eastAsia="zh-CN"/>
        </w:rPr>
        <w:t>资格文件</w:t>
      </w:r>
      <w:r>
        <w:rPr>
          <w:rFonts w:hint="eastAsia" w:ascii="宋体" w:hAnsi="宋体" w:eastAsia="宋体" w:cs="宋体"/>
          <w:b/>
          <w:bCs/>
          <w:snapToGrid w:val="0"/>
          <w:color w:val="auto"/>
          <w:kern w:val="0"/>
          <w:szCs w:val="21"/>
          <w:highlight w:val="none"/>
        </w:rPr>
        <w:t>、</w:t>
      </w:r>
      <w:r>
        <w:rPr>
          <w:rFonts w:hint="eastAsia" w:ascii="宋体" w:hAnsi="宋体" w:eastAsia="宋体" w:cs="宋体"/>
          <w:b/>
          <w:bCs/>
          <w:snapToGrid w:val="0"/>
          <w:color w:val="auto"/>
          <w:kern w:val="0"/>
          <w:szCs w:val="21"/>
          <w:highlight w:val="none"/>
          <w:lang w:eastAsia="zh-CN"/>
        </w:rPr>
        <w:t>商务技术文件、报价文件</w:t>
      </w:r>
      <w:r>
        <w:rPr>
          <w:rFonts w:hint="eastAsia" w:ascii="宋体" w:hAnsi="宋体" w:eastAsia="宋体" w:cs="宋体"/>
          <w:snapToGrid w:val="0"/>
          <w:color w:val="auto"/>
          <w:kern w:val="0"/>
          <w:szCs w:val="21"/>
          <w:highlight w:val="none"/>
        </w:rPr>
        <w:t>组成，具体内容如下：</w:t>
      </w:r>
    </w:p>
    <w:p>
      <w:pPr>
        <w:autoSpaceDE w:val="0"/>
        <w:autoSpaceDN w:val="0"/>
        <w:adjustRightInd w:val="0"/>
        <w:snapToGrid w:val="0"/>
        <w:spacing w:line="360" w:lineRule="auto"/>
        <w:ind w:firstLine="422" w:firstLineChars="200"/>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9.1资格文件</w:t>
      </w:r>
    </w:p>
    <w:p>
      <w:pPr>
        <w:tabs>
          <w:tab w:val="left" w:pos="720"/>
        </w:tabs>
        <w:adjustRightInd w:val="0"/>
        <w:snapToGrid w:val="0"/>
        <w:spacing w:line="360" w:lineRule="auto"/>
        <w:ind w:left="420"/>
        <w:jc w:val="left"/>
        <w:rPr>
          <w:rFonts w:hint="eastAsia" w:ascii="宋体" w:hAnsi="宋体" w:eastAsia="宋体" w:cs="宋体"/>
          <w:b w:val="0"/>
          <w:bCs/>
          <w:snapToGrid w:val="0"/>
          <w:color w:val="auto"/>
          <w:kern w:val="0"/>
          <w:szCs w:val="21"/>
          <w:highlight w:val="none"/>
          <w:lang w:eastAsia="zh-CN"/>
        </w:rPr>
      </w:pPr>
      <w:r>
        <w:rPr>
          <w:rFonts w:hint="eastAsia" w:ascii="宋体" w:hAnsi="宋体" w:eastAsia="宋体" w:cs="宋体"/>
          <w:b w:val="0"/>
          <w:bCs/>
          <w:snapToGrid w:val="0"/>
          <w:color w:val="auto"/>
          <w:kern w:val="0"/>
          <w:szCs w:val="21"/>
          <w:highlight w:val="none"/>
          <w:lang w:eastAsia="zh-CN"/>
        </w:rPr>
        <w:t>如下为资格证明材料所需内容：</w:t>
      </w:r>
    </w:p>
    <w:p>
      <w:pPr>
        <w:tabs>
          <w:tab w:val="left" w:pos="720"/>
        </w:tabs>
        <w:adjustRightInd w:val="0"/>
        <w:snapToGrid w:val="0"/>
        <w:spacing w:line="360" w:lineRule="auto"/>
        <w:ind w:left="42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（1）基本资格条件：符合《中华人民共和国政府采购法》第二十二条的规定；</w:t>
      </w:r>
    </w:p>
    <w:p>
      <w:pPr>
        <w:tabs>
          <w:tab w:val="left" w:pos="720"/>
        </w:tabs>
        <w:adjustRightInd w:val="0"/>
        <w:snapToGrid w:val="0"/>
        <w:spacing w:line="360" w:lineRule="auto"/>
        <w:ind w:firstLine="422" w:firstLineChars="200"/>
        <w:jc w:val="left"/>
        <w:rPr>
          <w:rFonts w:hint="default" w:ascii="宋体" w:hAnsi="宋体" w:eastAsia="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rPr>
        <w:t>各投标人须在投标文件中出具对应证明材料。</w:t>
      </w:r>
      <w:r>
        <w:rPr>
          <w:rFonts w:hint="eastAsia" w:ascii="宋体" w:hAnsi="宋体" w:eastAsia="宋体" w:cs="宋体"/>
          <w:b/>
          <w:snapToGrid w:val="0"/>
          <w:color w:val="auto"/>
          <w:kern w:val="0"/>
          <w:szCs w:val="21"/>
          <w:highlight w:val="none"/>
          <w:lang w:eastAsia="zh-CN"/>
        </w:rPr>
        <w:t>（</w:t>
      </w:r>
      <w:r>
        <w:rPr>
          <w:rFonts w:hint="eastAsia" w:ascii="宋体" w:hAnsi="宋体" w:eastAsia="宋体" w:cs="宋体"/>
          <w:b/>
          <w:snapToGrid w:val="0"/>
          <w:color w:val="auto"/>
          <w:kern w:val="0"/>
          <w:szCs w:val="21"/>
          <w:highlight w:val="none"/>
          <w:lang w:val="en-US" w:eastAsia="zh-CN"/>
        </w:rPr>
        <w:t>商业信誉可提前自查，投标文件中可不提供）</w:t>
      </w:r>
    </w:p>
    <w:p>
      <w:pPr>
        <w:pStyle w:val="17"/>
        <w:numPr>
          <w:ilvl w:val="0"/>
          <w:numId w:val="7"/>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具有独立承担民事责任能力的证明材料；</w:t>
      </w:r>
    </w:p>
    <w:p>
      <w:pPr>
        <w:pStyle w:val="17"/>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投标人须在投标文件中出具符合以下情况的证明材料复印件（五选一）：</w:t>
      </w:r>
    </w:p>
    <w:p>
      <w:pPr>
        <w:pStyle w:val="17"/>
        <w:numPr>
          <w:ilvl w:val="0"/>
          <w:numId w:val="8"/>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如投标人是企业（包括合伙企业），提供在工商部门注册的有效“企业法人营业执照”或“营业执照”；</w:t>
      </w:r>
    </w:p>
    <w:p>
      <w:pPr>
        <w:pStyle w:val="17"/>
        <w:numPr>
          <w:ilvl w:val="0"/>
          <w:numId w:val="8"/>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如投标人是事业单位，提供有效的“事业单位法人证书”；</w:t>
      </w:r>
    </w:p>
    <w:p>
      <w:pPr>
        <w:pStyle w:val="17"/>
        <w:numPr>
          <w:ilvl w:val="0"/>
          <w:numId w:val="8"/>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如投标人是非企业专业服务机构的，提供执业许可证等证明文件；</w:t>
      </w:r>
    </w:p>
    <w:p>
      <w:pPr>
        <w:pStyle w:val="17"/>
        <w:numPr>
          <w:ilvl w:val="0"/>
          <w:numId w:val="8"/>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如投标人是个体工商户，提供有效的“个体工商户营业执照”；</w:t>
      </w:r>
    </w:p>
    <w:p>
      <w:pPr>
        <w:pStyle w:val="17"/>
        <w:numPr>
          <w:ilvl w:val="0"/>
          <w:numId w:val="8"/>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如投标人是自然人，提供有效的自然人身份证明（居民身份证正反面或公安机关出具的临时居民身份证正反面或港澳台胞证或护照）。</w:t>
      </w:r>
    </w:p>
    <w:p>
      <w:pPr>
        <w:pStyle w:val="17"/>
        <w:numPr>
          <w:ilvl w:val="0"/>
          <w:numId w:val="0"/>
        </w:numPr>
        <w:tabs>
          <w:tab w:val="left" w:pos="630"/>
          <w:tab w:val="left" w:pos="840"/>
          <w:tab w:val="left" w:pos="1050"/>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宋体" w:hAnsi="宋体" w:eastAsia="宋体" w:cs="宋体"/>
          <w:b/>
          <w:bCs/>
          <w:color w:val="auto"/>
          <w:sz w:val="21"/>
          <w:szCs w:val="21"/>
          <w:highlight w:val="none"/>
          <w:lang w:eastAsia="zh-CN"/>
        </w:rPr>
        <w:t>。</w:t>
      </w:r>
    </w:p>
    <w:p>
      <w:pPr>
        <w:pStyle w:val="17"/>
        <w:numPr>
          <w:ilvl w:val="0"/>
          <w:numId w:val="7"/>
        </w:numPr>
        <w:shd w:val="clear" w:color="auto" w:fill="FFFFFF"/>
        <w:tabs>
          <w:tab w:val="left" w:pos="630"/>
          <w:tab w:val="left" w:pos="840"/>
          <w:tab w:val="left" w:pos="1050"/>
        </w:tabs>
        <w:adjustRightInd w:val="0"/>
        <w:snapToGrid w:val="0"/>
        <w:spacing w:before="0" w:beforeAutospacing="0" w:after="0" w:afterAutospacing="0" w:line="360" w:lineRule="auto"/>
        <w:ind w:left="5" w:leftChars="0" w:firstLine="415"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符合参与政府采购活动资格条件的承诺函；（参考格式见本文件第六部分）</w:t>
      </w:r>
    </w:p>
    <w:p>
      <w:pPr>
        <w:pStyle w:val="17"/>
        <w:numPr>
          <w:ilvl w:val="0"/>
          <w:numId w:val="0"/>
        </w:numPr>
        <w:shd w:val="clear" w:color="auto" w:fill="FFFFFF"/>
        <w:tabs>
          <w:tab w:val="left" w:pos="630"/>
          <w:tab w:val="left" w:pos="840"/>
          <w:tab w:val="left" w:pos="1050"/>
        </w:tabs>
        <w:adjustRightInd w:val="0"/>
        <w:snapToGrid w:val="0"/>
        <w:spacing w:before="0" w:beforeAutospacing="0" w:after="0" w:afterAutospacing="0" w:line="360" w:lineRule="auto"/>
        <w:ind w:left="0" w:leftChars="0" w:firstLine="491" w:firstLineChars="23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特别说明：已完成信用修复的“缴纳税收和社会保障等方面的失信记录”不包含在《承诺函》第3点所述情形内（属于重大违法纪录情形的除外）。</w:t>
      </w:r>
    </w:p>
    <w:p>
      <w:pPr>
        <w:pStyle w:val="17"/>
        <w:numPr>
          <w:ilvl w:val="0"/>
          <w:numId w:val="7"/>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商业信誉：</w:t>
      </w:r>
    </w:p>
    <w:p>
      <w:pPr>
        <w:pStyle w:val="17"/>
        <w:adjustRightInd w:val="0"/>
        <w:snapToGrid w:val="0"/>
        <w:spacing w:before="0" w:beforeAutospacing="0" w:after="0" w:afterAutospacing="0" w:line="360" w:lineRule="auto"/>
        <w:ind w:firstLine="416" w:firstLineChars="209"/>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7"/>
        <w:adjustRightInd w:val="0"/>
        <w:snapToGrid w:val="0"/>
        <w:spacing w:before="0" w:beforeAutospacing="0" w:after="0" w:afterAutospacing="0" w:line="360" w:lineRule="auto"/>
        <w:ind w:firstLine="416" w:firstLineChars="209"/>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投标无效，无效投标人的信用记录查询结果截图将作为项目材料的组成部分。</w:t>
      </w:r>
    </w:p>
    <w:p>
      <w:pPr>
        <w:pStyle w:val="17"/>
        <w:adjustRightInd w:val="0"/>
        <w:snapToGrid w:val="0"/>
        <w:spacing w:before="0" w:beforeAutospacing="0" w:after="0" w:afterAutospacing="0" w:line="360" w:lineRule="auto"/>
        <w:ind w:firstLine="416" w:firstLineChars="209"/>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lang w:eastAsia="zh-CN"/>
        </w:rPr>
        <w:t>说明：</w:t>
      </w:r>
      <w:r>
        <w:rPr>
          <w:rFonts w:hint="eastAsia" w:ascii="宋体" w:hAnsi="宋体" w:cs="宋体"/>
          <w:b/>
          <w:color w:val="auto"/>
          <w:spacing w:val="-6"/>
          <w:sz w:val="21"/>
          <w:szCs w:val="21"/>
          <w:highlight w:val="none"/>
        </w:rPr>
        <w:t>较大数额罚款的认定，以判罚机关所在地或相关部门明确的听证范围为准。</w:t>
      </w:r>
    </w:p>
    <w:p>
      <w:pPr>
        <w:keepNext w:val="0"/>
        <w:keepLines w:val="0"/>
        <w:pageBreakBefore w:val="0"/>
        <w:widowControl w:val="0"/>
        <w:numPr>
          <w:ilvl w:val="0"/>
          <w:numId w:val="9"/>
        </w:numPr>
        <w:tabs>
          <w:tab w:val="left" w:pos="720"/>
        </w:tabs>
        <w:kinsoku/>
        <w:wordWrap/>
        <w:overflowPunct/>
        <w:topLinePunct w:val="0"/>
        <w:autoSpaceDE/>
        <w:autoSpaceDN/>
        <w:bidi w:val="0"/>
        <w:adjustRightInd w:val="0"/>
        <w:snapToGrid w:val="0"/>
        <w:spacing w:line="360" w:lineRule="auto"/>
        <w:ind w:left="-2" w:firstLine="422" w:firstLineChars="0"/>
        <w:jc w:val="left"/>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
          <w:snapToGrid w:val="0"/>
          <w:color w:val="auto"/>
          <w:kern w:val="0"/>
          <w:sz w:val="21"/>
          <w:szCs w:val="21"/>
          <w:highlight w:val="none"/>
          <w:lang w:eastAsia="zh-CN"/>
        </w:rPr>
        <w:t>落实政府采购政策需满足的资格要求所对应的证明材料：无</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宋体" w:hAnsi="宋体" w:eastAsia="宋体" w:cs="宋体"/>
          <w:b/>
          <w:i/>
          <w:iCs/>
          <w:snapToGrid w:val="0"/>
          <w:color w:val="auto"/>
          <w:kern w:val="0"/>
          <w:sz w:val="21"/>
          <w:szCs w:val="21"/>
          <w:highlight w:val="none"/>
          <w:lang w:eastAsia="zh-CN"/>
        </w:rPr>
      </w:pPr>
      <w:r>
        <w:rPr>
          <w:rFonts w:hint="eastAsia" w:ascii="宋体" w:hAnsi="宋体" w:eastAsia="宋体" w:cs="宋体"/>
          <w:b/>
          <w:snapToGrid w:val="0"/>
          <w:color w:val="auto"/>
          <w:kern w:val="0"/>
          <w:sz w:val="21"/>
          <w:szCs w:val="21"/>
          <w:highlight w:val="none"/>
          <w:lang w:eastAsia="zh-CN"/>
        </w:rPr>
        <w:t>（</w:t>
      </w:r>
      <w:r>
        <w:rPr>
          <w:rFonts w:hint="eastAsia" w:ascii="宋体" w:hAnsi="宋体" w:eastAsia="宋体" w:cs="宋体"/>
          <w:b/>
          <w:snapToGrid w:val="0"/>
          <w:color w:val="auto"/>
          <w:kern w:val="0"/>
          <w:sz w:val="21"/>
          <w:szCs w:val="21"/>
          <w:highlight w:val="none"/>
          <w:lang w:val="en-US" w:eastAsia="zh-CN"/>
        </w:rPr>
        <w:t>3）</w:t>
      </w:r>
      <w:r>
        <w:rPr>
          <w:rFonts w:hint="eastAsia" w:ascii="宋体" w:hAnsi="宋体" w:eastAsia="宋体" w:cs="宋体"/>
          <w:b/>
          <w:snapToGrid w:val="0"/>
          <w:color w:val="auto"/>
          <w:kern w:val="0"/>
          <w:sz w:val="21"/>
          <w:szCs w:val="21"/>
          <w:highlight w:val="none"/>
        </w:rPr>
        <w:t>特定资格条件</w:t>
      </w:r>
      <w:r>
        <w:rPr>
          <w:rFonts w:hint="eastAsia" w:ascii="宋体" w:hAnsi="宋体" w:eastAsia="宋体" w:cs="宋体"/>
          <w:b/>
          <w:snapToGrid w:val="0"/>
          <w:color w:val="auto"/>
          <w:kern w:val="0"/>
          <w:sz w:val="21"/>
          <w:szCs w:val="21"/>
          <w:highlight w:val="none"/>
          <w:lang w:eastAsia="zh-CN"/>
        </w:rPr>
        <w:t>对应的证明材料</w:t>
      </w:r>
      <w:r>
        <w:rPr>
          <w:rFonts w:hint="eastAsia" w:ascii="宋体" w:hAnsi="宋体" w:eastAsia="宋体" w:cs="宋体"/>
          <w:b/>
          <w:snapToGrid w:val="0"/>
          <w:color w:val="auto"/>
          <w:kern w:val="0"/>
          <w:sz w:val="21"/>
          <w:szCs w:val="21"/>
          <w:highlight w:val="none"/>
        </w:rPr>
        <w:t>：</w:t>
      </w:r>
      <w:r>
        <w:rPr>
          <w:rFonts w:hint="eastAsia" w:ascii="宋体" w:hAnsi="宋体" w:eastAsia="宋体" w:cs="宋体"/>
          <w:b/>
          <w:i/>
          <w:iCs/>
          <w:snapToGrid w:val="0"/>
          <w:color w:val="auto"/>
          <w:kern w:val="0"/>
          <w:sz w:val="21"/>
          <w:szCs w:val="21"/>
          <w:highlight w:val="none"/>
          <w:lang w:val="en-US" w:eastAsia="zh-CN"/>
        </w:rPr>
        <w:t>无</w:t>
      </w:r>
    </w:p>
    <w:p>
      <w:pPr>
        <w:keepNext w:val="0"/>
        <w:keepLines w:val="0"/>
        <w:pageBreakBefore w:val="0"/>
        <w:widowControl w:val="0"/>
        <w:numPr>
          <w:ilvl w:val="0"/>
          <w:numId w:val="0"/>
        </w:numPr>
        <w:tabs>
          <w:tab w:val="left" w:pos="720"/>
        </w:tabs>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snapToGrid w:val="0"/>
          <w:color w:val="auto"/>
          <w:kern w:val="0"/>
          <w:sz w:val="21"/>
          <w:szCs w:val="21"/>
          <w:highlight w:val="none"/>
          <w:lang w:eastAsia="zh-CN"/>
        </w:rPr>
      </w:pPr>
      <w:r>
        <w:rPr>
          <w:rFonts w:hint="eastAsia" w:ascii="宋体" w:hAnsi="宋体" w:eastAsia="宋体" w:cs="宋体"/>
          <w:b/>
          <w:snapToGrid w:val="0"/>
          <w:color w:val="auto"/>
          <w:kern w:val="0"/>
          <w:sz w:val="21"/>
          <w:szCs w:val="21"/>
          <w:highlight w:val="none"/>
          <w:lang w:eastAsia="zh-CN"/>
        </w:rPr>
        <w:t>（</w:t>
      </w:r>
      <w:r>
        <w:rPr>
          <w:rFonts w:hint="eastAsia" w:ascii="宋体" w:hAnsi="宋体" w:eastAsia="宋体" w:cs="宋体"/>
          <w:b/>
          <w:snapToGrid w:val="0"/>
          <w:color w:val="auto"/>
          <w:kern w:val="0"/>
          <w:sz w:val="21"/>
          <w:szCs w:val="21"/>
          <w:highlight w:val="none"/>
          <w:lang w:val="en-US" w:eastAsia="zh-CN"/>
        </w:rPr>
        <w:t>4</w:t>
      </w:r>
      <w:r>
        <w:rPr>
          <w:rFonts w:hint="eastAsia" w:ascii="宋体" w:hAnsi="宋体" w:eastAsia="宋体" w:cs="宋体"/>
          <w:b/>
          <w:snapToGrid w:val="0"/>
          <w:color w:val="auto"/>
          <w:kern w:val="0"/>
          <w:sz w:val="21"/>
          <w:szCs w:val="21"/>
          <w:highlight w:val="none"/>
          <w:lang w:eastAsia="zh-CN"/>
        </w:rPr>
        <w:t>）联合体协议（如有）</w:t>
      </w:r>
    </w:p>
    <w:p>
      <w:pPr>
        <w:keepNext w:val="0"/>
        <w:keepLines w:val="0"/>
        <w:pageBreakBefore w:val="0"/>
        <w:widowControl w:val="0"/>
        <w:numPr>
          <w:ilvl w:val="0"/>
          <w:numId w:val="0"/>
        </w:numPr>
        <w:tabs>
          <w:tab w:val="left" w:pos="720"/>
        </w:tabs>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 xml:space="preserve">9.2 </w:t>
      </w:r>
      <w:r>
        <w:rPr>
          <w:rFonts w:hint="eastAsia" w:ascii="宋体" w:hAnsi="宋体" w:eastAsia="宋体" w:cs="宋体"/>
          <w:b/>
          <w:bCs/>
          <w:color w:val="auto"/>
          <w:szCs w:val="21"/>
          <w:highlight w:val="none"/>
          <w:lang w:eastAsia="zh-CN"/>
        </w:rPr>
        <w:t>商务技术文件</w:t>
      </w:r>
    </w:p>
    <w:p>
      <w:pPr>
        <w:keepNext w:val="0"/>
        <w:keepLines w:val="0"/>
        <w:pageBreakBefore w:val="0"/>
        <w:widowControl w:val="0"/>
        <w:numPr>
          <w:ilvl w:val="0"/>
          <w:numId w:val="0"/>
        </w:numPr>
        <w:tabs>
          <w:tab w:val="left" w:pos="720"/>
        </w:tabs>
        <w:kinsoku/>
        <w:wordWrap/>
        <w:overflowPunct/>
        <w:topLinePunct w:val="0"/>
        <w:autoSpaceDE/>
        <w:autoSpaceDN/>
        <w:bidi w:val="0"/>
        <w:snapToGrid w:val="0"/>
        <w:spacing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9.2.1商务文件</w:t>
      </w:r>
    </w:p>
    <w:p>
      <w:pPr>
        <w:keepNext w:val="0"/>
        <w:keepLines w:val="0"/>
        <w:pageBreakBefore w:val="0"/>
        <w:widowControl w:val="0"/>
        <w:numPr>
          <w:ilvl w:val="0"/>
          <w:numId w:val="0"/>
        </w:numPr>
        <w:tabs>
          <w:tab w:val="left" w:pos="720"/>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包括但不限于以下内容：</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评分索引表；</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投标函；</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投标响应一览表；</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投标人基本情况表；</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w:t>
      </w:r>
      <w:r>
        <w:rPr>
          <w:rFonts w:hint="eastAsia" w:ascii="宋体" w:hAnsi="宋体" w:eastAsia="宋体" w:cs="宋体"/>
          <w:snapToGrid w:val="0"/>
          <w:color w:val="auto"/>
          <w:kern w:val="0"/>
          <w:szCs w:val="21"/>
          <w:highlight w:val="none"/>
          <w:lang w:eastAsia="zh-CN"/>
        </w:rPr>
        <w:t>委托</w:t>
      </w:r>
      <w:r>
        <w:rPr>
          <w:rFonts w:hint="eastAsia" w:ascii="宋体" w:hAnsi="宋体" w:eastAsia="宋体" w:cs="宋体"/>
          <w:snapToGrid w:val="0"/>
          <w:color w:val="auto"/>
          <w:kern w:val="0"/>
          <w:szCs w:val="21"/>
          <w:highlight w:val="none"/>
        </w:rPr>
        <w:t>书，同时须附授权委托</w:t>
      </w:r>
      <w:r>
        <w:rPr>
          <w:rFonts w:hint="eastAsia" w:ascii="宋体" w:hAnsi="宋体" w:eastAsia="宋体" w:cs="宋体"/>
          <w:snapToGrid w:val="0"/>
          <w:color w:val="auto"/>
          <w:kern w:val="0"/>
          <w:szCs w:val="21"/>
          <w:highlight w:val="none"/>
          <w:lang w:eastAsia="zh-CN"/>
        </w:rPr>
        <w:t>人</w:t>
      </w:r>
      <w:r>
        <w:rPr>
          <w:rFonts w:hint="eastAsia" w:ascii="宋体" w:hAnsi="宋体" w:eastAsia="宋体" w:cs="宋体"/>
          <w:snapToGrid w:val="0"/>
          <w:color w:val="auto"/>
          <w:kern w:val="0"/>
          <w:szCs w:val="21"/>
          <w:highlight w:val="none"/>
        </w:rPr>
        <w:t>的有效身份证复印件</w:t>
      </w:r>
      <w:r>
        <w:rPr>
          <w:rFonts w:hint="eastAsia" w:ascii="宋体" w:hAnsi="宋体" w:eastAsia="宋体" w:cs="宋体"/>
          <w:snapToGrid w:val="0"/>
          <w:color w:val="auto"/>
          <w:kern w:val="0"/>
          <w:szCs w:val="21"/>
          <w:highlight w:val="none"/>
          <w:lang w:eastAsia="zh-CN"/>
        </w:rPr>
        <w:t>；</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政府采购供应商廉洁自律承诺书</w:t>
      </w:r>
      <w:r>
        <w:rPr>
          <w:rFonts w:hint="eastAsia" w:ascii="宋体" w:hAnsi="宋体" w:eastAsia="宋体" w:cs="宋体"/>
          <w:snapToGrid w:val="0"/>
          <w:color w:val="auto"/>
          <w:kern w:val="0"/>
          <w:szCs w:val="21"/>
          <w:highlight w:val="none"/>
          <w:lang w:val="en-US" w:eastAsia="zh-CN"/>
        </w:rPr>
        <w:t>；</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rPr>
        <w:t>廉政承诺书；</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投标人拥有的其它资质、荣誉证书；（如有，出具复印件加盖公章）</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投标人曾承担过的</w:t>
      </w:r>
      <w:r>
        <w:rPr>
          <w:rFonts w:hint="eastAsia" w:ascii="宋体" w:hAnsi="宋体" w:eastAsia="宋体" w:cs="宋体"/>
          <w:bCs/>
          <w:i w:val="0"/>
          <w:iCs w:val="0"/>
          <w:color w:val="auto"/>
          <w:szCs w:val="21"/>
          <w:highlight w:val="none"/>
          <w:lang w:eastAsia="zh-CN"/>
        </w:rPr>
        <w:t>同类</w:t>
      </w:r>
      <w:r>
        <w:rPr>
          <w:rFonts w:hint="eastAsia" w:ascii="宋体" w:hAnsi="宋体" w:eastAsia="宋体" w:cs="宋体"/>
          <w:bCs/>
          <w:i w:val="0"/>
          <w:iCs w:val="0"/>
          <w:color w:val="auto"/>
          <w:szCs w:val="21"/>
          <w:highlight w:val="none"/>
        </w:rPr>
        <w:t>项目业绩情况（如有，须附清晰可辨的合同复印件。涉及评分项的，证明材料需满足评分细则的相关要求）；</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合同条款偏离表/商务条款偏离表；</w:t>
      </w:r>
    </w:p>
    <w:p>
      <w:pPr>
        <w:keepNext w:val="0"/>
        <w:keepLines w:val="0"/>
        <w:pageBreakBefore w:val="0"/>
        <w:widowControl w:val="0"/>
        <w:numPr>
          <w:ilvl w:val="0"/>
          <w:numId w:val="10"/>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与商务资信标评分有关的其他材料</w:t>
      </w:r>
      <w:r>
        <w:rPr>
          <w:rFonts w:hint="eastAsia" w:ascii="宋体" w:hAnsi="宋体" w:eastAsia="宋体" w:cs="宋体"/>
          <w:bCs/>
          <w:i w:val="0"/>
          <w:iCs w:val="0"/>
          <w:color w:val="auto"/>
          <w:szCs w:val="21"/>
          <w:highlight w:val="none"/>
          <w:lang w:eastAsia="zh-CN"/>
        </w:rPr>
        <w:t>。</w:t>
      </w:r>
    </w:p>
    <w:p>
      <w:pPr>
        <w:keepNext w:val="0"/>
        <w:keepLines w:val="0"/>
        <w:pageBreakBefore w:val="0"/>
        <w:widowControl w:val="0"/>
        <w:numPr>
          <w:ilvl w:val="0"/>
          <w:numId w:val="0"/>
        </w:numPr>
        <w:tabs>
          <w:tab w:val="left" w:pos="851"/>
          <w:tab w:val="left" w:pos="900"/>
          <w:tab w:val="left" w:pos="1080"/>
        </w:tabs>
        <w:kinsoku/>
        <w:wordWrap/>
        <w:overflowPunct/>
        <w:topLinePunct w:val="0"/>
        <w:autoSpaceDE/>
        <w:autoSpaceDN/>
        <w:bidi w:val="0"/>
        <w:adjustRightInd w:val="0"/>
        <w:snapToGrid w:val="0"/>
        <w:spacing w:line="360" w:lineRule="auto"/>
        <w:ind w:left="340" w:leftChars="0"/>
        <w:jc w:val="left"/>
        <w:textAlignment w:val="auto"/>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9.2.2技术文件</w:t>
      </w:r>
    </w:p>
    <w:p>
      <w:pPr>
        <w:keepNext w:val="0"/>
        <w:keepLines w:val="0"/>
        <w:pageBreakBefore w:val="0"/>
        <w:widowControl w:val="0"/>
        <w:numPr>
          <w:ilvl w:val="0"/>
          <w:numId w:val="0"/>
        </w:numPr>
        <w:tabs>
          <w:tab w:val="left" w:pos="851"/>
          <w:tab w:val="left" w:pos="900"/>
          <w:tab w:val="left" w:pos="1080"/>
        </w:tabs>
        <w:kinsoku/>
        <w:wordWrap/>
        <w:overflowPunct/>
        <w:topLinePunct w:val="0"/>
        <w:autoSpaceDE/>
        <w:autoSpaceDN/>
        <w:bidi w:val="0"/>
        <w:adjustRightInd w:val="0"/>
        <w:snapToGrid w:val="0"/>
        <w:spacing w:line="360" w:lineRule="auto"/>
        <w:ind w:left="340" w:lef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包括但不限于以下内容：</w:t>
      </w:r>
    </w:p>
    <w:p>
      <w:pPr>
        <w:keepNext w:val="0"/>
        <w:keepLines w:val="0"/>
        <w:pageBreakBefore w:val="0"/>
        <w:widowControl w:val="0"/>
        <w:numPr>
          <w:ilvl w:val="0"/>
          <w:numId w:val="11"/>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lang w:val="en-US" w:eastAsia="zh-CN"/>
        </w:rPr>
        <w:t>评分索引表；</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eastAsia="宋体"/>
          <w:color w:val="auto"/>
          <w:highlight w:val="none"/>
          <w:lang w:eastAsia="zh-CN"/>
        </w:rPr>
      </w:pPr>
      <w:r>
        <w:rPr>
          <w:rFonts w:hint="eastAsia" w:ascii="宋体" w:hAnsi="宋体" w:eastAsia="宋体" w:cs="宋体"/>
          <w:bCs/>
          <w:i w:val="0"/>
          <w:iCs w:val="0"/>
          <w:color w:val="auto"/>
          <w:szCs w:val="21"/>
          <w:highlight w:val="none"/>
          <w:lang w:val="en-US" w:eastAsia="zh-CN"/>
        </w:rPr>
        <w:t>建设项目的整体理解</w:t>
      </w:r>
      <w:r>
        <w:rPr>
          <w:rFonts w:hint="eastAsia" w:ascii="宋体" w:hAnsi="宋体" w:cs="宋体"/>
          <w:bCs/>
          <w:i w:val="0"/>
          <w:iCs w:val="0"/>
          <w:color w:val="auto"/>
          <w:szCs w:val="21"/>
          <w:highlight w:val="none"/>
          <w:lang w:val="en-US" w:eastAsia="zh-CN"/>
        </w:rPr>
        <w:t>及解决方案，</w:t>
      </w:r>
      <w:r>
        <w:rPr>
          <w:rFonts w:hint="eastAsia" w:ascii="宋体" w:hAnsi="宋体" w:eastAsia="宋体" w:cs="宋体"/>
          <w:bCs/>
          <w:i w:val="0"/>
          <w:iCs w:val="0"/>
          <w:color w:val="auto"/>
          <w:szCs w:val="21"/>
          <w:highlight w:val="none"/>
          <w:lang w:val="en-US" w:eastAsia="zh-CN"/>
        </w:rPr>
        <w:t>包括对项目的理解、重点难点分析、总体构架设计方案等</w:t>
      </w:r>
      <w:r>
        <w:rPr>
          <w:rFonts w:hint="eastAsia" w:ascii="宋体" w:hAnsi="宋体" w:eastAsia="宋体" w:cs="宋体"/>
          <w:bCs/>
          <w:i w:val="0"/>
          <w:iCs w:val="0"/>
          <w:color w:val="auto"/>
          <w:szCs w:val="21"/>
          <w:highlight w:val="none"/>
        </w:rPr>
        <w:t>；</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lang w:eastAsia="zh-CN"/>
        </w:rPr>
        <w:t>技术底座适配方案；</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针对本项目的详细实施计划，及组织实施方案；</w:t>
      </w:r>
      <w:r>
        <w:rPr>
          <w:rFonts w:hint="eastAsia" w:ascii="宋体" w:hAnsi="宋体" w:eastAsia="宋体" w:cs="宋体"/>
          <w:bCs/>
          <w:i w:val="0"/>
          <w:iCs w:val="0"/>
          <w:color w:val="auto"/>
          <w:szCs w:val="21"/>
          <w:highlight w:val="none"/>
          <w:lang w:eastAsia="zh-CN"/>
        </w:rPr>
        <w:t>；</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项目班子配备情况；拟派主要项目管理人员、服务团队情况、分组情况、实施人员安排情况，管理人员介绍、及专业服务水平、经历的说明及证明材料</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lang w:eastAsia="zh-CN"/>
        </w:rPr>
        <w:t>培训计划及方案</w:t>
      </w:r>
      <w:r>
        <w:rPr>
          <w:rFonts w:hint="eastAsia" w:ascii="宋体" w:hAnsi="宋体" w:eastAsia="宋体" w:cs="宋体"/>
          <w:bCs/>
          <w:i w:val="0"/>
          <w:iCs w:val="0"/>
          <w:color w:val="auto"/>
          <w:szCs w:val="21"/>
          <w:highlight w:val="none"/>
        </w:rPr>
        <w:t>；</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color w:val="auto"/>
          <w:szCs w:val="21"/>
          <w:highlight w:val="none"/>
        </w:rPr>
      </w:pPr>
      <w:r>
        <w:rPr>
          <w:rFonts w:hint="eastAsia" w:ascii="宋体" w:hAnsi="宋体" w:eastAsia="宋体" w:cs="宋体"/>
          <w:bCs/>
          <w:i w:val="0"/>
          <w:iCs w:val="0"/>
          <w:color w:val="auto"/>
          <w:szCs w:val="21"/>
          <w:highlight w:val="none"/>
          <w:lang w:eastAsia="zh-CN"/>
        </w:rPr>
        <w:t>售后及运维服务方案；</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color w:val="auto"/>
          <w:szCs w:val="21"/>
          <w:highlight w:val="none"/>
        </w:rPr>
      </w:pPr>
      <w:r>
        <w:rPr>
          <w:rFonts w:hint="eastAsia" w:ascii="宋体" w:hAnsi="宋体" w:eastAsia="宋体" w:cs="宋体"/>
          <w:bCs/>
          <w:i w:val="0"/>
          <w:iCs w:val="0"/>
          <w:color w:val="auto"/>
          <w:szCs w:val="21"/>
          <w:highlight w:val="none"/>
        </w:rPr>
        <w:t>针对本项目能提供的特色服务、增值服务说明；</w:t>
      </w:r>
    </w:p>
    <w:p>
      <w:pPr>
        <w:numPr>
          <w:ilvl w:val="0"/>
          <w:numId w:val="11"/>
        </w:numPr>
        <w:tabs>
          <w:tab w:val="left" w:pos="851"/>
          <w:tab w:val="left" w:pos="900"/>
          <w:tab w:val="left" w:pos="1080"/>
        </w:tabs>
        <w:adjustRightInd w:val="0"/>
        <w:snapToGrid w:val="0"/>
        <w:spacing w:line="360" w:lineRule="auto"/>
        <w:ind w:left="0" w:leftChars="0" w:firstLine="34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投标人认为需要提供的其它文件及资料。</w:t>
      </w:r>
    </w:p>
    <w:p>
      <w:pPr>
        <w:keepNext w:val="0"/>
        <w:keepLines w:val="0"/>
        <w:pageBreakBefore w:val="0"/>
        <w:widowControl w:val="0"/>
        <w:numPr>
          <w:ilvl w:val="0"/>
          <w:numId w:val="11"/>
        </w:numPr>
        <w:tabs>
          <w:tab w:val="left" w:pos="851"/>
          <w:tab w:val="left" w:pos="900"/>
          <w:tab w:val="left" w:pos="1080"/>
        </w:tabs>
        <w:kinsoku/>
        <w:wordWrap/>
        <w:overflowPunct/>
        <w:topLinePunct w:val="0"/>
        <w:autoSpaceDE/>
        <w:autoSpaceDN/>
        <w:bidi w:val="0"/>
        <w:adjustRightInd w:val="0"/>
        <w:snapToGrid w:val="0"/>
        <w:spacing w:line="360" w:lineRule="auto"/>
        <w:ind w:left="0" w:firstLine="340"/>
        <w:jc w:val="left"/>
        <w:textAlignment w:val="auto"/>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投标人认为需要提供的其它文件及资料。（如有）</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9.</w:t>
      </w:r>
      <w:r>
        <w:rPr>
          <w:rFonts w:hint="eastAsia" w:ascii="宋体" w:hAnsi="宋体" w:eastAsia="宋体" w:cs="宋体"/>
          <w:b/>
          <w:snapToGrid w:val="0"/>
          <w:color w:val="auto"/>
          <w:kern w:val="0"/>
          <w:sz w:val="21"/>
          <w:szCs w:val="21"/>
          <w:highlight w:val="none"/>
          <w:lang w:val="en-US" w:eastAsia="zh-CN"/>
        </w:rPr>
        <w:t>3</w:t>
      </w:r>
      <w:r>
        <w:rPr>
          <w:rFonts w:hint="eastAsia" w:ascii="宋体" w:hAnsi="宋体" w:eastAsia="宋体" w:cs="宋体"/>
          <w:b/>
          <w:snapToGrid w:val="0"/>
          <w:color w:val="auto"/>
          <w:kern w:val="0"/>
          <w:sz w:val="21"/>
          <w:szCs w:val="21"/>
          <w:highlight w:val="none"/>
          <w:lang w:eastAsia="zh-CN"/>
        </w:rPr>
        <w:t>报价文件</w:t>
      </w:r>
    </w:p>
    <w:p>
      <w:pPr>
        <w:numPr>
          <w:ilvl w:val="0"/>
          <w:numId w:val="12"/>
        </w:numPr>
        <w:adjustRightInd w:val="0"/>
        <w:snapToGrid w:val="0"/>
        <w:spacing w:line="360" w:lineRule="auto"/>
        <w:ind w:left="993"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开标一览表；</w:t>
      </w:r>
    </w:p>
    <w:p>
      <w:pPr>
        <w:numPr>
          <w:ilvl w:val="0"/>
          <w:numId w:val="12"/>
        </w:numPr>
        <w:adjustRightInd w:val="0"/>
        <w:snapToGrid w:val="0"/>
        <w:spacing w:line="360" w:lineRule="auto"/>
        <w:ind w:left="993"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投标报价明细表；</w:t>
      </w:r>
    </w:p>
    <w:p>
      <w:pPr>
        <w:numPr>
          <w:ilvl w:val="0"/>
          <w:numId w:val="12"/>
        </w:numPr>
        <w:adjustRightInd w:val="0"/>
        <w:snapToGrid w:val="0"/>
        <w:spacing w:line="360" w:lineRule="auto"/>
        <w:ind w:left="993" w:hanging="571"/>
        <w:jc w:val="left"/>
        <w:rPr>
          <w:rFonts w:hint="default" w:ascii="宋体" w:hAnsi="宋体" w:eastAsia="宋体" w:cs="宋体"/>
          <w:bCs/>
          <w:snapToGrid w:val="0"/>
          <w:color w:val="auto"/>
          <w:kern w:val="0"/>
          <w:szCs w:val="21"/>
          <w:highlight w:val="none"/>
          <w:lang w:val="en-US" w:eastAsia="zh-CN"/>
        </w:rPr>
      </w:pPr>
      <w:r>
        <w:rPr>
          <w:rFonts w:hint="eastAsia" w:ascii="宋体" w:hAnsi="宋体" w:cs="宋体"/>
          <w:bCs/>
          <w:snapToGrid w:val="0"/>
          <w:color w:val="auto"/>
          <w:kern w:val="0"/>
          <w:szCs w:val="21"/>
          <w:highlight w:val="none"/>
        </w:rPr>
        <w:t>成本测算依据；</w:t>
      </w:r>
      <w:r>
        <w:rPr>
          <w:rFonts w:hint="eastAsia" w:ascii="宋体" w:hAnsi="宋体" w:eastAsia="宋体" w:cs="宋体"/>
          <w:bCs/>
          <w:snapToGrid w:val="0"/>
          <w:color w:val="auto"/>
          <w:kern w:val="0"/>
          <w:szCs w:val="21"/>
          <w:highlight w:val="none"/>
          <w:lang w:eastAsia="zh-CN"/>
        </w:rPr>
        <w:t>（如需）</w:t>
      </w:r>
    </w:p>
    <w:p>
      <w:pPr>
        <w:numPr>
          <w:ilvl w:val="0"/>
          <w:numId w:val="0"/>
        </w:numPr>
        <w:adjustRightInd w:val="0"/>
        <w:snapToGrid w:val="0"/>
        <w:spacing w:line="360" w:lineRule="auto"/>
        <w:ind w:firstLine="422" w:firstLineChars="200"/>
        <w:jc w:val="left"/>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lang w:val="en-US" w:eastAsia="zh-CN"/>
        </w:rPr>
        <w:t>（4）</w:t>
      </w:r>
      <w:r>
        <w:rPr>
          <w:rFonts w:hint="eastAsia" w:ascii="宋体" w:hAnsi="宋体" w:cs="宋体"/>
          <w:b/>
          <w:bCs w:val="0"/>
          <w:snapToGrid w:val="0"/>
          <w:color w:val="auto"/>
          <w:kern w:val="0"/>
          <w:szCs w:val="21"/>
          <w:highlight w:val="none"/>
        </w:rPr>
        <w:t>中小企业声明函</w:t>
      </w:r>
      <w:r>
        <w:rPr>
          <w:rFonts w:hint="eastAsia" w:ascii="宋体" w:hAnsi="宋体" w:cs="宋体"/>
          <w:b/>
          <w:bCs w:val="0"/>
          <w:snapToGrid w:val="0"/>
          <w:color w:val="auto"/>
          <w:kern w:val="0"/>
          <w:szCs w:val="21"/>
          <w:highlight w:val="none"/>
          <w:lang w:eastAsia="zh-CN"/>
        </w:rPr>
        <w:t>（如有）</w:t>
      </w:r>
      <w:r>
        <w:rPr>
          <w:rFonts w:hint="eastAsia" w:ascii="宋体" w:hAnsi="宋体" w:cs="宋体"/>
          <w:b/>
          <w:bCs w:val="0"/>
          <w:snapToGrid w:val="0"/>
          <w:color w:val="auto"/>
          <w:kern w:val="0"/>
          <w:szCs w:val="21"/>
          <w:highlight w:val="none"/>
        </w:rPr>
        <w:t xml:space="preserve">； </w:t>
      </w:r>
    </w:p>
    <w:p>
      <w:pPr>
        <w:adjustRightInd w:val="0"/>
        <w:snapToGrid w:val="0"/>
        <w:spacing w:line="360" w:lineRule="auto"/>
        <w:ind w:firstLine="422" w:firstLineChars="200"/>
        <w:jc w:val="left"/>
        <w:rPr>
          <w:rFonts w:hint="eastAsia" w:ascii="宋体" w:hAnsi="宋体" w:cs="宋体"/>
          <w:b/>
          <w:bCs/>
          <w:snapToGrid w:val="0"/>
          <w:color w:val="auto"/>
          <w:kern w:val="0"/>
          <w:szCs w:val="21"/>
          <w:highlight w:val="none"/>
          <w:lang w:eastAsia="zh-CN"/>
        </w:rPr>
      </w:pPr>
      <w:r>
        <w:rPr>
          <w:rFonts w:hint="eastAsia" w:ascii="宋体" w:hAnsi="宋体" w:cs="宋体"/>
          <w:b/>
          <w:bCs/>
          <w:snapToGrid w:val="0"/>
          <w:color w:val="auto"/>
          <w:kern w:val="0"/>
          <w:szCs w:val="21"/>
          <w:highlight w:val="none"/>
          <w:lang w:eastAsia="zh-CN"/>
        </w:rPr>
        <w:t>中小企业应当按照《政府采购促进中小企业发展管理办法》规定和《中小企业划型标准规定》（工信部联企业〔2011〕300号），如实填写并提交《中小企业声明函》。</w:t>
      </w:r>
    </w:p>
    <w:p>
      <w:pPr>
        <w:adjustRightInd w:val="0"/>
        <w:snapToGrid w:val="0"/>
        <w:spacing w:line="360" w:lineRule="auto"/>
        <w:ind w:firstLine="422" w:firstLineChars="200"/>
        <w:jc w:val="left"/>
        <w:rPr>
          <w:rFonts w:hint="eastAsia" w:ascii="宋体" w:hAnsi="宋体" w:cs="宋体"/>
          <w:b/>
          <w:bCs/>
          <w:snapToGrid w:val="0"/>
          <w:color w:val="auto"/>
          <w:kern w:val="0"/>
          <w:szCs w:val="21"/>
          <w:highlight w:val="none"/>
          <w:lang w:eastAsia="zh-CN"/>
        </w:rPr>
      </w:pPr>
      <w:r>
        <w:rPr>
          <w:rFonts w:hint="eastAsia" w:ascii="宋体" w:hAnsi="宋体" w:cs="宋体"/>
          <w:b/>
          <w:bCs/>
          <w:snapToGrid w:val="0"/>
          <w:color w:val="auto"/>
          <w:kern w:val="0"/>
          <w:szCs w:val="21"/>
          <w:highlight w:val="none"/>
          <w:lang w:eastAsia="zh-CN"/>
        </w:rPr>
        <w:t>投标人在填写声明函前，须先自查本企业是否满足小微企业认定标准（可通过国务院客户端和工业和信息化部网站上的自测小程序进行自查）。</w:t>
      </w:r>
    </w:p>
    <w:p>
      <w:pPr>
        <w:adjustRightInd w:val="0"/>
        <w:snapToGrid w:val="0"/>
        <w:spacing w:line="360" w:lineRule="auto"/>
        <w:ind w:firstLine="422" w:firstLineChars="200"/>
        <w:jc w:val="left"/>
        <w:rPr>
          <w:rFonts w:hint="eastAsia" w:ascii="宋体" w:hAnsi="宋体" w:cs="宋体"/>
          <w:b/>
          <w:bCs/>
          <w:snapToGrid w:val="0"/>
          <w:color w:val="auto"/>
          <w:kern w:val="0"/>
          <w:szCs w:val="21"/>
          <w:highlight w:val="none"/>
          <w:lang w:eastAsia="zh-CN"/>
        </w:rPr>
      </w:pPr>
      <w:r>
        <w:rPr>
          <w:rFonts w:hint="eastAsia" w:ascii="宋体" w:hAnsi="宋体" w:cs="宋体"/>
          <w:b/>
          <w:bCs/>
          <w:snapToGrid w:val="0"/>
          <w:color w:val="auto"/>
          <w:kern w:val="0"/>
          <w:szCs w:val="21"/>
          <w:highlight w:val="none"/>
          <w:lang w:eastAsia="zh-CN"/>
        </w:rPr>
        <w:t>中小企业对其声明内容的真实性负责，声明函内容不实的，属于提供虚假材料谋取中标、成交，依照《中华人民共和国政府采购法》等国家有关规定追究相应责任。</w:t>
      </w:r>
    </w:p>
    <w:p>
      <w:pPr>
        <w:numPr>
          <w:ilvl w:val="0"/>
          <w:numId w:val="0"/>
        </w:numPr>
        <w:tabs>
          <w:tab w:val="left" w:pos="840"/>
          <w:tab w:val="left" w:pos="1050"/>
        </w:tabs>
        <w:adjustRightInd w:val="0"/>
        <w:snapToGrid w:val="0"/>
        <w:spacing w:line="360" w:lineRule="auto"/>
        <w:ind w:firstLine="420" w:firstLineChars="200"/>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投标人为监狱企业的证明文件：省级以上监狱管理局、戒毒管理局（含新疆生产建设兵团）出具（如有）</w:t>
      </w:r>
    </w:p>
    <w:p>
      <w:pPr>
        <w:numPr>
          <w:ilvl w:val="0"/>
          <w:numId w:val="0"/>
        </w:numPr>
        <w:tabs>
          <w:tab w:val="left" w:pos="840"/>
          <w:tab w:val="left" w:pos="1050"/>
        </w:tabs>
        <w:adjustRightInd w:val="0"/>
        <w:snapToGrid w:val="0"/>
        <w:spacing w:line="360" w:lineRule="auto"/>
        <w:ind w:left="0" w:firstLine="420" w:firstLineChars="200"/>
        <w:jc w:val="left"/>
        <w:rPr>
          <w:rFonts w:hint="eastAsia" w:ascii="宋体" w:hAnsi="宋体" w:eastAsia="宋体" w:cs="宋体"/>
          <w:bCs/>
          <w:snapToGrid w:val="0"/>
          <w:color w:val="auto"/>
          <w:kern w:val="0"/>
          <w:sz w:val="21"/>
          <w:szCs w:val="21"/>
          <w:highlight w:val="none"/>
          <w:lang w:val="en-US" w:eastAsia="zh-CN" w:bidi="ar-SA"/>
        </w:rPr>
      </w:pPr>
      <w:r>
        <w:rPr>
          <w:rFonts w:hint="eastAsia" w:ascii="宋体" w:hAnsi="宋体" w:eastAsia="宋体" w:cs="宋体"/>
          <w:bCs/>
          <w:snapToGrid w:val="0"/>
          <w:color w:val="auto"/>
          <w:kern w:val="0"/>
          <w:sz w:val="21"/>
          <w:szCs w:val="21"/>
          <w:highlight w:val="none"/>
          <w:lang w:val="en-US" w:eastAsia="zh-CN" w:bidi="ar-SA"/>
        </w:rPr>
        <w:t xml:space="preserve">（6）投标人如符合《财政部、民政部、中国残疾人联合会关于促进残疾人就业政府采购政策的通知》（财库〔2017〕141号）政策规定的，须提供《残疾人福利性单位声明函》；（如有）   </w:t>
      </w:r>
    </w:p>
    <w:p>
      <w:pPr>
        <w:numPr>
          <w:ilvl w:val="0"/>
          <w:numId w:val="0"/>
        </w:numPr>
        <w:tabs>
          <w:tab w:val="left" w:pos="840"/>
          <w:tab w:val="left" w:pos="1050"/>
        </w:tabs>
        <w:adjustRightInd w:val="0"/>
        <w:snapToGrid w:val="0"/>
        <w:spacing w:line="360" w:lineRule="auto"/>
        <w:ind w:left="0" w:firstLine="420" w:firstLineChars="200"/>
        <w:jc w:val="left"/>
        <w:rPr>
          <w:rFonts w:hint="eastAsia" w:ascii="宋体" w:hAnsi="宋体" w:cs="宋体"/>
          <w:bCs/>
          <w:snapToGrid w:val="0"/>
          <w:color w:val="auto"/>
          <w:kern w:val="0"/>
          <w:szCs w:val="21"/>
          <w:highlight w:val="none"/>
        </w:rPr>
      </w:pPr>
      <w:r>
        <w:rPr>
          <w:rFonts w:hint="eastAsia" w:ascii="宋体" w:hAnsi="宋体" w:eastAsia="宋体" w:cs="宋体"/>
          <w:bCs/>
          <w:snapToGrid w:val="0"/>
          <w:color w:val="auto"/>
          <w:kern w:val="0"/>
          <w:sz w:val="21"/>
          <w:szCs w:val="21"/>
          <w:highlight w:val="none"/>
          <w:lang w:val="en-US" w:eastAsia="zh-CN" w:bidi="ar-SA"/>
        </w:rPr>
        <w:t>（7）</w:t>
      </w:r>
      <w:r>
        <w:rPr>
          <w:rFonts w:hint="eastAsia" w:ascii="宋体" w:hAnsi="宋体" w:cs="宋体"/>
          <w:bCs/>
          <w:snapToGrid w:val="0"/>
          <w:color w:val="auto"/>
          <w:kern w:val="0"/>
          <w:szCs w:val="21"/>
          <w:highlight w:val="none"/>
        </w:rPr>
        <w:t>投标人认为针对报价需要说明的其他文件及资料。</w:t>
      </w:r>
    </w:p>
    <w:p>
      <w:pPr>
        <w:adjustRightInd w:val="0"/>
        <w:snapToGrid w:val="0"/>
        <w:spacing w:line="360" w:lineRule="auto"/>
        <w:ind w:firstLine="422" w:firstLineChars="200"/>
        <w:jc w:val="left"/>
        <w:rPr>
          <w:rFonts w:hint="eastAsia" w:ascii="宋体" w:hAnsi="宋体" w:cs="宋体"/>
          <w:b/>
          <w:snapToGrid w:val="0"/>
          <w:color w:val="auto"/>
          <w:kern w:val="0"/>
          <w:szCs w:val="21"/>
          <w:highlight w:val="none"/>
        </w:rPr>
      </w:pPr>
    </w:p>
    <w:p>
      <w:pPr>
        <w:adjustRightInd w:val="0"/>
        <w:snapToGrid w:val="0"/>
        <w:spacing w:line="360" w:lineRule="auto"/>
        <w:ind w:firstLine="422" w:firstLineChars="200"/>
        <w:jc w:val="left"/>
        <w:rPr>
          <w:rFonts w:hint="eastAsia" w:ascii="宋体" w:hAnsi="宋体" w:eastAsia="宋体" w:cs="宋体"/>
          <w:b/>
          <w:snapToGrid w:val="0"/>
          <w:color w:val="auto"/>
          <w:kern w:val="0"/>
          <w:szCs w:val="21"/>
          <w:highlight w:val="none"/>
          <w:lang w:eastAsia="zh-CN"/>
        </w:rPr>
      </w:pPr>
      <w:r>
        <w:rPr>
          <w:rFonts w:hint="eastAsia" w:ascii="宋体" w:hAnsi="宋体" w:cs="宋体"/>
          <w:b/>
          <w:snapToGrid w:val="0"/>
          <w:color w:val="auto"/>
          <w:kern w:val="0"/>
          <w:szCs w:val="21"/>
          <w:highlight w:val="none"/>
        </w:rPr>
        <w:t>9.</w:t>
      </w:r>
      <w:r>
        <w:rPr>
          <w:rFonts w:hint="eastAsia" w:ascii="宋体" w:hAnsi="宋体" w:cs="宋体"/>
          <w:b/>
          <w:snapToGrid w:val="0"/>
          <w:color w:val="auto"/>
          <w:kern w:val="0"/>
          <w:szCs w:val="21"/>
          <w:highlight w:val="none"/>
          <w:lang w:val="en-US" w:eastAsia="zh-CN"/>
        </w:rPr>
        <w:t>4系统</w:t>
      </w:r>
      <w:r>
        <w:rPr>
          <w:rFonts w:hint="eastAsia" w:ascii="宋体" w:hAnsi="宋体" w:cs="宋体"/>
          <w:b/>
          <w:snapToGrid w:val="0"/>
          <w:color w:val="auto"/>
          <w:kern w:val="0"/>
          <w:szCs w:val="21"/>
          <w:highlight w:val="none"/>
          <w:lang w:eastAsia="zh-CN"/>
        </w:rPr>
        <w:t>演示</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本项目要求进行系统演示，具体要求详见前附表及采购需求规定。</w:t>
      </w:r>
    </w:p>
    <w:p>
      <w:pPr>
        <w:rPr>
          <w:rFonts w:hint="eastAsia"/>
          <w:color w:val="auto"/>
          <w:highlight w:val="none"/>
          <w:lang w:val="en-US" w:eastAsia="zh-CN"/>
        </w:rPr>
      </w:pPr>
    </w:p>
    <w:p>
      <w:pPr>
        <w:adjustRightInd w:val="0"/>
        <w:snapToGrid w:val="0"/>
        <w:spacing w:before="120" w:beforeLines="50"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10．投标函</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10.1 投标人应完整地填写采购文件中提供的投标函和投标相关附件。</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10.2 投标文件应当对采购文件中有关投标有效期、采购需求等实质性内容作出响应。投标人在满足采购文件实质性要求的基础上，可以提出比采购文件要求更有利于采购人的承诺。</w:t>
      </w:r>
    </w:p>
    <w:p>
      <w:pPr>
        <w:pStyle w:val="2"/>
        <w:snapToGrid w:val="0"/>
        <w:spacing w:before="120" w:beforeLines="5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11．投标报价</w:t>
      </w:r>
    </w:p>
    <w:p>
      <w:pPr>
        <w:pStyle w:val="2"/>
        <w:snapToGrid w:val="0"/>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11.1投标人应按采购文件中规定填写报价相关表单；</w:t>
      </w:r>
    </w:p>
    <w:p>
      <w:pPr>
        <w:adjustRightInd w:val="0"/>
        <w:snapToGrid w:val="0"/>
        <w:spacing w:line="360" w:lineRule="auto"/>
        <w:ind w:firstLine="422" w:firstLineChars="200"/>
        <w:jc w:val="left"/>
        <w:rPr>
          <w:rFonts w:hint="eastAsia" w:ascii="宋体" w:hAnsi="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rPr>
        <w:t>11.2</w:t>
      </w:r>
      <w:r>
        <w:rPr>
          <w:rFonts w:hint="eastAsia" w:ascii="宋体" w:hAnsi="宋体" w:cs="宋体"/>
          <w:b/>
          <w:bCs/>
          <w:snapToGrid w:val="0"/>
          <w:color w:val="auto"/>
          <w:kern w:val="0"/>
          <w:sz w:val="21"/>
          <w:szCs w:val="21"/>
          <w:highlight w:val="none"/>
          <w:lang w:val="en-US" w:eastAsia="zh-CN"/>
        </w:rPr>
        <w:t xml:space="preserve"> 本项目需要投标人根据不同服务内容进行分项报价，其中包括： </w:t>
      </w:r>
    </w:p>
    <w:p>
      <w:pPr>
        <w:adjustRightInd w:val="0"/>
        <w:snapToGrid w:val="0"/>
        <w:spacing w:line="360" w:lineRule="auto"/>
        <w:ind w:firstLine="422" w:firstLineChars="200"/>
        <w:jc w:val="left"/>
        <w:rPr>
          <w:rFonts w:hint="eastAsia" w:ascii="宋体" w:hAnsi="宋体" w:cs="宋体"/>
          <w:b/>
          <w:bCs/>
          <w:color w:val="auto"/>
          <w:kern w:val="0"/>
          <w:szCs w:val="21"/>
          <w:highlight w:val="none"/>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lang w:eastAsia="zh-CN"/>
        </w:rPr>
        <w:t>）省本级项目费用（总价包干）最高限价：</w:t>
      </w:r>
      <w:r>
        <w:rPr>
          <w:rFonts w:hint="eastAsia" w:ascii="宋体" w:hAnsi="宋体" w:cs="宋体"/>
          <w:b/>
          <w:color w:val="auto"/>
          <w:kern w:val="0"/>
          <w:szCs w:val="21"/>
          <w:highlight w:val="none"/>
          <w:u w:val="single"/>
          <w:lang w:val="en-US" w:eastAsia="zh-CN"/>
        </w:rPr>
        <w:t xml:space="preserve"> 300 </w:t>
      </w:r>
      <w:r>
        <w:rPr>
          <w:rFonts w:hint="eastAsia" w:ascii="宋体" w:hAnsi="宋体" w:cs="宋体"/>
          <w:b/>
          <w:color w:val="auto"/>
          <w:kern w:val="0"/>
          <w:szCs w:val="21"/>
          <w:highlight w:val="none"/>
          <w:lang w:val="en-US" w:eastAsia="zh-CN"/>
        </w:rPr>
        <w:t>万元；</w:t>
      </w:r>
      <w:r>
        <w:rPr>
          <w:rFonts w:hint="eastAsia" w:ascii="宋体" w:hAnsi="宋体" w:cs="宋体"/>
          <w:b/>
          <w:bCs/>
          <w:snapToGrid w:val="0"/>
          <w:color w:val="auto"/>
          <w:kern w:val="0"/>
          <w:szCs w:val="21"/>
          <w:highlight w:val="none"/>
        </w:rPr>
        <w:t>此报价应包括完成合同所涉及的全部内容包含但不仅限于</w:t>
      </w:r>
      <w:r>
        <w:rPr>
          <w:rFonts w:hint="eastAsia" w:cs="Arial"/>
          <w:b/>
          <w:color w:val="auto"/>
          <w:highlight w:val="none"/>
          <w:u w:val="none"/>
        </w:rPr>
        <w:t>所需系统</w:t>
      </w:r>
      <w:r>
        <w:rPr>
          <w:rFonts w:hint="eastAsia" w:cs="Arial"/>
          <w:b/>
          <w:color w:val="auto"/>
          <w:highlight w:val="none"/>
          <w:u w:val="none"/>
          <w:lang w:eastAsia="zh-CN"/>
        </w:rPr>
        <w:t>升级</w:t>
      </w:r>
      <w:r>
        <w:rPr>
          <w:rFonts w:hint="eastAsia" w:cs="Arial"/>
          <w:b/>
          <w:color w:val="auto"/>
          <w:highlight w:val="none"/>
          <w:u w:val="none"/>
        </w:rPr>
        <w:t>、开发、</w:t>
      </w:r>
      <w:r>
        <w:rPr>
          <w:rFonts w:hint="eastAsia" w:cs="Arial"/>
          <w:b/>
          <w:color w:val="auto"/>
          <w:highlight w:val="none"/>
          <w:u w:val="none"/>
          <w:lang w:eastAsia="zh-CN"/>
        </w:rPr>
        <w:t>实施、建设、</w:t>
      </w:r>
      <w:r>
        <w:rPr>
          <w:rFonts w:hint="eastAsia" w:cs="Arial"/>
          <w:b/>
          <w:color w:val="auto"/>
          <w:highlight w:val="none"/>
          <w:u w:val="none"/>
        </w:rPr>
        <w:t>平台对接、上线调试、试运行管理、</w:t>
      </w:r>
      <w:r>
        <w:rPr>
          <w:rFonts w:hint="eastAsia" w:cs="Arial"/>
          <w:b/>
          <w:color w:val="auto"/>
          <w:highlight w:val="none"/>
          <w:u w:val="none"/>
          <w:lang w:eastAsia="zh-CN"/>
        </w:rPr>
        <w:t>系统</w:t>
      </w:r>
      <w:r>
        <w:rPr>
          <w:rFonts w:hint="eastAsia" w:cs="Arial"/>
          <w:b/>
          <w:color w:val="auto"/>
          <w:highlight w:val="none"/>
          <w:u w:val="none"/>
        </w:rPr>
        <w:t>测评、</w:t>
      </w:r>
      <w:r>
        <w:rPr>
          <w:rFonts w:hint="eastAsia" w:ascii="Times New Roman" w:hAnsi="Times New Roman" w:eastAsia="宋体" w:cs="Arial"/>
          <w:b/>
          <w:color w:val="auto"/>
          <w:highlight w:val="none"/>
          <w:u w:val="none"/>
          <w:lang w:val="en-US" w:eastAsia="zh-CN"/>
        </w:rPr>
        <w:t>服务</w:t>
      </w:r>
      <w:r>
        <w:rPr>
          <w:rFonts w:hint="eastAsia" w:ascii="Times New Roman" w:hAnsi="Times New Roman" w:eastAsia="宋体" w:cs="Arial"/>
          <w:b/>
          <w:color w:val="auto"/>
          <w:highlight w:val="none"/>
          <w:u w:val="none"/>
          <w:lang w:eastAsia="zh-CN"/>
        </w:rPr>
        <w:t>期间系统实施服务使用、培训和客服等费用，</w:t>
      </w:r>
      <w:r>
        <w:rPr>
          <w:rFonts w:hint="eastAsia" w:ascii="Times New Roman" w:hAnsi="Times New Roman" w:eastAsia="宋体" w:cs="Arial"/>
          <w:b/>
          <w:color w:val="auto"/>
          <w:highlight w:val="none"/>
          <w:u w:val="none"/>
          <w:lang w:val="en-US" w:eastAsia="zh-CN"/>
        </w:rPr>
        <w:t>以及满足安全服务需求有关费用，</w:t>
      </w:r>
      <w:r>
        <w:rPr>
          <w:rFonts w:hint="eastAsia" w:cs="Arial"/>
          <w:b/>
          <w:color w:val="auto"/>
          <w:highlight w:val="none"/>
          <w:u w:val="none"/>
          <w:lang w:eastAsia="zh-CN"/>
        </w:rPr>
        <w:t>运维及</w:t>
      </w:r>
      <w:r>
        <w:rPr>
          <w:rFonts w:hint="eastAsia" w:cs="Arial"/>
          <w:b/>
          <w:color w:val="auto"/>
          <w:highlight w:val="none"/>
          <w:u w:val="none"/>
        </w:rPr>
        <w:t>售后服务以及完成采购需求所涉及的其他一</w:t>
      </w:r>
      <w:r>
        <w:rPr>
          <w:rFonts w:hint="eastAsia" w:ascii="Times New Roman" w:hAnsi="Times New Roman" w:eastAsia="宋体" w:cs="Arial"/>
          <w:b/>
          <w:color w:val="auto"/>
          <w:highlight w:val="none"/>
          <w:u w:val="none"/>
          <w:lang w:eastAsia="zh-CN"/>
        </w:rPr>
        <w:t>切内容，业主方不再另行支付额外费用。</w:t>
      </w:r>
      <w:r>
        <w:rPr>
          <w:rFonts w:hint="eastAsia" w:ascii="宋体" w:hAnsi="宋体" w:cs="宋体"/>
          <w:b/>
          <w:bCs/>
          <w:snapToGrid w:val="0"/>
          <w:color w:val="auto"/>
          <w:kern w:val="0"/>
          <w:szCs w:val="21"/>
          <w:highlight w:val="none"/>
        </w:rPr>
        <w:t>以及中标后中标供应商因本项目合同履行产生的税金、人工、管理、合理利润等一切成本及费用（以上所有费用包含在综合单价中，不另列）。</w:t>
      </w:r>
    </w:p>
    <w:p>
      <w:pPr>
        <w:pStyle w:val="2"/>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（2）市县标准年度服务费用，要求包括</w:t>
      </w:r>
      <w:r>
        <w:rPr>
          <w:rFonts w:hint="eastAsia" w:ascii="宋体" w:hAnsi="宋体" w:eastAsia="宋体" w:cs="宋体"/>
          <w:b/>
          <w:color w:val="auto"/>
          <w:kern w:val="0"/>
          <w:sz w:val="21"/>
          <w:szCs w:val="21"/>
          <w:highlight w:val="none"/>
        </w:rPr>
        <w:t>新年度初始化设置、培训和日常运维服务费用</w:t>
      </w:r>
      <w:r>
        <w:rPr>
          <w:rFonts w:hint="eastAsia" w:ascii="宋体" w:hAnsi="宋体" w:eastAsia="宋体" w:cs="宋体"/>
          <w:b/>
          <w:color w:val="auto"/>
          <w:kern w:val="0"/>
          <w:sz w:val="21"/>
          <w:szCs w:val="21"/>
          <w:highlight w:val="none"/>
          <w:lang w:eastAsia="zh-CN"/>
        </w:rPr>
        <w:t>等全部实施费用</w:t>
      </w:r>
      <w:r>
        <w:rPr>
          <w:rFonts w:hint="eastAsia" w:ascii="宋体" w:hAnsi="宋体" w:eastAsia="宋体" w:cs="宋体"/>
          <w:b/>
          <w:color w:val="auto"/>
          <w:kern w:val="0"/>
          <w:sz w:val="21"/>
          <w:szCs w:val="21"/>
          <w:highlight w:val="none"/>
          <w:lang w:val="en-US" w:eastAsia="zh-CN" w:bidi="ar-SA"/>
        </w:rPr>
        <w:t>，其中地市级年度服务最高限价为：</w:t>
      </w:r>
      <w:r>
        <w:rPr>
          <w:rFonts w:hint="eastAsia" w:ascii="宋体" w:hAnsi="宋体" w:eastAsia="宋体" w:cs="宋体"/>
          <w:b/>
          <w:color w:val="auto"/>
          <w:kern w:val="0"/>
          <w:sz w:val="21"/>
          <w:szCs w:val="21"/>
          <w:highlight w:val="none"/>
          <w:u w:val="single"/>
          <w:lang w:val="en-US" w:eastAsia="zh-CN" w:bidi="ar-SA"/>
        </w:rPr>
        <w:t xml:space="preserve"> 60 </w:t>
      </w:r>
      <w:r>
        <w:rPr>
          <w:rFonts w:hint="eastAsia" w:ascii="宋体" w:hAnsi="宋体" w:eastAsia="宋体" w:cs="宋体"/>
          <w:b/>
          <w:color w:val="auto"/>
          <w:kern w:val="0"/>
          <w:sz w:val="21"/>
          <w:szCs w:val="21"/>
          <w:highlight w:val="none"/>
          <w:lang w:val="en-US" w:eastAsia="zh-CN" w:bidi="ar-SA"/>
        </w:rPr>
        <w:t>万元/年/地市，区县级年度服务最高限价为：</w:t>
      </w:r>
      <w:r>
        <w:rPr>
          <w:rFonts w:hint="eastAsia" w:ascii="宋体" w:hAnsi="宋体" w:eastAsia="宋体" w:cs="宋体"/>
          <w:b/>
          <w:color w:val="auto"/>
          <w:kern w:val="0"/>
          <w:sz w:val="21"/>
          <w:szCs w:val="21"/>
          <w:highlight w:val="none"/>
          <w:u w:val="single"/>
          <w:lang w:val="en-US" w:eastAsia="zh-CN" w:bidi="ar-SA"/>
        </w:rPr>
        <w:t xml:space="preserve"> 40 </w:t>
      </w:r>
      <w:r>
        <w:rPr>
          <w:rFonts w:hint="eastAsia" w:ascii="宋体" w:hAnsi="宋体" w:eastAsia="宋体" w:cs="宋体"/>
          <w:b/>
          <w:color w:val="auto"/>
          <w:kern w:val="0"/>
          <w:sz w:val="21"/>
          <w:szCs w:val="21"/>
          <w:highlight w:val="none"/>
          <w:lang w:val="en-US" w:eastAsia="zh-CN" w:bidi="ar-SA"/>
        </w:rPr>
        <w:t>万元/年/区县，服务费用含系统初始化实施，培训、现场服务和远程服务等统一标准的服务，市县财政局不再另行支付额外费用。市县的个性需求服务费用或超过现场服务时间标准（2个人月）的费用另行与供应商商议。</w:t>
      </w:r>
    </w:p>
    <w:p>
      <w:pPr>
        <w:keepNext w:val="0"/>
        <w:keepLines w:val="0"/>
        <w:pageBreakBefore w:val="0"/>
        <w:widowControl w:val="0"/>
        <w:kinsoku/>
        <w:wordWrap/>
        <w:overflowPunct/>
        <w:topLinePunct w:val="0"/>
        <w:autoSpaceDE/>
        <w:autoSpaceDN/>
        <w:bidi w:val="0"/>
        <w:spacing w:line="360" w:lineRule="auto"/>
        <w:textAlignment w:val="auto"/>
        <w:rPr>
          <w:rFonts w:hint="default"/>
          <w:color w:val="auto"/>
          <w:highlight w:val="none"/>
          <w:lang w:val="en-US" w:eastAsia="zh-CN"/>
        </w:rPr>
      </w:pPr>
      <w:r>
        <w:rPr>
          <w:rFonts w:hint="eastAsia" w:ascii="宋体" w:hAnsi="宋体" w:eastAsia="宋体" w:cs="宋体"/>
          <w:b/>
          <w:color w:val="auto"/>
          <w:kern w:val="0"/>
          <w:sz w:val="21"/>
          <w:szCs w:val="21"/>
          <w:highlight w:val="none"/>
          <w:lang w:val="en-US" w:eastAsia="zh-CN" w:bidi="ar-SA"/>
        </w:rPr>
        <w:t xml:space="preserve">    总投标报价（本项目评审价）按：省本级平台费用+10</w:t>
      </w:r>
      <w:r>
        <w:rPr>
          <w:rFonts w:hint="default" w:ascii="Arial" w:hAnsi="Arial" w:eastAsia="宋体" w:cs="Arial"/>
          <w:b/>
          <w:color w:val="auto"/>
          <w:kern w:val="0"/>
          <w:sz w:val="21"/>
          <w:szCs w:val="21"/>
          <w:highlight w:val="none"/>
          <w:lang w:val="en-US" w:eastAsia="zh-CN" w:bidi="ar-SA"/>
        </w:rPr>
        <w:t>×</w:t>
      </w:r>
      <w:r>
        <w:rPr>
          <w:rFonts w:hint="eastAsia" w:ascii="宋体" w:hAnsi="宋体" w:eastAsia="宋体" w:cs="宋体"/>
          <w:b/>
          <w:color w:val="auto"/>
          <w:kern w:val="0"/>
          <w:sz w:val="21"/>
          <w:szCs w:val="21"/>
          <w:highlight w:val="none"/>
          <w:lang w:val="en-US" w:eastAsia="zh-CN" w:bidi="ar-SA"/>
        </w:rPr>
        <w:t>地市级年度服务费用+86</w:t>
      </w:r>
      <w:r>
        <w:rPr>
          <w:rFonts w:hint="default" w:ascii="Arial" w:hAnsi="Arial" w:eastAsia="宋体" w:cs="Arial"/>
          <w:b/>
          <w:color w:val="auto"/>
          <w:kern w:val="0"/>
          <w:sz w:val="21"/>
          <w:szCs w:val="21"/>
          <w:highlight w:val="none"/>
          <w:lang w:val="en-US" w:eastAsia="zh-CN" w:bidi="ar-SA"/>
        </w:rPr>
        <w:t>×</w:t>
      </w:r>
      <w:r>
        <w:rPr>
          <w:rFonts w:hint="eastAsia" w:ascii="Arial" w:hAnsi="Arial" w:eastAsia="宋体" w:cs="Arial"/>
          <w:b/>
          <w:color w:val="auto"/>
          <w:kern w:val="0"/>
          <w:sz w:val="21"/>
          <w:szCs w:val="21"/>
          <w:highlight w:val="none"/>
          <w:lang w:val="en-US" w:eastAsia="zh-CN" w:bidi="ar-SA"/>
        </w:rPr>
        <w:t>区县级年度服务费用计算。</w:t>
      </w:r>
    </w:p>
    <w:p>
      <w:pPr>
        <w:pStyle w:val="2"/>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完成本项目服务所涉及的一律费用由供应商承担。费用清单需详细列明，不详细的部分采购人有权按最好效果、最高标准执行。</w:t>
      </w:r>
    </w:p>
    <w:p>
      <w:pPr>
        <w:pStyle w:val="2"/>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投标人应认真计算可能发生的各相关费用并计入报价内，在项目实施过程中不得藉此要求增加任何费用，并不得出现选择性的报价。</w:t>
      </w:r>
    </w:p>
    <w:p>
      <w:pPr>
        <w:widowControl/>
        <w:adjustRightInd w:val="0"/>
        <w:snapToGrid w:val="0"/>
        <w:spacing w:line="360" w:lineRule="auto"/>
        <w:ind w:firstLine="422" w:firstLineChars="200"/>
        <w:jc w:val="left"/>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11.3本项目采购代理服务费由中标人向采购代理机构支付，相关成本支出由投标人自行考虑。采购代理服务费计取标准见前附表。</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11.5其它需在报价中考虑的因素：</w:t>
      </w:r>
    </w:p>
    <w:p>
      <w:pPr>
        <w:numPr>
          <w:ilvl w:val="0"/>
          <w:numId w:val="13"/>
        </w:numPr>
        <w:tabs>
          <w:tab w:val="left" w:pos="993"/>
        </w:tabs>
        <w:adjustRightInd w:val="0"/>
        <w:snapToGrid w:val="0"/>
        <w:spacing w:line="360" w:lineRule="auto"/>
        <w:ind w:left="0" w:firstLine="42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用户需求中明确的需供应商承担的费用均应含在投标总价中；</w:t>
      </w:r>
    </w:p>
    <w:p>
      <w:pPr>
        <w:numPr>
          <w:ilvl w:val="0"/>
          <w:numId w:val="13"/>
        </w:numPr>
        <w:tabs>
          <w:tab w:val="left" w:pos="993"/>
        </w:tabs>
        <w:adjustRightInd w:val="0"/>
        <w:snapToGrid w:val="0"/>
        <w:spacing w:line="360" w:lineRule="auto"/>
        <w:ind w:left="0" w:firstLine="420"/>
        <w:jc w:val="left"/>
        <w:rPr>
          <w:rFonts w:hint="eastAsia" w:ascii="宋体" w:hAnsi="宋体" w:cs="宋体"/>
          <w:b/>
          <w:snapToGrid w:val="0"/>
          <w:color w:val="auto"/>
          <w:kern w:val="0"/>
          <w:szCs w:val="21"/>
          <w:highlight w:val="none"/>
        </w:rPr>
      </w:pPr>
      <w:r>
        <w:rPr>
          <w:rFonts w:hint="eastAsia" w:ascii="宋体" w:hAnsi="宋体" w:cs="宋体"/>
          <w:b/>
          <w:color w:val="auto"/>
          <w:szCs w:val="21"/>
          <w:highlight w:val="none"/>
        </w:rPr>
        <w:t>采购文件未明示但投标人认为可能产生的潜在费用支出均需自行考虑并计入投标总价中；</w:t>
      </w:r>
    </w:p>
    <w:p>
      <w:pPr>
        <w:numPr>
          <w:ilvl w:val="0"/>
          <w:numId w:val="13"/>
        </w:numPr>
        <w:tabs>
          <w:tab w:val="left" w:pos="993"/>
        </w:tabs>
        <w:adjustRightInd w:val="0"/>
        <w:snapToGrid w:val="0"/>
        <w:spacing w:line="360" w:lineRule="auto"/>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对于没有填报的项目，采购人将不再支付，并均认为已包含在报价内。</w:t>
      </w:r>
    </w:p>
    <w:p>
      <w:pPr>
        <w:pStyle w:val="2"/>
        <w:snapToGrid w:val="0"/>
        <w:spacing w:before="120" w:beforeLines="5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12．投标货币</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投标人用人民币报价。</w:t>
      </w:r>
    </w:p>
    <w:p>
      <w:pPr>
        <w:pStyle w:val="2"/>
        <w:numPr>
          <w:ilvl w:val="0"/>
          <w:numId w:val="14"/>
        </w:numPr>
        <w:snapToGrid w:val="0"/>
        <w:spacing w:before="120" w:beforeLines="5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投标保证金</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本项目不收取投标保证金。但违反政府采购相关规定给采购人造成损失的，投标人应当承担赔偿责任。</w:t>
      </w:r>
    </w:p>
    <w:p>
      <w:pPr>
        <w:pStyle w:val="2"/>
        <w:snapToGrid w:val="0"/>
        <w:spacing w:before="120" w:beforeLines="5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14．投标有效期</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投标文件在开标之日起90个日历天内有效。</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中标人的投标文件自开标之日起至合同履行完毕止均应保持有效。</w:t>
      </w:r>
    </w:p>
    <w:p>
      <w:pPr>
        <w:pStyle w:val="2"/>
        <w:snapToGrid w:val="0"/>
        <w:spacing w:before="120" w:beforeLines="5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15．投标文件的式样</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 xml:space="preserve">15.2 </w:t>
      </w:r>
      <w:r>
        <w:rPr>
          <w:rFonts w:hint="eastAsia" w:ascii="宋体" w:hAnsi="宋体" w:eastAsia="宋体" w:cs="宋体"/>
          <w:snapToGrid w:val="0"/>
          <w:color w:val="auto"/>
          <w:kern w:val="0"/>
          <w:szCs w:val="21"/>
          <w:highlight w:val="none"/>
          <w:lang w:val="en-US" w:eastAsia="zh-CN"/>
        </w:rPr>
        <w:t>投标文件是</w:t>
      </w:r>
      <w:r>
        <w:rPr>
          <w:rFonts w:hint="eastAsia" w:ascii="宋体" w:hAnsi="宋体" w:eastAsia="宋体" w:cs="宋体"/>
          <w:snapToGrid w:val="0"/>
          <w:color w:val="auto"/>
          <w:kern w:val="0"/>
          <w:szCs w:val="21"/>
          <w:highlight w:val="none"/>
        </w:rPr>
        <w:t>电子投标文件</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包括“电子加密投标文件”和“备份投标文件”，在投标文件编制完成后同时生成</w:t>
      </w:r>
      <w:r>
        <w:rPr>
          <w:rFonts w:hint="eastAsia" w:ascii="宋体" w:hAnsi="宋体" w:eastAsia="宋体" w:cs="宋体"/>
          <w:snapToGrid w:val="0"/>
          <w:color w:val="auto"/>
          <w:kern w:val="0"/>
          <w:szCs w:val="21"/>
          <w:highlight w:val="none"/>
          <w:lang w:eastAsia="zh-CN"/>
        </w:rPr>
        <w:t>。</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）一份电子加密标书（后缀格式为.jmbs），一份备份标书文件（后缀格式为.bfbs）</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）每份电子投标文件应包括资格响应文件、商务技术响应文件、报价响应文件三部分内容。</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 xml:space="preserve">15.3 </w:t>
      </w:r>
      <w:r>
        <w:rPr>
          <w:rFonts w:hint="eastAsia" w:ascii="宋体" w:hAnsi="宋体" w:eastAsia="宋体" w:cs="宋体"/>
          <w:b/>
          <w:bCs/>
          <w:snapToGrid w:val="0"/>
          <w:color w:val="auto"/>
          <w:kern w:val="0"/>
          <w:szCs w:val="21"/>
          <w:highlight w:val="none"/>
          <w:lang w:val="en-US" w:eastAsia="zh-CN"/>
        </w:rPr>
        <w:t>投标文件中投标函、</w:t>
      </w:r>
      <w:r>
        <w:rPr>
          <w:rFonts w:hint="eastAsia" w:ascii="宋体" w:hAnsi="宋体" w:eastAsia="宋体" w:cs="宋体"/>
          <w:b/>
          <w:bCs/>
          <w:snapToGrid w:val="0"/>
          <w:color w:val="auto"/>
          <w:kern w:val="0"/>
          <w:szCs w:val="21"/>
          <w:highlight w:val="none"/>
          <w:lang w:eastAsia="zh-CN"/>
        </w:rPr>
        <w:t>授权委托书</w:t>
      </w:r>
      <w:r>
        <w:rPr>
          <w:rFonts w:hint="eastAsia" w:ascii="宋体" w:hAnsi="宋体" w:eastAsia="宋体" w:cs="宋体"/>
          <w:b/>
          <w:bCs/>
          <w:snapToGrid w:val="0"/>
          <w:color w:val="auto"/>
          <w:kern w:val="0"/>
          <w:szCs w:val="21"/>
          <w:highlight w:val="none"/>
          <w:lang w:val="en-US" w:eastAsia="zh-CN"/>
        </w:rPr>
        <w:t>的</w:t>
      </w:r>
      <w:r>
        <w:rPr>
          <w:rFonts w:hint="eastAsia" w:ascii="宋体" w:hAnsi="宋体" w:eastAsia="宋体" w:cs="宋体"/>
          <w:b/>
          <w:bCs/>
          <w:snapToGrid w:val="0"/>
          <w:color w:val="auto"/>
          <w:kern w:val="0"/>
          <w:szCs w:val="21"/>
          <w:highlight w:val="none"/>
        </w:rPr>
        <w:t>格式、签字、盖章及内容均应符合</w:t>
      </w:r>
      <w:r>
        <w:rPr>
          <w:rFonts w:hint="eastAsia" w:ascii="宋体" w:hAnsi="宋体" w:eastAsia="宋体" w:cs="宋体"/>
          <w:b/>
          <w:bCs/>
          <w:snapToGrid w:val="0"/>
          <w:color w:val="auto"/>
          <w:kern w:val="0"/>
          <w:szCs w:val="21"/>
          <w:highlight w:val="none"/>
          <w:lang w:val="en-US" w:eastAsia="zh-CN"/>
        </w:rPr>
        <w:t>采购文件格式</w:t>
      </w:r>
      <w:r>
        <w:rPr>
          <w:rFonts w:hint="eastAsia" w:ascii="宋体" w:hAnsi="宋体" w:eastAsia="宋体" w:cs="宋体"/>
          <w:b/>
          <w:bCs/>
          <w:snapToGrid w:val="0"/>
          <w:color w:val="auto"/>
          <w:kern w:val="0"/>
          <w:szCs w:val="21"/>
          <w:highlight w:val="none"/>
        </w:rPr>
        <w:t>要求，否则投标文件无效。</w:t>
      </w:r>
    </w:p>
    <w:p>
      <w:pPr>
        <w:pStyle w:val="2"/>
        <w:rPr>
          <w:rFonts w:hint="eastAsia" w:eastAsia="宋体"/>
          <w:color w:val="auto"/>
          <w:sz w:val="21"/>
          <w:szCs w:val="21"/>
          <w:highlight w:val="none"/>
          <w:lang w:eastAsia="zh-CN"/>
        </w:rPr>
      </w:pPr>
      <w:r>
        <w:rPr>
          <w:rFonts w:hint="eastAsia" w:ascii="宋体" w:hAnsi="宋体" w:eastAsia="宋体" w:cs="宋体"/>
          <w:b/>
          <w:bCs/>
          <w:snapToGrid w:val="0"/>
          <w:color w:val="auto"/>
          <w:kern w:val="0"/>
          <w:sz w:val="21"/>
          <w:szCs w:val="21"/>
          <w:highlight w:val="none"/>
          <w:lang w:eastAsia="zh-CN"/>
        </w:rPr>
        <w:t>说明：凡采购文件要求投标人盖公章的部分，采用电子签章或加盖投标人公章后扫描上传的，均视为符合要求。</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lang w:eastAsia="zh-CN"/>
        </w:rPr>
      </w:pPr>
      <w:r>
        <w:rPr>
          <w:rFonts w:hint="eastAsia" w:ascii="宋体" w:hAnsi="宋体" w:eastAsia="宋体" w:cs="宋体"/>
          <w:b/>
          <w:bCs/>
          <w:snapToGrid w:val="0"/>
          <w:color w:val="auto"/>
          <w:kern w:val="0"/>
          <w:szCs w:val="21"/>
          <w:highlight w:val="none"/>
        </w:rPr>
        <w:t>15.4</w:t>
      </w:r>
      <w:r>
        <w:rPr>
          <w:rFonts w:hint="eastAsia" w:ascii="宋体" w:hAnsi="宋体" w:eastAsia="宋体" w:cs="宋体"/>
          <w:b/>
          <w:bCs/>
          <w:snapToGrid w:val="0"/>
          <w:color w:val="auto"/>
          <w:kern w:val="0"/>
          <w:szCs w:val="21"/>
          <w:highlight w:val="none"/>
          <w:lang w:eastAsia="zh-CN"/>
        </w:rPr>
        <w:t>投标人应根据“政采云供应商项目采购-电子招投标操作指南”及本招标文件规定编制电子投标文件并进行关联定位，以便评标委员会在评标时，点击评分项，可直接定位到该评分项内容。</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lang w:eastAsia="zh-CN"/>
        </w:rPr>
      </w:pPr>
      <w:r>
        <w:rPr>
          <w:rFonts w:hint="eastAsia" w:ascii="宋体" w:hAnsi="宋体" w:eastAsia="宋体" w:cs="宋体"/>
          <w:b/>
          <w:bCs/>
          <w:snapToGrid w:val="0"/>
          <w:color w:val="auto"/>
          <w:kern w:val="0"/>
          <w:szCs w:val="21"/>
          <w:highlight w:val="none"/>
          <w:lang w:eastAsia="zh-CN"/>
        </w:rPr>
        <w:t>如对招标文件的某项要求，投标人的投标响应文件未能提供相应的内容与其对应，则评标委员会在评审时会提示投标人未对此项招标要求提供相应内容。由此产生的评分影响由投标人自行承担。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投标文件内容不完整、编排混乱导致投标文件被误读、漏读，或者在按采购文件规定的部分查找不到相关内容的，是投标人的责任。</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28" w:name="_Toc24791"/>
      <w:bookmarkStart w:id="29" w:name="_Toc11108"/>
      <w:bookmarkStart w:id="30" w:name="_Toc1575"/>
      <w:bookmarkStart w:id="31" w:name="_Toc1375"/>
      <w:bookmarkStart w:id="32" w:name="_Toc240450080"/>
      <w:bookmarkStart w:id="33" w:name="_Toc23339"/>
      <w:bookmarkStart w:id="34" w:name="_Toc251566653"/>
      <w:r>
        <w:rPr>
          <w:rFonts w:hint="eastAsia" w:ascii="宋体" w:hAnsi="宋体" w:eastAsia="宋体" w:cs="宋体"/>
          <w:color w:val="auto"/>
          <w:sz w:val="21"/>
          <w:szCs w:val="21"/>
          <w:highlight w:val="none"/>
        </w:rPr>
        <w:t>四、投标文件的递交</w:t>
      </w:r>
      <w:bookmarkEnd w:id="28"/>
      <w:bookmarkEnd w:id="29"/>
      <w:bookmarkEnd w:id="30"/>
      <w:bookmarkEnd w:id="31"/>
      <w:bookmarkEnd w:id="32"/>
      <w:bookmarkEnd w:id="33"/>
      <w:bookmarkEnd w:id="34"/>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16．投标文件的</w:t>
      </w:r>
      <w:r>
        <w:rPr>
          <w:rFonts w:hint="eastAsia" w:ascii="宋体" w:hAnsi="宋体" w:eastAsia="宋体" w:cs="宋体"/>
          <w:b/>
          <w:color w:val="auto"/>
          <w:szCs w:val="21"/>
          <w:highlight w:val="none"/>
          <w:lang w:val="en-US" w:eastAsia="zh-CN"/>
        </w:rPr>
        <w:t>递交</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16.1 电子加密投标文件：投标文件制作完成并生成加密标书，在投标截止时间前，</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需将加密的投标文件上传至政采云平台，到达开标时间后，解密投标文件。</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未能在投标截止时间前成功上传电子加密投标文件的投标无效。</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成功上传电子加密投标文件后，可自行打印投标文件接收回执。</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16.2备份投标文件：供应商确保在投标截止时间前，将备份投标文件通过快递形式寄达采购代理机构处，以便标书解密异常时应急使用。</w:t>
      </w:r>
    </w:p>
    <w:p>
      <w:pPr>
        <w:pStyle w:val="11"/>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pStyle w:val="11"/>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投标人仅提交备份投标文件的，投标无效。</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17．投标截止期</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17.1 投标人应按前附表规定的日期、时间和</w:t>
      </w:r>
      <w:r>
        <w:rPr>
          <w:rFonts w:hint="eastAsia" w:ascii="宋体" w:hAnsi="宋体" w:eastAsia="宋体" w:cs="宋体"/>
          <w:snapToGrid w:val="0"/>
          <w:color w:val="auto"/>
          <w:kern w:val="0"/>
          <w:szCs w:val="21"/>
          <w:highlight w:val="none"/>
          <w:lang w:val="en-US" w:eastAsia="zh-CN"/>
        </w:rPr>
        <w:t>方式上传、</w:t>
      </w:r>
      <w:r>
        <w:rPr>
          <w:rFonts w:hint="eastAsia" w:ascii="宋体" w:hAnsi="宋体" w:eastAsia="宋体" w:cs="宋体"/>
          <w:snapToGrid w:val="0"/>
          <w:color w:val="auto"/>
          <w:kern w:val="0"/>
          <w:szCs w:val="21"/>
          <w:highlight w:val="none"/>
        </w:rPr>
        <w:t>递交投标文件。</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18．迟交的投标文件</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在本须知第17条规定的截止期后收到的任何投标文件</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采购人将</w:t>
      </w:r>
      <w:r>
        <w:rPr>
          <w:rFonts w:hint="eastAsia" w:ascii="宋体" w:hAnsi="宋体" w:eastAsia="宋体" w:cs="宋体"/>
          <w:snapToGrid w:val="0"/>
          <w:color w:val="auto"/>
          <w:kern w:val="0"/>
          <w:szCs w:val="21"/>
          <w:highlight w:val="none"/>
          <w:lang w:val="en-US" w:eastAsia="zh-CN"/>
        </w:rPr>
        <w:t>不予接收</w:t>
      </w:r>
      <w:r>
        <w:rPr>
          <w:rFonts w:hint="eastAsia" w:ascii="宋体" w:hAnsi="宋体" w:eastAsia="宋体" w:cs="宋体"/>
          <w:snapToGrid w:val="0"/>
          <w:color w:val="auto"/>
          <w:kern w:val="0"/>
          <w:szCs w:val="21"/>
          <w:highlight w:val="none"/>
        </w:rPr>
        <w:t>。</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19．投标文件的修改与撤回</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Cs w:val="21"/>
          <w:highlight w:val="none"/>
        </w:rPr>
        <w:t>19.1 投标人在递交投标文件后，在规定的投标截止时间前，</w:t>
      </w:r>
      <w:r>
        <w:rPr>
          <w:rFonts w:hint="eastAsia" w:ascii="宋体" w:hAnsi="宋体" w:eastAsia="宋体" w:cs="宋体"/>
          <w:color w:val="auto"/>
          <w:highlight w:val="none"/>
          <w:lang w:val="en-US" w:eastAsia="zh-CN"/>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在投标截止期之后，投标人不得对其投标作任何修改。</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从投标截止期至投标人在投标函格式中确定的投标有效期期满这段时间内，投标人不得撤回其投标。</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35" w:name="_Toc251566654"/>
      <w:bookmarkStart w:id="36" w:name="_Toc240450081"/>
      <w:bookmarkStart w:id="37" w:name="_Toc14566"/>
      <w:bookmarkStart w:id="38" w:name="_Toc23779"/>
      <w:bookmarkStart w:id="39" w:name="_Toc13578"/>
      <w:bookmarkStart w:id="40" w:name="_Toc2372"/>
      <w:bookmarkStart w:id="41" w:name="_Toc16027"/>
      <w:r>
        <w:rPr>
          <w:rFonts w:hint="eastAsia" w:ascii="宋体" w:hAnsi="宋体" w:eastAsia="宋体" w:cs="宋体"/>
          <w:color w:val="auto"/>
          <w:sz w:val="21"/>
          <w:szCs w:val="21"/>
          <w:highlight w:val="none"/>
        </w:rPr>
        <w:t>五、开标与评标</w:t>
      </w:r>
      <w:bookmarkEnd w:id="35"/>
      <w:bookmarkEnd w:id="36"/>
      <w:bookmarkEnd w:id="37"/>
      <w:bookmarkEnd w:id="38"/>
      <w:bookmarkEnd w:id="39"/>
      <w:bookmarkEnd w:id="40"/>
      <w:bookmarkEnd w:id="41"/>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20．开标</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20.1 采购人将于前附表规定的时间和地点公开开标。若采购人按本须知第7条规定，通过修改采购文件更改了开标时间和地点的，以后者为准。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20.2</w:t>
      </w:r>
      <w:r>
        <w:rPr>
          <w:rFonts w:hint="eastAsia" w:ascii="宋体" w:hAnsi="宋体" w:eastAsia="宋体" w:cs="宋体"/>
          <w:snapToGrid w:val="0"/>
          <w:color w:val="auto"/>
          <w:kern w:val="0"/>
          <w:szCs w:val="21"/>
          <w:highlight w:val="none"/>
          <w:lang w:val="en-US" w:eastAsia="zh-CN"/>
        </w:rPr>
        <w:t>开评标期间，投标人代表应在线操作，并关注政采云有关信息公布、澄清等情况。</w:t>
      </w:r>
      <w:r>
        <w:rPr>
          <w:rFonts w:hint="eastAsia" w:ascii="宋体" w:hAnsi="宋体" w:eastAsia="宋体" w:cs="宋体"/>
          <w:snapToGrid w:val="0"/>
          <w:color w:val="auto"/>
          <w:kern w:val="0"/>
          <w:szCs w:val="21"/>
          <w:highlight w:val="none"/>
        </w:rPr>
        <w:t>投标人代表</w:t>
      </w:r>
      <w:r>
        <w:rPr>
          <w:rFonts w:hint="eastAsia" w:ascii="宋体" w:hAnsi="宋体" w:eastAsia="宋体" w:cs="宋体"/>
          <w:snapToGrid w:val="0"/>
          <w:color w:val="auto"/>
          <w:kern w:val="0"/>
          <w:szCs w:val="21"/>
          <w:highlight w:val="none"/>
          <w:lang w:val="en-US" w:eastAsia="zh-CN"/>
        </w:rPr>
        <w:t>不</w:t>
      </w:r>
      <w:r>
        <w:rPr>
          <w:rFonts w:hint="eastAsia" w:ascii="宋体" w:hAnsi="宋体" w:eastAsia="宋体" w:cs="宋体"/>
          <w:snapToGrid w:val="0"/>
          <w:color w:val="auto"/>
          <w:kern w:val="0"/>
          <w:szCs w:val="21"/>
          <w:highlight w:val="none"/>
        </w:rPr>
        <w:t>参加开标</w:t>
      </w:r>
      <w:r>
        <w:rPr>
          <w:rFonts w:hint="eastAsia" w:ascii="宋体" w:hAnsi="宋体" w:eastAsia="宋体" w:cs="宋体"/>
          <w:snapToGrid w:val="0"/>
          <w:color w:val="auto"/>
          <w:kern w:val="0"/>
          <w:szCs w:val="21"/>
          <w:highlight w:val="none"/>
          <w:lang w:val="en-US" w:eastAsia="zh-CN"/>
        </w:rPr>
        <w:t>程序</w:t>
      </w:r>
      <w:r>
        <w:rPr>
          <w:rFonts w:hint="eastAsia" w:ascii="宋体" w:hAnsi="宋体" w:eastAsia="宋体" w:cs="宋体"/>
          <w:snapToGrid w:val="0"/>
          <w:color w:val="auto"/>
          <w:kern w:val="0"/>
          <w:szCs w:val="21"/>
          <w:highlight w:val="none"/>
        </w:rPr>
        <w:t>的，事后不得对采购相关人员、开标过程和开标结果提出异议。</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20.3 开标程序</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详见前附表序号第</w:t>
      </w:r>
      <w:r>
        <w:rPr>
          <w:rFonts w:hint="eastAsia" w:ascii="宋体" w:hAnsi="宋体" w:eastAsia="宋体" w:cs="宋体"/>
          <w:color w:val="auto"/>
          <w:szCs w:val="21"/>
          <w:highlight w:val="none"/>
          <w:lang w:val="en-US" w:eastAsia="zh-CN"/>
        </w:rPr>
        <w:t>20项</w:t>
      </w:r>
      <w:r>
        <w:rPr>
          <w:rFonts w:hint="eastAsia" w:ascii="宋体" w:hAnsi="宋体" w:eastAsia="宋体" w:cs="宋体"/>
          <w:color w:val="auto"/>
          <w:szCs w:val="21"/>
          <w:highlight w:val="none"/>
        </w:rPr>
        <w:t>。</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21．评标</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详见采购文件第五部分“评标办法”。</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22．串通投标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（5）不同供应商的投标文件相互混装。</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23．废标</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23.1根据《中华人民共和国政府采购法》第三十六条，出现下列情形之一的，应予以废标：</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（1）符合专业条件的供应商或者对采购文件作实质响应的供应商不足三家的；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（2）出现影响采购公正的违法、违规行为的；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（3）所有投标人的报价均超过了采购预算，采购人不能支付的；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（4）因重大变故，采购任务取消的。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23.2采购过程中出现以下情形，导致电子交易平台无法正常运行，或者无法保证电子交易的公平、公正和安全时，采购组织机构可中止电子交易活动：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 xml:space="preserve">（1）电子交易平台发生故障而无法登录访问的； </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（2）电子交易平台应用或数据库出现错误，不能进行正常操作的；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（3）电子交易平台发现严重安全漏洞，有潜在泄密危险的；</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 xml:space="preserve">（4）病毒发作导致不能进行正常操作的； </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（5）其他无法保证电子交易的公平、公正和安全的情况。</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废标后，采购人应当将废标理由通知所有投标人并重新组织招标；或者经主管部门批准，采取其他方式组织采购。</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42" w:name="_Toc26186"/>
      <w:bookmarkStart w:id="43" w:name="_Toc251566655"/>
      <w:bookmarkStart w:id="44" w:name="_Toc28905"/>
      <w:bookmarkStart w:id="45" w:name="_Toc240450082"/>
      <w:bookmarkStart w:id="46" w:name="_Toc4078"/>
      <w:bookmarkStart w:id="47" w:name="_Toc20311"/>
      <w:r>
        <w:rPr>
          <w:rFonts w:hint="eastAsia" w:ascii="宋体" w:hAnsi="宋体" w:eastAsia="宋体" w:cs="宋体"/>
          <w:color w:val="auto"/>
          <w:sz w:val="21"/>
          <w:szCs w:val="21"/>
          <w:highlight w:val="none"/>
        </w:rPr>
        <w:t>六、确定中标人及授予合同</w:t>
      </w:r>
      <w:bookmarkEnd w:id="42"/>
      <w:bookmarkEnd w:id="43"/>
      <w:bookmarkEnd w:id="44"/>
      <w:bookmarkEnd w:id="45"/>
      <w:bookmarkEnd w:id="46"/>
      <w:bookmarkEnd w:id="47"/>
    </w:p>
    <w:p>
      <w:pPr>
        <w:adjustRightInd w:val="0"/>
        <w:snapToGrid w:val="0"/>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24．中标人的确定</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24.1 采购代理机构应当自评审结束之日起2个工作日内将评审报告送交采购人。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或者采购代理机构应当自中标人确定之日起2个工作日内，在省级以上财政部门指定的媒体上公告中标结果。中标人享受中小企业扶持政策的，采购人、采购代理机构应当随中标结果公开中标人的《中小企业声明函》。</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公告期限为1个工作日。</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24.3中标通知书发出后，采购人不得违法改变中标结果，中标人无正当理由不得放弃中标。 </w:t>
      </w:r>
    </w:p>
    <w:p>
      <w:pPr>
        <w:adjustRightInd w:val="0"/>
        <w:snapToGrid w:val="0"/>
        <w:spacing w:line="360" w:lineRule="auto"/>
        <w:ind w:firstLine="422" w:firstLineChars="20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24.4中标人应为浙江政府采购注册供应商，如尚未注册，必须在投标截止前按照《浙江省政府采购供应商注册及诚信管理暂行办法》（浙财采监字［2009］28号）的相关规定，及时办理更新或供应商注册事项。</w:t>
      </w:r>
    </w:p>
    <w:p>
      <w:pPr>
        <w:adjustRightInd w:val="0"/>
        <w:snapToGrid w:val="0"/>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25．合同授予</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25.1 本项目的合同将授予按本须知第24.1款所确定的中标人。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25.2 中标或者成交供应商拒绝与采购人签订合同的，采购人可以按照评审报告推荐的中标或者成交候选人名单排序，确定下一候选人为中标或者成交供应商，也可以重新开展政府采购活动。</w:t>
      </w:r>
    </w:p>
    <w:p>
      <w:pPr>
        <w:adjustRightInd w:val="0"/>
        <w:snapToGrid w:val="0"/>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26．签订合同</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26.1 中标人应按中标通知书规定的时间与采购人签订合同</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地市、区县根据实际情况分别签订合同</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。如中标人为联合体的，由联合体成员各方法定代表人或其授权代表与采购人代表签订合同。中标人在领取中标通知书时须向采购人提供一份关于本项目在实施过程中的相关人员的通讯录作为合同附件。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26.3 采购文件、中标人的投标文件及投标修改文件、评标过程中有关澄清文件及经投标人法定代表人或授权代表签字确认的询标回复和承诺及中标通知书均作为合同组成部分。</w:t>
      </w:r>
    </w:p>
    <w:p>
      <w:pPr>
        <w:adjustRightInd w:val="0"/>
        <w:snapToGrid w:val="0"/>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27．履约保证金</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27.1 履约保证金</w:t>
      </w:r>
      <w:r>
        <w:rPr>
          <w:rFonts w:hint="eastAsia" w:ascii="宋体" w:hAnsi="宋体" w:cs="宋体"/>
          <w:snapToGrid w:val="0"/>
          <w:color w:val="auto"/>
          <w:kern w:val="0"/>
          <w:szCs w:val="21"/>
          <w:highlight w:val="none"/>
          <w:lang w:eastAsia="zh-CN"/>
        </w:rPr>
        <w:t>具体要求详见前附表</w:t>
      </w:r>
      <w:r>
        <w:rPr>
          <w:rFonts w:hint="eastAsia" w:ascii="宋体" w:hAnsi="宋体" w:cs="宋体"/>
          <w:snapToGrid w:val="0"/>
          <w:color w:val="auto"/>
          <w:kern w:val="0"/>
          <w:szCs w:val="21"/>
          <w:highlight w:val="none"/>
        </w:rPr>
        <w:t>。</w:t>
      </w:r>
    </w:p>
    <w:p>
      <w:pPr>
        <w:adjustRightInd w:val="0"/>
        <w:snapToGrid w:val="0"/>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28.采购代理服务费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rPr>
        <w:t>本项目的采购代理费由中标人支付，</w:t>
      </w:r>
      <w:r>
        <w:rPr>
          <w:rFonts w:hint="eastAsia" w:ascii="宋体" w:hAnsi="宋体" w:cs="宋体"/>
          <w:color w:val="auto"/>
          <w:szCs w:val="21"/>
          <w:highlight w:val="none"/>
        </w:rPr>
        <w:t>收费标准详见前附表。</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29.质疑与投诉</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质疑函范本、投诉书范本</w:t>
      </w:r>
      <w:r>
        <w:rPr>
          <w:rFonts w:hint="eastAsia" w:ascii="宋体" w:hAnsi="宋体" w:cs="宋体"/>
          <w:snapToGrid w:val="0"/>
          <w:color w:val="auto"/>
          <w:kern w:val="0"/>
          <w:szCs w:val="21"/>
          <w:highlight w:val="none"/>
          <w:lang w:eastAsia="zh-CN"/>
        </w:rPr>
        <w:t>详见本文件第七部分</w:t>
      </w:r>
      <w:r>
        <w:rPr>
          <w:rFonts w:hint="eastAsia" w:ascii="宋体" w:hAnsi="宋体" w:cs="宋体"/>
          <w:snapToGrid w:val="0"/>
          <w:color w:val="auto"/>
          <w:kern w:val="0"/>
          <w:szCs w:val="21"/>
          <w:highlight w:val="none"/>
        </w:rPr>
        <w:t>。</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29.1供应商询问</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供应商对政府采购活动事项有疑问的，可以向采购机构提出询问，采购人或者采购代理机构应当在3个工作日内对供应商依法提出的询问作出答复，但答复的内容不得涉及商业秘密。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29.2供应商质疑</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本项目要求投标人在法定质疑期内一次性提出针对同一采购程序环节的质疑。</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29.2.2提出质疑的投标人（以下简称质疑人）应当是参与所质疑项目采购活动的投标人。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29.2.3投标人提出质疑应当提交质疑函和必要的证明材料。质疑函应当包括下列内容：</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（一）投标人的姓名或者名称、地址、邮编、联系人及联系电话；</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（二）质疑项目的名称、编号；</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（三）具体、明确的质疑事项和与质疑事项相关的请求；</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（四）事实依据；</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（五）必要的法律依据；</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（六）提出质疑的日期。</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29.3供应商投诉</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30．采购结束</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30.1中标人与采购人签订合同生效后即为采购结束。</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30.2本项目的投标文件不予退回。</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p>
    <w:p>
      <w:pPr>
        <w:adjustRightInd w:val="0"/>
        <w:snapToGrid w:val="0"/>
        <w:spacing w:before="120" w:beforeLines="50" w:after="120" w:afterLines="50" w:line="360" w:lineRule="auto"/>
        <w:jc w:val="center"/>
        <w:outlineLvl w:val="0"/>
        <w:rPr>
          <w:rFonts w:hint="eastAsia" w:ascii="宋体" w:hAnsi="宋体" w:cs="宋体"/>
          <w:color w:val="auto"/>
          <w:sz w:val="36"/>
          <w:highlight w:val="none"/>
        </w:rPr>
      </w:pPr>
      <w:r>
        <w:rPr>
          <w:rFonts w:hint="eastAsia" w:ascii="宋体" w:hAnsi="宋体" w:cs="宋体"/>
          <w:b/>
          <w:bCs/>
          <w:color w:val="auto"/>
          <w:sz w:val="28"/>
          <w:szCs w:val="21"/>
          <w:highlight w:val="none"/>
        </w:rPr>
        <w:br w:type="page"/>
      </w:r>
      <w:bookmarkStart w:id="48" w:name="_Toc83616202"/>
      <w:bookmarkStart w:id="49" w:name="_Toc242012796"/>
      <w:bookmarkStart w:id="50" w:name="_Toc31190"/>
      <w:bookmarkStart w:id="51" w:name="_Toc17070"/>
      <w:bookmarkStart w:id="52" w:name="_Toc26125"/>
      <w:bookmarkStart w:id="53" w:name="_Toc13011"/>
      <w:r>
        <w:rPr>
          <w:rFonts w:hint="eastAsia" w:ascii="宋体" w:hAnsi="宋体" w:cs="宋体"/>
          <w:b/>
          <w:color w:val="auto"/>
          <w:sz w:val="30"/>
          <w:szCs w:val="30"/>
          <w:highlight w:val="none"/>
        </w:rPr>
        <w:t>第三部分</w:t>
      </w:r>
      <w:bookmarkEnd w:id="48"/>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eastAsia="zh-CN"/>
        </w:rPr>
        <w:t>采购</w:t>
      </w:r>
      <w:r>
        <w:rPr>
          <w:rFonts w:hint="eastAsia" w:ascii="宋体" w:hAnsi="宋体" w:cs="宋体"/>
          <w:b/>
          <w:color w:val="auto"/>
          <w:sz w:val="30"/>
          <w:szCs w:val="30"/>
          <w:highlight w:val="none"/>
        </w:rPr>
        <w:t>需求</w:t>
      </w:r>
      <w:bookmarkEnd w:id="49"/>
      <w:bookmarkEnd w:id="50"/>
      <w:bookmarkEnd w:id="51"/>
      <w:bookmarkEnd w:id="52"/>
      <w:bookmarkEnd w:id="53"/>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54" w:name="_Toc10128"/>
      <w:bookmarkStart w:id="55" w:name="_Toc447268502"/>
      <w:bookmarkStart w:id="56" w:name="_Toc12993"/>
      <w:bookmarkStart w:id="57" w:name="_Toc116487313"/>
      <w:bookmarkStart w:id="58" w:name="_Toc13655"/>
      <w:bookmarkStart w:id="59" w:name="_Toc24102"/>
      <w:bookmarkStart w:id="60" w:name="_Toc342633574"/>
      <w:r>
        <w:rPr>
          <w:rFonts w:hint="eastAsia" w:ascii="宋体" w:hAnsi="宋体" w:eastAsia="宋体" w:cs="宋体"/>
          <w:b/>
          <w:bCs/>
          <w:color w:val="auto"/>
          <w:sz w:val="28"/>
          <w:szCs w:val="28"/>
          <w:highlight w:val="none"/>
        </w:rPr>
        <w:t>一、项目背景</w:t>
      </w:r>
      <w:bookmarkEnd w:id="54"/>
      <w:bookmarkEnd w:id="55"/>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2019年，财政部印发《财政核心业务一体化系统实施方案》《开展财政核心业务一体化系统实施工作的通知》等文件，并专门召开会议对全国各省部署落实，要求各地按照预算制度改革创新要求，在全国统一业务规范和技术标准的基础上建设省级集中的预算管理一体化系统。</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浙江省财政厅严格落实财政部预算管理一体化建设工作部署，对标全国统一的业务规范和技术标准，高质量建设全省大集中的预算管理一体化系统，努力实现全省预算管理“横向一体化、纵向集中化、系统平台化”三大目标。</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管理一体化系统上线运行近1年，支撑全省各级财政部门、主管部门及预算单位用户预算管理业务。根据财政部预算管理一体化有关通知新要求以及财政业务管理工作需要，在现有预算管理一体化系统基础上需进行迭代调整，为保证工作顺利衔接，需要对本系统进行运行升级和维护。为做好浙江省预算管理一体化建设工作，结合自身业务需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全省各级用户系统使用需求以及财政部最新标准规范要求，计划在预算管理一体化系统现有版本的基础上，开展系统升级和2023年</w:t>
      </w:r>
      <w:r>
        <w:rPr>
          <w:rFonts w:hint="eastAsia" w:ascii="宋体" w:hAnsi="宋体" w:eastAsia="宋体" w:cs="宋体"/>
          <w:color w:val="auto"/>
          <w:kern w:val="2"/>
          <w:sz w:val="21"/>
          <w:szCs w:val="21"/>
          <w:highlight w:val="none"/>
          <w:lang w:val="en-US" w:eastAsia="zh-CN"/>
        </w:rPr>
        <w:t>预算管理业务</w:t>
      </w:r>
      <w:r>
        <w:rPr>
          <w:rFonts w:hint="eastAsia" w:ascii="宋体" w:hAnsi="宋体" w:eastAsia="宋体" w:cs="宋体"/>
          <w:color w:val="auto"/>
          <w:kern w:val="2"/>
          <w:sz w:val="21"/>
          <w:szCs w:val="21"/>
          <w:highlight w:val="none"/>
        </w:rPr>
        <w:t>运维工作。</w:t>
      </w:r>
    </w:p>
    <w:p>
      <w:pPr>
        <w:pStyle w:val="29"/>
        <w:spacing w:line="360" w:lineRule="auto"/>
        <w:ind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61" w:name="_Toc115343399"/>
      <w:bookmarkStart w:id="62" w:name="_Toc17480"/>
      <w:bookmarkStart w:id="63" w:name="_Toc28027"/>
      <w:bookmarkStart w:id="64" w:name="_Toc447268504"/>
      <w:bookmarkStart w:id="65" w:name="_Toc7964"/>
      <w:bookmarkStart w:id="66" w:name="_Toc7399"/>
      <w:bookmarkStart w:id="67" w:name="_Toc20696"/>
      <w:r>
        <w:rPr>
          <w:rFonts w:hint="eastAsia" w:ascii="宋体" w:hAnsi="宋体" w:eastAsia="宋体" w:cs="宋体"/>
          <w:b/>
          <w:bCs/>
          <w:color w:val="auto"/>
          <w:sz w:val="28"/>
          <w:szCs w:val="28"/>
          <w:highlight w:val="none"/>
        </w:rPr>
        <w:t>二、建设目标</w:t>
      </w:r>
      <w:bookmarkEnd w:id="61"/>
      <w:bookmarkEnd w:id="62"/>
      <w:bookmarkEnd w:id="63"/>
      <w:bookmarkEnd w:id="64"/>
      <w:bookmarkEnd w:id="65"/>
      <w:bookmarkEnd w:id="66"/>
      <w:bookmarkEnd w:id="67"/>
    </w:p>
    <w:p>
      <w:pPr>
        <w:spacing w:line="360" w:lineRule="auto"/>
        <w:ind w:firstLine="643"/>
        <w:outlineLvl w:val="0"/>
        <w:rPr>
          <w:rFonts w:hint="eastAsia" w:ascii="宋体" w:hAnsi="宋体" w:eastAsia="宋体" w:cs="宋体"/>
          <w:b/>
          <w:color w:val="auto"/>
          <w:sz w:val="24"/>
          <w:szCs w:val="24"/>
          <w:highlight w:val="none"/>
        </w:rPr>
      </w:pPr>
      <w:bookmarkStart w:id="68" w:name="_Toc7996"/>
      <w:bookmarkStart w:id="69" w:name="_Toc28760"/>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一</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rPr>
        <w:t>实现预算管理一体化新增需求</w:t>
      </w:r>
      <w:bookmarkEnd w:id="68"/>
      <w:bookmarkEnd w:id="69"/>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w:t>
      </w:r>
      <w:r>
        <w:rPr>
          <w:rFonts w:hint="eastAsia" w:ascii="宋体" w:hAnsi="宋体" w:eastAsia="宋体" w:cs="宋体"/>
          <w:color w:val="auto"/>
          <w:kern w:val="2"/>
          <w:sz w:val="21"/>
          <w:szCs w:val="21"/>
          <w:highlight w:val="none"/>
          <w:lang w:val="en-US" w:eastAsia="zh-CN"/>
        </w:rPr>
        <w:t>项目涉及</w:t>
      </w:r>
      <w:r>
        <w:rPr>
          <w:rFonts w:hint="eastAsia" w:ascii="宋体" w:hAnsi="宋体" w:eastAsia="宋体" w:cs="宋体"/>
          <w:color w:val="auto"/>
          <w:kern w:val="2"/>
          <w:sz w:val="21"/>
          <w:szCs w:val="21"/>
          <w:highlight w:val="none"/>
        </w:rPr>
        <w:t>预算管理一体化升级及实施</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rPr>
        <w:t>，新增需求部分需严格按照财政部有关文件要求及项目需求申请表组织各模块系统升级工作，系统升级各项工作需</w:t>
      </w:r>
      <w:r>
        <w:rPr>
          <w:rFonts w:hint="eastAsia" w:ascii="宋体" w:hAnsi="宋体" w:eastAsia="宋体" w:cs="宋体"/>
          <w:color w:val="auto"/>
          <w:sz w:val="21"/>
          <w:szCs w:val="21"/>
          <w:highlight w:val="none"/>
        </w:rPr>
        <w:t>在预算管理一体化系统现有版本的基础上开展，升级</w:t>
      </w:r>
      <w:r>
        <w:rPr>
          <w:rFonts w:hint="eastAsia" w:ascii="宋体" w:hAnsi="宋体" w:eastAsia="宋体" w:cs="宋体"/>
          <w:color w:val="auto"/>
          <w:kern w:val="2"/>
          <w:sz w:val="21"/>
          <w:szCs w:val="21"/>
          <w:highlight w:val="none"/>
        </w:rPr>
        <w:t>完成后由用户逐项验证，确保达到预期结果。</w:t>
      </w:r>
      <w:r>
        <w:rPr>
          <w:rFonts w:hint="eastAsia" w:ascii="宋体" w:hAnsi="宋体" w:eastAsia="宋体" w:cs="宋体"/>
          <w:color w:val="auto"/>
          <w:sz w:val="21"/>
          <w:szCs w:val="21"/>
          <w:highlight w:val="none"/>
        </w:rPr>
        <w:t xml:space="preserve"> </w:t>
      </w:r>
    </w:p>
    <w:p>
      <w:pPr>
        <w:spacing w:line="360" w:lineRule="auto"/>
        <w:ind w:firstLine="643"/>
        <w:outlineLvl w:val="0"/>
        <w:rPr>
          <w:rFonts w:hint="eastAsia" w:ascii="宋体" w:hAnsi="宋体" w:eastAsia="宋体" w:cs="宋体"/>
          <w:b/>
          <w:color w:val="auto"/>
          <w:sz w:val="24"/>
          <w:szCs w:val="24"/>
          <w:highlight w:val="none"/>
        </w:rPr>
      </w:pPr>
      <w:bookmarkStart w:id="70" w:name="_Toc15908"/>
      <w:bookmarkStart w:id="71" w:name="_Toc23114"/>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rPr>
        <w:t>完成预算管理一体化系统全省新年度服务</w:t>
      </w:r>
      <w:bookmarkEnd w:id="70"/>
      <w:bookmarkEnd w:id="71"/>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浙江省财政厅的统一要求，完成预算管理一体化系统及相关接口的全省服务工作。通过现场及电话服务提高全省各级财政部门、预算单位使用相关业务系统的工作效率，及时解决各级财政部门和预算单位反映的各类问题，按照服务管理要求，定期梳理、更新和提交项目文档和数据，确保在重大事项中系统能稳定高效运行，确保财政资金安全准确支出。</w:t>
      </w:r>
    </w:p>
    <w:p>
      <w:pPr>
        <w:pStyle w:val="29"/>
        <w:spacing w:line="360" w:lineRule="auto"/>
        <w:ind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72" w:name="_Toc447268503"/>
      <w:bookmarkStart w:id="73" w:name="_Toc29870"/>
      <w:bookmarkStart w:id="74" w:name="_Toc115343400"/>
      <w:bookmarkStart w:id="75" w:name="_Toc26529"/>
      <w:bookmarkStart w:id="76" w:name="_Toc6933"/>
      <w:bookmarkStart w:id="77" w:name="_Toc27998"/>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rPr>
        <w:t>、</w:t>
      </w:r>
      <w:bookmarkEnd w:id="72"/>
      <w:r>
        <w:rPr>
          <w:rFonts w:hint="eastAsia" w:ascii="宋体" w:hAnsi="宋体" w:eastAsia="宋体" w:cs="宋体"/>
          <w:b/>
          <w:bCs/>
          <w:color w:val="auto"/>
          <w:sz w:val="28"/>
          <w:szCs w:val="28"/>
          <w:highlight w:val="none"/>
        </w:rPr>
        <w:t>项目内容</w:t>
      </w:r>
      <w:bookmarkEnd w:id="73"/>
      <w:bookmarkEnd w:id="74"/>
      <w:bookmarkEnd w:id="75"/>
      <w:bookmarkEnd w:id="76"/>
      <w:bookmarkEnd w:id="77"/>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本项目建设内容如下：</w:t>
      </w:r>
    </w:p>
    <w:p>
      <w:pPr>
        <w:spacing w:line="360" w:lineRule="auto"/>
        <w:ind w:firstLine="643"/>
        <w:outlineLvl w:val="0"/>
        <w:rPr>
          <w:rFonts w:hint="eastAsia" w:ascii="宋体" w:hAnsi="宋体" w:eastAsia="宋体" w:cs="宋体"/>
          <w:b/>
          <w:color w:val="auto"/>
          <w:kern w:val="2"/>
          <w:sz w:val="24"/>
          <w:szCs w:val="24"/>
          <w:highlight w:val="none"/>
        </w:rPr>
      </w:pPr>
      <w:bookmarkStart w:id="78" w:name="_Toc12425"/>
      <w:bookmarkStart w:id="79" w:name="_Toc20937"/>
      <w:r>
        <w:rPr>
          <w:rFonts w:hint="eastAsia" w:ascii="宋体" w:hAnsi="宋体" w:eastAsia="宋体" w:cs="宋体"/>
          <w:b/>
          <w:color w:val="auto"/>
          <w:kern w:val="2"/>
          <w:sz w:val="24"/>
          <w:szCs w:val="24"/>
          <w:highlight w:val="none"/>
        </w:rPr>
        <w:t>（一）预算管理一体化新增需求实现</w:t>
      </w:r>
      <w:bookmarkEnd w:id="78"/>
      <w:bookmarkEnd w:id="79"/>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一是按照项目需求申请表要求完成</w:t>
      </w:r>
      <w:r>
        <w:rPr>
          <w:rFonts w:hint="eastAsia" w:ascii="宋体" w:hAnsi="宋体" w:eastAsia="宋体" w:cs="宋体"/>
          <w:color w:val="auto"/>
          <w:sz w:val="21"/>
          <w:szCs w:val="21"/>
          <w:highlight w:val="none"/>
        </w:rPr>
        <w:t>基础信息管理、项目库管理、预算编制、预算批复、预算绩效、预算调整和调剂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指标账和预算执行</w:t>
      </w:r>
      <w:r>
        <w:rPr>
          <w:rFonts w:hint="eastAsia" w:ascii="宋体" w:hAnsi="宋体" w:eastAsia="宋体" w:cs="宋体"/>
          <w:color w:val="auto"/>
          <w:kern w:val="2"/>
          <w:sz w:val="21"/>
          <w:szCs w:val="21"/>
          <w:highlight w:val="none"/>
        </w:rPr>
        <w:t>模块升级开发工作；二是按照财政部通知文件要求，将地方财政分析评价系统财政供养人员业务纳入预算管理一体化整合。</w:t>
      </w:r>
    </w:p>
    <w:p>
      <w:pPr>
        <w:spacing w:line="360" w:lineRule="auto"/>
        <w:ind w:firstLine="643"/>
        <w:outlineLvl w:val="0"/>
        <w:rPr>
          <w:rFonts w:hint="eastAsia" w:ascii="宋体" w:hAnsi="宋体" w:eastAsia="宋体" w:cs="宋体"/>
          <w:b/>
          <w:color w:val="auto"/>
          <w:kern w:val="2"/>
          <w:sz w:val="24"/>
          <w:szCs w:val="24"/>
          <w:highlight w:val="none"/>
        </w:rPr>
      </w:pPr>
      <w:bookmarkStart w:id="80" w:name="_Toc15797"/>
      <w:bookmarkStart w:id="81" w:name="_Toc24367"/>
      <w:r>
        <w:rPr>
          <w:rFonts w:hint="eastAsia" w:ascii="宋体" w:hAnsi="宋体" w:eastAsia="宋体" w:cs="宋体"/>
          <w:b/>
          <w:color w:val="auto"/>
          <w:kern w:val="2"/>
          <w:sz w:val="24"/>
          <w:szCs w:val="24"/>
          <w:highlight w:val="none"/>
        </w:rPr>
        <w:t>（二）省级预算管理一体化系统驻场服务</w:t>
      </w:r>
      <w:bookmarkEnd w:id="80"/>
      <w:bookmarkEnd w:id="81"/>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应为省本级做好新年度系统初始化，并为省本级财政有关服务对象（服务对象包括省本级财政用户、省本级部门及单位用户）提供相关服务支持，包括驻场维护服务、在线、热线服务及培训服务，确保省本级2023年财政预算管理一体化业务正常运行。</w:t>
      </w:r>
    </w:p>
    <w:p>
      <w:pPr>
        <w:spacing w:line="360" w:lineRule="auto"/>
        <w:ind w:firstLine="643"/>
        <w:outlineLvl w:val="0"/>
        <w:rPr>
          <w:rFonts w:hint="eastAsia" w:ascii="宋体" w:hAnsi="宋体" w:eastAsia="宋体" w:cs="宋体"/>
          <w:b/>
          <w:color w:val="auto"/>
          <w:kern w:val="2"/>
          <w:sz w:val="24"/>
          <w:szCs w:val="24"/>
          <w:highlight w:val="none"/>
        </w:rPr>
      </w:pPr>
      <w:bookmarkStart w:id="82" w:name="_Toc28280"/>
      <w:bookmarkStart w:id="83" w:name="_Toc24494"/>
      <w:r>
        <w:rPr>
          <w:rFonts w:hint="eastAsia" w:ascii="宋体" w:hAnsi="宋体" w:eastAsia="宋体" w:cs="宋体"/>
          <w:b/>
          <w:color w:val="auto"/>
          <w:kern w:val="2"/>
          <w:sz w:val="24"/>
          <w:szCs w:val="24"/>
          <w:highlight w:val="none"/>
        </w:rPr>
        <w:t>（三）市县预算管理一体化服务（费用标准）</w:t>
      </w:r>
      <w:bookmarkEnd w:id="82"/>
      <w:bookmarkEnd w:id="8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服务期内，</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应派驻服务人员完成新年度系统初始化及2023年技术支持服务，包含：业务咨询、疑难问题解答、系统操作指导、系统日常配置调整、系统培训及相关技术支持服务。标准服务中每个市县单个年度中用户现场服务时间不超过2个人月，超出部分由市县（区）财政局或者部门单位与</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另行协商。</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对市县（区）财政局的年度服务费用标准进行报价（市级服务费用</w:t>
      </w:r>
      <w:r>
        <w:rPr>
          <w:rFonts w:hint="eastAsia" w:ascii="宋体" w:hAnsi="宋体" w:eastAsia="宋体" w:cs="宋体"/>
          <w:color w:val="auto"/>
          <w:kern w:val="2"/>
          <w:sz w:val="21"/>
          <w:szCs w:val="21"/>
          <w:highlight w:val="none"/>
          <w:lang w:val="en-US" w:eastAsia="zh-CN"/>
        </w:rPr>
        <w:t>不超过60</w:t>
      </w:r>
      <w:r>
        <w:rPr>
          <w:rFonts w:hint="eastAsia" w:ascii="宋体" w:hAnsi="宋体" w:eastAsia="宋体" w:cs="宋体"/>
          <w:color w:val="auto"/>
          <w:kern w:val="2"/>
          <w:sz w:val="21"/>
          <w:szCs w:val="21"/>
          <w:highlight w:val="none"/>
        </w:rPr>
        <w:t>万元，区县服务费用</w:t>
      </w:r>
      <w:r>
        <w:rPr>
          <w:rFonts w:hint="eastAsia" w:ascii="宋体" w:hAnsi="宋体" w:eastAsia="宋体" w:cs="宋体"/>
          <w:color w:val="auto"/>
          <w:kern w:val="2"/>
          <w:sz w:val="21"/>
          <w:szCs w:val="21"/>
          <w:highlight w:val="none"/>
          <w:lang w:val="en-US" w:eastAsia="zh-CN"/>
        </w:rPr>
        <w:t>不超过40</w:t>
      </w:r>
      <w:r>
        <w:rPr>
          <w:rFonts w:hint="eastAsia" w:ascii="宋体" w:hAnsi="宋体" w:eastAsia="宋体" w:cs="宋体"/>
          <w:color w:val="auto"/>
          <w:kern w:val="2"/>
          <w:sz w:val="21"/>
          <w:szCs w:val="21"/>
          <w:highlight w:val="none"/>
        </w:rPr>
        <w:t>万元），市县（区）财政局按标准支付服务费。</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应按采购文件要求做好服务工作。</w:t>
      </w: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84" w:name="_Toc7946"/>
      <w:bookmarkStart w:id="85" w:name="_Toc9118"/>
      <w:bookmarkStart w:id="86" w:name="_Toc26539"/>
      <w:bookmarkStart w:id="87" w:name="_Toc17750"/>
      <w:bookmarkStart w:id="88" w:name="_Toc115343401"/>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89" w:name="_Toc25485"/>
      <w:r>
        <w:rPr>
          <w:rFonts w:hint="eastAsia" w:ascii="宋体" w:hAnsi="宋体" w:eastAsia="宋体" w:cs="宋体"/>
          <w:b/>
          <w:bCs/>
          <w:color w:val="auto"/>
          <w:sz w:val="28"/>
          <w:szCs w:val="28"/>
          <w:highlight w:val="none"/>
        </w:rPr>
        <w:t>四、预算管理一体化新增需求</w:t>
      </w:r>
      <w:bookmarkEnd w:id="84"/>
      <w:bookmarkEnd w:id="85"/>
      <w:bookmarkEnd w:id="86"/>
      <w:bookmarkEnd w:id="87"/>
      <w:bookmarkEnd w:id="88"/>
      <w:bookmarkEnd w:id="89"/>
    </w:p>
    <w:p>
      <w:pPr>
        <w:spacing w:line="360" w:lineRule="auto"/>
        <w:ind w:firstLine="482" w:firstLineChars="200"/>
        <w:outlineLvl w:val="0"/>
        <w:rPr>
          <w:rFonts w:hint="eastAsia" w:ascii="宋体" w:hAnsi="宋体" w:eastAsia="宋体" w:cs="宋体"/>
          <w:b/>
          <w:color w:val="auto"/>
          <w:sz w:val="24"/>
          <w:szCs w:val="24"/>
          <w:highlight w:val="none"/>
        </w:rPr>
      </w:pPr>
      <w:bookmarkStart w:id="90" w:name="_Toc32166"/>
      <w:bookmarkStart w:id="91" w:name="_Toc11673"/>
      <w:bookmarkStart w:id="92" w:name="_Toc17051"/>
      <w:bookmarkStart w:id="93" w:name="_Toc24839"/>
      <w:bookmarkStart w:id="94" w:name="_Toc16217"/>
      <w:bookmarkStart w:id="95" w:name="_Toc115343402"/>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基础信息管理</w:t>
      </w:r>
      <w:bookmarkEnd w:id="90"/>
      <w:bookmarkEnd w:id="91"/>
      <w:bookmarkEnd w:id="92"/>
      <w:bookmarkEnd w:id="93"/>
      <w:bookmarkEnd w:id="94"/>
      <w:bookmarkEnd w:id="95"/>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财政预算管理的各类基础信息进行统一的管理和维护，方便各业务环节对基础信息的共享共用。按照内容，基础信息目前实现全省单位信息、人员信息、资产信息、支出标准、政府收支分类科目、政府非税收入项目信息、账户信息、会计科目、绩效指标、政府债务信息和财政区划各类基础信息的统一管理。将不同预算管理环节共同使用的基础信息统一管理，保证一体化系统中基础信息来源的一致性，便于统一控制要素和开展联动分析。财政</w:t>
      </w:r>
      <w:r>
        <w:rPr>
          <w:rFonts w:hint="eastAsia" w:ascii="宋体" w:hAnsi="宋体" w:eastAsia="宋体" w:cs="宋体"/>
          <w:color w:val="auto"/>
          <w:kern w:val="2"/>
          <w:sz w:val="21"/>
          <w:szCs w:val="21"/>
          <w:highlight w:val="none"/>
          <w:lang w:val="en-US" w:eastAsia="zh-CN"/>
        </w:rPr>
        <w:t>部门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主管</w:t>
      </w:r>
      <w:r>
        <w:rPr>
          <w:rFonts w:hint="eastAsia" w:ascii="宋体" w:hAnsi="宋体" w:eastAsia="宋体" w:cs="宋体"/>
          <w:color w:val="auto"/>
          <w:kern w:val="2"/>
          <w:sz w:val="21"/>
          <w:szCs w:val="21"/>
          <w:highlight w:val="none"/>
        </w:rPr>
        <w:t>部门和预算单位用户根据各自职责，分别维护各类基础信息，并完成信息的申请、报送、审核、更新相关工作。</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支出标准库: 新增支出标准类别和标准体系设置功能、支持用户对项目支出标准和单位支出标准进行维护，实现按级次分别录入固定标准、法定标准、暂定标准。用户能够通过“支出标准编码设置”维护支出标准层级，通过“支出标准体系设置”维护具体标准内容。</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一体化传供养接口建设:一体化中的单位信息和人员信息</w:t>
      </w:r>
      <w:r>
        <w:rPr>
          <w:rFonts w:hint="eastAsia" w:ascii="宋体" w:hAnsi="宋体" w:eastAsia="宋体" w:cs="宋体"/>
          <w:color w:val="auto"/>
          <w:kern w:val="2"/>
          <w:sz w:val="21"/>
          <w:szCs w:val="21"/>
          <w:highlight w:val="none"/>
          <w:lang w:val="en-US" w:eastAsia="zh-CN"/>
        </w:rPr>
        <w:t>支持</w:t>
      </w:r>
      <w:r>
        <w:rPr>
          <w:rFonts w:hint="eastAsia" w:ascii="宋体" w:hAnsi="宋体" w:eastAsia="宋体" w:cs="宋体"/>
          <w:color w:val="auto"/>
          <w:kern w:val="2"/>
          <w:sz w:val="21"/>
          <w:szCs w:val="21"/>
          <w:highlight w:val="none"/>
        </w:rPr>
        <w:t>与财政供养的数据对接，新增财政供养录入、采集流程、数据导入、数据导出及对应关系设置功能。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基础库人员信息改造：在“人员基本信息表、人员扩展信息表”增加版本号字段，系统能够按照版本号区分日常维护版本、预算编制版本和财政供养版本。</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p>
    <w:p>
      <w:pPr>
        <w:tabs>
          <w:tab w:val="left" w:pos="6452"/>
        </w:tabs>
        <w:spacing w:line="360" w:lineRule="auto"/>
        <w:ind w:firstLine="482" w:firstLineChars="200"/>
        <w:outlineLvl w:val="0"/>
        <w:rPr>
          <w:rFonts w:hint="eastAsia" w:ascii="宋体" w:hAnsi="宋体" w:eastAsia="宋体" w:cs="宋体"/>
          <w:b/>
          <w:color w:val="auto"/>
          <w:sz w:val="24"/>
          <w:szCs w:val="24"/>
          <w:highlight w:val="none"/>
          <w:lang w:eastAsia="zh-CN"/>
        </w:rPr>
      </w:pPr>
      <w:bookmarkStart w:id="96" w:name="_Toc21761"/>
      <w:bookmarkStart w:id="97" w:name="_Toc115343403"/>
      <w:bookmarkStart w:id="98" w:name="_Toc29195"/>
      <w:bookmarkStart w:id="99" w:name="_Toc11978"/>
      <w:bookmarkStart w:id="100" w:name="_Toc25618"/>
      <w:bookmarkStart w:id="101" w:name="_Toc11895"/>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项目库管理</w:t>
      </w:r>
      <w:bookmarkEnd w:id="96"/>
      <w:bookmarkEnd w:id="97"/>
      <w:bookmarkEnd w:id="98"/>
      <w:bookmarkEnd w:id="99"/>
      <w:bookmarkEnd w:id="100"/>
      <w:bookmarkEnd w:id="101"/>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是预算管理的基本单元，项目库管理是实现预算管理的基础，前期已完成对预算项目的全生命周期进行梳理和规划，将全部预算支出以预算项目的形式纳入项目库。项目库提供人员类项目、运转类项目和特定目标类项目管理功能。</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项目热点维护：项目明细页面提供批量维护热点和单独查询功能。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项目生成：增加专项资金项目生成功能，能够按照用户要求生成项目。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申报界面调整：增加申报页面暂存和提交功能。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公共数据接口：从大数据接口获取大数据相关的基础数据。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界面集成：定制大数据局项目申报功能，并集成到一体化项目录入页面。</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大项目信息及文件上传：能够推送大项目及附表信息到大数据局接口；增加文件上传功能，能够将文件上传到大数据局。</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项目评审数据接口：系统能够获取大数据局项目评审的最新数据。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项目样板库：按照用户需求完成项目样板库建设</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发改委接口升级：增加“法人身份证”和“联系人身份证”接口字段。</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02" w:name="_Toc26861"/>
      <w:bookmarkStart w:id="103" w:name="_Toc12014"/>
      <w:bookmarkStart w:id="104" w:name="_Toc21961"/>
      <w:bookmarkStart w:id="105" w:name="_Toc115343404"/>
      <w:bookmarkStart w:id="106" w:name="_Toc23536"/>
      <w:bookmarkStart w:id="107" w:name="_Toc9145"/>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预算编制</w:t>
      </w:r>
      <w:bookmarkEnd w:id="102"/>
      <w:bookmarkEnd w:id="103"/>
      <w:bookmarkEnd w:id="104"/>
      <w:bookmarkEnd w:id="105"/>
      <w:bookmarkEnd w:id="106"/>
      <w:bookmarkEnd w:id="107"/>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预算编制是对预算收支计划的拟订、确定及组织的过程，按照类型可以分为政府预算编制、转移支付预算编制、部门预算编制。</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资金来源控制：资金来源为1开头的，为本级财力，系统不允许挂接上级转移支付。</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取消批复：转移支付预算增加取消批复功能。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政府预算批准：新增“政府预算批准（本级）”功能，新增”取消政府预算批准（本级）”功能。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预算级次控制：增加预算级次和资金来源控制规则，用户必须按照控制规则填报</w:t>
      </w:r>
      <w:r>
        <w:rPr>
          <w:rFonts w:hint="eastAsia" w:ascii="宋体" w:hAnsi="宋体" w:eastAsia="宋体" w:cs="宋体"/>
          <w:color w:val="auto"/>
          <w:kern w:val="2"/>
          <w:sz w:val="21"/>
          <w:szCs w:val="21"/>
          <w:highlight w:val="none"/>
          <w:lang w:val="en-US" w:eastAsia="zh-CN"/>
        </w:rPr>
        <w:t>资金</w:t>
      </w:r>
      <w:r>
        <w:rPr>
          <w:rFonts w:hint="eastAsia" w:ascii="宋体" w:hAnsi="宋体" w:eastAsia="宋体" w:cs="宋体"/>
          <w:color w:val="auto"/>
          <w:kern w:val="2"/>
          <w:sz w:val="21"/>
          <w:szCs w:val="21"/>
          <w:highlight w:val="none"/>
        </w:rPr>
        <w:t>来源与预算级次。</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对下转支付表修改:对下转移支付预算表新增"是否已下达"字段。</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流程权限控制：一上审核功能页面与一上部门上报功能页面新增新增与删除功能。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对下转移支付按项目汇总：对下转移支付年度预算能够按照项目汇总。</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政府草案导入：政府草案编制功能页面增加导入功能。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预算</w:t>
      </w:r>
      <w:r>
        <w:rPr>
          <w:rFonts w:hint="eastAsia" w:ascii="宋体" w:hAnsi="宋体" w:eastAsia="宋体" w:cs="宋体"/>
          <w:color w:val="auto"/>
          <w:kern w:val="2"/>
          <w:sz w:val="21"/>
          <w:szCs w:val="21"/>
          <w:highlight w:val="none"/>
          <w:lang w:val="en-US" w:eastAsia="zh-CN"/>
        </w:rPr>
        <w:t>支出明细表自动取数</w:t>
      </w:r>
      <w:r>
        <w:rPr>
          <w:rFonts w:hint="eastAsia" w:ascii="宋体" w:hAnsi="宋体" w:eastAsia="宋体" w:cs="宋体"/>
          <w:color w:val="auto"/>
          <w:kern w:val="2"/>
          <w:sz w:val="21"/>
          <w:szCs w:val="21"/>
          <w:highlight w:val="none"/>
        </w:rPr>
        <w:t>：提取项目标准测算表金额，项目标准测算数据能够自动插入到预算支出明细表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金额放一般公共预算列</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转移支付流程修改：转移支付预笪编制需按照最新要求完成流程修改。</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预算流程控制：绩效监审与预算编制需并行审核通过，才能继续下一步流程。</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行转列视角界面功能：项目明细数据根据编制预算的项目自动插入行转列视角表。</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政府采购功能完善：政府采购表与政府购买服务表合并为一张表。</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资产表维护：申报预算时，系统调用项目库中资产存量信息表和资产配置信息表，能够在预算编制模块修改项目表数据。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 xml:space="preserve">政府过紧日子评价指标: 根据《政府过紧日子评价指标-0324》的评价标准和分值动态生成得分，系统需增加政府过紧日子录入表，能够下发填报任务，配置流程，支持指标计算公式设置。 </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国资收益申报审核：新增国资收益申报任务，完成 8张录入表的数据采集、同时增加国资收益申报及审核功能，并完成企业用户功能授权。</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08" w:name="_Toc32352"/>
      <w:bookmarkStart w:id="109" w:name="_Toc7503"/>
      <w:bookmarkStart w:id="110" w:name="_Toc19013"/>
      <w:bookmarkStart w:id="111" w:name="_Toc22670"/>
      <w:bookmarkStart w:id="112" w:name="_Toc115343405"/>
      <w:bookmarkStart w:id="113" w:name="_Toc18197"/>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预算批复</w:t>
      </w:r>
      <w:bookmarkEnd w:id="108"/>
      <w:bookmarkEnd w:id="109"/>
      <w:bookmarkEnd w:id="110"/>
      <w:bookmarkEnd w:id="111"/>
      <w:bookmarkEnd w:id="112"/>
      <w:bookmarkEnd w:id="11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预算批复是指地方各级预算经由本级人大批准后，财政部门在规定时间内批复部门预算并下达转移支付预算，同时生成预算指标，登记预算指标账的过程。财政部门、预算部门和单位还应在规定时间内公开政府预算、部门预算及单位预算。系统目前提供政府预算批准、转移支付预算下达、部门预算批复、政府预算公开和部门预算公开功能， </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批准记账：增加政府预算批准记指标账功能，政府预算批准后可操作记账。</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政府预算批准记账界面修改：收入预算和支出预算合并为一个界面，分两个页签分别展示收入和支出明细数据。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指标待生成页面：指标生成界面升级，能够显示上级指标信息。</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提前下达总额控制：部门预算提前下达页面增加总额控制功能。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政府预算调整：增加政府预算调整记账功能。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政府预算批复：增加政府预算批复功能。</w:t>
      </w:r>
    </w:p>
    <w:p>
      <w:pPr>
        <w:pStyle w:val="29"/>
        <w:numPr>
          <w:ilvl w:val="-1"/>
          <w:numId w:val="0"/>
        </w:numPr>
        <w:spacing w:line="360" w:lineRule="auto"/>
        <w:ind w:left="640"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14" w:name="_Toc28727"/>
      <w:bookmarkStart w:id="115" w:name="_Toc12981"/>
      <w:bookmarkStart w:id="116" w:name="_Toc25851"/>
      <w:bookmarkStart w:id="117" w:name="_Toc12083"/>
      <w:bookmarkStart w:id="118" w:name="_Toc115343406"/>
      <w:bookmarkStart w:id="119" w:name="_Toc1147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预算绩效</w:t>
      </w:r>
      <w:bookmarkEnd w:id="114"/>
      <w:bookmarkEnd w:id="115"/>
      <w:bookmarkEnd w:id="116"/>
      <w:bookmarkEnd w:id="117"/>
      <w:bookmarkEnd w:id="118"/>
      <w:bookmarkEnd w:id="119"/>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现预算绩效全过程管理，贯穿事前、事中、事后全流程，实现事前有目标、事中有监控、事后有评价。预算绩效系统功能包含：事前绩效评估、项目绩效目标管理、部门整体绩效目标管理、绩效目标调整、绩效运行监控管理、绩效自评价和财政重点评价管理。</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绩效目标复用往年指标：增加复用往年指标功能，显示近三年指标值及其平均值，可选择指标进行引用。</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绩效监控功能改造</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预算执行情况手工录入模式：绩效监控中预算执行情况表增加手工录入功能，可通过配置开关在自动取数模式和手工录入模式间切换。</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财政审核附件上传：重点监控项目财政审核界面能够上传第三方监控评价报告附件材料。</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预算执行情况表手工录入模式：绩效自评价中预算执行情况表增加手工录入模式，可通过配置开关切换取数模式和手工录入模式。</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增加一级项目绩效自评价和财政抽评</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级项目绩效自评价支持一级项目自评任务下达、一级项目自评填报、一级项目自评审核、一级项目自评查询功能；财政抽评需要提供一级项目财政抽评项目选取、一级项目财政抽评项目随机抽取、一级项目财政抽评委托、一级项目财政抽评结果上传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增加部门整体绩效自评价</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实现部门整体绩效自评任务下达、填报、审核、查询。</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增加部门评价管理功能</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能够支持部门评价流程定义，对部门评价成果的分类进行维护；能够定义部门评价成果采集表，由部门按系统格式上传最终的评价成果。财政部门可查询部门评价项目和查看评价成果。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财政重点评价升级：获取入库项目列表，新增的财政评价项目能够选择入库项目进行关联。</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增加部门整体财政重点评价管理功能</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系统支持部门整体财政评价流程定义、范围确定、范围审核、成果上传、整改通知、整改结果反馈、整改结果审核、接收评价通知，实现对部门整体财政重点评价全过程管理。</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部门综合考评：按照2022年部门综合考评政策文件要求，开发部门综合考评，系统需支持考评表单定义、考核指标定义、考评任务下达、部门自评、业务处室复评、考评结果综合查询。</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预算绩效全过程数据查询：展现项目的上年全过程预算绩效管理数据，并支持在项目库、预算编制业务模块中查询数据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第三方中介机构库管理：增加第三方中介机构入库管理功能，在财政抽评和财政重点评价中能够使用第三方机构库信息。</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20" w:name="_Toc28087"/>
      <w:bookmarkStart w:id="121" w:name="_Toc6748"/>
      <w:bookmarkStart w:id="122" w:name="_Toc6699"/>
      <w:bookmarkStart w:id="123" w:name="_Toc115343407"/>
      <w:bookmarkStart w:id="124" w:name="_Toc27630"/>
      <w:bookmarkStart w:id="125" w:name="_Toc4047"/>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预算调整和调剂</w:t>
      </w:r>
      <w:bookmarkEnd w:id="120"/>
      <w:bookmarkEnd w:id="121"/>
      <w:bookmarkEnd w:id="122"/>
      <w:bookmarkEnd w:id="123"/>
      <w:bookmarkEnd w:id="124"/>
      <w:bookmarkEnd w:id="125"/>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各级政府、各部门、各单位的支出必须按照预算执行，不得虚假列支。预算执行中确需变动的，应当按法定程序进行预算调整或预算调剂。</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预算法第六十七条的规定，经全国人民代表大会批准的中央预算和经地方各级人民代表大会批准的地方各级预算，在执行中出现下列情况之一的，应当进行预算调整：（一）需要增加或者减少预算总支出的；（二）需要调入预算稳定调节基金的；（三）需要调减预算安排的重点支出数额的；（四）需要增加举借债务数额的。</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预算调剂是指在预算执行中预算总支出不变的情况下，有关支出在预算科目、预算级次或者项目之间的变动。预算调剂主要包括政府预算调剂、部门（单位）预算调剂。</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预算调整和调剂涉及改变地方政府专项债券用途的，应当将专项债券用途调整方案经省级财政部门报省级政府批准。</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新增地方政府债务外贷额度内当年未提款部分，不再结转政府债务外贷使用，报经省级人民政府批准并报财政部备案后，调剂用于当年或以后年度发行新增地方政府一般债券。其中，调剂用于当年发行新增债券的，涉及预算调整的纳入预算调整方案后实施，涉及预算调剂的由地方财政部门按程序办理；调剂用于以后年度发行新增债券的，纳入下一年度年初预算后实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预算调整和调剂时须按规定进行预算指标核算。</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（1）登记指标功能改造：根据《预算指标核算管理办法（试行）》要求，政府预算批准时，登记政府收支预算指标账。</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（2）转移支付负指标核销：增加接收转移支付负指标与正指标核销功能。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（3）生成二级支出项目：转移支付指标登记归口时，根据单位和转移支付项目自动生成单位二级支出项目功能。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（4）待分配功能：分口指标录入增加待分配功能，分口指标明细待分配为否，分口指标终审后，自动生成一条新增状态的单位指标。</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（5）指标合并：分口指标实现多对一指标合并功能。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（6）单位指标调整界面升级：实现在同一个界面部门预算支出指标、转移支付指标和单位资金指标追减，同时还支持多组预算指标核算的账务处理。</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（7）单位指标分配界面升级：实现在同一个界面部门预算支出指标、转移支付指标和单位资金指标分配及指标分配调剂功能，同时还支持多组预算指标核算的账务处理。</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（8）单位指标录入分配调剂：系统支持分配后跨处室的指标自动调剂分口指标，同时还支持多组预算指标核算的账务处理。</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（9）导入指标升级：分口指标录入、单位指标录入和无来源追加录入页面支持可编辑字段的导入，并校验字段关系。 </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科目关系控制：分口指标录入、单位指标录入界面和无来源追加录入界面，增加支出级次与支出功能分类科目对转移支付支出功能分类科目的关联控制；支出级次、单位类型、部门经济分类科目对政府经济分类科目的关联控制；项目类型对部门经济分类的关联控制。</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（11）指标数据回写：根据财预便[2022]32号文，升级预算调剂指标数据回写功能，能够反馈预算调剂指标数据数据到年度预算表和项目调整调剂表。</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（12）补热点分类：根据财预便[2022]32号文，提供指标登记项目热点功能。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（13）重定来源：预算调剂系统增加重定来源功能，实现错误指标订正来源指标。</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（14）无来源追加：新增无来源追加单位资金指标和暂存款指标功能。</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（15）单位指标联动调整分口指标：调剂单位指标能够同时调整分口指标。</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（16）文号生成： 单位指标调剂界面增加文号生成方式，支持根据规则生成文号、手工录入、从来源文号引入和从来源指标引入+规则生成四种文号生成方式。</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（17）退回指定：单位指标调剂与单位指标录入能够退回指定岗或退回上一岗。</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（18）采购调剂：可以同时调部门经济分类和政府经济分类，并增加控制规则实现科研指标和三公经费控制。</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（19）合并文件主单：预算下达指标和单位指标分配业务，增加合并文件主单规则。</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（20）调剂录入界面：预算调剂录入增加调剂录入界面。 </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（21）批量收回并合并：可执行指标批量收回并合并生成分口指标。</w:t>
      </w:r>
    </w:p>
    <w:p>
      <w:pPr>
        <w:pStyle w:val="29"/>
        <w:spacing w:line="360" w:lineRule="auto"/>
        <w:ind w:firstLine="420" w:firstLineChars="200"/>
        <w:outlineLvl w:val="9"/>
        <w:rPr>
          <w:rFonts w:hint="eastAsia" w:ascii="宋体" w:hAnsi="宋体" w:eastAsia="宋体" w:cs="宋体"/>
          <w:color w:val="auto"/>
          <w:kern w:val="2"/>
          <w:sz w:val="21"/>
          <w:szCs w:val="21"/>
          <w:highlight w:val="none"/>
        </w:rPr>
      </w:pPr>
      <w:bookmarkStart w:id="126" w:name="_Toc8830"/>
      <w:r>
        <w:rPr>
          <w:rFonts w:hint="eastAsia" w:ascii="宋体" w:hAnsi="宋体" w:eastAsia="宋体" w:cs="宋体"/>
          <w:color w:val="auto"/>
          <w:kern w:val="2"/>
          <w:sz w:val="21"/>
          <w:szCs w:val="21"/>
          <w:highlight w:val="none"/>
        </w:rPr>
        <w:t>（22）与原指标系统对接：能够获取原指标系统数据。</w:t>
      </w:r>
      <w:bookmarkEnd w:id="126"/>
    </w:p>
    <w:p>
      <w:pPr>
        <w:pStyle w:val="29"/>
        <w:spacing w:line="360" w:lineRule="auto"/>
        <w:ind w:firstLine="420" w:firstLineChars="200"/>
        <w:outlineLvl w:val="9"/>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27" w:name="_Toc28629"/>
      <w:bookmarkStart w:id="128" w:name="_Toc4168"/>
      <w:bookmarkStart w:id="129" w:name="_Toc10181"/>
      <w:bookmarkStart w:id="130" w:name="_Toc23096"/>
      <w:bookmarkStart w:id="131" w:name="_Toc15413"/>
      <w:bookmarkStart w:id="132" w:name="_Toc11534340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预算执行</w:t>
      </w:r>
      <w:bookmarkEnd w:id="127"/>
      <w:bookmarkEnd w:id="128"/>
      <w:bookmarkEnd w:id="129"/>
      <w:bookmarkEnd w:id="130"/>
      <w:bookmarkEnd w:id="131"/>
      <w:bookmarkEnd w:id="132"/>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预算执行是指经法定程序审查和批准的预算的具体实施过程，是把预算由计划变为现实的具体实施步骤。预算执行工作是实现预算收支任务的关键步骤，也是整个预算管理工作的中心环节。预算执行管理水平的高低，直接关系党和国家各项重大政策的贯彻落实，直接关系政府公共服务水平和财政管理水平。预算执行模块提供收入预算执行、部门支出预算执行、转移支付预算执行和预算执行报表功能。</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本次升级需完成以下工作：</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报销明细查询：支付申请复核页面增加查看公务卡报销明细功能。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单位编码显示：个人公务卡消费信息核销、单位公务卡托收记录核销、授权支付申请书打印三个页面，单位改为显示单位编码与单位名称。</w:t>
      </w:r>
    </w:p>
    <w:p>
      <w:pPr>
        <w:pStyle w:val="29"/>
        <w:numPr>
          <w:ilvl w:val="-1"/>
          <w:numId w:val="0"/>
        </w:numPr>
        <w:spacing w:before="60" w:after="60" w:line="360" w:lineRule="auto"/>
        <w:ind w:left="0"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支付更正：如果支出功能分类跨类调整，增加上传附件的提示，同时在审核时较验跨功能科目调整未上传附件则不允许审核。</w:t>
      </w:r>
    </w:p>
    <w:p>
      <w:pPr>
        <w:pStyle w:val="29"/>
        <w:numPr>
          <w:ilvl w:val="-1"/>
          <w:numId w:val="0"/>
        </w:numPr>
        <w:spacing w:before="60" w:after="60" w:line="360" w:lineRule="auto"/>
        <w:ind w:left="0"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单位资金申请：新增单位资金与政府采购的关联功能。</w:t>
      </w:r>
    </w:p>
    <w:p>
      <w:pPr>
        <w:pStyle w:val="29"/>
        <w:numPr>
          <w:ilvl w:val="0"/>
          <w:numId w:val="16"/>
        </w:numPr>
        <w:spacing w:line="360" w:lineRule="auto"/>
        <w:ind w:left="0"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反向支付更正：新增反向支付更正功能，即支付凭证做支付更正后生成支付更正凭证，如需退款，则需要把支付更正凭证反向更正，对原凭证进行退款，生成退款凭证。</w:t>
      </w:r>
      <w:r>
        <w:rPr>
          <w:rFonts w:hint="eastAsia" w:ascii="宋体" w:hAnsi="宋体" w:eastAsia="宋体" w:cs="宋体"/>
          <w:color w:val="auto"/>
          <w:kern w:val="2"/>
          <w:sz w:val="21"/>
          <w:szCs w:val="21"/>
          <w:highlight w:val="none"/>
          <w:lang w:val="en-US" w:eastAsia="zh-CN"/>
        </w:rPr>
        <w:t xml:space="preserve">     </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 （6）</w:t>
      </w:r>
      <w:r>
        <w:rPr>
          <w:rFonts w:hint="eastAsia" w:ascii="宋体" w:hAnsi="宋体" w:eastAsia="宋体" w:cs="宋体"/>
          <w:color w:val="auto"/>
          <w:kern w:val="2"/>
          <w:sz w:val="21"/>
          <w:szCs w:val="21"/>
          <w:highlight w:val="none"/>
        </w:rPr>
        <w:t xml:space="preserve">第三方系统接口：增加第三方系统接口，如与工资统发2.0的接口能批量生成工资支付申请，支持与预算单位系统的接口，能够批量生成支付申请。浙里报功能改造，增加批量支付功能，能够批量生成支付申请。  </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汇总清算额度通知单：汇总清算通知单同时支持发送人行与上报财政部两种模式。</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授权支付限额录入：限额支付单支持按明细录入数据。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 xml:space="preserve">计划汇总打印：计划汇总打印界面需按资金性质汇总后展示，目前资金性质为财政部规范，需转换成老系统对应的资金性质后再进行汇总，然后进行展示。  </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一般计划调剂：按照业务需求，开发一般计划调剂功能。</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历史年度资金退回：升级历史年度资金退回功能，支持历史年度资金退回业务。</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数据迁移：完成老系统执行数据迁移，在系统中可查询迁移的集中支付计划、申请和凭证信息。</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资金退回通知书：按照用户需求，在生成退款支付申请的时候，生成国库集中支付资金退回通知书。</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生成支付月报：能够按照用户要求，每个月末根据支付日报生成支付月报数据。</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执行系统数据接口：增加执行数据老系统上行/下行接口。</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快速响应业务部门提出的需求，按时间进度要求完成浙里报账业务应用中的有关应用系统与业务数据方面的接口。</w:t>
      </w:r>
    </w:p>
    <w:p>
      <w:pPr>
        <w:pStyle w:val="29"/>
        <w:numPr>
          <w:ilvl w:val="-1"/>
          <w:numId w:val="0"/>
        </w:numPr>
        <w:spacing w:line="360" w:lineRule="auto"/>
        <w:ind w:left="0"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420" w:leftChars="200" w:firstLine="0" w:firstLineChars="0"/>
        <w:outlineLvl w:val="0"/>
        <w:rPr>
          <w:rFonts w:hint="eastAsia" w:ascii="宋体" w:hAnsi="宋体" w:eastAsia="宋体" w:cs="宋体"/>
          <w:color w:val="auto"/>
          <w:kern w:val="0"/>
          <w:sz w:val="24"/>
          <w:szCs w:val="24"/>
          <w:highlight w:val="none"/>
        </w:rPr>
      </w:pPr>
      <w:bookmarkStart w:id="133" w:name="_Toc30739"/>
      <w:bookmarkStart w:id="134" w:name="_Toc32750"/>
      <w:bookmarkStart w:id="135" w:name="_Toc26881"/>
      <w:bookmarkStart w:id="136" w:name="_Toc32332"/>
      <w:bookmarkStart w:id="137" w:name="_Toc31623"/>
      <w:bookmarkStart w:id="138" w:name="_Toc115343409"/>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财政部试点</w:t>
      </w:r>
      <w:r>
        <w:rPr>
          <w:rFonts w:hint="eastAsia" w:ascii="宋体" w:hAnsi="宋体" w:eastAsia="宋体" w:cs="宋体"/>
          <w:b/>
          <w:color w:val="auto"/>
          <w:sz w:val="24"/>
          <w:szCs w:val="24"/>
          <w:highlight w:val="none"/>
          <w:lang w:val="en-US" w:eastAsia="zh-CN"/>
        </w:rPr>
        <w:t>预算</w:t>
      </w:r>
      <w:r>
        <w:rPr>
          <w:rFonts w:hint="eastAsia" w:ascii="宋体" w:hAnsi="宋体" w:eastAsia="宋体" w:cs="宋体"/>
          <w:b/>
          <w:color w:val="auto"/>
          <w:sz w:val="24"/>
          <w:szCs w:val="24"/>
          <w:highlight w:val="none"/>
        </w:rPr>
        <w:t>指标帐</w:t>
      </w:r>
      <w:bookmarkEnd w:id="133"/>
      <w:bookmarkEnd w:id="134"/>
      <w:bookmarkEnd w:id="135"/>
      <w:bookmarkEnd w:id="136"/>
      <w:bookmarkEnd w:id="137"/>
      <w:bookmarkEnd w:id="138"/>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按照2021年财政部预算指标核算试点规范要求，完成指标帐试点任务，</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需完成以下工作：</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（1）政府预算批准登记指标账：对政府预算批准登记指标账功能升级，预算批准需根据收支预算登记收支科目数据并校验收支平衡关系。</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（2）政府预算调整草案批准登记指标账:升级政府预算调整草案批准登记指标账功能，预算批准需根据收支预算登记收支科目数据并校验收支平衡关系。</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（3）指标核销:年初控制数和提前下达指标核销功能进行升级，并按规范要求将预拨指标核销登记指标账。</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（4）多组凭证记账:支持多组凭证的账务处理。</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（5）核算科目和核算要素:按照规范要求对预算指标核算科目和核算要素进行升级。</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（6）科目总账管理:增加预算指标账科目总账管理功能。</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（7）科目明细账管理:增加预算指标账科目明细账管理功能。</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（8）科目余额表管理:增加预算指标账科目余额表管理功能。</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（9）固定报表：新增预算指标账8张固定报表包含指标核算管理总表、收入预算变动及执行情况表、支出预算变动及执行情况表和单位资金指标核算管理总表。</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（10）财政资金平衡表和单位资金平衡表：新增预算指标账报表功能，财政资金平衡表和单位资金平衡表根据试点科目体系进行改造。</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（11）年终结账：预算指标账年结升级，增加指标账收支科目结转结余和年终结账功能。</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（12）总会计系统接口改造：改造预算指标账与总会计核算系统的接口，将总会计核算的收入数据，通过调用接口，进行预算指标核算的账务处理。</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（13）预算变动表和指标平衡表：新增预算指标账预算变动表和指标平衡表。</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139" w:name="_Toc115343410"/>
      <w:bookmarkStart w:id="140" w:name="_Toc3482"/>
      <w:bookmarkStart w:id="141" w:name="_Toc25250"/>
      <w:bookmarkStart w:id="142" w:name="_Toc14697"/>
      <w:bookmarkStart w:id="143" w:name="_Toc18056"/>
      <w:bookmarkStart w:id="144" w:name="_Toc31773"/>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地方财政分析评价系统与一体化整合</w:t>
      </w:r>
      <w:bookmarkEnd w:id="139"/>
      <w:bookmarkEnd w:id="140"/>
      <w:bookmarkEnd w:id="141"/>
      <w:bookmarkEnd w:id="142"/>
      <w:bookmarkEnd w:id="143"/>
      <w:bookmarkEnd w:id="144"/>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财政部印发的《财政部2021年财政供给单位人员信息有关事项的通知》(财预便〔2022〕72号)和《地方财政分析评价系统一体化整合实施方案》要求，完成预算管理一体化系统对地方财政分析评价系统财政供养人员业务整合替代工作。</w:t>
      </w:r>
    </w:p>
    <w:p>
      <w:pPr>
        <w:pStyle w:val="29"/>
        <w:spacing w:line="360" w:lineRule="auto"/>
        <w:ind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145" w:name="_Toc3537"/>
      <w:bookmarkStart w:id="146" w:name="_Toc19006"/>
      <w:bookmarkStart w:id="147" w:name="_Toc17772"/>
      <w:bookmarkStart w:id="148" w:name="_Toc22548"/>
      <w:bookmarkStart w:id="149" w:name="_Toc21627"/>
      <w:bookmarkStart w:id="150" w:name="_Toc115343411"/>
      <w:r>
        <w:rPr>
          <w:rFonts w:hint="eastAsia" w:ascii="宋体" w:hAnsi="宋体" w:eastAsia="宋体" w:cs="宋体"/>
          <w:b/>
          <w:bCs/>
          <w:color w:val="auto"/>
          <w:sz w:val="28"/>
          <w:szCs w:val="28"/>
          <w:highlight w:val="none"/>
        </w:rPr>
        <w:t>五、技术需求</w:t>
      </w:r>
      <w:bookmarkEnd w:id="145"/>
      <w:bookmarkEnd w:id="146"/>
      <w:bookmarkEnd w:id="147"/>
      <w:bookmarkEnd w:id="148"/>
      <w:bookmarkEnd w:id="149"/>
      <w:bookmarkEnd w:id="150"/>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本次系统升级是浙江省预算管理统一体化系统延续，需沿用浙江省预算管理一体化系统技术路线，升级功能需适配技术底座和业务中台提供的通用技术框架。</w:t>
      </w:r>
    </w:p>
    <w:p>
      <w:pPr>
        <w:spacing w:line="360" w:lineRule="auto"/>
        <w:ind w:firstLine="482" w:firstLineChars="200"/>
        <w:outlineLvl w:val="0"/>
        <w:rPr>
          <w:rFonts w:hint="eastAsia" w:ascii="宋体" w:hAnsi="宋体" w:eastAsia="宋体" w:cs="宋体"/>
          <w:b/>
          <w:color w:val="auto"/>
          <w:kern w:val="2"/>
          <w:sz w:val="24"/>
          <w:szCs w:val="24"/>
          <w:highlight w:val="none"/>
        </w:rPr>
      </w:pPr>
      <w:bookmarkStart w:id="151" w:name="_Toc16757"/>
      <w:bookmarkStart w:id="152" w:name="_Toc15285"/>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一</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rPr>
        <w:t>需提供技术底座适配方案</w:t>
      </w:r>
      <w:bookmarkEnd w:id="151"/>
      <w:bookmarkEnd w:id="152"/>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b w:val="0"/>
          <w:color w:val="auto"/>
          <w:kern w:val="2"/>
          <w:sz w:val="21"/>
          <w:szCs w:val="21"/>
          <w:highlight w:val="none"/>
          <w:lang w:val="en-US" w:eastAsia="zh-CN"/>
        </w:rPr>
        <w:t>适配</w:t>
      </w:r>
      <w:r>
        <w:rPr>
          <w:rFonts w:hint="eastAsia" w:ascii="宋体" w:hAnsi="宋体" w:eastAsia="宋体" w:cs="宋体"/>
          <w:color w:val="auto"/>
          <w:kern w:val="2"/>
          <w:sz w:val="21"/>
          <w:szCs w:val="21"/>
          <w:highlight w:val="none"/>
        </w:rPr>
        <w:t>包含：缓存服务适配（Redis）、消息中间件适配（RocketMQ）、云数据库适配（POLARDB11）、文件服务适配（OSS）和容器服務适配（Kubernetes）。</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kern w:val="2"/>
          <w:sz w:val="24"/>
          <w:szCs w:val="24"/>
          <w:highlight w:val="none"/>
          <w:lang w:eastAsia="zh-CN"/>
        </w:rPr>
      </w:pPr>
      <w:bookmarkStart w:id="153" w:name="_Toc28900"/>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lang w:eastAsia="zh-CN"/>
        </w:rPr>
        <w:t>）需提供业务中台适配方案</w:t>
      </w:r>
      <w:bookmarkEnd w:id="153"/>
    </w:p>
    <w:p>
      <w:pPr>
        <w:pStyle w:val="29"/>
        <w:numPr>
          <w:ilvl w:val="-1"/>
          <w:numId w:val="0"/>
        </w:num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业务中台实现对所有公共应用关键信息的集中管控，本次预算管理一体化系统升级功能需要使用业务中台提供的公共服务。</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业务中台适配要求如下：</w:t>
      </w:r>
    </w:p>
    <w:tbl>
      <w:tblPr>
        <w:tblStyle w:val="19"/>
        <w:tblW w:w="8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444"/>
        <w:gridCol w:w="5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7" w:type="dxa"/>
            <w:tcBorders>
              <w:tl2br w:val="nil"/>
              <w:tr2bl w:val="nil"/>
            </w:tcBorders>
            <w:shd w:val="clear" w:color="auto" w:fill="D8D8D8"/>
            <w:vAlign w:val="center"/>
          </w:tcPr>
          <w:p>
            <w:pPr>
              <w:pStyle w:val="30"/>
              <w:widowControl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44" w:type="dxa"/>
            <w:tcBorders>
              <w:tl2br w:val="nil"/>
              <w:tr2bl w:val="nil"/>
            </w:tcBorders>
            <w:shd w:val="clear" w:color="auto" w:fill="D8D8D8"/>
            <w:vAlign w:val="center"/>
          </w:tcPr>
          <w:p>
            <w:pPr>
              <w:pStyle w:val="3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工作事项</w:t>
            </w:r>
          </w:p>
        </w:tc>
        <w:tc>
          <w:tcPr>
            <w:tcW w:w="5918" w:type="dxa"/>
            <w:tcBorders>
              <w:tl2br w:val="nil"/>
              <w:tr2bl w:val="nil"/>
            </w:tcBorders>
            <w:shd w:val="clear" w:color="auto" w:fill="D8D8D8"/>
            <w:vAlign w:val="center"/>
          </w:tcPr>
          <w:p>
            <w:pPr>
              <w:pStyle w:val="3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适配内容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44"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用户中心适配</w:t>
            </w:r>
          </w:p>
        </w:tc>
        <w:tc>
          <w:tcPr>
            <w:tcW w:w="5918" w:type="dxa"/>
            <w:tcBorders>
              <w:tl2br w:val="nil"/>
              <w:tr2bl w:val="nil"/>
            </w:tcBorders>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适配用户维护服务、岗位角色管理服务、组织机构维护服务、用户查询服务。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44"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功能中心适配</w:t>
            </w:r>
          </w:p>
        </w:tc>
        <w:tc>
          <w:tcPr>
            <w:tcW w:w="5918"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适配功能注册服务。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适配功能权限注册、权限查询服务。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适配用户认证服务。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流程中心适配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适配工作流管理服务、工作流执行服务服务。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44" w:type="dxa"/>
            <w:tcBorders>
              <w:tl2br w:val="nil"/>
              <w:tr2bl w:val="nil"/>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单据中心适配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适配单据定制服务、单据序列服务。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适配报表设计、报表发布服务、报表查询服务、报表状态监控服务。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适配操作日志采集服务、日志存储服务和日志查询分析服务。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适配资源监控服务、业务预警服务。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租户管理中心</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适配租户初始化、租户管理服务。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卡片管理中心适配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适配卡片设计、在线开发、卡片市场服务。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7" w:type="dxa"/>
            <w:tcBorders>
              <w:tl2br w:val="nil"/>
              <w:tr2bl w:val="nil"/>
            </w:tcBorders>
            <w:vAlign w:val="center"/>
          </w:tcPr>
          <w:p>
            <w:pPr>
              <w:pStyle w:val="30"/>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44"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主数据管理中心适配</w:t>
            </w:r>
          </w:p>
        </w:tc>
        <w:tc>
          <w:tcPr>
            <w:tcW w:w="5918"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适配主数据接口（代码集、代码表、逻辑库表管理）服务。</w:t>
            </w:r>
          </w:p>
        </w:tc>
      </w:tr>
    </w:tbl>
    <w:p>
      <w:pPr>
        <w:spacing w:line="360" w:lineRule="auto"/>
        <w:ind w:firstLine="482" w:firstLineChars="200"/>
        <w:outlineLvl w:val="0"/>
        <w:rPr>
          <w:rFonts w:hint="eastAsia" w:ascii="宋体" w:hAnsi="宋体" w:eastAsia="宋体" w:cs="宋体"/>
          <w:b/>
          <w:color w:val="auto"/>
          <w:kern w:val="2"/>
          <w:sz w:val="24"/>
          <w:szCs w:val="24"/>
          <w:highlight w:val="none"/>
          <w:lang w:eastAsia="zh-CN"/>
        </w:rPr>
      </w:pPr>
      <w:bookmarkStart w:id="154" w:name="_Toc283"/>
    </w:p>
    <w:p>
      <w:pPr>
        <w:spacing w:line="360" w:lineRule="auto"/>
        <w:ind w:firstLine="482" w:firstLineChars="200"/>
        <w:outlineLvl w:val="0"/>
        <w:rPr>
          <w:rFonts w:hint="eastAsia" w:ascii="宋体" w:hAnsi="宋体" w:eastAsia="宋体" w:cs="宋体"/>
          <w:b/>
          <w:color w:val="auto"/>
          <w:kern w:val="2"/>
          <w:sz w:val="24"/>
          <w:szCs w:val="24"/>
          <w:highlight w:val="none"/>
          <w:lang w:eastAsia="zh-CN"/>
        </w:rPr>
      </w:pPr>
      <w:bookmarkStart w:id="155" w:name="_Toc27955"/>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三</w:t>
      </w:r>
      <w:r>
        <w:rPr>
          <w:rFonts w:hint="eastAsia" w:ascii="宋体" w:hAnsi="宋体" w:eastAsia="宋体" w:cs="宋体"/>
          <w:b/>
          <w:color w:val="auto"/>
          <w:kern w:val="2"/>
          <w:sz w:val="24"/>
          <w:szCs w:val="24"/>
          <w:highlight w:val="none"/>
          <w:lang w:eastAsia="zh-CN"/>
        </w:rPr>
        <w:t>）实现政府信息化创新（国产化）</w:t>
      </w:r>
      <w:bookmarkEnd w:id="154"/>
      <w:bookmarkEnd w:id="155"/>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本项目基于省信创云和电子政务云环境开展预算管理一体化系统升级及运维，应充分考虑现状和未来的发展趋势，根据用户需求优先使用国产政府信息化创新产品。</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具体内容如下：</w:t>
      </w:r>
    </w:p>
    <w:tbl>
      <w:tblPr>
        <w:tblStyle w:val="19"/>
        <w:tblW w:w="8804"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3969"/>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575" w:type="dxa"/>
            <w:tcBorders>
              <w:tl2br w:val="nil"/>
              <w:tr2bl w:val="nil"/>
            </w:tcBorders>
            <w:shd w:val="clear" w:color="auto" w:fill="D8D8D8"/>
            <w:vAlign w:val="center"/>
          </w:tcPr>
          <w:p>
            <w:pPr>
              <w:pStyle w:val="30"/>
              <w:widowControl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事项</w:t>
            </w:r>
          </w:p>
        </w:tc>
        <w:tc>
          <w:tcPr>
            <w:tcW w:w="3969" w:type="dxa"/>
            <w:tcBorders>
              <w:tl2br w:val="nil"/>
              <w:tr2bl w:val="nil"/>
            </w:tcBorders>
            <w:shd w:val="clear" w:color="auto" w:fill="D8D8D8"/>
            <w:vAlign w:val="center"/>
          </w:tcPr>
          <w:p>
            <w:pPr>
              <w:pStyle w:val="30"/>
              <w:widowControl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3260" w:type="dxa"/>
            <w:tcBorders>
              <w:tl2br w:val="nil"/>
              <w:tr2bl w:val="nil"/>
            </w:tcBorders>
            <w:shd w:val="clear" w:color="auto" w:fill="D8D8D8"/>
            <w:vAlign w:val="center"/>
          </w:tcPr>
          <w:p>
            <w:pPr>
              <w:pStyle w:val="30"/>
              <w:widowControl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575"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云计算应用</w:t>
            </w:r>
          </w:p>
        </w:tc>
        <w:tc>
          <w:tcPr>
            <w:tcW w:w="3969"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基于浙江省信创云和电子政务云环境完成本项目建设。</w:t>
            </w:r>
          </w:p>
        </w:tc>
        <w:tc>
          <w:tcPr>
            <w:tcW w:w="3260"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业务应用采用容器化部署，基于云化架构构建微服务，支持弹性伸缩和按需扩展。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75"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数据库应用</w:t>
            </w:r>
          </w:p>
        </w:tc>
        <w:tc>
          <w:tcPr>
            <w:tcW w:w="3969"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使用云端PolarDB数据库完成本项目建设。</w:t>
            </w:r>
          </w:p>
        </w:tc>
        <w:tc>
          <w:tcPr>
            <w:tcW w:w="3260"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通过云平台云数据库服务，实现全省业务数据库统一管理，支持读写分离。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1575"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国产化适配</w:t>
            </w:r>
          </w:p>
        </w:tc>
        <w:tc>
          <w:tcPr>
            <w:tcW w:w="3969"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优先使用国产政府信息化创新产品，需按照省政府国产化清单完成终端浏览器、操作系统、打印设备进行国产化适配。</w:t>
            </w:r>
          </w:p>
        </w:tc>
        <w:tc>
          <w:tcPr>
            <w:tcW w:w="3260" w:type="dxa"/>
            <w:tcBorders>
              <w:tl2br w:val="nil"/>
              <w:tr2bl w:val="nil"/>
            </w:tcBorders>
            <w:vAlign w:val="center"/>
          </w:tcPr>
          <w:p>
            <w:pPr>
              <w:pStyle w:val="30"/>
              <w:widowControl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满足国家及浙江省相关国产化要求，以及自主可控要求。</w:t>
            </w:r>
          </w:p>
        </w:tc>
      </w:tr>
    </w:tbl>
    <w:p>
      <w:pPr>
        <w:spacing w:line="360" w:lineRule="auto"/>
        <w:ind w:firstLine="482" w:firstLineChars="200"/>
        <w:outlineLvl w:val="0"/>
        <w:rPr>
          <w:rFonts w:hint="eastAsia" w:ascii="宋体" w:hAnsi="宋体" w:eastAsia="宋体" w:cs="宋体"/>
          <w:b/>
          <w:color w:val="auto"/>
          <w:kern w:val="2"/>
          <w:sz w:val="24"/>
          <w:szCs w:val="24"/>
          <w:highlight w:val="none"/>
          <w:lang w:eastAsia="zh-CN"/>
        </w:rPr>
      </w:pPr>
      <w:bookmarkStart w:id="156" w:name="_Toc3144"/>
      <w:bookmarkStart w:id="157" w:name="_Toc22526"/>
      <w:bookmarkStart w:id="158" w:name="_Toc10879"/>
      <w:bookmarkStart w:id="159" w:name="_Toc3180"/>
      <w:bookmarkStart w:id="160" w:name="_Toc86951116"/>
    </w:p>
    <w:p>
      <w:pPr>
        <w:spacing w:line="360" w:lineRule="auto"/>
        <w:ind w:firstLine="482" w:firstLineChars="200"/>
        <w:outlineLvl w:val="0"/>
        <w:rPr>
          <w:rFonts w:hint="eastAsia" w:ascii="宋体" w:hAnsi="宋体" w:eastAsia="宋体" w:cs="宋体"/>
          <w:b/>
          <w:color w:val="auto"/>
          <w:kern w:val="2"/>
          <w:sz w:val="24"/>
          <w:szCs w:val="24"/>
          <w:highlight w:val="none"/>
          <w:lang w:eastAsia="zh-CN"/>
        </w:rPr>
      </w:pPr>
      <w:bookmarkStart w:id="161" w:name="_Toc23389"/>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四</w:t>
      </w:r>
      <w:r>
        <w:rPr>
          <w:rFonts w:hint="eastAsia" w:ascii="宋体" w:hAnsi="宋体" w:eastAsia="宋体" w:cs="宋体"/>
          <w:b/>
          <w:color w:val="auto"/>
          <w:kern w:val="2"/>
          <w:sz w:val="24"/>
          <w:szCs w:val="24"/>
          <w:highlight w:val="none"/>
          <w:lang w:eastAsia="zh-CN"/>
        </w:rPr>
        <w:t>）安全服务需求</w:t>
      </w:r>
      <w:bookmarkEnd w:id="156"/>
      <w:bookmarkEnd w:id="157"/>
      <w:bookmarkEnd w:id="158"/>
      <w:bookmarkEnd w:id="159"/>
      <w:bookmarkEnd w:id="160"/>
      <w:bookmarkEnd w:id="161"/>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安全建设以《中华人民共和国网络安全法》、《中华人民共和国数据安全法》、《中华人民共和国个人信息保护法》、《中华人民共和国密码法》为纲要，以网络安全等级保护、密码应用安全性评估相关标准为指导，充分利用浙江省政务云、信创云安全防护资源和密码服务资源，构建以数据为核心的合规、立体安全防护体系。重点实现：</w:t>
      </w:r>
    </w:p>
    <w:p>
      <w:pPr>
        <w:pStyle w:val="29"/>
        <w:numPr>
          <w:ilvl w:val="-1"/>
          <w:numId w:val="0"/>
        </w:num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数据存储安全：保障敏感数据存储安全。核心敏感数据以加密形式存储于数据库中，通过数据库导出、数据文件拷贝等文件操作均无法获取明文信息，加密后的数据仍可进行日常管理。</w:t>
      </w:r>
    </w:p>
    <w:p>
      <w:pPr>
        <w:pStyle w:val="29"/>
        <w:numPr>
          <w:ilvl w:val="-1"/>
          <w:numId w:val="0"/>
        </w:num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数据传输安全：保障数据在微服务之间、系统对外提供服务时的传输安全，即使在未采取安全传输协议的前提下也可保障真实敏感数据不被监听、窃取或篡改。</w:t>
      </w:r>
    </w:p>
    <w:p>
      <w:pPr>
        <w:pStyle w:val="29"/>
        <w:numPr>
          <w:ilvl w:val="-1"/>
          <w:numId w:val="0"/>
        </w:num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据运维管理安全：提供细粒度访问控制体系，不仅可实时阻断数据库非法操作（如可疑操作、非授权访问、非办公时间操作、敏感数据操作等），还可防止有权限用户通过缓存、导出等方式截取数据，真正将数据管理权与数据所有权分离，保护数据安全。</w:t>
      </w:r>
    </w:p>
    <w:p>
      <w:pPr>
        <w:pStyle w:val="29"/>
        <w:numPr>
          <w:ilvl w:val="-1"/>
          <w:numId w:val="0"/>
        </w:num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数据使用安全：提供基于应用侧的安全保护机制，不仅可以抵御来自应用层的攻击以防止窃取和篡改数据；还可防数据爬取，防自动化脚本攻击、非法访问等攻击。</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系统应满足三级等保要求。</w:t>
      </w:r>
    </w:p>
    <w:p>
      <w:pPr>
        <w:pStyle w:val="29"/>
        <w:numPr>
          <w:ilvl w:val="0"/>
          <w:numId w:val="0"/>
        </w:numPr>
        <w:spacing w:line="360" w:lineRule="auto"/>
        <w:ind w:left="0"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162" w:name="_Toc19732"/>
      <w:bookmarkStart w:id="163" w:name="_Toc12508"/>
      <w:bookmarkStart w:id="164" w:name="_Toc3721"/>
      <w:bookmarkStart w:id="165" w:name="_Toc11004"/>
      <w:bookmarkStart w:id="166" w:name="_Toc910"/>
      <w:bookmarkStart w:id="167" w:name="_Toc115343412"/>
      <w:r>
        <w:rPr>
          <w:rFonts w:hint="eastAsia" w:ascii="宋体" w:hAnsi="宋体" w:eastAsia="宋体" w:cs="宋体"/>
          <w:b/>
          <w:bCs/>
          <w:color w:val="auto"/>
          <w:sz w:val="28"/>
          <w:szCs w:val="28"/>
          <w:highlight w:val="none"/>
        </w:rPr>
        <w:t>六、省级预算管理一体化系统服务需求</w:t>
      </w:r>
      <w:bookmarkEnd w:id="162"/>
      <w:bookmarkEnd w:id="163"/>
      <w:bookmarkEnd w:id="164"/>
      <w:bookmarkEnd w:id="165"/>
      <w:bookmarkEnd w:id="166"/>
      <w:bookmarkEnd w:id="167"/>
    </w:p>
    <w:p>
      <w:pPr>
        <w:spacing w:line="360" w:lineRule="auto"/>
        <w:ind w:firstLine="643" w:firstLineChars="0"/>
        <w:outlineLvl w:val="0"/>
        <w:rPr>
          <w:rFonts w:hint="eastAsia" w:ascii="宋体" w:hAnsi="宋体" w:eastAsia="宋体" w:cs="宋体"/>
          <w:b/>
          <w:color w:val="auto"/>
          <w:sz w:val="24"/>
          <w:szCs w:val="24"/>
          <w:highlight w:val="none"/>
        </w:rPr>
      </w:pPr>
      <w:bookmarkStart w:id="168" w:name="_Toc7758"/>
      <w:bookmarkStart w:id="169" w:name="_Toc7970"/>
      <w:bookmarkStart w:id="170" w:name="_Toc16150"/>
      <w:bookmarkStart w:id="171" w:name="_Toc115343413"/>
      <w:bookmarkStart w:id="172" w:name="_Toc3793"/>
      <w:bookmarkStart w:id="173" w:name="_Toc10963"/>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服务供应商要求</w:t>
      </w:r>
      <w:bookmarkEnd w:id="168"/>
      <w:bookmarkEnd w:id="169"/>
      <w:bookmarkEnd w:id="170"/>
      <w:bookmarkEnd w:id="171"/>
      <w:bookmarkEnd w:id="172"/>
      <w:bookmarkEnd w:id="17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本项目基于信创云建设，需要供应商具有信息技术应用创新能力，有技术创新产品的研发能力，具有在省级电子政务云或信创云平台上开发政府信息系统的成功经验。</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建供应商应对财政部预算管理一体化业务规范及技术标准充分了解和熟悉，具有省集中部署的预算一体化系统（需包含预算编制或预算执行模块）的建设经验(系统集中部署，支持全省各级财政通过浏览器访问使用)。</w:t>
      </w:r>
    </w:p>
    <w:p>
      <w:pPr>
        <w:pStyle w:val="29"/>
        <w:spacing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为</w:t>
      </w:r>
      <w:r>
        <w:rPr>
          <w:rFonts w:hint="eastAsia" w:ascii="宋体" w:hAnsi="宋体" w:eastAsia="宋体" w:cs="宋体"/>
          <w:color w:val="auto"/>
          <w:kern w:val="2"/>
          <w:sz w:val="21"/>
          <w:szCs w:val="21"/>
          <w:highlight w:val="none"/>
        </w:rPr>
        <w:t>保障本项目系统建设</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rPr>
        <w:t>服务活动顺利开展</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需</w:t>
      </w:r>
      <w:r>
        <w:rPr>
          <w:rFonts w:hint="eastAsia" w:ascii="宋体" w:hAnsi="宋体" w:eastAsia="宋体" w:cs="宋体"/>
          <w:color w:val="auto"/>
          <w:kern w:val="2"/>
          <w:sz w:val="21"/>
          <w:szCs w:val="21"/>
          <w:highlight w:val="none"/>
        </w:rPr>
        <w:t>承建供应商</w:t>
      </w:r>
      <w:r>
        <w:rPr>
          <w:rFonts w:hint="eastAsia" w:ascii="宋体" w:hAnsi="宋体" w:eastAsia="宋体" w:cs="宋体"/>
          <w:color w:val="auto"/>
          <w:kern w:val="2"/>
          <w:sz w:val="21"/>
          <w:szCs w:val="21"/>
          <w:highlight w:val="none"/>
          <w:lang w:val="en-US" w:eastAsia="zh-CN"/>
        </w:rPr>
        <w:t>具备良好的综合能力和较强的技术水平，</w:t>
      </w:r>
      <w:r>
        <w:rPr>
          <w:rFonts w:hint="eastAsia" w:ascii="宋体" w:hAnsi="宋体" w:eastAsia="宋体" w:cs="宋体"/>
          <w:color w:val="auto"/>
          <w:kern w:val="2"/>
          <w:sz w:val="21"/>
          <w:szCs w:val="21"/>
          <w:highlight w:val="none"/>
        </w:rPr>
        <w:t>提供信息系统建设和服务能力等级证书（能力达到良好级CS3以上）</w:t>
      </w:r>
      <w:r>
        <w:rPr>
          <w:rFonts w:hint="eastAsia" w:ascii="宋体" w:hAnsi="宋体" w:eastAsia="宋体" w:cs="宋体"/>
          <w:color w:val="auto"/>
          <w:kern w:val="2"/>
          <w:sz w:val="21"/>
          <w:szCs w:val="21"/>
          <w:highlight w:val="none"/>
          <w:lang w:eastAsia="zh-CN"/>
        </w:rPr>
        <w:t>。</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为保证本项目运行维护规范性，承建供应</w:t>
      </w:r>
      <w:r>
        <w:rPr>
          <w:rFonts w:hint="eastAsia" w:ascii="宋体" w:hAnsi="宋体" w:eastAsia="宋体" w:cs="宋体"/>
          <w:color w:val="auto"/>
          <w:kern w:val="2"/>
          <w:sz w:val="21"/>
          <w:szCs w:val="21"/>
          <w:highlight w:val="none"/>
          <w:lang w:val="en-US" w:eastAsia="zh-CN"/>
        </w:rPr>
        <w:t>商应</w:t>
      </w:r>
      <w:r>
        <w:rPr>
          <w:rFonts w:hint="eastAsia" w:ascii="宋体" w:hAnsi="宋体" w:eastAsia="宋体" w:cs="宋体"/>
          <w:color w:val="auto"/>
          <w:kern w:val="2"/>
          <w:sz w:val="21"/>
          <w:szCs w:val="21"/>
          <w:highlight w:val="none"/>
        </w:rPr>
        <w:t>具备有效的IT服务管理体系认证证书ISO20000和信息安全管理体系认证证书ISO27001。</w:t>
      </w:r>
    </w:p>
    <w:p>
      <w:pPr>
        <w:pStyle w:val="29"/>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本项目基于云架构开展预算管理一体化系统升级，</w:t>
      </w:r>
      <w:r>
        <w:rPr>
          <w:rFonts w:hint="eastAsia" w:ascii="宋体" w:hAnsi="宋体" w:eastAsia="宋体" w:cs="宋体"/>
          <w:color w:val="auto"/>
          <w:kern w:val="2"/>
          <w:sz w:val="21"/>
          <w:szCs w:val="21"/>
          <w:highlight w:val="none"/>
          <w:lang w:val="en-US" w:eastAsia="zh-CN"/>
        </w:rPr>
        <w:t>需满足财政部关于预算管理一体化建设评估的相关要求。</w:t>
      </w:r>
      <w:r>
        <w:rPr>
          <w:rFonts w:hint="eastAsia" w:ascii="宋体" w:hAnsi="宋体" w:eastAsia="宋体" w:cs="宋体"/>
          <w:color w:val="auto"/>
          <w:kern w:val="2"/>
          <w:sz w:val="21"/>
          <w:szCs w:val="21"/>
          <w:highlight w:val="none"/>
        </w:rPr>
        <w:t>投标人需具有“基于云架构的预算管理一体化系统”</w:t>
      </w:r>
      <w:r>
        <w:rPr>
          <w:rFonts w:hint="eastAsia" w:ascii="宋体" w:hAnsi="宋体" w:eastAsia="宋体" w:cs="宋体"/>
          <w:i w:val="0"/>
          <w:color w:val="auto"/>
          <w:kern w:val="0"/>
          <w:sz w:val="21"/>
          <w:szCs w:val="21"/>
          <w:highlight w:val="none"/>
          <w:u w:val="none"/>
          <w:lang w:val="en-US" w:eastAsia="zh-CN" w:bidi="ar"/>
        </w:rPr>
        <w:t>等类似财政预算管理一体化相关的</w:t>
      </w:r>
      <w:r>
        <w:rPr>
          <w:rFonts w:hint="eastAsia" w:ascii="宋体" w:hAnsi="宋体" w:eastAsia="宋体" w:cs="宋体"/>
          <w:color w:val="auto"/>
          <w:kern w:val="2"/>
          <w:sz w:val="21"/>
          <w:szCs w:val="21"/>
          <w:highlight w:val="none"/>
        </w:rPr>
        <w:t>计算机软件著作权登记证书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如不能通过财政部评估，采购方有权单方面终止合同。</w:t>
      </w:r>
    </w:p>
    <w:p>
      <w:pPr>
        <w:pStyle w:val="29"/>
        <w:spacing w:line="360" w:lineRule="auto"/>
        <w:ind w:firstLine="420" w:firstLineChars="200"/>
        <w:rPr>
          <w:rFonts w:hint="eastAsia" w:ascii="宋体" w:hAnsi="宋体" w:eastAsia="宋体" w:cs="宋体"/>
          <w:color w:val="auto"/>
          <w:kern w:val="2"/>
          <w:sz w:val="21"/>
          <w:szCs w:val="21"/>
          <w:highlight w:val="none"/>
          <w:lang w:val="en-US" w:eastAsia="zh-CN"/>
        </w:rPr>
      </w:pPr>
    </w:p>
    <w:p>
      <w:pPr>
        <w:spacing w:line="360" w:lineRule="auto"/>
        <w:ind w:firstLine="482" w:firstLineChars="200"/>
        <w:outlineLvl w:val="0"/>
        <w:rPr>
          <w:rFonts w:hint="eastAsia" w:ascii="宋体" w:hAnsi="宋体" w:eastAsia="宋体" w:cs="宋体"/>
          <w:b/>
          <w:color w:val="auto"/>
          <w:sz w:val="24"/>
          <w:szCs w:val="24"/>
          <w:highlight w:val="none"/>
          <w:lang w:eastAsia="zh-CN"/>
        </w:rPr>
      </w:pPr>
      <w:bookmarkStart w:id="174" w:name="_Toc10911"/>
      <w:bookmarkStart w:id="175" w:name="_Toc12398"/>
      <w:bookmarkStart w:id="176" w:name="_Toc2909"/>
      <w:bookmarkStart w:id="177" w:name="_Toc26920"/>
      <w:bookmarkStart w:id="178" w:name="_Toc12076"/>
      <w:bookmarkStart w:id="179" w:name="_Toc115343414"/>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）省本级驻点服务</w:t>
      </w:r>
      <w:bookmarkEnd w:id="174"/>
      <w:bookmarkEnd w:id="175"/>
      <w:bookmarkEnd w:id="176"/>
      <w:bookmarkEnd w:id="177"/>
      <w:bookmarkEnd w:id="178"/>
      <w:bookmarkEnd w:id="179"/>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服务周期：省财政厅合同实际签订之日起1年。</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供应商应为省本级做好系统新年度初始设置，并为省本级财政有关服务对象（服务对象包括省本级财政相关处室人员、省本级部门及单位用户）提供相关服务支持，包括但不限于在线/热线服务、培训</w:t>
      </w:r>
      <w:r>
        <w:rPr>
          <w:rFonts w:hint="eastAsia" w:ascii="宋体" w:hAnsi="宋体" w:eastAsia="宋体" w:cs="宋体"/>
          <w:color w:val="auto"/>
          <w:kern w:val="2"/>
          <w:sz w:val="21"/>
          <w:szCs w:val="21"/>
          <w:highlight w:val="none"/>
          <w:lang w:val="en-US" w:eastAsia="zh-CN"/>
        </w:rPr>
        <w:t>支持</w:t>
      </w:r>
      <w:r>
        <w:rPr>
          <w:rFonts w:hint="eastAsia" w:ascii="宋体" w:hAnsi="宋体" w:eastAsia="宋体" w:cs="宋体"/>
          <w:color w:val="auto"/>
          <w:kern w:val="2"/>
          <w:sz w:val="21"/>
          <w:szCs w:val="21"/>
          <w:highlight w:val="none"/>
        </w:rPr>
        <w:t>服务，确保省本级编制2023年预算工作正常运行。</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服务期内指派经浙江省财政厅认可的技术人员组成技术支持服务团队（其中至少3人驻场省财政厅指定地点提供现场服务），为省本级财政有关服务对象提供统一的在线/热线服务，为各类用户提供业务咨询、疑难问题解答、系统操作指导、投诉及改进意见受理有关技术支持方面的服务。同时提供尽可能的即时响应服务机构及保障措施，以保障驻场人员无法解决的疑难问题时的即时解决。</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日常运行期间提供7×24小时远程运维支持服务；问题响应在2小时之内，一般问题4小时内给予解决，复杂问题1天内给出解决办法，远程不能解决的24小时之内指派技术人员现场解决。 </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lang w:eastAsia="zh-CN"/>
        </w:rPr>
      </w:pPr>
      <w:bookmarkStart w:id="180" w:name="_Toc328"/>
      <w:bookmarkStart w:id="181" w:name="_Toc115343415"/>
      <w:bookmarkStart w:id="182" w:name="_Toc25583691"/>
      <w:bookmarkStart w:id="183" w:name="_Toc17155"/>
      <w:bookmarkStart w:id="184" w:name="_Toc22389"/>
      <w:bookmarkStart w:id="185" w:name="_Toc18537"/>
      <w:bookmarkStart w:id="186" w:name="_Toc3043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）服务团队要求</w:t>
      </w:r>
      <w:bookmarkEnd w:id="180"/>
      <w:bookmarkEnd w:id="181"/>
      <w:bookmarkEnd w:id="182"/>
      <w:bookmarkEnd w:id="183"/>
      <w:bookmarkEnd w:id="184"/>
      <w:bookmarkEnd w:id="185"/>
      <w:bookmarkEnd w:id="186"/>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中标后5日内，中标人指派项目团队到达浙江省财政厅要求的办公场所；应保持项目团队人员稳定，如中标人员数量及技术能力达不到采购人要求，采购人有权单方面终止合同。</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针对项目建设内容，管理上确定项目经理负责制，负责项目建设工作的整体计划、人员及进度协调保障与质量审查，按本项目各项工作交付时间要求完成开发测试、版本交付、上线后的问题跟踪与解决。项目服务期内需保证项目核心人员对本项目建设范围提供稳定技术支持，若项目建设及服务过程中不能按时完成有关任务或者解决相关问题，应及时安排增加相应资源。</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（1）服务的工程师需熟悉系统技术架构和财政业务，具备较强的财政业务系统实施、运维能力，能够及时高效地完成用户交给的任务，团队中应具有高级系统构架设计师、高级系统分析师、高级软件工程师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运维服务人员中应具有IT服务工程师（ITSS）认证。</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需给省财政厅提供项目经理和实施工程师的电话、邮箱联系方式，并确保每个工作日8小时的电话快速响应，及时处理相关问题；需给省财政厅提供应急服务支持人员电话，在非工作日或非上班时间的紧急事宜响应和处理。团队成员更换需至少提前1个月通知省财政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经采购方同意后做好工作交接再行替换。</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（3）服务团队要严格按照省财政厅的网络安全和运维管理等要求进行服务提供，服务的工程师要严格遵守保密约定，不得将开发及运维过程中获取的数据和文档等资料泄露给第三方。</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hAnsi="宋体" w:cs="宋体"/>
          <w:color w:val="auto"/>
          <w:kern w:val="2"/>
          <w:sz w:val="21"/>
          <w:szCs w:val="21"/>
          <w:highlight w:val="none"/>
          <w:lang w:val="en-US" w:eastAsia="zh-CN"/>
        </w:rPr>
        <w:t>本</w:t>
      </w:r>
      <w:r>
        <w:rPr>
          <w:rFonts w:hint="eastAsia" w:ascii="宋体" w:hAnsi="宋体" w:eastAsia="宋体" w:cs="宋体"/>
          <w:color w:val="auto"/>
          <w:kern w:val="2"/>
          <w:sz w:val="21"/>
          <w:szCs w:val="21"/>
          <w:highlight w:val="none"/>
        </w:rPr>
        <w:t>项目适配数据库要求较高，服务团队人员应具有较强的数据库软件管理能力，并获得高级数据库管理工程师认证。</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lang w:eastAsia="zh-CN"/>
        </w:rPr>
      </w:pPr>
      <w:bookmarkStart w:id="187" w:name="_Toc28437"/>
      <w:bookmarkStart w:id="188" w:name="_Toc115343416"/>
      <w:bookmarkStart w:id="189" w:name="_Toc24410"/>
      <w:bookmarkStart w:id="190" w:name="_Toc6084"/>
      <w:bookmarkStart w:id="191" w:name="_Toc16152"/>
      <w:bookmarkStart w:id="192" w:name="_Toc4632"/>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）培训要求</w:t>
      </w:r>
      <w:bookmarkEnd w:id="187"/>
      <w:bookmarkEnd w:id="188"/>
      <w:bookmarkEnd w:id="189"/>
      <w:bookmarkEnd w:id="190"/>
      <w:bookmarkEnd w:id="191"/>
      <w:bookmarkEnd w:id="192"/>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（1）本项目的培训，是指根据省财政厅需求，为省本级财政内部处室有关用户、省本级部门单位用户提供系统操作、业务相关及系统维护培训。</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（2）培训由供应商负责师资及教材编写，由财政部门提供场地和培训设备并负责受训人员召集，组织实施。供应商必须派出浙江省财政厅认可的具有实际工作经验的教师及辅导人员进行培训。</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（3）培训教师的住宿及差旅费用由供应商承担；培训所需的场地由财政部门提供，培训场地如需费用由财政承担，参加培训的财政单位人员及部门单位人员的住宿或差旅费用由财政或部门自行安排。</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lang w:eastAsia="zh-CN"/>
        </w:rPr>
      </w:pPr>
      <w:bookmarkStart w:id="193" w:name="_Toc16686"/>
      <w:bookmarkStart w:id="194" w:name="_Toc13347"/>
      <w:bookmarkStart w:id="195" w:name="_Toc9286"/>
      <w:bookmarkStart w:id="196" w:name="_Toc31328"/>
      <w:bookmarkStart w:id="197" w:name="_Toc16461"/>
      <w:bookmarkStart w:id="198" w:name="_Toc115343417"/>
      <w:bookmarkStart w:id="199" w:name="_Toc9193"/>
      <w:bookmarkStart w:id="200" w:name="_Toc5827"/>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）其他要求</w:t>
      </w:r>
      <w:bookmarkEnd w:id="193"/>
      <w:bookmarkEnd w:id="194"/>
      <w:bookmarkEnd w:id="195"/>
      <w:bookmarkEnd w:id="196"/>
      <w:bookmarkEnd w:id="197"/>
      <w:bookmarkEnd w:id="198"/>
      <w:bookmarkEnd w:id="199"/>
      <w:bookmarkEnd w:id="200"/>
    </w:p>
    <w:p>
      <w:pPr>
        <w:pStyle w:val="29"/>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rPr>
        <w:t>报价方式要求</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供应商应根据项目建设内容和要求，对省本级系统升级及有关服务费用进行报价</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按预算（基础信息、项目库、预算编制与批复、预算绩效、预算调整与调剂）、执行（预算执行、预算指标会计核算）、安全服务分项报价</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，省本级总费用不超过300万元。费用含系统升级开发费用，服务期间系统实施服务费用、培训和日常运维支持费用，业主方不再另行支付额外费用。</w:t>
      </w:r>
    </w:p>
    <w:p>
      <w:pPr>
        <w:pStyle w:val="29"/>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rPr>
        <w:t>付款方式要求</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省级预算管理一体化费用由省本级支付，业主方于合同签订后</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日内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支付合同总价的</w:t>
      </w:r>
      <w:r>
        <w:rPr>
          <w:rFonts w:hint="eastAsia"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%；省级项目验收</w:t>
      </w:r>
      <w:r>
        <w:rPr>
          <w:rFonts w:hint="eastAsia" w:hAnsi="宋体" w:cs="宋体"/>
          <w:color w:val="auto"/>
          <w:kern w:val="2"/>
          <w:sz w:val="21"/>
          <w:szCs w:val="21"/>
          <w:highlight w:val="none"/>
          <w:lang w:val="en-US" w:eastAsia="zh-CN"/>
        </w:rPr>
        <w:t>后30个工作日内</w:t>
      </w:r>
      <w:r>
        <w:rPr>
          <w:rFonts w:hint="eastAsia" w:ascii="宋体" w:hAnsi="宋体" w:eastAsia="宋体" w:cs="宋体"/>
          <w:color w:val="auto"/>
          <w:kern w:val="2"/>
          <w:sz w:val="21"/>
          <w:szCs w:val="21"/>
          <w:highlight w:val="none"/>
        </w:rPr>
        <w:t>支付合同总价的</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运维</w:t>
      </w:r>
      <w:r>
        <w:rPr>
          <w:rFonts w:hint="eastAsia" w:ascii="宋体" w:hAnsi="宋体" w:eastAsia="宋体" w:cs="宋体"/>
          <w:color w:val="auto"/>
          <w:kern w:val="2"/>
          <w:sz w:val="21"/>
          <w:szCs w:val="21"/>
          <w:highlight w:val="none"/>
        </w:rPr>
        <w:t>服务期满后</w:t>
      </w:r>
      <w:r>
        <w:rPr>
          <w:rFonts w:hint="eastAsia"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个工作日内业主方支付合同金额剩余的的10%。</w:t>
      </w:r>
    </w:p>
    <w:p>
      <w:pPr>
        <w:pStyle w:val="29"/>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rPr>
        <w:t>工期、验收及交付要求</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工期：供应商应在合同签订10个工作日内提交本项目建设</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、对应实施方案，并通过采购方及其监理审核；在合同签订2个月内按采购文件要求完成系统升级，若</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项目建设方案</w:t>
      </w:r>
      <w:r>
        <w:rPr>
          <w:rFonts w:hint="eastAsia" w:ascii="宋体" w:hAnsi="宋体" w:eastAsia="宋体" w:cs="宋体"/>
          <w:color w:val="auto"/>
          <w:kern w:val="2"/>
          <w:sz w:val="21"/>
          <w:szCs w:val="21"/>
          <w:highlight w:val="none"/>
        </w:rPr>
        <w:t>、实施方案等明显满足不了本项目建设要求，或者相关</w:t>
      </w:r>
      <w:r>
        <w:rPr>
          <w:rFonts w:hint="eastAsia" w:ascii="宋体" w:hAnsi="宋体" w:eastAsia="宋体" w:cs="宋体"/>
          <w:color w:val="auto"/>
          <w:kern w:val="2"/>
          <w:sz w:val="21"/>
          <w:szCs w:val="21"/>
          <w:highlight w:val="none"/>
          <w:lang w:val="en-US" w:eastAsia="zh-CN"/>
        </w:rPr>
        <w:t>开发</w:t>
      </w:r>
      <w:r>
        <w:rPr>
          <w:rFonts w:hint="eastAsia" w:ascii="宋体" w:hAnsi="宋体" w:eastAsia="宋体" w:cs="宋体"/>
          <w:color w:val="auto"/>
          <w:kern w:val="2"/>
          <w:sz w:val="21"/>
          <w:szCs w:val="21"/>
          <w:highlight w:val="none"/>
        </w:rPr>
        <w:t>工作无法按要求时间点完成，采购方有权单方面终止合同并要求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退回相应款项。</w:t>
      </w:r>
    </w:p>
    <w:p>
      <w:pPr>
        <w:pStyle w:val="29"/>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项目升级部分内容，试行正常至少一个月后可申请验收。省本级运维</w:t>
      </w:r>
      <w:r>
        <w:rPr>
          <w:rFonts w:hint="eastAsia" w:ascii="宋体" w:hAnsi="宋体" w:eastAsia="宋体" w:cs="宋体"/>
          <w:color w:val="auto"/>
          <w:kern w:val="2"/>
          <w:sz w:val="21"/>
          <w:szCs w:val="21"/>
          <w:highlight w:val="none"/>
        </w:rPr>
        <w:t>服务</w:t>
      </w:r>
      <w:r>
        <w:rPr>
          <w:rFonts w:hint="eastAsia" w:ascii="宋体" w:hAnsi="宋体" w:eastAsia="宋体" w:cs="宋体"/>
          <w:color w:val="auto"/>
          <w:kern w:val="2"/>
          <w:sz w:val="21"/>
          <w:szCs w:val="21"/>
          <w:highlight w:val="none"/>
          <w:lang w:val="en-US" w:eastAsia="zh-CN"/>
        </w:rPr>
        <w:t>部分</w:t>
      </w:r>
      <w:r>
        <w:rPr>
          <w:rFonts w:hint="eastAsia" w:ascii="宋体" w:hAnsi="宋体" w:eastAsia="宋体" w:cs="宋体"/>
          <w:color w:val="auto"/>
          <w:kern w:val="2"/>
          <w:sz w:val="21"/>
          <w:szCs w:val="21"/>
          <w:highlight w:val="none"/>
        </w:rPr>
        <w:t>为合同签订之日起1年</w:t>
      </w:r>
      <w:r>
        <w:rPr>
          <w:rFonts w:hint="eastAsia" w:ascii="宋体" w:hAnsi="宋体" w:eastAsia="宋体" w:cs="宋体"/>
          <w:color w:val="auto"/>
          <w:kern w:val="2"/>
          <w:sz w:val="21"/>
          <w:szCs w:val="21"/>
          <w:highlight w:val="none"/>
          <w:lang w:eastAsia="zh-CN"/>
        </w:rPr>
        <w:t>。</w:t>
      </w:r>
    </w:p>
    <w:p>
      <w:pPr>
        <w:pStyle w:val="29"/>
        <w:spacing w:line="360" w:lineRule="auto"/>
        <w:ind w:left="420" w:leftChars="20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验收应提供文档包括但不限于:</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《需求规格说明书》</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《详细设计说明书》</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eastAsia="zh-CN"/>
        </w:rPr>
        <w:t>数据库</w:t>
      </w:r>
      <w:r>
        <w:rPr>
          <w:rFonts w:hint="eastAsia" w:ascii="宋体" w:hAnsi="宋体" w:eastAsia="宋体" w:cs="宋体"/>
          <w:snapToGrid/>
          <w:color w:val="auto"/>
          <w:kern w:val="2"/>
          <w:sz w:val="21"/>
          <w:szCs w:val="21"/>
          <w:highlight w:val="none"/>
        </w:rPr>
        <w:t>设计说明书》</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《测试用例及测试报告》</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《实施报告》</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《安装实施手册》</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源代码及对应编译文件</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eastAsia="zh-CN"/>
        </w:rPr>
        <w:t>《源代码编译环境和编译方法说明书》</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《用户操作手册》</w:t>
      </w:r>
    </w:p>
    <w:p>
      <w:pPr>
        <w:pStyle w:val="29"/>
        <w:adjustRightInd/>
        <w:snapToGrid/>
        <w:spacing w:line="360" w:lineRule="auto"/>
        <w:ind w:left="420" w:leftChars="200" w:firstLine="0" w:firstLineChars="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《管理员操作手册》</w:t>
      </w:r>
    </w:p>
    <w:p>
      <w:pPr>
        <w:pStyle w:val="29"/>
        <w:spacing w:line="360" w:lineRule="auto"/>
        <w:ind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201" w:name="_Toc18027"/>
      <w:bookmarkStart w:id="202" w:name="_Toc115343418"/>
      <w:bookmarkStart w:id="203" w:name="_Toc2489"/>
      <w:bookmarkStart w:id="204" w:name="_Toc31702"/>
      <w:bookmarkStart w:id="205" w:name="_Toc9757"/>
    </w:p>
    <w:p>
      <w:pPr>
        <w:numPr>
          <w:ilvl w:val="1"/>
          <w:numId w:val="0"/>
        </w:numPr>
        <w:spacing w:line="360" w:lineRule="auto"/>
        <w:ind w:left="2963" w:hanging="2403"/>
        <w:jc w:val="left"/>
        <w:outlineLvl w:val="0"/>
        <w:rPr>
          <w:rFonts w:hint="eastAsia" w:ascii="宋体" w:hAnsi="宋体" w:eastAsia="宋体" w:cs="宋体"/>
          <w:b/>
          <w:bCs/>
          <w:color w:val="auto"/>
          <w:sz w:val="28"/>
          <w:szCs w:val="28"/>
          <w:highlight w:val="none"/>
        </w:rPr>
      </w:pPr>
      <w:bookmarkStart w:id="206" w:name="_Toc9437"/>
      <w:r>
        <w:rPr>
          <w:rFonts w:hint="eastAsia" w:ascii="宋体" w:hAnsi="宋体" w:eastAsia="宋体" w:cs="宋体"/>
          <w:b/>
          <w:bCs/>
          <w:color w:val="auto"/>
          <w:sz w:val="28"/>
          <w:szCs w:val="28"/>
          <w:highlight w:val="none"/>
        </w:rPr>
        <w:t>七、市县预算管理一体化服务需求（费用标准）</w:t>
      </w:r>
      <w:bookmarkEnd w:id="201"/>
      <w:bookmarkEnd w:id="202"/>
      <w:bookmarkEnd w:id="203"/>
      <w:bookmarkEnd w:id="204"/>
      <w:bookmarkEnd w:id="205"/>
      <w:bookmarkEnd w:id="206"/>
    </w:p>
    <w:p>
      <w:pPr>
        <w:spacing w:line="360" w:lineRule="auto"/>
        <w:ind w:firstLine="482" w:firstLineChars="200"/>
        <w:outlineLvl w:val="0"/>
        <w:rPr>
          <w:rFonts w:hint="eastAsia" w:ascii="宋体" w:hAnsi="宋体" w:eastAsia="宋体" w:cs="宋体"/>
          <w:b/>
          <w:color w:val="auto"/>
          <w:sz w:val="24"/>
          <w:szCs w:val="24"/>
          <w:highlight w:val="none"/>
        </w:rPr>
      </w:pPr>
      <w:bookmarkStart w:id="207" w:name="_Toc3944"/>
      <w:bookmarkStart w:id="208" w:name="_Toc115343419"/>
      <w:bookmarkStart w:id="209" w:name="_Toc27485"/>
      <w:bookmarkStart w:id="210" w:name="_Toc32411"/>
      <w:bookmarkStart w:id="211" w:name="_Toc1352"/>
      <w:bookmarkStart w:id="212" w:name="_Toc23907"/>
      <w:bookmarkStart w:id="213" w:name="_Toc17776"/>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采购内容</w:t>
      </w:r>
      <w:bookmarkEnd w:id="207"/>
      <w:bookmarkEnd w:id="208"/>
      <w:bookmarkEnd w:id="209"/>
      <w:bookmarkEnd w:id="210"/>
      <w:bookmarkEnd w:id="211"/>
      <w:bookmarkEnd w:id="212"/>
      <w:bookmarkEnd w:id="21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市县预算管理一体化服务内容：为市县区财政局提供新年度系统实施和技术支持服务，支撑市县区级财政局预算管理一体化系统正常运转，服务对象为市县（区）财政局用户。</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按省财政厅要求做好全省各级财政区划新年度系统初始化，根据各市县需求及时组织新年度升级实施，为市县（区）财政局提供标准实施和运维服务。费用包含新年度初始化设置、培训和日常运维服务费用，市县区财政局依据采购标准与中标供应商签订合同并付费。</w:t>
      </w:r>
    </w:p>
    <w:p>
      <w:pPr>
        <w:pStyle w:val="29"/>
        <w:spacing w:line="360" w:lineRule="auto"/>
        <w:ind w:firstLine="0" w:firstLineChars="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14" w:name="_Toc2533"/>
      <w:bookmarkStart w:id="215" w:name="_Toc18889"/>
      <w:bookmarkStart w:id="216" w:name="_Toc20976"/>
      <w:bookmarkStart w:id="217" w:name="_Toc115343420"/>
      <w:bookmarkStart w:id="218" w:name="_Toc19700"/>
      <w:bookmarkStart w:id="219" w:name="_Toc31213"/>
      <w:bookmarkStart w:id="220" w:name="_Toc32416"/>
      <w:bookmarkStart w:id="221" w:name="_Toc11871"/>
      <w:bookmarkStart w:id="222" w:name="_Toc7138"/>
      <w:bookmarkStart w:id="223" w:name="_Toc145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服务周期</w:t>
      </w:r>
      <w:bookmarkEnd w:id="214"/>
      <w:bookmarkEnd w:id="215"/>
      <w:bookmarkEnd w:id="216"/>
      <w:bookmarkEnd w:id="217"/>
      <w:bookmarkEnd w:id="218"/>
      <w:bookmarkEnd w:id="219"/>
      <w:bookmarkEnd w:id="220"/>
      <w:bookmarkEnd w:id="221"/>
      <w:bookmarkEnd w:id="222"/>
      <w:bookmarkEnd w:id="223"/>
    </w:p>
    <w:p>
      <w:pPr>
        <w:pStyle w:val="29"/>
        <w:spacing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服务期一年。</w:t>
      </w:r>
    </w:p>
    <w:p>
      <w:pPr>
        <w:pStyle w:val="29"/>
        <w:spacing w:line="360" w:lineRule="auto"/>
        <w:ind w:firstLine="0" w:firstLineChars="0"/>
        <w:rPr>
          <w:rFonts w:hint="eastAsia" w:ascii="宋体" w:hAnsi="宋体" w:eastAsia="宋体" w:cs="宋体"/>
          <w:color w:val="auto"/>
          <w:kern w:val="2"/>
          <w:sz w:val="21"/>
          <w:szCs w:val="21"/>
          <w:highlight w:val="none"/>
          <w:lang w:eastAsia="zh-CN"/>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24" w:name="_Toc6858"/>
      <w:bookmarkStart w:id="225" w:name="_Toc7157"/>
      <w:bookmarkStart w:id="226" w:name="_Toc18734"/>
      <w:bookmarkStart w:id="227" w:name="_Toc15495"/>
      <w:bookmarkStart w:id="228" w:name="_Toc12302"/>
      <w:bookmarkStart w:id="229" w:name="_Toc5034"/>
      <w:bookmarkStart w:id="230" w:name="_Toc2870"/>
      <w:bookmarkStart w:id="231" w:name="_Toc15096"/>
      <w:bookmarkStart w:id="232" w:name="_Toc115343421"/>
      <w:bookmarkStart w:id="233" w:name="_Toc471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年度系统功能初始化及维护服务要求</w:t>
      </w:r>
      <w:bookmarkEnd w:id="224"/>
      <w:bookmarkEnd w:id="225"/>
      <w:bookmarkEnd w:id="226"/>
      <w:bookmarkEnd w:id="227"/>
      <w:bookmarkEnd w:id="228"/>
      <w:bookmarkEnd w:id="229"/>
      <w:bookmarkEnd w:id="230"/>
      <w:bookmarkEnd w:id="231"/>
      <w:bookmarkEnd w:id="232"/>
      <w:bookmarkEnd w:id="23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期内，供应商根据情况安排服务人员完成系统功能初始化及日常运维支持服务，包含：业务模块新年度实施配置、系统测试、培训、年结支持。标准服务中每个市县单个年度中用户现场服务时间不超过2个人月，超出部分由市县（区）财政局与供应商另行协商。</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34" w:name="_Toc25437"/>
      <w:bookmarkStart w:id="235" w:name="_Toc22495"/>
      <w:bookmarkStart w:id="236" w:name="_Toc16696"/>
      <w:bookmarkStart w:id="237" w:name="_Toc4091"/>
      <w:bookmarkStart w:id="238" w:name="_Toc115343422"/>
      <w:bookmarkStart w:id="239" w:name="_Toc11586"/>
      <w:bookmarkStart w:id="240" w:name="_Toc27176"/>
      <w:bookmarkStart w:id="241" w:name="_Toc27058"/>
      <w:bookmarkStart w:id="242" w:name="_Toc6300"/>
      <w:bookmarkStart w:id="243" w:name="_Toc943"/>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日常技术支持服务要求</w:t>
      </w:r>
      <w:bookmarkEnd w:id="234"/>
      <w:bookmarkEnd w:id="235"/>
      <w:bookmarkEnd w:id="236"/>
      <w:bookmarkEnd w:id="237"/>
      <w:bookmarkEnd w:id="238"/>
      <w:bookmarkEnd w:id="239"/>
      <w:bookmarkEnd w:id="240"/>
      <w:bookmarkEnd w:id="241"/>
      <w:bookmarkEnd w:id="242"/>
      <w:bookmarkEnd w:id="243"/>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根据实际服务的市县（区）财政局范围，配备相应的技术人员组成技术支持服务团队，为市县财政相关用户提供统一的在线/热线服务，提供业务咨询、疑难问题解答、系统操作指导、系统日常配置调整、投诉及改进意见受理、有关技术支持方面的服务。</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日常运行期间提供5×8小时远程运维支持服务；问题响应在2小时之内，一般问题4小时内给予解决，复杂问题1天内给出解决办法，远程不能解决的24小时之内指派技术人员现场解决。 </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44" w:name="_Toc30869"/>
      <w:bookmarkStart w:id="245" w:name="_Toc25583697"/>
      <w:bookmarkStart w:id="246" w:name="_Toc21069"/>
      <w:bookmarkStart w:id="247" w:name="_Toc217"/>
      <w:bookmarkStart w:id="248" w:name="_Toc115343423"/>
      <w:bookmarkStart w:id="249" w:name="_Toc17067"/>
      <w:bookmarkStart w:id="250" w:name="_Toc32561"/>
      <w:bookmarkStart w:id="251" w:name="_Toc14368"/>
      <w:bookmarkStart w:id="252" w:name="_Toc20215"/>
      <w:bookmarkStart w:id="253" w:name="_Toc18507"/>
      <w:bookmarkStart w:id="254" w:name="_Toc12840"/>
      <w:bookmarkStart w:id="255" w:name="_Toc17161"/>
      <w:bookmarkStart w:id="256" w:name="_Toc15258"/>
      <w:bookmarkStart w:id="257" w:name="_Toc16125"/>
      <w:bookmarkStart w:id="258" w:name="_Toc13624"/>
      <w:bookmarkStart w:id="259" w:name="_Toc4698"/>
      <w:bookmarkStart w:id="260" w:name="_Toc28047"/>
      <w:bookmarkStart w:id="261" w:name="_Toc103"/>
      <w:bookmarkStart w:id="262" w:name="_Toc1506"/>
      <w:bookmarkStart w:id="263" w:name="_Toc30899"/>
      <w:bookmarkStart w:id="264" w:name="_Toc8543"/>
      <w:bookmarkStart w:id="265" w:name="_Toc4106"/>
      <w:bookmarkStart w:id="266" w:name="_Toc28209"/>
      <w:bookmarkStart w:id="267" w:name="_Toc11935"/>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服务团队要求</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供应商应根据服务的市县范围提供相应的服务团队，需要为每个服务的市县（区）财政局配置项目经理，负责整体事宜协调、联络和进度把控，确保每个市县（区）财政局能实时联系到服务人员并解决问题。</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服务的工程师需熟悉系统功能和财政业务，具备较强的系统实施、运维能力，能够及时高效地完成市县财政用户交办的服务内容。</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需给服务的财政部门提供实施工程师电话、邮箱联系方式，并确保每个工作日8小时的电话快速响应，及时处理相关问题；需给服务的财政部门提供应急服务支持人员电话，在非工作日或非上班时间的紧急事宜响应和处理。</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供应商应确保服务团队成员严格按照省财政厅和市县（区）财政局的网络安全和运维管理要求进行服务提供，服务的工程师要严格遵守保密约定，不得将开发及运维过程中获取的数据和文档等资料泄露给第三方。</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服务团队人员更换需至少提前一个月通知到对应的市县（区）财政局，内部做好培训和工作交接，征得财政同意后方可更换。如因人员更换影响预算管理一体化系统运转，财政部门有权拒绝更换。</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68" w:name="_Toc18687"/>
      <w:bookmarkStart w:id="269" w:name="_Toc21745"/>
      <w:bookmarkStart w:id="270" w:name="_Toc20194"/>
      <w:bookmarkStart w:id="271" w:name="_Toc15458"/>
      <w:bookmarkStart w:id="272" w:name="_Toc28639"/>
      <w:bookmarkStart w:id="273" w:name="_Toc13417"/>
      <w:bookmarkStart w:id="274" w:name="_Toc21963"/>
      <w:bookmarkStart w:id="275" w:name="_Toc18513"/>
      <w:bookmarkStart w:id="276" w:name="_Toc14439"/>
      <w:bookmarkStart w:id="277" w:name="_Toc30002"/>
      <w:bookmarkStart w:id="278" w:name="_Toc22165"/>
      <w:bookmarkStart w:id="279" w:name="_Toc20997"/>
      <w:bookmarkStart w:id="280" w:name="_Toc23227"/>
      <w:bookmarkStart w:id="281" w:name="_Toc26341"/>
      <w:bookmarkStart w:id="282" w:name="_Toc22335"/>
      <w:bookmarkStart w:id="283" w:name="_Toc17973"/>
      <w:bookmarkStart w:id="284" w:name="_Toc23122"/>
      <w:bookmarkStart w:id="285" w:name="_Toc1660"/>
      <w:bookmarkStart w:id="286" w:name="_Toc22332"/>
      <w:bookmarkStart w:id="287" w:name="_Toc24843"/>
      <w:bookmarkStart w:id="288" w:name="_Toc32199"/>
      <w:bookmarkStart w:id="289" w:name="_Toc9387"/>
      <w:bookmarkStart w:id="290" w:name="_Toc25583698"/>
      <w:bookmarkStart w:id="291" w:name="_Toc115343424"/>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培训要求</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根据各市县（区）财政局需求，为各市县（区）财政局用户提供系统操作培训。</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培训由供应商负责师资及教材编写，现场培训由财政部门提供场地和培训设备并负责受训人员召集，组织实施。供应商必须派出具有实际工作经验的讲师进行培训。</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培训讲师的住宿及差旅费用由中标供应商承担；培训所需的场地由市县（区）财政局提供，培训场地如需费用由市县（区）财政局承担，参加培训的用户的住宿或差旅费用由财政或部门自行安排。</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292" w:name="_Toc7510"/>
      <w:bookmarkStart w:id="293" w:name="_Toc5284"/>
      <w:bookmarkStart w:id="294" w:name="_Toc29741"/>
      <w:bookmarkStart w:id="295" w:name="_Toc7874"/>
      <w:bookmarkStart w:id="296" w:name="_Toc9046"/>
      <w:bookmarkStart w:id="297" w:name="_Toc21728"/>
      <w:bookmarkStart w:id="298" w:name="_Toc5651"/>
      <w:bookmarkStart w:id="299" w:name="_Toc8185"/>
      <w:bookmarkStart w:id="300" w:name="_Toc12313"/>
      <w:bookmarkStart w:id="301" w:name="_Toc1424"/>
      <w:bookmarkStart w:id="302" w:name="_Toc8339"/>
      <w:bookmarkStart w:id="303" w:name="_Toc31079"/>
      <w:bookmarkStart w:id="304" w:name="_Toc20242"/>
      <w:bookmarkStart w:id="305" w:name="_Toc115343425"/>
      <w:bookmarkStart w:id="306" w:name="_Toc17354"/>
      <w:bookmarkStart w:id="307" w:name="_Toc29874"/>
      <w:bookmarkStart w:id="308" w:name="_Toc1782"/>
      <w:bookmarkStart w:id="309" w:name="_Toc28855"/>
      <w:bookmarkStart w:id="310" w:name="_Toc17700"/>
      <w:bookmarkStart w:id="311" w:name="_Toc25583699"/>
      <w:bookmarkStart w:id="312" w:name="_Toc14433"/>
      <w:bookmarkStart w:id="313" w:name="_Toc1376"/>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其他要求</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29"/>
        <w:spacing w:line="360" w:lineRule="auto"/>
        <w:ind w:firstLine="420" w:firstLineChars="200"/>
        <w:rPr>
          <w:rFonts w:hint="eastAsia" w:ascii="宋体" w:hAnsi="宋体" w:eastAsia="宋体" w:cs="宋体"/>
          <w:color w:val="auto"/>
          <w:kern w:val="2"/>
          <w:sz w:val="21"/>
          <w:szCs w:val="21"/>
          <w:highlight w:val="none"/>
        </w:rPr>
      </w:pPr>
      <w:bookmarkStart w:id="314" w:name="_Toc30182"/>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报价方式</w:t>
      </w:r>
      <w:bookmarkEnd w:id="314"/>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供应商应根据市县（区）财政局预算管理一体化服务内容和要求，对市县标准年度服务费用进行报价</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按预算（基础信息、项目库、预算编制与批复、预算绩效、预算调整与调剂）、执行（预算执行、预算指标会计核算）、安全服务分项报价</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，地市级年度服务总价不超过 60万元，区县级年度服务总价不超过40万元。</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服务费用含系统新年度初始化实施，培训、现场服务和远程服务统一标准的服务，市县（区）财政局不再另行支付额外费用。市县的个性需求服务费用另行与供应商商议。</w:t>
      </w:r>
    </w:p>
    <w:p>
      <w:pPr>
        <w:pStyle w:val="29"/>
        <w:spacing w:line="360" w:lineRule="auto"/>
        <w:ind w:firstLine="420" w:firstLineChars="200"/>
        <w:rPr>
          <w:rFonts w:hint="eastAsia" w:ascii="宋体" w:hAnsi="宋体" w:eastAsia="宋体" w:cs="宋体"/>
          <w:color w:val="auto"/>
          <w:kern w:val="2"/>
          <w:sz w:val="21"/>
          <w:szCs w:val="21"/>
          <w:highlight w:val="none"/>
        </w:rPr>
      </w:pPr>
      <w:bookmarkStart w:id="315" w:name="_Toc19498"/>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付款方式</w:t>
      </w:r>
      <w:bookmarkEnd w:id="315"/>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市县服务费由各市县（区）财政局支付，市县（区）财政局根据实际情况与供应商签订合同并约定付款方式。</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验收要求</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市县服务验收由各市县（区）财政局自行组织，</w:t>
      </w:r>
      <w:r>
        <w:rPr>
          <w:rFonts w:hint="eastAsia"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配合提供电子版用户操作手册及服务过程相关文档。</w:t>
      </w:r>
    </w:p>
    <w:p>
      <w:pPr>
        <w:pStyle w:val="29"/>
        <w:spacing w:line="360" w:lineRule="auto"/>
        <w:ind w:firstLine="420" w:firstLineChars="200"/>
        <w:rPr>
          <w:rFonts w:hint="eastAsia" w:ascii="宋体" w:hAnsi="宋体" w:eastAsia="宋体" w:cs="宋体"/>
          <w:color w:val="auto"/>
          <w:kern w:val="2"/>
          <w:sz w:val="21"/>
          <w:szCs w:val="21"/>
          <w:highlight w:val="none"/>
        </w:rPr>
      </w:pPr>
    </w:p>
    <w:p>
      <w:pPr>
        <w:spacing w:line="360" w:lineRule="auto"/>
        <w:ind w:firstLine="482" w:firstLineChars="200"/>
        <w:outlineLvl w:val="0"/>
        <w:rPr>
          <w:rFonts w:hint="eastAsia" w:ascii="宋体" w:hAnsi="宋体" w:eastAsia="宋体" w:cs="宋体"/>
          <w:b/>
          <w:color w:val="auto"/>
          <w:sz w:val="24"/>
          <w:szCs w:val="24"/>
          <w:highlight w:val="none"/>
        </w:rPr>
      </w:pPr>
      <w:bookmarkStart w:id="316" w:name="_Toc27619"/>
      <w:bookmarkStart w:id="317" w:name="_Toc32708"/>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八</w:t>
      </w:r>
      <w:r>
        <w:rPr>
          <w:rFonts w:hint="eastAsia" w:ascii="宋体" w:hAnsi="宋体" w:eastAsia="宋体" w:cs="宋体"/>
          <w:b/>
          <w:color w:val="auto"/>
          <w:kern w:val="2"/>
          <w:sz w:val="24"/>
          <w:szCs w:val="24"/>
          <w:highlight w:val="none"/>
          <w:lang w:eastAsia="zh-CN"/>
        </w:rPr>
        <w:t>）</w:t>
      </w:r>
      <w:bookmarkEnd w:id="316"/>
      <w:bookmarkStart w:id="318" w:name="_Toc31973"/>
      <w:bookmarkStart w:id="319" w:name="_Toc86951128"/>
      <w:bookmarkStart w:id="320" w:name="_Toc25963"/>
      <w:bookmarkStart w:id="321" w:name="_Toc22835"/>
      <w:bookmarkStart w:id="322" w:name="_Toc115343426"/>
      <w:bookmarkStart w:id="323" w:name="_Toc25237"/>
      <w:bookmarkStart w:id="324" w:name="_Toc23752"/>
      <w:bookmarkStart w:id="325" w:name="_Toc28654"/>
      <w:r>
        <w:rPr>
          <w:rFonts w:hint="eastAsia" w:ascii="宋体" w:hAnsi="宋体" w:eastAsia="宋体" w:cs="宋体"/>
          <w:b/>
          <w:color w:val="auto"/>
          <w:sz w:val="24"/>
          <w:szCs w:val="24"/>
          <w:highlight w:val="none"/>
        </w:rPr>
        <w:t>服务验收考核办法</w:t>
      </w:r>
      <w:bookmarkEnd w:id="317"/>
      <w:bookmarkEnd w:id="318"/>
      <w:bookmarkEnd w:id="319"/>
      <w:bookmarkEnd w:id="320"/>
      <w:bookmarkEnd w:id="321"/>
      <w:bookmarkEnd w:id="322"/>
      <w:bookmarkEnd w:id="323"/>
      <w:bookmarkEnd w:id="324"/>
      <w:bookmarkEnd w:id="325"/>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合同服务期满后，由各市县分别组织对本区划服务进行合同验收，主要从运维服务情况进行验收。</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验收指标明细如下表：</w:t>
      </w:r>
    </w:p>
    <w:tbl>
      <w:tblPr>
        <w:tblStyle w:val="19"/>
        <w:tblW w:w="8998" w:type="dxa"/>
        <w:tblInd w:w="-53" w:type="dxa"/>
        <w:tblLayout w:type="fixed"/>
        <w:tblCellMar>
          <w:top w:w="15" w:type="dxa"/>
          <w:left w:w="15" w:type="dxa"/>
          <w:bottom w:w="15" w:type="dxa"/>
          <w:right w:w="15" w:type="dxa"/>
        </w:tblCellMar>
      </w:tblPr>
      <w:tblGrid>
        <w:gridCol w:w="1034"/>
        <w:gridCol w:w="1458"/>
        <w:gridCol w:w="5554"/>
        <w:gridCol w:w="952"/>
      </w:tblGrid>
      <w:tr>
        <w:tblPrEx>
          <w:tblCellMar>
            <w:top w:w="15" w:type="dxa"/>
            <w:left w:w="15" w:type="dxa"/>
            <w:bottom w:w="15" w:type="dxa"/>
            <w:right w:w="15" w:type="dxa"/>
          </w:tblCellMar>
        </w:tblPrEx>
        <w:trPr>
          <w:trHeight w:val="640" w:hRule="atLeast"/>
        </w:trPr>
        <w:tc>
          <w:tcPr>
            <w:tcW w:w="1034" w:type="dxa"/>
            <w:tcBorders>
              <w:top w:val="single" w:color="000000" w:sz="12" w:space="0"/>
              <w:left w:val="single" w:color="000000" w:sz="12" w:space="0"/>
              <w:bottom w:val="single" w:color="000000" w:sz="6" w:space="0"/>
              <w:right w:val="single" w:color="000000" w:sz="6" w:space="0"/>
            </w:tcBorders>
            <w:shd w:val="clear" w:color="auto" w:fill="BEBEBE"/>
            <w:vAlign w:val="center"/>
          </w:tcPr>
          <w:p>
            <w:pP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验收点</w:t>
            </w:r>
          </w:p>
        </w:tc>
        <w:tc>
          <w:tcPr>
            <w:tcW w:w="1458" w:type="dxa"/>
            <w:tcBorders>
              <w:top w:val="single" w:color="000000" w:sz="12" w:space="0"/>
              <w:left w:val="single" w:color="000000" w:sz="6" w:space="0"/>
              <w:bottom w:val="single" w:color="000000" w:sz="6" w:space="0"/>
              <w:right w:val="single" w:color="000000" w:sz="6" w:space="0"/>
            </w:tcBorders>
            <w:shd w:val="clear" w:color="auto" w:fill="BEBEBE"/>
            <w:vAlign w:val="center"/>
          </w:tcPr>
          <w:p>
            <w:pP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验收指标</w:t>
            </w:r>
          </w:p>
        </w:tc>
        <w:tc>
          <w:tcPr>
            <w:tcW w:w="5554" w:type="dxa"/>
            <w:tcBorders>
              <w:top w:val="single" w:color="000000" w:sz="12" w:space="0"/>
              <w:left w:val="single" w:color="000000" w:sz="6" w:space="0"/>
              <w:bottom w:val="single" w:color="000000" w:sz="6" w:space="0"/>
              <w:right w:val="single" w:color="000000" w:sz="6" w:space="0"/>
            </w:tcBorders>
            <w:shd w:val="clear" w:color="auto" w:fill="BEBEBE"/>
            <w:vAlign w:val="center"/>
          </w:tcPr>
          <w:p>
            <w:pP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具体指标要求</w:t>
            </w:r>
          </w:p>
        </w:tc>
        <w:tc>
          <w:tcPr>
            <w:tcW w:w="952" w:type="dxa"/>
            <w:tcBorders>
              <w:top w:val="single" w:color="000000" w:sz="12" w:space="0"/>
              <w:left w:val="single" w:color="000000" w:sz="6" w:space="0"/>
              <w:bottom w:val="single" w:color="000000" w:sz="6" w:space="0"/>
              <w:right w:val="single" w:color="000000" w:sz="12" w:space="0"/>
            </w:tcBorders>
            <w:shd w:val="clear" w:color="auto" w:fill="BEBEBE"/>
            <w:vAlign w:val="center"/>
          </w:tcPr>
          <w:p>
            <w:pP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p>
        </w:tc>
      </w:tr>
      <w:tr>
        <w:tblPrEx>
          <w:tblCellMar>
            <w:top w:w="15" w:type="dxa"/>
            <w:left w:w="15" w:type="dxa"/>
            <w:bottom w:w="15" w:type="dxa"/>
            <w:right w:w="15" w:type="dxa"/>
          </w:tblCellMar>
        </w:tblPrEx>
        <w:trPr>
          <w:trHeight w:val="1361" w:hRule="atLeast"/>
        </w:trPr>
        <w:tc>
          <w:tcPr>
            <w:tcW w:w="1034"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新年度初始化配置服务</w:t>
            </w: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满足新年度业务管理要求</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1.应</w:t>
            </w:r>
            <w:r>
              <w:rPr>
                <w:rFonts w:hint="eastAsia" w:ascii="宋体" w:hAnsi="宋体" w:eastAsia="宋体" w:cs="宋体"/>
                <w:color w:val="auto"/>
                <w:sz w:val="21"/>
                <w:szCs w:val="21"/>
                <w:highlight w:val="none"/>
              </w:rPr>
              <w:t>根据财政厅统一部署及要求，为各市县提供新年度初始化配置服务，确保系统正常使用。</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2.系统稳定性：平均无故障时间﹥99.9%。</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CellMar>
            <w:top w:w="15" w:type="dxa"/>
            <w:left w:w="15" w:type="dxa"/>
            <w:bottom w:w="15" w:type="dxa"/>
            <w:right w:w="15" w:type="dxa"/>
          </w:tblCellMar>
        </w:tblPrEx>
        <w:trPr>
          <w:trHeight w:val="1374" w:hRule="atLeast"/>
        </w:trPr>
        <w:tc>
          <w:tcPr>
            <w:tcW w:w="1034"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服务工作安排</w:t>
            </w: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专员服务</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确定各市、县（市、区、功能区）至少1名服务专员，并将人员名单及联系方式提供给各地财政，确保能5*12联系到人，并实时解决问题。人员变更应及时通知到各地财政。</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1174"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textAlignment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客户热线服务</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人工客户服务热线服务时间：5×12小时（指工作日，周一至周五，节假日除外，甲方可根据工作需要，要求延长服务时间）；</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7×24小时的在线通讯工具和邮箱受理服务；</w:t>
            </w:r>
          </w:p>
          <w:p>
            <w:pPr>
              <w:spacing w:line="360" w:lineRule="auto"/>
              <w:ind w:firstLine="420" w:firstLineChars="20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可以根据在线接通率、热线接通率、用户投诉核实等综合情况考核。</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1592" w:hRule="atLeast"/>
        </w:trPr>
        <w:tc>
          <w:tcPr>
            <w:tcW w:w="1034"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运维服务支持</w:t>
            </w: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运维工单响应支持</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针对基础数据类问题修订，需在1个工作日内完成处理并反馈结果；针对一体化系统相关业务流程、用户权限提供维护，需在2个工作日内完成，以满足人员变动及业务管理需要。</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875"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数据交互支持</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提供采购文件要求的第三方衔接系统的对接维护、数据核对工作，并积极配合第三方公司解决其他相关的问题。</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953"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故障排查支持</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对于出现如断电、设备故障、更换服务器或其他原因导致系统瘫痪，运维服务人员给予及时响应，并配合用户排除故障</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643"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培训支持</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协助财政组织一体化系统相关培训，并提供培训教材及课件。</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545"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日常业务数据的校验和异常数据的处理</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定期对各接入系统传入一体化的数据与原业务系统数据进行校验。一旦出现异常情况，立即对异常数据进行应急处理，并着手分析排查问题原因。</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1401" w:hRule="atLeast"/>
        </w:trPr>
        <w:tc>
          <w:tcPr>
            <w:tcW w:w="1034"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专项数据服务</w:t>
            </w:r>
          </w:p>
        </w:tc>
        <w:tc>
          <w:tcPr>
            <w:tcW w:w="5554" w:type="dxa"/>
            <w:tcBorders>
              <w:top w:val="single" w:color="000000" w:sz="6" w:space="0"/>
              <w:left w:val="single" w:color="000000" w:sz="6" w:space="0"/>
              <w:bottom w:val="single" w:color="000000" w:sz="6" w:space="0"/>
              <w:right w:val="single" w:color="000000" w:sz="6" w:space="0"/>
            </w:tcBorders>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协助用户处理非常规、临时性的、工作量比较大的、专门用途的专项数据服务，主要服务内容包括：特殊数据进行特殊的维护处理、人工对账处理、特殊修改，特殊数据维护需按照省厅的标准流程要求提供服务。</w:t>
            </w:r>
          </w:p>
        </w:tc>
        <w:tc>
          <w:tcPr>
            <w:tcW w:w="95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r>
      <w:tr>
        <w:tblPrEx>
          <w:tblCellMar>
            <w:top w:w="15" w:type="dxa"/>
            <w:left w:w="15" w:type="dxa"/>
            <w:bottom w:w="15" w:type="dxa"/>
            <w:right w:w="15" w:type="dxa"/>
          </w:tblCellMar>
        </w:tblPrEx>
        <w:trPr>
          <w:trHeight w:val="1011" w:hRule="atLeast"/>
        </w:trPr>
        <w:tc>
          <w:tcPr>
            <w:tcW w:w="1034" w:type="dxa"/>
            <w:vMerge w:val="continue"/>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hint="eastAsia" w:ascii="宋体" w:hAnsi="宋体" w:eastAsia="宋体" w:cs="宋体"/>
                <w:color w:val="auto"/>
                <w:sz w:val="21"/>
                <w:szCs w:val="21"/>
                <w:highlight w:val="none"/>
              </w:rPr>
            </w:pPr>
          </w:p>
        </w:tc>
        <w:tc>
          <w:tcPr>
            <w:tcW w:w="1458" w:type="dxa"/>
            <w:tcBorders>
              <w:top w:val="single" w:color="000000" w:sz="6" w:space="0"/>
              <w:left w:val="single" w:color="000000" w:sz="6" w:space="0"/>
              <w:bottom w:val="single" w:color="000000" w:sz="12"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年终结转服务</w:t>
            </w:r>
          </w:p>
        </w:tc>
        <w:tc>
          <w:tcPr>
            <w:tcW w:w="5554" w:type="dxa"/>
            <w:tcBorders>
              <w:top w:val="single" w:color="000000" w:sz="6" w:space="0"/>
              <w:left w:val="single" w:color="000000" w:sz="6" w:space="0"/>
              <w:bottom w:val="single" w:color="000000" w:sz="12" w:space="0"/>
              <w:right w:val="single" w:color="000000" w:sz="6" w:space="0"/>
            </w:tcBorders>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协助财政用户成年底对账、结转结余处理、新年度基础信息变动维护及流程权限变动维护年终结转工作。</w:t>
            </w:r>
          </w:p>
        </w:tc>
        <w:tc>
          <w:tcPr>
            <w:tcW w:w="95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bl>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各区划结合本地实际情况，组织对当年服务进行验收评分。考核结果值分为四档：满意（90(含）-100分）；比较满意（80(含）-90）；一般（70（含）-80分）；不满意（70分以下）。</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其中验收结果为满意的，费用标准按100%支付；验收结果为比较满意的，费用标准按90%支付；验收结果为一般的，费用标准按80%支付；验收结果为不满意的，费用标准按70%支付。</w:t>
      </w:r>
    </w:p>
    <w:p>
      <w:pPr>
        <w:pStyle w:val="29"/>
        <w:spacing w:line="360" w:lineRule="auto"/>
        <w:ind w:firstLine="420" w:firstLineChars="200"/>
        <w:rPr>
          <w:rFonts w:hint="eastAsia" w:ascii="宋体" w:hAnsi="宋体" w:eastAsia="宋体" w:cs="宋体"/>
          <w:color w:val="auto"/>
          <w:kern w:val="2"/>
          <w:sz w:val="21"/>
          <w:szCs w:val="21"/>
          <w:highlight w:val="none"/>
        </w:rPr>
      </w:pPr>
    </w:p>
    <w:p>
      <w:pPr>
        <w:numPr>
          <w:ilvl w:val="1"/>
          <w:numId w:val="0"/>
        </w:numPr>
        <w:spacing w:line="360" w:lineRule="auto"/>
        <w:ind w:firstLine="562" w:firstLineChars="200"/>
        <w:jc w:val="left"/>
        <w:outlineLvl w:val="0"/>
        <w:rPr>
          <w:rFonts w:hint="eastAsia" w:ascii="宋体" w:hAnsi="宋体" w:eastAsia="宋体" w:cs="宋体"/>
          <w:b/>
          <w:bCs/>
          <w:color w:val="auto"/>
          <w:sz w:val="28"/>
          <w:szCs w:val="28"/>
          <w:highlight w:val="none"/>
        </w:rPr>
      </w:pPr>
      <w:bookmarkStart w:id="326" w:name="_Toc20642"/>
      <w:bookmarkStart w:id="327" w:name="_Toc14285"/>
      <w:bookmarkStart w:id="328" w:name="_Toc116586035"/>
      <w:bookmarkStart w:id="329" w:name="_Toc15405"/>
      <w:r>
        <w:rPr>
          <w:rFonts w:hint="eastAsia" w:ascii="宋体" w:hAnsi="宋体" w:eastAsia="宋体" w:cs="宋体"/>
          <w:b/>
          <w:bCs/>
          <w:color w:val="auto"/>
          <w:sz w:val="28"/>
          <w:szCs w:val="28"/>
          <w:highlight w:val="none"/>
        </w:rPr>
        <w:t>八、系统演示要求</w:t>
      </w:r>
      <w:bookmarkEnd w:id="326"/>
      <w:bookmarkEnd w:id="327"/>
      <w:bookmarkEnd w:id="328"/>
      <w:bookmarkEnd w:id="329"/>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本项目建设周期短、任务重、涉及范围广，</w:t>
      </w:r>
      <w:r>
        <w:rPr>
          <w:rFonts w:hint="eastAsia" w:ascii="宋体" w:hAnsi="宋体" w:eastAsia="宋体" w:cs="宋体"/>
          <w:color w:val="auto"/>
          <w:kern w:val="2"/>
          <w:sz w:val="21"/>
          <w:szCs w:val="21"/>
          <w:highlight w:val="none"/>
          <w:lang w:val="en-US" w:eastAsia="zh-CN"/>
        </w:rPr>
        <w:t>升级建设要</w:t>
      </w:r>
      <w:r>
        <w:rPr>
          <w:rFonts w:hint="eastAsia" w:ascii="宋体" w:hAnsi="宋体" w:eastAsia="宋体" w:cs="宋体"/>
          <w:color w:val="auto"/>
          <w:kern w:val="2"/>
          <w:sz w:val="21"/>
          <w:szCs w:val="21"/>
          <w:highlight w:val="none"/>
        </w:rPr>
        <w:t>保证</w:t>
      </w:r>
      <w:r>
        <w:rPr>
          <w:rFonts w:hint="eastAsia" w:ascii="宋体" w:hAnsi="宋体" w:eastAsia="宋体" w:cs="宋体"/>
          <w:color w:val="auto"/>
          <w:kern w:val="2"/>
          <w:sz w:val="21"/>
          <w:szCs w:val="21"/>
          <w:highlight w:val="none"/>
          <w:lang w:val="en-US" w:eastAsia="zh-CN"/>
        </w:rPr>
        <w:t>原有功能兼容，升级上线要确保全省</w:t>
      </w:r>
      <w:r>
        <w:rPr>
          <w:rFonts w:hint="eastAsia" w:ascii="宋体" w:hAnsi="宋体" w:eastAsia="宋体" w:cs="宋体"/>
          <w:color w:val="auto"/>
          <w:kern w:val="2"/>
          <w:sz w:val="21"/>
          <w:szCs w:val="21"/>
          <w:highlight w:val="none"/>
        </w:rPr>
        <w:t>业务应用不中断，用户无需改变使用习惯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平滑过渡。</w:t>
      </w:r>
    </w:p>
    <w:p>
      <w:pPr>
        <w:pStyle w:val="29"/>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为保证系统能够按时顺利上线，投标人需采用可交互的实际系统完成以下关键点演示：</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基础信息管理演示</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预算管理一体化系统演示支出标准维护，通过“支出标准编码设置”界面维护支出标准层级，演示通过“支出标准体系设置”界面维护具体标准内容，支出标准维护完成后能够在部门预算编制界面项目标准测算表生效。</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项目库管理演示</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在预算管理一体化系统申报运转类项目，通过PLDB数据库连接工具（pgAdmn4）在项目表查询该笔运转类项目信息。</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预算编制管理演示</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（1）在金财2.0业务中台修改转移支付预笪编制工作流配置，在一体化系统展示工作流修改生效。</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（2）在预算管理一体化系统演示政府过紧日子录入表，能够查询评价标准和分值，根据审核表动态生成得分情况表。</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预算调整和调剂演示</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（1）在预算管理一体化系统演示政府预算批准，政府预算批准能够登记预算指标账和收入指标，在PLDB数据库连接工具（pgAdmn4）验证指标帐记账数据和收入指标业务数据一致。</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（2）在预算管理一体化系统演示多组预算指标账的记账模板规则设置，演示单位指标分配功能，能够在同一个界面实现部门预算支出指标、转移支付指标和单位资金指标的分配和分配调剂功能。</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预算绩效</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（1）在预算管理一体化系统演示绩效目标复用往年指标功能，绩效目标录入时能够显示往年指标值，可选择指标进行引用。</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（2）在金财2.0业务中台修改部门综合考评表单配置，在一体化系统展示部门综合考评表单修改生效。</w:t>
      </w:r>
    </w:p>
    <w:p>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预算执行</w:t>
      </w:r>
    </w:p>
    <w:p>
      <w:pPr>
        <w:pStyle w:val="29"/>
        <w:numPr>
          <w:ilvl w:val="-1"/>
          <w:numId w:val="0"/>
        </w:numPr>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在金财2.0业务中台修改个人公务卡申请报销明细表单配置，在一体化系统个人公务卡复核界面能查看报销明细表单修改生效。</w:t>
      </w:r>
    </w:p>
    <w:p>
      <w:pPr>
        <w:pStyle w:val="29"/>
        <w:numPr>
          <w:ilvl w:val="-1"/>
          <w:numId w:val="0"/>
        </w:numPr>
        <w:spacing w:line="360" w:lineRule="auto"/>
        <w:ind w:left="0" w:firstLine="420" w:firstLineChars="200"/>
        <w:outlineLvl w:val="9"/>
        <w:rPr>
          <w:rFonts w:hint="eastAsia" w:ascii="宋体" w:hAnsi="宋体" w:eastAsia="宋体" w:cs="宋体"/>
          <w:color w:val="auto"/>
          <w:kern w:val="2"/>
          <w:sz w:val="21"/>
          <w:szCs w:val="21"/>
          <w:highlight w:val="none"/>
        </w:rPr>
      </w:pPr>
      <w:bookmarkStart w:id="330" w:name="_Toc23442"/>
      <w:r>
        <w:rPr>
          <w:rFonts w:hint="eastAsia" w:ascii="宋体" w:hAnsi="宋体" w:eastAsia="宋体" w:cs="宋体"/>
          <w:color w:val="auto"/>
          <w:kern w:val="2"/>
          <w:sz w:val="21"/>
          <w:szCs w:val="21"/>
          <w:highlight w:val="none"/>
        </w:rPr>
        <w:t>注：</w:t>
      </w:r>
      <w:bookmarkEnd w:id="330"/>
    </w:p>
    <w:p>
      <w:pPr>
        <w:pStyle w:val="29"/>
        <w:numPr>
          <w:ilvl w:val="-1"/>
          <w:numId w:val="0"/>
        </w:numPr>
        <w:spacing w:line="360" w:lineRule="auto"/>
        <w:ind w:left="0" w:firstLine="420" w:firstLineChars="200"/>
        <w:outlineLvl w:val="9"/>
        <w:rPr>
          <w:rFonts w:hint="eastAsia" w:ascii="宋体" w:hAnsi="宋体" w:eastAsia="宋体" w:cs="宋体"/>
          <w:color w:val="auto"/>
          <w:kern w:val="2"/>
          <w:sz w:val="21"/>
          <w:szCs w:val="21"/>
          <w:highlight w:val="none"/>
        </w:rPr>
      </w:pPr>
      <w:bookmarkStart w:id="331" w:name="_Toc32136"/>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投标人应采用可交互的实际系统演示；</w:t>
      </w:r>
      <w:bookmarkEnd w:id="331"/>
    </w:p>
    <w:p>
      <w:pPr>
        <w:pStyle w:val="29"/>
        <w:numPr>
          <w:ilvl w:val="-1"/>
          <w:numId w:val="0"/>
        </w:numPr>
        <w:spacing w:line="360" w:lineRule="auto"/>
        <w:ind w:left="0" w:firstLine="420" w:firstLineChars="200"/>
        <w:outlineLvl w:val="9"/>
        <w:rPr>
          <w:rFonts w:hint="eastAsia" w:ascii="宋体" w:hAnsi="宋体" w:eastAsia="宋体" w:cs="宋体"/>
          <w:color w:val="auto"/>
          <w:kern w:val="2"/>
          <w:sz w:val="21"/>
          <w:szCs w:val="21"/>
          <w:highlight w:val="none"/>
        </w:rPr>
      </w:pPr>
      <w:bookmarkStart w:id="332" w:name="_Toc17944"/>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演示顺序以投标人加密电子投标文件送达时间依次进行，各投标人演示时间不超过30分钟（不含演示准备时间）；</w:t>
      </w:r>
      <w:bookmarkEnd w:id="332"/>
      <w:r>
        <w:rPr>
          <w:rFonts w:hint="eastAsia" w:ascii="宋体" w:hAnsi="宋体" w:eastAsia="宋体" w:cs="宋体"/>
          <w:color w:val="auto"/>
          <w:kern w:val="2"/>
          <w:sz w:val="21"/>
          <w:szCs w:val="21"/>
          <w:highlight w:val="none"/>
        </w:rPr>
        <w:t xml:space="preserve"> </w:t>
      </w:r>
    </w:p>
    <w:p>
      <w:pPr>
        <w:pStyle w:val="29"/>
        <w:numPr>
          <w:ilvl w:val="-1"/>
          <w:numId w:val="0"/>
        </w:numPr>
        <w:spacing w:line="360" w:lineRule="auto"/>
        <w:ind w:left="0" w:firstLine="420" w:firstLineChars="200"/>
        <w:outlineLvl w:val="9"/>
        <w:rPr>
          <w:rFonts w:hint="eastAsia" w:ascii="宋体" w:hAnsi="宋体" w:eastAsia="宋体" w:cs="宋体"/>
          <w:color w:val="auto"/>
          <w:kern w:val="2"/>
          <w:sz w:val="21"/>
          <w:szCs w:val="21"/>
          <w:highlight w:val="none"/>
        </w:rPr>
      </w:pPr>
      <w:bookmarkStart w:id="333" w:name="_Toc2497"/>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评标现场只提供场地、网络、电源、投影接入设备，演示所需要的电脑投标人自备；</w:t>
      </w:r>
      <w:bookmarkEnd w:id="333"/>
    </w:p>
    <w:p>
      <w:pPr>
        <w:pStyle w:val="29"/>
        <w:numPr>
          <w:ilvl w:val="-1"/>
          <w:numId w:val="0"/>
        </w:numPr>
        <w:spacing w:line="360" w:lineRule="auto"/>
        <w:ind w:left="0" w:firstLine="420" w:firstLineChars="200"/>
        <w:outlineLvl w:val="9"/>
        <w:rPr>
          <w:rFonts w:hint="eastAsia" w:ascii="宋体" w:hAnsi="宋体" w:eastAsia="宋体" w:cs="宋体"/>
          <w:color w:val="auto"/>
          <w:kern w:val="2"/>
          <w:sz w:val="21"/>
          <w:szCs w:val="21"/>
          <w:highlight w:val="none"/>
        </w:rPr>
      </w:pPr>
      <w:bookmarkStart w:id="334" w:name="_Toc11434"/>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投标人的演示环境需使用POLARDB11数据库。</w:t>
      </w:r>
      <w:bookmarkEnd w:id="334"/>
    </w:p>
    <w:bookmarkEnd w:id="56"/>
    <w:bookmarkEnd w:id="57"/>
    <w:bookmarkEnd w:id="58"/>
    <w:p>
      <w:pPr>
        <w:pStyle w:val="8"/>
        <w:rPr>
          <w:color w:val="auto"/>
          <w:highlight w:val="none"/>
        </w:rPr>
      </w:pPr>
      <w:bookmarkStart w:id="335" w:name="_Toc7152"/>
    </w:p>
    <w:bookmarkEnd w:id="59"/>
    <w:bookmarkEnd w:id="335"/>
    <w:p>
      <w:pPr>
        <w:pageBreakBefore w:val="0"/>
        <w:widowControl w:val="0"/>
        <w:kinsoku/>
        <w:wordWrap/>
        <w:topLinePunct w:val="0"/>
        <w:bidi w:val="0"/>
        <w:adjustRightInd w:val="0"/>
        <w:snapToGrid w:val="0"/>
        <w:spacing w:before="120" w:beforeLines="50" w:after="120" w:afterLines="50" w:line="360" w:lineRule="auto"/>
        <w:jc w:val="center"/>
        <w:textAlignment w:val="auto"/>
        <w:outlineLvl w:val="0"/>
        <w:rPr>
          <w:rFonts w:hint="eastAsia" w:ascii="宋体" w:hAnsi="宋体" w:cs="宋体"/>
          <w:color w:val="auto"/>
          <w:sz w:val="36"/>
          <w:highlight w:val="none"/>
        </w:rPr>
      </w:pPr>
      <w:r>
        <w:rPr>
          <w:rFonts w:hint="eastAsia" w:ascii="宋体" w:hAnsi="宋体" w:eastAsia="宋体" w:cs="宋体"/>
          <w:b/>
          <w:bCs/>
          <w:color w:val="auto"/>
          <w:sz w:val="24"/>
          <w:szCs w:val="24"/>
          <w:highlight w:val="none"/>
        </w:rPr>
        <w:br w:type="page"/>
      </w:r>
      <w:bookmarkEnd w:id="60"/>
      <w:bookmarkStart w:id="336" w:name="_Toc19271"/>
      <w:bookmarkStart w:id="337" w:name="_Toc19650"/>
      <w:bookmarkStart w:id="338" w:name="_Toc242012824"/>
      <w:bookmarkStart w:id="339" w:name="_Toc2997"/>
      <w:bookmarkStart w:id="340" w:name="_Toc17883"/>
      <w:r>
        <w:rPr>
          <w:rFonts w:hint="eastAsia" w:ascii="宋体" w:hAnsi="宋体" w:cs="宋体"/>
          <w:b/>
          <w:color w:val="auto"/>
          <w:sz w:val="30"/>
          <w:szCs w:val="30"/>
          <w:highlight w:val="none"/>
        </w:rPr>
        <w:t>第四部分  合同条款</w:t>
      </w:r>
      <w:bookmarkEnd w:id="336"/>
      <w:bookmarkEnd w:id="337"/>
      <w:bookmarkEnd w:id="338"/>
      <w:bookmarkEnd w:id="339"/>
      <w:bookmarkEnd w:id="340"/>
    </w:p>
    <w:p>
      <w:pPr>
        <w:pStyle w:val="9"/>
        <w:jc w:val="center"/>
        <w:rPr>
          <w:rFonts w:hint="eastAsia" w:eastAsia="宋体"/>
          <w:color w:val="auto"/>
          <w:highlight w:val="none"/>
          <w:lang w:eastAsia="zh-CN"/>
        </w:rPr>
      </w:pPr>
      <w:bookmarkStart w:id="341" w:name="_Hlk534720381"/>
      <w:bookmarkStart w:id="342" w:name="_Toc251566661"/>
      <w:bookmarkStart w:id="343" w:name="_Toc249760790"/>
      <w:r>
        <w:rPr>
          <w:rFonts w:hint="eastAsia"/>
          <w:color w:val="auto"/>
          <w:highlight w:val="none"/>
          <w:lang w:eastAsia="zh-CN"/>
        </w:rPr>
        <w:t>（省本级按</w:t>
      </w:r>
      <w:r>
        <w:rPr>
          <w:rFonts w:hint="eastAsia"/>
          <w:color w:val="auto"/>
          <w:highlight w:val="none"/>
          <w:lang w:val="en-US" w:eastAsia="zh-CN"/>
        </w:rPr>
        <w:t>本</w:t>
      </w:r>
      <w:r>
        <w:rPr>
          <w:rFonts w:hint="eastAsia"/>
          <w:color w:val="auto"/>
          <w:highlight w:val="none"/>
          <w:lang w:eastAsia="zh-CN"/>
        </w:rPr>
        <w:t>政府采购合同签订，市县财政局以各自签订合同为准）</w:t>
      </w:r>
    </w:p>
    <w:p>
      <w:pPr>
        <w:spacing w:line="360" w:lineRule="auto"/>
        <w:ind w:firstLine="420" w:firstLineChars="200"/>
        <w:rPr>
          <w:rFonts w:hint="eastAsia" w:ascii="宋体" w:hAnsi="宋体" w:cs="宋体"/>
          <w:color w:val="auto"/>
          <w:highlight w:val="none"/>
        </w:rPr>
      </w:pPr>
    </w:p>
    <w:p>
      <w:pPr>
        <w:adjustRightInd w:val="0"/>
        <w:snapToGrid w:val="0"/>
        <w:spacing w:line="360" w:lineRule="auto"/>
        <w:jc w:val="center"/>
        <w:rPr>
          <w:rFonts w:hint="eastAsia" w:ascii="宋体" w:hAnsi="宋体" w:cs="宋体"/>
          <w:color w:val="auto"/>
          <w:sz w:val="24"/>
          <w:highlight w:val="none"/>
        </w:rPr>
      </w:pPr>
    </w:p>
    <w:p>
      <w:pPr>
        <w:spacing w:line="360" w:lineRule="auto"/>
        <w:jc w:val="center"/>
        <w:rPr>
          <w:rFonts w:hint="eastAsia" w:ascii="黑体" w:hAnsi="黑体" w:eastAsia="黑体" w:cs="黑体"/>
          <w:bCs/>
          <w:snapToGrid w:val="0"/>
          <w:color w:val="auto"/>
          <w:kern w:val="0"/>
          <w:sz w:val="30"/>
          <w:szCs w:val="30"/>
          <w:highlight w:val="none"/>
        </w:rPr>
      </w:pPr>
      <w:r>
        <w:rPr>
          <w:rFonts w:hint="eastAsia" w:ascii="黑体" w:hAnsi="黑体" w:eastAsia="黑体" w:cs="黑体"/>
          <w:bCs/>
          <w:snapToGrid w:val="0"/>
          <w:color w:val="auto"/>
          <w:kern w:val="0"/>
          <w:sz w:val="30"/>
          <w:szCs w:val="30"/>
          <w:highlight w:val="none"/>
          <w:lang w:val="en-US" w:eastAsia="zh-CN"/>
        </w:rPr>
        <w:t xml:space="preserve">                       </w:t>
      </w:r>
      <w:r>
        <w:rPr>
          <w:rFonts w:hint="eastAsia" w:ascii="黑体" w:hAnsi="黑体" w:eastAsia="黑体" w:cs="黑体"/>
          <w:bCs/>
          <w:snapToGrid w:val="0"/>
          <w:color w:val="auto"/>
          <w:kern w:val="0"/>
          <w:sz w:val="30"/>
          <w:szCs w:val="30"/>
          <w:highlight w:val="none"/>
          <w:lang w:val="en-US" w:eastAsia="zh-CN"/>
        </w:rPr>
        <w:tab/>
      </w:r>
      <w:r>
        <w:rPr>
          <w:rFonts w:hint="eastAsia" w:ascii="黑体" w:hAnsi="黑体" w:eastAsia="黑体" w:cs="黑体"/>
          <w:bCs/>
          <w:snapToGrid w:val="0"/>
          <w:color w:val="auto"/>
          <w:kern w:val="0"/>
          <w:sz w:val="30"/>
          <w:szCs w:val="30"/>
          <w:highlight w:val="none"/>
        </w:rPr>
        <w:t>项目</w:t>
      </w:r>
    </w:p>
    <w:p>
      <w:pPr>
        <w:spacing w:line="360" w:lineRule="auto"/>
        <w:jc w:val="center"/>
        <w:rPr>
          <w:rFonts w:ascii="黑体" w:hAnsi="黑体" w:eastAsia="黑体" w:cs="黑体"/>
          <w:bCs/>
          <w:snapToGrid w:val="0"/>
          <w:color w:val="auto"/>
          <w:kern w:val="0"/>
          <w:sz w:val="30"/>
          <w:szCs w:val="30"/>
          <w:highlight w:val="none"/>
        </w:rPr>
      </w:pPr>
      <w:r>
        <w:rPr>
          <w:rFonts w:hint="eastAsia" w:ascii="黑体" w:hAnsi="黑体" w:eastAsia="黑体" w:cs="黑体"/>
          <w:bCs/>
          <w:snapToGrid w:val="0"/>
          <w:color w:val="auto"/>
          <w:kern w:val="0"/>
          <w:sz w:val="30"/>
          <w:szCs w:val="30"/>
          <w:highlight w:val="none"/>
        </w:rPr>
        <w:t>政府采购合同</w:t>
      </w:r>
    </w:p>
    <w:p>
      <w:pPr>
        <w:wordWrap w:val="0"/>
        <w:spacing w:line="360" w:lineRule="auto"/>
        <w:ind w:firstLine="480" w:firstLineChars="200"/>
        <w:jc w:val="right"/>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采购编号：</w:t>
      </w:r>
      <w:r>
        <w:rPr>
          <w:rFonts w:hint="eastAsia" w:ascii="宋体" w:hAnsi="宋体" w:eastAsia="宋体" w:cs="宋体"/>
          <w:b/>
          <w:snapToGrid w:val="0"/>
          <w:color w:val="auto"/>
          <w:kern w:val="0"/>
          <w:sz w:val="24"/>
          <w:szCs w:val="24"/>
          <w:highlight w:val="none"/>
        </w:rPr>
        <w:t>ZJ-</w:t>
      </w:r>
      <w:r>
        <w:rPr>
          <w:rFonts w:hint="eastAsia" w:ascii="宋体" w:hAnsi="宋体" w:eastAsia="宋体" w:cs="宋体"/>
          <w:b/>
          <w:snapToGrid w:val="0"/>
          <w:color w:val="auto"/>
          <w:kern w:val="0"/>
          <w:sz w:val="24"/>
          <w:szCs w:val="24"/>
          <w:highlight w:val="none"/>
          <w:lang w:val="en-US" w:eastAsia="zh-CN"/>
        </w:rPr>
        <w:t xml:space="preserve">       </w:t>
      </w:r>
    </w:p>
    <w:p>
      <w:pPr>
        <w:spacing w:line="360" w:lineRule="auto"/>
        <w:ind w:firstLine="482" w:firstLineChars="200"/>
        <w:jc w:val="right"/>
        <w:rPr>
          <w:rFonts w:hint="eastAsia" w:ascii="宋体" w:hAnsi="宋体" w:eastAsia="宋体" w:cs="宋体"/>
          <w:b/>
          <w:snapToGrid w:val="0"/>
          <w:color w:val="auto"/>
          <w:kern w:val="0"/>
          <w:sz w:val="24"/>
          <w:szCs w:val="24"/>
          <w:highlight w:val="none"/>
        </w:rPr>
      </w:pPr>
    </w:p>
    <w:p>
      <w:pPr>
        <w:spacing w:line="360" w:lineRule="auto"/>
        <w:ind w:firstLine="643" w:firstLineChars="200"/>
        <w:jc w:val="right"/>
        <w:rPr>
          <w:rFonts w:ascii="仿宋" w:hAnsi="仿宋" w:eastAsia="仿宋" w:cs="Times New Roman"/>
          <w:b/>
          <w:snapToGrid w:val="0"/>
          <w:color w:val="auto"/>
          <w:kern w:val="0"/>
          <w:sz w:val="32"/>
          <w:szCs w:val="32"/>
          <w:highlight w:val="none"/>
        </w:rPr>
      </w:pPr>
    </w:p>
    <w:p>
      <w:pPr>
        <w:spacing w:line="360" w:lineRule="auto"/>
        <w:ind w:right="1280"/>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rPr>
        <w:t>甲</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eastAsia="宋体" w:cs="宋体"/>
          <w:bCs/>
          <w:snapToGrid w:val="0"/>
          <w:color w:val="auto"/>
          <w:kern w:val="0"/>
          <w:sz w:val="21"/>
          <w:szCs w:val="21"/>
          <w:highlight w:val="none"/>
        </w:rPr>
        <w:t>方：（采购人）</w:t>
      </w:r>
      <w:r>
        <w:rPr>
          <w:rFonts w:hint="eastAsia" w:ascii="宋体" w:hAnsi="宋体" w:eastAsia="宋体" w:cs="宋体"/>
          <w:bCs/>
          <w:snapToGrid w:val="0"/>
          <w:color w:val="auto"/>
          <w:kern w:val="0"/>
          <w:sz w:val="21"/>
          <w:szCs w:val="21"/>
          <w:highlight w:val="none"/>
          <w:lang w:eastAsia="zh-CN"/>
        </w:rPr>
        <w:t>浙江省</w:t>
      </w:r>
      <w:r>
        <w:rPr>
          <w:rFonts w:hint="eastAsia" w:ascii="宋体" w:hAnsi="宋体" w:eastAsia="宋体" w:cs="宋体"/>
          <w:bCs/>
          <w:snapToGrid w:val="0"/>
          <w:color w:val="auto"/>
          <w:kern w:val="0"/>
          <w:sz w:val="21"/>
          <w:szCs w:val="21"/>
          <w:highlight w:val="none"/>
          <w:lang w:val="en-US" w:eastAsia="zh-CN"/>
        </w:rPr>
        <w:t>数字</w:t>
      </w:r>
      <w:r>
        <w:rPr>
          <w:rFonts w:hint="eastAsia" w:ascii="宋体" w:hAnsi="宋体" w:eastAsia="宋体" w:cs="宋体"/>
          <w:bCs/>
          <w:snapToGrid w:val="0"/>
          <w:color w:val="auto"/>
          <w:kern w:val="0"/>
          <w:sz w:val="21"/>
          <w:szCs w:val="21"/>
          <w:highlight w:val="none"/>
          <w:lang w:eastAsia="zh-CN"/>
        </w:rPr>
        <w:t>财政管理中心</w:t>
      </w:r>
    </w:p>
    <w:p>
      <w:pPr>
        <w:spacing w:line="660" w:lineRule="exact"/>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乙</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eastAsia="宋体" w:cs="宋体"/>
          <w:bCs/>
          <w:snapToGrid w:val="0"/>
          <w:color w:val="auto"/>
          <w:kern w:val="0"/>
          <w:sz w:val="21"/>
          <w:szCs w:val="21"/>
          <w:highlight w:val="none"/>
        </w:rPr>
        <w:t>方：（供应商）</w:t>
      </w:r>
      <w:r>
        <w:rPr>
          <w:rFonts w:hint="eastAsia" w:ascii="宋体" w:hAnsi="宋体" w:eastAsia="宋体" w:cs="宋体"/>
          <w:bCs/>
          <w:snapToGrid w:val="0"/>
          <w:color w:val="auto"/>
          <w:kern w:val="0"/>
          <w:sz w:val="21"/>
          <w:szCs w:val="21"/>
          <w:highlight w:val="none"/>
          <w:lang w:val="en-US" w:eastAsia="zh-CN"/>
        </w:rPr>
        <w:t xml:space="preserve">                      </w:t>
      </w:r>
    </w:p>
    <w:p>
      <w:pPr>
        <w:spacing w:line="660" w:lineRule="exact"/>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鉴证方：</w:t>
      </w:r>
      <w:r>
        <w:rPr>
          <w:rFonts w:hint="eastAsia" w:ascii="宋体" w:hAnsi="宋体" w:eastAsia="宋体" w:cs="宋体"/>
          <w:bCs/>
          <w:snapToGrid w:val="0"/>
          <w:color w:val="auto"/>
          <w:kern w:val="0"/>
          <w:sz w:val="21"/>
          <w:szCs w:val="21"/>
          <w:highlight w:val="none"/>
          <w:lang w:eastAsia="zh-CN"/>
        </w:rPr>
        <w:t>浙江国际招投标有限公司</w:t>
      </w:r>
    </w:p>
    <w:p>
      <w:pPr>
        <w:spacing w:line="66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根据《中华人民共和国政府采购法》《中华人民共和国民法典》的规定，经鉴证方组织</w:t>
      </w:r>
      <w:r>
        <w:rPr>
          <w:rFonts w:hint="eastAsia" w:ascii="宋体" w:hAnsi="宋体" w:eastAsia="宋体" w:cs="宋体"/>
          <w:snapToGrid w:val="0"/>
          <w:color w:val="auto"/>
          <w:kern w:val="0"/>
          <w:sz w:val="21"/>
          <w:szCs w:val="21"/>
          <w:highlight w:val="none"/>
          <w:lang w:val="en-US" w:eastAsia="zh-CN"/>
        </w:rPr>
        <w:t>公开招标/竞争性磋商/</w:t>
      </w:r>
      <w:r>
        <w:rPr>
          <w:rFonts w:hint="eastAsia" w:ascii="宋体" w:hAnsi="宋体" w:eastAsia="宋体" w:cs="宋体"/>
          <w:snapToGrid w:val="0"/>
          <w:color w:val="auto"/>
          <w:kern w:val="0"/>
          <w:sz w:val="21"/>
          <w:szCs w:val="21"/>
          <w:highlight w:val="none"/>
        </w:rPr>
        <w:t>单一来源采购，确定乙方为“</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”项目（编号：</w:t>
      </w:r>
      <w:r>
        <w:rPr>
          <w:rFonts w:hint="eastAsia" w:ascii="宋体" w:hAnsi="宋体" w:eastAsia="宋体" w:cs="宋体"/>
          <w:snapToGrid w:val="0"/>
          <w:color w:val="auto"/>
          <w:kern w:val="0"/>
          <w:sz w:val="21"/>
          <w:szCs w:val="21"/>
          <w:highlight w:val="none"/>
          <w:u w:val="single"/>
        </w:rPr>
        <w:t>ZJ-</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公开招标/竞争性磋商/</w:t>
      </w:r>
      <w:r>
        <w:rPr>
          <w:rFonts w:hint="eastAsia" w:ascii="宋体" w:hAnsi="宋体" w:eastAsia="宋体" w:cs="宋体"/>
          <w:snapToGrid w:val="0"/>
          <w:color w:val="auto"/>
          <w:kern w:val="0"/>
          <w:sz w:val="21"/>
          <w:szCs w:val="21"/>
          <w:highlight w:val="none"/>
        </w:rPr>
        <w:t>单一来源采购的成交单位。按照采购文件（编号为</w:t>
      </w:r>
      <w:r>
        <w:rPr>
          <w:rFonts w:hint="eastAsia" w:ascii="宋体" w:hAnsi="宋体" w:eastAsia="宋体" w:cs="宋体"/>
          <w:snapToGrid w:val="0"/>
          <w:color w:val="auto"/>
          <w:kern w:val="0"/>
          <w:sz w:val="21"/>
          <w:szCs w:val="21"/>
          <w:highlight w:val="none"/>
          <w:u w:val="single"/>
        </w:rPr>
        <w:t>ZJ-</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和</w:t>
      </w:r>
      <w:r>
        <w:rPr>
          <w:rFonts w:hint="eastAsia" w:ascii="宋体" w:hAnsi="宋体" w:eastAsia="宋体" w:cs="宋体"/>
          <w:snapToGrid w:val="0"/>
          <w:color w:val="auto"/>
          <w:kern w:val="0"/>
          <w:sz w:val="21"/>
          <w:szCs w:val="21"/>
          <w:highlight w:val="none"/>
        </w:rPr>
        <w:t>谈判结果，为明确双方的权利和义务，经甲乙双方协商达成合同如下：</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采购标的和数量</w:t>
      </w:r>
    </w:p>
    <w:tbl>
      <w:tblPr>
        <w:tblStyle w:val="20"/>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6"/>
        <w:gridCol w:w="1075"/>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846"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标的名称</w:t>
            </w:r>
          </w:p>
        </w:tc>
        <w:tc>
          <w:tcPr>
            <w:tcW w:w="1075"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数量</w:t>
            </w:r>
          </w:p>
        </w:tc>
        <w:tc>
          <w:tcPr>
            <w:tcW w:w="1877"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846"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 xml:space="preserve">                项目</w:t>
            </w:r>
          </w:p>
        </w:tc>
        <w:tc>
          <w:tcPr>
            <w:tcW w:w="1075"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1</w:t>
            </w:r>
          </w:p>
        </w:tc>
        <w:tc>
          <w:tcPr>
            <w:tcW w:w="1877" w:type="dxa"/>
            <w:noWrap w:val="0"/>
            <w:vAlign w:val="top"/>
          </w:tcPr>
          <w:p>
            <w:pPr>
              <w:numPr>
                <w:ilvl w:val="0"/>
                <w:numId w:val="0"/>
              </w:numPr>
              <w:spacing w:line="240" w:lineRule="auto"/>
              <w:jc w:val="center"/>
              <w:rPr>
                <w:rFonts w:hint="eastAsia" w:ascii="宋体" w:hAnsi="宋体" w:eastAsia="宋体" w:cs="宋体"/>
                <w:bCs/>
                <w:snapToGrid w:val="0"/>
                <w:color w:val="auto"/>
                <w:kern w:val="0"/>
                <w:sz w:val="21"/>
                <w:szCs w:val="21"/>
                <w:highlight w:val="none"/>
                <w:vertAlign w:val="baseline"/>
                <w:lang w:val="en-US" w:eastAsia="zh-CN"/>
              </w:rPr>
            </w:pPr>
            <w:r>
              <w:rPr>
                <w:rFonts w:hint="eastAsia" w:ascii="宋体" w:hAnsi="宋体" w:eastAsia="宋体" w:cs="宋体"/>
                <w:bCs/>
                <w:snapToGrid w:val="0"/>
                <w:color w:val="auto"/>
                <w:kern w:val="0"/>
                <w:sz w:val="21"/>
                <w:szCs w:val="21"/>
                <w:highlight w:val="none"/>
                <w:vertAlign w:val="baseline"/>
                <w:lang w:val="en-US" w:eastAsia="zh-CN"/>
              </w:rPr>
              <w:t>套、年、项</w:t>
            </w:r>
          </w:p>
        </w:tc>
      </w:tr>
    </w:tbl>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合同金额</w:t>
      </w:r>
    </w:p>
    <w:p>
      <w:pPr>
        <w:spacing w:line="660" w:lineRule="exact"/>
        <w:ind w:firstLine="642"/>
        <w:rPr>
          <w:rFonts w:hint="eastAsia" w:ascii="宋体" w:hAnsi="宋体" w:eastAsia="宋体" w:cs="宋体"/>
          <w:color w:val="auto"/>
          <w:kern w:val="0"/>
          <w:sz w:val="21"/>
          <w:szCs w:val="21"/>
          <w:highlight w:val="none"/>
          <w:lang w:val="zh-CN"/>
        </w:rPr>
      </w:pPr>
      <w:r>
        <w:rPr>
          <w:rFonts w:hint="eastAsia" w:ascii="宋体" w:hAnsi="宋体" w:eastAsia="宋体" w:cs="宋体"/>
          <w:snapToGrid w:val="0"/>
          <w:color w:val="auto"/>
          <w:kern w:val="0"/>
          <w:sz w:val="21"/>
          <w:szCs w:val="21"/>
          <w:highlight w:val="none"/>
        </w:rPr>
        <w:t>人民币（大写）</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zh-CN"/>
        </w:rPr>
        <w:t>整</w:t>
      </w:r>
      <w:r>
        <w:rPr>
          <w:rFonts w:hint="eastAsia" w:ascii="宋体" w:hAnsi="宋体" w:eastAsia="宋体" w:cs="宋体"/>
          <w:color w:val="auto"/>
          <w:kern w:val="0"/>
          <w:sz w:val="21"/>
          <w:szCs w:val="21"/>
          <w:highlight w:val="none"/>
          <w:lang w:val="zh-CN"/>
        </w:rPr>
        <w:t>（小写：￥</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元）。</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履行期限、地点和方式</w:t>
      </w:r>
    </w:p>
    <w:p>
      <w:pPr>
        <w:pStyle w:val="29"/>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乙方在合同签订10个工作日内提交本项目建设方案、对应实施方案，并通过采购方及其监理审核，在合同签订2个月内按采购文件要求完成系统升级部署；自合同签订之日起1年，为省本级提供系统初始化及日常技术支撑服务，确保省本级预算管理业务正常运转。</w:t>
      </w:r>
    </w:p>
    <w:p>
      <w:pPr>
        <w:pStyle w:val="24"/>
        <w:spacing w:line="660" w:lineRule="exact"/>
        <w:ind w:firstLine="64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地点：用户指定地点。</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建设</w:t>
      </w:r>
      <w:r>
        <w:rPr>
          <w:rFonts w:hint="eastAsia" w:ascii="宋体" w:hAnsi="宋体" w:eastAsia="宋体" w:cs="宋体"/>
          <w:bCs/>
          <w:snapToGrid w:val="0"/>
          <w:color w:val="auto"/>
          <w:kern w:val="0"/>
          <w:sz w:val="21"/>
          <w:szCs w:val="21"/>
          <w:highlight w:val="none"/>
          <w:lang w:eastAsia="zh-CN"/>
        </w:rPr>
        <w:t>（服务）</w:t>
      </w:r>
      <w:r>
        <w:rPr>
          <w:rFonts w:hint="eastAsia" w:ascii="宋体" w:hAnsi="宋体" w:eastAsia="宋体" w:cs="宋体"/>
          <w:bCs/>
          <w:snapToGrid w:val="0"/>
          <w:color w:val="auto"/>
          <w:kern w:val="0"/>
          <w:sz w:val="21"/>
          <w:szCs w:val="21"/>
          <w:highlight w:val="none"/>
        </w:rPr>
        <w:t>内容</w:t>
      </w:r>
    </w:p>
    <w:p>
      <w:pPr>
        <w:pStyle w:val="29"/>
        <w:spacing w:line="360" w:lineRule="auto"/>
        <w:ind w:firstLine="420" w:firstLineChars="200"/>
        <w:outlineLvl w:val="0"/>
        <w:rPr>
          <w:rFonts w:hint="eastAsia" w:ascii="宋体" w:hAnsi="宋体" w:eastAsia="宋体" w:cs="宋体"/>
          <w:snapToGrid w:val="0"/>
          <w:color w:val="auto"/>
          <w:kern w:val="0"/>
          <w:sz w:val="21"/>
          <w:szCs w:val="21"/>
          <w:highlight w:val="none"/>
          <w:lang w:val="en-US" w:eastAsia="zh-CN" w:bidi="ar-SA"/>
        </w:rPr>
      </w:pPr>
      <w:bookmarkStart w:id="344" w:name="_Toc32067"/>
      <w:bookmarkStart w:id="345" w:name="_Toc1043"/>
      <w:r>
        <w:rPr>
          <w:rFonts w:hint="eastAsia" w:ascii="宋体" w:hAnsi="宋体" w:eastAsia="宋体" w:cs="宋体"/>
          <w:snapToGrid w:val="0"/>
          <w:color w:val="auto"/>
          <w:kern w:val="0"/>
          <w:sz w:val="21"/>
          <w:szCs w:val="21"/>
          <w:highlight w:val="none"/>
          <w:lang w:val="en-US" w:eastAsia="zh-CN" w:bidi="ar-SA"/>
        </w:rPr>
        <w:t>（一）预算管理一体化新增需求实现</w:t>
      </w:r>
    </w:p>
    <w:p>
      <w:pPr>
        <w:pStyle w:val="29"/>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基于现有浙江省预算管理一体化系统，完成基础信息管理、项目库管理、预算编制、预算批复、预算绩效、预算调整和调剂、预算指标账和预算执行模块升级开发工作；按照财政部通知文件要求，将地方财政分析评价系统财政供养人员业务纳入预算管理一体化整合。以上开发升级需在合同签订2个月内完成，试行稳定至少1个月后可申请项目验收。</w:t>
      </w:r>
    </w:p>
    <w:p>
      <w:pPr>
        <w:pStyle w:val="29"/>
        <w:spacing w:line="360" w:lineRule="auto"/>
        <w:ind w:firstLine="420" w:firstLineChars="200"/>
        <w:outlineLvl w:val="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（二）省级预算管理一体化系统驻场服务</w:t>
      </w:r>
    </w:p>
    <w:p>
      <w:pPr>
        <w:pStyle w:val="29"/>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为省本级做好新年度系统初始化，并为省本级财政有关服务对象（服务对象包括省本级财政用户、省本级部门及单位用户）提供相关服务支持，包括驻场维护服务、在线、热线服务及培训服务，确保省本级2023年财政预算管理一体化业务正常运行。服务期自合同签订之日起1年。</w:t>
      </w:r>
    </w:p>
    <w:p>
      <w:pPr>
        <w:pStyle w:val="29"/>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服务期内指派经浙江省财政厅认可的技术人员组成技术支持服务团队（其中至少3人驻场省财政厅指定地点提供现场服务），为省本级财政有关服务对象提供统一的在线/热线服务，为各类用户提供业务咨询、疑难问题解答、系统操作指导、投诉及改进意见受理、有关技术支持等方面的服务。同时提供尽可能的即时响应服务机构及保障措施，以保障驻场人员无法解决的疑难问题时的即时解决。</w:t>
      </w:r>
    </w:p>
    <w:p>
      <w:pPr>
        <w:pStyle w:val="29"/>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对于省财政厅用户提出的服务需求要求半小时内响应，服务方式为现场。一般问题4小时内给予解决，复杂问题1天内给出解决办法，远程不能解决的24小时之内指派</w:t>
      </w:r>
      <w:r>
        <w:rPr>
          <w:rFonts w:hint="eastAsia" w:ascii="宋体" w:hAnsi="宋体" w:eastAsia="宋体" w:cs="宋体"/>
          <w:snapToGrid w:val="0"/>
          <w:color w:val="auto"/>
          <w:kern w:val="0"/>
          <w:sz w:val="21"/>
          <w:szCs w:val="21"/>
          <w:highlight w:val="none"/>
          <w:lang w:val="en-US" w:eastAsia="zh-CN"/>
        </w:rPr>
        <w:t>能解决问题的</w:t>
      </w:r>
      <w:r>
        <w:rPr>
          <w:rFonts w:hint="eastAsia" w:ascii="宋体" w:hAnsi="宋体" w:eastAsia="宋体" w:cs="宋体"/>
          <w:snapToGrid w:val="0"/>
          <w:color w:val="auto"/>
          <w:kern w:val="0"/>
          <w:sz w:val="21"/>
          <w:szCs w:val="21"/>
          <w:highlight w:val="none"/>
        </w:rPr>
        <w:t xml:space="preserve">技术人员现场解决。 </w:t>
      </w:r>
    </w:p>
    <w:p>
      <w:pPr>
        <w:pStyle w:val="29"/>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详见</w:t>
      </w:r>
      <w:r>
        <w:rPr>
          <w:rFonts w:hint="eastAsia" w:ascii="宋体" w:hAnsi="宋体" w:eastAsia="宋体" w:cs="宋体"/>
          <w:snapToGrid w:val="0"/>
          <w:color w:val="auto"/>
          <w:kern w:val="0"/>
          <w:sz w:val="21"/>
          <w:szCs w:val="21"/>
          <w:highlight w:val="none"/>
          <w:lang w:val="en-US" w:eastAsia="zh-CN"/>
        </w:rPr>
        <w:t>招标文件中</w:t>
      </w:r>
      <w:r>
        <w:rPr>
          <w:rFonts w:hint="eastAsia" w:ascii="宋体" w:hAnsi="宋体" w:eastAsia="宋体" w:cs="宋体"/>
          <w:snapToGrid w:val="0"/>
          <w:color w:val="auto"/>
          <w:kern w:val="0"/>
          <w:sz w:val="21"/>
          <w:szCs w:val="21"/>
          <w:highlight w:val="none"/>
        </w:rPr>
        <w:t>《省级预算管理一体化系统服务需求</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w:t>
      </w:r>
    </w:p>
    <w:bookmarkEnd w:id="344"/>
    <w:bookmarkEnd w:id="345"/>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质量及服务要求</w:t>
      </w:r>
    </w:p>
    <w:p>
      <w:pPr>
        <w:pStyle w:val="29"/>
        <w:spacing w:beforeLines="0" w:afterLines="0" w:line="360" w:lineRule="auto"/>
        <w:ind w:firstLine="420" w:firstLineChars="200"/>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（一）售后服务</w:t>
      </w:r>
    </w:p>
    <w:p>
      <w:pPr>
        <w:pStyle w:val="29"/>
        <w:spacing w:beforeLines="0" w:afterLines="0"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针对新增开发升级部分功能，</w:t>
      </w:r>
      <w:r>
        <w:rPr>
          <w:rFonts w:hint="eastAsia" w:ascii="宋体" w:hAnsi="宋体" w:eastAsia="宋体" w:cs="宋体"/>
          <w:snapToGrid w:val="0"/>
          <w:color w:val="auto"/>
          <w:kern w:val="0"/>
          <w:sz w:val="21"/>
          <w:szCs w:val="21"/>
          <w:highlight w:val="none"/>
        </w:rPr>
        <w:t>自验收通过后1年</w:t>
      </w:r>
      <w:r>
        <w:rPr>
          <w:rFonts w:hint="eastAsia" w:ascii="宋体" w:hAnsi="宋体" w:eastAsia="宋体" w:cs="宋体"/>
          <w:snapToGrid w:val="0"/>
          <w:color w:val="auto"/>
          <w:kern w:val="0"/>
          <w:sz w:val="21"/>
          <w:szCs w:val="21"/>
          <w:highlight w:val="none"/>
          <w:lang w:eastAsia="zh-CN"/>
        </w:rPr>
        <w:t>，乙方需</w:t>
      </w:r>
      <w:r>
        <w:rPr>
          <w:rFonts w:hint="eastAsia" w:ascii="宋体" w:hAnsi="宋体" w:eastAsia="宋体" w:cs="宋体"/>
          <w:snapToGrid w:val="0"/>
          <w:color w:val="auto"/>
          <w:kern w:val="0"/>
          <w:sz w:val="21"/>
          <w:szCs w:val="21"/>
          <w:highlight w:val="none"/>
        </w:rPr>
        <w:t>保证项目核心人员对本项目提供免费</w:t>
      </w:r>
      <w:r>
        <w:rPr>
          <w:rFonts w:hint="eastAsia" w:ascii="宋体" w:hAnsi="宋体" w:eastAsia="宋体" w:cs="宋体"/>
          <w:snapToGrid w:val="0"/>
          <w:color w:val="auto"/>
          <w:kern w:val="0"/>
          <w:sz w:val="21"/>
          <w:szCs w:val="21"/>
          <w:highlight w:val="none"/>
          <w:lang w:eastAsia="zh-CN"/>
        </w:rPr>
        <w:t>的</w:t>
      </w:r>
      <w:r>
        <w:rPr>
          <w:rFonts w:hint="eastAsia" w:ascii="宋体" w:hAnsi="宋体" w:eastAsia="宋体" w:cs="宋体"/>
          <w:snapToGrid w:val="0"/>
          <w:color w:val="auto"/>
          <w:kern w:val="0"/>
          <w:sz w:val="21"/>
          <w:szCs w:val="21"/>
          <w:highlight w:val="none"/>
        </w:rPr>
        <w:t>技术支持</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以</w:t>
      </w:r>
      <w:r>
        <w:rPr>
          <w:rFonts w:hint="eastAsia" w:ascii="宋体" w:hAnsi="宋体" w:eastAsia="宋体" w:cs="宋体"/>
          <w:snapToGrid w:val="0"/>
          <w:color w:val="auto"/>
          <w:kern w:val="0"/>
          <w:sz w:val="21"/>
          <w:szCs w:val="21"/>
          <w:highlight w:val="none"/>
          <w:lang w:eastAsia="zh-CN"/>
        </w:rPr>
        <w:t>解决系统使用过程中出现的问题，保障系统</w:t>
      </w:r>
      <w:r>
        <w:rPr>
          <w:rFonts w:hint="eastAsia" w:ascii="宋体" w:hAnsi="宋体" w:eastAsia="宋体" w:cs="宋体"/>
          <w:snapToGrid w:val="0"/>
          <w:color w:val="auto"/>
          <w:kern w:val="0"/>
          <w:sz w:val="21"/>
          <w:szCs w:val="21"/>
          <w:highlight w:val="none"/>
        </w:rPr>
        <w:t>正常使用，对甲方提出的</w:t>
      </w:r>
      <w:r>
        <w:rPr>
          <w:rFonts w:hint="eastAsia" w:ascii="宋体" w:hAnsi="宋体" w:eastAsia="宋体" w:cs="宋体"/>
          <w:snapToGrid w:val="0"/>
          <w:color w:val="auto"/>
          <w:kern w:val="0"/>
          <w:sz w:val="21"/>
          <w:szCs w:val="21"/>
          <w:highlight w:val="none"/>
          <w:lang w:val="en-US" w:eastAsia="zh-CN"/>
        </w:rPr>
        <w:t>系统</w:t>
      </w:r>
      <w:r>
        <w:rPr>
          <w:rFonts w:hint="eastAsia" w:ascii="宋体" w:hAnsi="宋体" w:eastAsia="宋体" w:cs="宋体"/>
          <w:snapToGrid w:val="0"/>
          <w:color w:val="auto"/>
          <w:kern w:val="0"/>
          <w:sz w:val="21"/>
          <w:szCs w:val="21"/>
          <w:highlight w:val="none"/>
        </w:rPr>
        <w:t>维护要求提供7×24小时响应服务，服务方式包括：电话热线支持，远程协助，远程登录。如远程无法解决的，在4小时内到达现场进行维护排障。</w:t>
      </w:r>
    </w:p>
    <w:p>
      <w:pPr>
        <w:pStyle w:val="29"/>
        <w:spacing w:beforeLines="0" w:afterLines="0"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乙方</w:t>
      </w:r>
      <w:r>
        <w:rPr>
          <w:rFonts w:hint="eastAsia" w:ascii="宋体" w:hAnsi="宋体" w:eastAsia="宋体" w:cs="宋体"/>
          <w:snapToGrid w:val="0"/>
          <w:color w:val="auto"/>
          <w:kern w:val="0"/>
          <w:sz w:val="21"/>
          <w:szCs w:val="21"/>
          <w:highlight w:val="none"/>
        </w:rPr>
        <w:t>提供日常安全运维服务，提供应用与数据安全接入保障（定期进行漏洞扫描分析），提供安全突发性事件应急响应。</w:t>
      </w:r>
    </w:p>
    <w:p>
      <w:pPr>
        <w:pStyle w:val="29"/>
        <w:spacing w:beforeLines="0" w:afterLines="0" w:line="360" w:lineRule="auto"/>
        <w:ind w:firstLine="420" w:firstLineChars="200"/>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（二）培训服务要求</w:t>
      </w:r>
    </w:p>
    <w:p>
      <w:pPr>
        <w:pStyle w:val="29"/>
        <w:spacing w:beforeLines="0" w:afterLines="0"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合同履行中乙方</w:t>
      </w:r>
      <w:r>
        <w:rPr>
          <w:rFonts w:hint="eastAsia" w:ascii="宋体" w:hAnsi="宋体" w:eastAsia="宋体" w:cs="宋体"/>
          <w:snapToGrid w:val="0"/>
          <w:color w:val="auto"/>
          <w:kern w:val="0"/>
          <w:sz w:val="21"/>
          <w:szCs w:val="21"/>
          <w:highlight w:val="none"/>
          <w:lang w:val="en-US" w:eastAsia="zh-CN"/>
        </w:rPr>
        <w:t>根据甲方需要</w:t>
      </w:r>
      <w:r>
        <w:rPr>
          <w:rFonts w:hint="eastAsia" w:ascii="宋体" w:hAnsi="宋体" w:eastAsia="宋体" w:cs="宋体"/>
          <w:snapToGrid w:val="0"/>
          <w:color w:val="auto"/>
          <w:kern w:val="0"/>
          <w:sz w:val="21"/>
          <w:szCs w:val="21"/>
          <w:highlight w:val="none"/>
        </w:rPr>
        <w:t>提供专题培训</w:t>
      </w:r>
      <w:r>
        <w:rPr>
          <w:rFonts w:hint="eastAsia" w:ascii="宋体" w:hAnsi="宋体" w:eastAsia="宋体" w:cs="宋体"/>
          <w:snapToGrid w:val="0"/>
          <w:color w:val="auto"/>
          <w:kern w:val="0"/>
          <w:sz w:val="21"/>
          <w:szCs w:val="21"/>
          <w:highlight w:val="none"/>
          <w:lang w:val="en-US" w:eastAsia="zh-CN"/>
        </w:rPr>
        <w:t>或者培训支持</w:t>
      </w:r>
      <w:r>
        <w:rPr>
          <w:rFonts w:hint="eastAsia" w:ascii="宋体" w:hAnsi="宋体" w:eastAsia="宋体" w:cs="宋体"/>
          <w:snapToGrid w:val="0"/>
          <w:color w:val="auto"/>
          <w:kern w:val="0"/>
          <w:sz w:val="21"/>
          <w:szCs w:val="21"/>
          <w:highlight w:val="none"/>
        </w:rPr>
        <w:t>，培训内容涵盖</w:t>
      </w:r>
      <w:r>
        <w:rPr>
          <w:rFonts w:hint="eastAsia" w:ascii="宋体" w:hAnsi="宋体" w:eastAsia="宋体" w:cs="宋体"/>
          <w:snapToGrid w:val="0"/>
          <w:color w:val="auto"/>
          <w:kern w:val="0"/>
          <w:sz w:val="21"/>
          <w:szCs w:val="21"/>
          <w:highlight w:val="none"/>
          <w:lang w:val="en-US" w:eastAsia="zh-CN"/>
        </w:rPr>
        <w:t>系统部署或者实施配置、功能操作</w:t>
      </w:r>
      <w:r>
        <w:rPr>
          <w:rFonts w:hint="eastAsia" w:ascii="宋体" w:hAnsi="宋体" w:eastAsia="宋体" w:cs="宋体"/>
          <w:snapToGrid w:val="0"/>
          <w:color w:val="auto"/>
          <w:kern w:val="0"/>
          <w:sz w:val="21"/>
          <w:szCs w:val="21"/>
          <w:highlight w:val="none"/>
        </w:rPr>
        <w:t>，以确保甲方和相关技术团队能够高效熟练的进行运维和使用。培训对象</w:t>
      </w:r>
      <w:r>
        <w:rPr>
          <w:rFonts w:hint="eastAsia" w:ascii="宋体" w:hAnsi="宋体" w:eastAsia="宋体" w:cs="宋体"/>
          <w:snapToGrid w:val="0"/>
          <w:color w:val="auto"/>
          <w:kern w:val="0"/>
          <w:sz w:val="21"/>
          <w:szCs w:val="21"/>
          <w:highlight w:val="none"/>
          <w:lang w:val="en-US" w:eastAsia="zh-CN"/>
        </w:rPr>
        <w:t>由甲方召集</w:t>
      </w:r>
      <w:r>
        <w:rPr>
          <w:rFonts w:hint="eastAsia" w:ascii="宋体" w:hAnsi="宋体" w:eastAsia="宋体" w:cs="宋体"/>
          <w:snapToGrid w:val="0"/>
          <w:color w:val="auto"/>
          <w:kern w:val="0"/>
          <w:sz w:val="21"/>
          <w:szCs w:val="21"/>
          <w:highlight w:val="none"/>
        </w:rPr>
        <w:t>。培训时间和地点由甲方指定。</w:t>
      </w:r>
    </w:p>
    <w:p>
      <w:pPr>
        <w:pStyle w:val="29"/>
        <w:spacing w:beforeLines="0" w:afterLines="0" w:line="360" w:lineRule="auto"/>
        <w:ind w:firstLine="420" w:firstLineChars="200"/>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（三）安全运维服务</w:t>
      </w:r>
      <w:r>
        <w:rPr>
          <w:rFonts w:hint="eastAsia" w:ascii="宋体" w:hAnsi="宋体" w:eastAsia="宋体" w:cs="宋体"/>
          <w:b w:val="0"/>
          <w:bCs w:val="0"/>
          <w:snapToGrid w:val="0"/>
          <w:color w:val="auto"/>
          <w:kern w:val="0"/>
          <w:sz w:val="21"/>
          <w:szCs w:val="21"/>
          <w:highlight w:val="none"/>
          <w:lang w:eastAsia="zh-CN"/>
        </w:rPr>
        <w:t>机制</w:t>
      </w:r>
      <w:r>
        <w:rPr>
          <w:rFonts w:hint="eastAsia" w:ascii="宋体" w:hAnsi="宋体" w:eastAsia="宋体" w:cs="宋体"/>
          <w:b w:val="0"/>
          <w:bCs w:val="0"/>
          <w:snapToGrid w:val="0"/>
          <w:color w:val="auto"/>
          <w:kern w:val="0"/>
          <w:sz w:val="21"/>
          <w:szCs w:val="21"/>
          <w:highlight w:val="none"/>
        </w:rPr>
        <w:t>要求</w:t>
      </w:r>
    </w:p>
    <w:p>
      <w:pPr>
        <w:pStyle w:val="29"/>
        <w:spacing w:beforeLines="0" w:afterLines="0"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乙方为项目建立一套完整地安全运维服务机制，通过定期对系统运维发现并修复信息系统中所存在的安全隐患，降低安全隐患被非法利用的可能性，并在安全隐患被利用后及时加以响应。</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验收标准和方式</w:t>
      </w:r>
    </w:p>
    <w:p>
      <w:pPr>
        <w:pStyle w:val="29"/>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本项目验收以乙方交付并实施完成本合同第四条中</w:t>
      </w:r>
      <w:r>
        <w:rPr>
          <w:rFonts w:hint="eastAsia" w:ascii="宋体" w:hAnsi="宋体" w:eastAsia="宋体" w:cs="宋体"/>
          <w:snapToGrid w:val="0"/>
          <w:color w:val="auto"/>
          <w:kern w:val="0"/>
          <w:sz w:val="21"/>
          <w:szCs w:val="21"/>
          <w:highlight w:val="none"/>
          <w:lang w:val="en-US" w:eastAsia="zh-CN" w:bidi="ar-SA"/>
        </w:rPr>
        <w:t>预算管理一体化新增需求实现</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试运行稳定至少1个月，</w:t>
      </w:r>
      <w:r>
        <w:rPr>
          <w:rFonts w:hint="eastAsia" w:ascii="宋体" w:hAnsi="宋体" w:eastAsia="宋体" w:cs="宋体"/>
          <w:snapToGrid w:val="0"/>
          <w:color w:val="auto"/>
          <w:kern w:val="0"/>
          <w:sz w:val="21"/>
          <w:szCs w:val="21"/>
          <w:highlight w:val="none"/>
        </w:rPr>
        <w:t>经甲方确认后由乙方提出验收申请，由甲方组织验收并出具验收报告。</w:t>
      </w:r>
    </w:p>
    <w:p>
      <w:pPr>
        <w:pStyle w:val="29"/>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验收提供的资料</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包括但不限于</w:t>
      </w:r>
      <w:r>
        <w:rPr>
          <w:rFonts w:hint="eastAsia" w:ascii="宋体" w:hAnsi="宋体" w:eastAsia="宋体" w:cs="宋体"/>
          <w:snapToGrid w:val="0"/>
          <w:color w:val="auto"/>
          <w:kern w:val="0"/>
          <w:sz w:val="21"/>
          <w:szCs w:val="21"/>
          <w:highlight w:val="none"/>
          <w:lang w:eastAsia="zh-CN"/>
        </w:rPr>
        <w:t>）（纸质和电子）</w:t>
      </w:r>
      <w:r>
        <w:rPr>
          <w:rFonts w:hint="eastAsia" w:ascii="宋体" w:hAnsi="宋体" w:eastAsia="宋体" w:cs="宋体"/>
          <w:snapToGrid w:val="0"/>
          <w:color w:val="auto"/>
          <w:kern w:val="0"/>
          <w:sz w:val="21"/>
          <w:szCs w:val="21"/>
          <w:highlight w:val="none"/>
        </w:rPr>
        <w:t>：</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《需求规格说明书》</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《详细设计说明书》</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eastAsia="zh-CN"/>
        </w:rPr>
        <w:t>数据库</w:t>
      </w:r>
      <w:r>
        <w:rPr>
          <w:rFonts w:hint="eastAsia" w:ascii="宋体" w:hAnsi="宋体" w:eastAsia="宋体" w:cs="宋体"/>
          <w:snapToGrid w:val="0"/>
          <w:color w:val="auto"/>
          <w:kern w:val="0"/>
          <w:sz w:val="21"/>
          <w:szCs w:val="21"/>
          <w:highlight w:val="none"/>
        </w:rPr>
        <w:t>设计说明书》</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《测试用例及测试报告》</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《实施报告》</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《安装实施手册》</w:t>
      </w:r>
    </w:p>
    <w:p>
      <w:pPr>
        <w:pStyle w:val="29"/>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源代码及对应编译文件</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《源代码编译环境和编译方法说明书》</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《用户操作手册》</w:t>
      </w:r>
    </w:p>
    <w:p>
      <w:pPr>
        <w:pStyle w:val="29"/>
        <w:adjustRightInd w:val="0"/>
        <w:snapToGrid w:val="0"/>
        <w:spacing w:line="360" w:lineRule="auto"/>
        <w:ind w:left="105" w:leftChars="50"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《管理员操作手册》</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资金结算和支付方式</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lang w:val="zh-CN"/>
        </w:rPr>
      </w:pPr>
      <w:r>
        <w:rPr>
          <w:rFonts w:hint="eastAsia" w:ascii="宋体" w:hAnsi="宋体" w:eastAsia="宋体" w:cs="宋体"/>
          <w:snapToGrid w:val="0"/>
          <w:color w:val="auto"/>
          <w:kern w:val="0"/>
          <w:sz w:val="21"/>
          <w:szCs w:val="21"/>
          <w:highlight w:val="none"/>
        </w:rPr>
        <w:t>（一）合同签订后</w:t>
      </w:r>
      <w:r>
        <w:rPr>
          <w:rFonts w:hint="eastAsia" w:ascii="宋体" w:hAnsi="宋体" w:eastAsia="宋体" w:cs="宋体"/>
          <w:snapToGrid w:val="0"/>
          <w:color w:val="auto"/>
          <w:kern w:val="0"/>
          <w:sz w:val="21"/>
          <w:szCs w:val="21"/>
          <w:highlight w:val="none"/>
          <w:lang w:eastAsia="zh-CN"/>
        </w:rPr>
        <w:t>三十个工作日内</w:t>
      </w:r>
      <w:r>
        <w:rPr>
          <w:rFonts w:hint="eastAsia" w:ascii="宋体" w:hAnsi="宋体" w:eastAsia="宋体" w:cs="宋体"/>
          <w:snapToGrid w:val="0"/>
          <w:color w:val="auto"/>
          <w:kern w:val="0"/>
          <w:sz w:val="21"/>
          <w:szCs w:val="21"/>
          <w:highlight w:val="none"/>
        </w:rPr>
        <w:t>甲方支付合同总价款的</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0%，计人民币（大写）</w:t>
      </w:r>
      <w:r>
        <w:rPr>
          <w:rFonts w:hint="eastAsia" w:ascii="宋体" w:hAnsi="宋体" w:eastAsia="宋体" w:cs="宋体"/>
          <w:snapToGrid w:val="0"/>
          <w:color w:val="auto"/>
          <w:kern w:val="0"/>
          <w:sz w:val="21"/>
          <w:szCs w:val="21"/>
          <w:highlight w:val="none"/>
          <w:lang w:val="en-US" w:eastAsia="zh-CN"/>
        </w:rPr>
        <w:t>XXXXXX</w:t>
      </w:r>
      <w:r>
        <w:rPr>
          <w:rFonts w:hint="eastAsia" w:ascii="宋体" w:hAnsi="宋体" w:eastAsia="宋体" w:cs="宋体"/>
          <w:snapToGrid w:val="0"/>
          <w:color w:val="auto"/>
          <w:kern w:val="0"/>
          <w:sz w:val="21"/>
          <w:szCs w:val="21"/>
          <w:highlight w:val="none"/>
          <w:u w:val="none"/>
        </w:rPr>
        <w:t>元整</w:t>
      </w:r>
      <w:r>
        <w:rPr>
          <w:rFonts w:hint="eastAsia" w:ascii="宋体" w:hAnsi="宋体" w:eastAsia="宋体" w:cs="宋体"/>
          <w:snapToGrid w:val="0"/>
          <w:color w:val="auto"/>
          <w:kern w:val="0"/>
          <w:sz w:val="21"/>
          <w:szCs w:val="21"/>
          <w:highlight w:val="none"/>
          <w:lang w:val="zh-CN"/>
        </w:rPr>
        <w:t>（小写：￥</w:t>
      </w:r>
      <w:r>
        <w:rPr>
          <w:rFonts w:hint="eastAsia" w:ascii="宋体" w:hAnsi="宋体" w:eastAsia="宋体" w:cs="宋体"/>
          <w:snapToGrid w:val="0"/>
          <w:color w:val="auto"/>
          <w:kern w:val="0"/>
          <w:sz w:val="21"/>
          <w:szCs w:val="21"/>
          <w:highlight w:val="none"/>
          <w:lang w:val="en-US" w:eastAsia="zh-CN"/>
        </w:rPr>
        <w:t>XXXXXX.XX</w:t>
      </w:r>
      <w:r>
        <w:rPr>
          <w:rFonts w:hint="eastAsia" w:ascii="宋体" w:hAnsi="宋体" w:eastAsia="宋体" w:cs="宋体"/>
          <w:snapToGrid w:val="0"/>
          <w:color w:val="auto"/>
          <w:kern w:val="0"/>
          <w:sz w:val="21"/>
          <w:szCs w:val="21"/>
          <w:highlight w:val="none"/>
          <w:lang w:val="zh-CN"/>
        </w:rPr>
        <w:t>元）；</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lang w:val="zh-CN"/>
        </w:rPr>
      </w:pPr>
      <w:r>
        <w:rPr>
          <w:rFonts w:hint="eastAsia" w:ascii="宋体" w:hAnsi="宋体" w:eastAsia="宋体" w:cs="宋体"/>
          <w:snapToGrid w:val="0"/>
          <w:color w:val="auto"/>
          <w:kern w:val="0"/>
          <w:sz w:val="21"/>
          <w:szCs w:val="21"/>
          <w:highlight w:val="none"/>
          <w:lang w:val="zh-CN"/>
        </w:rPr>
        <w:t>（二）</w:t>
      </w:r>
      <w:r>
        <w:rPr>
          <w:rFonts w:hint="eastAsia" w:ascii="宋体" w:hAnsi="宋体" w:eastAsia="宋体" w:cs="宋体"/>
          <w:snapToGrid w:val="0"/>
          <w:color w:val="auto"/>
          <w:kern w:val="0"/>
          <w:sz w:val="21"/>
          <w:szCs w:val="21"/>
          <w:highlight w:val="none"/>
        </w:rPr>
        <w:t>项目通过验收后</w:t>
      </w:r>
      <w:r>
        <w:rPr>
          <w:rFonts w:hint="eastAsia" w:ascii="宋体" w:hAnsi="宋体" w:eastAsia="宋体" w:cs="宋体"/>
          <w:snapToGrid w:val="0"/>
          <w:color w:val="auto"/>
          <w:kern w:val="0"/>
          <w:sz w:val="21"/>
          <w:szCs w:val="21"/>
          <w:highlight w:val="none"/>
          <w:lang w:eastAsia="zh-CN"/>
        </w:rPr>
        <w:t>三十个工作日内</w:t>
      </w:r>
      <w:r>
        <w:rPr>
          <w:rFonts w:hint="eastAsia" w:ascii="宋体" w:hAnsi="宋体" w:eastAsia="宋体" w:cs="宋体"/>
          <w:snapToGrid w:val="0"/>
          <w:color w:val="auto"/>
          <w:kern w:val="0"/>
          <w:sz w:val="21"/>
          <w:szCs w:val="21"/>
          <w:highlight w:val="none"/>
        </w:rPr>
        <w:t xml:space="preserve">，甲方支付合同总价款的 </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0%，计人民币（大写）</w:t>
      </w:r>
      <w:r>
        <w:rPr>
          <w:rFonts w:hint="eastAsia" w:ascii="宋体" w:hAnsi="宋体" w:eastAsia="宋体" w:cs="宋体"/>
          <w:snapToGrid w:val="0"/>
          <w:color w:val="auto"/>
          <w:kern w:val="0"/>
          <w:sz w:val="21"/>
          <w:szCs w:val="21"/>
          <w:highlight w:val="none"/>
          <w:lang w:val="en-US" w:eastAsia="zh-CN"/>
        </w:rPr>
        <w:t>XXXXXX</w:t>
      </w:r>
      <w:r>
        <w:rPr>
          <w:rFonts w:hint="eastAsia" w:ascii="宋体" w:hAnsi="宋体" w:eastAsia="宋体" w:cs="宋体"/>
          <w:snapToGrid w:val="0"/>
          <w:color w:val="auto"/>
          <w:kern w:val="0"/>
          <w:sz w:val="21"/>
          <w:szCs w:val="21"/>
          <w:highlight w:val="none"/>
          <w:u w:val="none"/>
        </w:rPr>
        <w:t>元整</w:t>
      </w:r>
      <w:r>
        <w:rPr>
          <w:rFonts w:hint="eastAsia" w:ascii="宋体" w:hAnsi="宋体" w:eastAsia="宋体" w:cs="宋体"/>
          <w:snapToGrid w:val="0"/>
          <w:color w:val="auto"/>
          <w:kern w:val="0"/>
          <w:sz w:val="21"/>
          <w:szCs w:val="21"/>
          <w:highlight w:val="none"/>
          <w:lang w:val="zh-CN"/>
        </w:rPr>
        <w:t>（小写：￥</w:t>
      </w:r>
      <w:r>
        <w:rPr>
          <w:rFonts w:hint="eastAsia" w:ascii="宋体" w:hAnsi="宋体" w:eastAsia="宋体" w:cs="宋体"/>
          <w:snapToGrid w:val="0"/>
          <w:color w:val="auto"/>
          <w:kern w:val="0"/>
          <w:sz w:val="21"/>
          <w:szCs w:val="21"/>
          <w:highlight w:val="none"/>
          <w:lang w:val="en-US" w:eastAsia="zh-CN"/>
        </w:rPr>
        <w:t>XXXXXX.XX</w:t>
      </w:r>
      <w:r>
        <w:rPr>
          <w:rFonts w:hint="eastAsia" w:ascii="宋体" w:hAnsi="宋体" w:eastAsia="宋体" w:cs="宋体"/>
          <w:snapToGrid w:val="0"/>
          <w:color w:val="auto"/>
          <w:kern w:val="0"/>
          <w:sz w:val="21"/>
          <w:szCs w:val="21"/>
          <w:highlight w:val="none"/>
          <w:lang w:val="zh-CN"/>
        </w:rPr>
        <w:t>元）；</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zh-CN"/>
        </w:rPr>
        <w:t>（三）</w:t>
      </w:r>
      <w:r>
        <w:rPr>
          <w:rFonts w:hint="eastAsia" w:ascii="宋体" w:hAnsi="宋体" w:eastAsia="宋体" w:cs="宋体"/>
          <w:snapToGrid w:val="0"/>
          <w:color w:val="auto"/>
          <w:kern w:val="0"/>
          <w:sz w:val="21"/>
          <w:szCs w:val="21"/>
          <w:highlight w:val="none"/>
        </w:rPr>
        <w:t>1年运维服务期满后</w:t>
      </w:r>
      <w:r>
        <w:rPr>
          <w:rFonts w:hint="eastAsia" w:ascii="宋体" w:hAnsi="宋体" w:eastAsia="宋体" w:cs="宋体"/>
          <w:snapToGrid w:val="0"/>
          <w:color w:val="auto"/>
          <w:kern w:val="0"/>
          <w:sz w:val="21"/>
          <w:szCs w:val="21"/>
          <w:highlight w:val="none"/>
          <w:lang w:eastAsia="zh-CN"/>
        </w:rPr>
        <w:t>三十个工作日内</w:t>
      </w:r>
      <w:r>
        <w:rPr>
          <w:rFonts w:hint="eastAsia" w:ascii="宋体" w:hAnsi="宋体" w:eastAsia="宋体" w:cs="宋体"/>
          <w:snapToGrid w:val="0"/>
          <w:color w:val="auto"/>
          <w:kern w:val="0"/>
          <w:sz w:val="21"/>
          <w:szCs w:val="21"/>
          <w:highlight w:val="none"/>
        </w:rPr>
        <w:t>甲方支付合同总价款的10%，计人民币（大写）</w:t>
      </w:r>
      <w:r>
        <w:rPr>
          <w:rFonts w:hint="eastAsia" w:ascii="宋体" w:hAnsi="宋体" w:eastAsia="宋体" w:cs="宋体"/>
          <w:snapToGrid w:val="0"/>
          <w:color w:val="auto"/>
          <w:kern w:val="0"/>
          <w:sz w:val="21"/>
          <w:szCs w:val="21"/>
          <w:highlight w:val="none"/>
          <w:lang w:val="en-US" w:eastAsia="zh-CN"/>
        </w:rPr>
        <w:t>XXXXXX</w:t>
      </w:r>
      <w:r>
        <w:rPr>
          <w:rFonts w:hint="eastAsia" w:ascii="宋体" w:hAnsi="宋体" w:eastAsia="宋体" w:cs="宋体"/>
          <w:snapToGrid w:val="0"/>
          <w:color w:val="auto"/>
          <w:kern w:val="0"/>
          <w:sz w:val="21"/>
          <w:szCs w:val="21"/>
          <w:highlight w:val="none"/>
          <w:u w:val="none"/>
        </w:rPr>
        <w:t>元整</w:t>
      </w:r>
      <w:r>
        <w:rPr>
          <w:rFonts w:hint="eastAsia" w:ascii="宋体" w:hAnsi="宋体" w:eastAsia="宋体" w:cs="宋体"/>
          <w:snapToGrid w:val="0"/>
          <w:color w:val="auto"/>
          <w:kern w:val="0"/>
          <w:sz w:val="21"/>
          <w:szCs w:val="21"/>
          <w:highlight w:val="none"/>
          <w:lang w:val="zh-CN"/>
        </w:rPr>
        <w:t>（小写：￥</w:t>
      </w:r>
      <w:r>
        <w:rPr>
          <w:rFonts w:hint="eastAsia" w:ascii="宋体" w:hAnsi="宋体" w:eastAsia="宋体" w:cs="宋体"/>
          <w:snapToGrid w:val="0"/>
          <w:color w:val="auto"/>
          <w:kern w:val="0"/>
          <w:sz w:val="21"/>
          <w:szCs w:val="21"/>
          <w:highlight w:val="none"/>
          <w:lang w:val="en-US" w:eastAsia="zh-CN"/>
        </w:rPr>
        <w:t>XXXXXX.XX</w:t>
      </w:r>
      <w:r>
        <w:rPr>
          <w:rFonts w:hint="eastAsia" w:ascii="宋体" w:hAnsi="宋体" w:eastAsia="宋体" w:cs="宋体"/>
          <w:snapToGrid w:val="0"/>
          <w:color w:val="auto"/>
          <w:kern w:val="0"/>
          <w:sz w:val="21"/>
          <w:szCs w:val="21"/>
          <w:highlight w:val="none"/>
          <w:lang w:val="zh-CN"/>
        </w:rPr>
        <w:t>元）</w:t>
      </w:r>
      <w:r>
        <w:rPr>
          <w:rFonts w:hint="eastAsia" w:ascii="宋体" w:hAnsi="宋体" w:eastAsia="宋体" w:cs="宋体"/>
          <w:snapToGrid w:val="0"/>
          <w:color w:val="auto"/>
          <w:kern w:val="0"/>
          <w:sz w:val="21"/>
          <w:szCs w:val="21"/>
          <w:highlight w:val="none"/>
        </w:rPr>
        <w:t>。</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（四）合同款项支付前，乙方应开具等同付款金额的税务正式发票给甲方。</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（五）乙方收款账户</w:t>
      </w:r>
      <w:r>
        <w:rPr>
          <w:rFonts w:hint="eastAsia" w:ascii="宋体" w:hAnsi="宋体" w:eastAsia="宋体" w:cs="宋体"/>
          <w:snapToGrid w:val="0"/>
          <w:color w:val="auto"/>
          <w:kern w:val="0"/>
          <w:sz w:val="21"/>
          <w:szCs w:val="21"/>
          <w:highlight w:val="none"/>
          <w:lang w:eastAsia="zh-CN"/>
        </w:rPr>
        <w:t>（乙方承诺与发票中信息一致）</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账户名称：</w:t>
      </w:r>
      <w:r>
        <w:rPr>
          <w:rFonts w:hint="eastAsia" w:ascii="宋体" w:hAnsi="宋体" w:eastAsia="宋体" w:cs="宋体"/>
          <w:snapToGrid w:val="0"/>
          <w:color w:val="auto"/>
          <w:kern w:val="0"/>
          <w:sz w:val="21"/>
          <w:szCs w:val="21"/>
          <w:highlight w:val="none"/>
          <w:lang w:val="en-US" w:eastAsia="zh-CN"/>
        </w:rPr>
        <w:t>XXXXXX</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银行开户行：</w:t>
      </w:r>
      <w:r>
        <w:rPr>
          <w:rFonts w:hint="eastAsia" w:ascii="宋体" w:hAnsi="宋体" w:eastAsia="宋体" w:cs="宋体"/>
          <w:snapToGrid w:val="0"/>
          <w:color w:val="auto"/>
          <w:kern w:val="0"/>
          <w:sz w:val="21"/>
          <w:szCs w:val="21"/>
          <w:highlight w:val="none"/>
          <w:lang w:val="en-US" w:eastAsia="zh-CN"/>
        </w:rPr>
        <w:t>XXXXXX</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银行账号：</w:t>
      </w:r>
      <w:r>
        <w:rPr>
          <w:rFonts w:hint="eastAsia" w:ascii="宋体" w:hAnsi="宋体" w:eastAsia="宋体" w:cs="宋体"/>
          <w:snapToGrid w:val="0"/>
          <w:color w:val="auto"/>
          <w:kern w:val="0"/>
          <w:sz w:val="21"/>
          <w:szCs w:val="21"/>
          <w:highlight w:val="none"/>
          <w:lang w:val="en-US" w:eastAsia="zh-CN"/>
        </w:rPr>
        <w:t>XXXXXX</w:t>
      </w:r>
    </w:p>
    <w:p>
      <w:pPr>
        <w:pStyle w:val="29"/>
        <w:snapToGrid w:val="0"/>
        <w:spacing w:line="360" w:lineRule="auto"/>
        <w:ind w:firstLine="420" w:firstLineChars="200"/>
        <w:outlineLvl w:val="2"/>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bCs w:val="0"/>
          <w:snapToGrid w:val="0"/>
          <w:color w:val="auto"/>
          <w:kern w:val="0"/>
          <w:sz w:val="21"/>
          <w:szCs w:val="21"/>
          <w:highlight w:val="none"/>
        </w:rPr>
        <w:t>统一社会信用代码：</w:t>
      </w:r>
      <w:r>
        <w:rPr>
          <w:rFonts w:hint="eastAsia" w:ascii="宋体" w:hAnsi="宋体" w:eastAsia="宋体" w:cs="宋体"/>
          <w:snapToGrid w:val="0"/>
          <w:color w:val="auto"/>
          <w:kern w:val="0"/>
          <w:sz w:val="21"/>
          <w:szCs w:val="21"/>
          <w:highlight w:val="none"/>
          <w:lang w:val="en-US" w:eastAsia="zh-CN"/>
        </w:rPr>
        <w:t xml:space="preserve">XXXXXX       </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责任和义务</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（一）乙方应与甲方签订《网络与数据安全保密协议》，作为本合同的组成部分，并严格遵守。</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（二）乙方必须在规定期间内完成招标文件要求和投标文件承诺的服务内容，并通过甲方验收，否则甲方有权终止合同。</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（三）甲方在规定时间内，及时足额向乙方支付项目款项。</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知识产权</w:t>
      </w:r>
    </w:p>
    <w:p>
      <w:pPr>
        <w:numPr>
          <w:ilvl w:val="-1"/>
          <w:numId w:val="0"/>
        </w:numPr>
        <w:adjustRightInd/>
        <w:snapToGrid/>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乙方保证在其为甲方履行本合同过程中所涉及的知识产权不具有侵犯第三方知识产权的行为，如若存在，则与甲方无关，由乙方承担相应责任。</w:t>
      </w:r>
    </w:p>
    <w:p>
      <w:pPr>
        <w:numPr>
          <w:ilvl w:val="-1"/>
          <w:numId w:val="0"/>
        </w:numPr>
        <w:adjustRightInd/>
        <w:snapToGrid/>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（二）为完成合同建设内容和要求，全过程中产生的源代码及相关知识产权归甲方所有，乙方若要在合同范围之外使用源代码及相关知识产权，需经过甲方同意。</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不可抗力</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（一）如果双方中任何一方由于战争、严重火灾、水灾、台风和地震以及其它经双方同意属于不可抗力的事故，致使合同履行受阻时，履行合同的期限应予延长，延长的期限应相当于事故所影响的时间。</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（二）受事故影响的一方应在不可抗力的事故发生后尽快以书面形式通知另一方，并在事故发生后14天内，将有关部门出具的证明文件送给另一方。</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违约责任</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（一）甲方无理由情况下未向乙方支付合同款的，乙方有权申请仲裁或起诉，提出主张要求甲方支付合同款。</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（二）乙方未及时向甲方提供相关服务的，</w:t>
      </w:r>
      <w:r>
        <w:rPr>
          <w:rFonts w:hint="eastAsia" w:ascii="宋体" w:hAnsi="宋体" w:eastAsia="宋体" w:cs="宋体"/>
          <w:color w:val="auto"/>
          <w:sz w:val="21"/>
          <w:szCs w:val="21"/>
          <w:highlight w:val="none"/>
        </w:rPr>
        <w:t>甲方有权索回全部已支付但乙方未实际履行部分对应的合同款，并保留后续索赔经济损失的权利。</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争议的解决办法</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在本合同履行过程中发生争议，双方应当协商解决。调解不成的，可申请甲方所在地仲裁委员会进行仲裁或向人民法院提起诉讼。</w:t>
      </w:r>
    </w:p>
    <w:p>
      <w:pPr>
        <w:numPr>
          <w:ilvl w:val="0"/>
          <w:numId w:val="17"/>
        </w:numPr>
        <w:spacing w:line="6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合同生效及其他</w:t>
      </w:r>
    </w:p>
    <w:p>
      <w:pPr>
        <w:autoSpaceDE w:val="0"/>
        <w:autoSpaceDN w:val="0"/>
        <w:spacing w:line="6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（一）本合同一式</w:t>
      </w:r>
      <w:r>
        <w:rPr>
          <w:rFonts w:hint="eastAsia" w:ascii="宋体" w:hAnsi="宋体" w:eastAsia="宋体" w:cs="宋体"/>
          <w:snapToGrid w:val="0"/>
          <w:color w:val="auto"/>
          <w:kern w:val="0"/>
          <w:sz w:val="21"/>
          <w:szCs w:val="21"/>
          <w:highlight w:val="none"/>
          <w:u w:val="single"/>
        </w:rPr>
        <w:t xml:space="preserve"> 陆 </w:t>
      </w:r>
      <w:r>
        <w:rPr>
          <w:rFonts w:hint="eastAsia" w:ascii="宋体" w:hAnsi="宋体" w:eastAsia="宋体" w:cs="宋体"/>
          <w:snapToGrid w:val="0"/>
          <w:color w:val="auto"/>
          <w:kern w:val="0"/>
          <w:sz w:val="21"/>
          <w:szCs w:val="21"/>
          <w:highlight w:val="none"/>
        </w:rPr>
        <w:t>份，甲方执</w:t>
      </w:r>
      <w:r>
        <w:rPr>
          <w:rFonts w:hint="eastAsia" w:ascii="宋体" w:hAnsi="宋体" w:eastAsia="宋体" w:cs="宋体"/>
          <w:snapToGrid w:val="0"/>
          <w:color w:val="auto"/>
          <w:kern w:val="0"/>
          <w:sz w:val="21"/>
          <w:szCs w:val="21"/>
          <w:highlight w:val="none"/>
          <w:u w:val="single"/>
        </w:rPr>
        <w:t xml:space="preserve"> 贰 </w:t>
      </w:r>
      <w:r>
        <w:rPr>
          <w:rFonts w:hint="eastAsia" w:ascii="宋体" w:hAnsi="宋体" w:eastAsia="宋体" w:cs="宋体"/>
          <w:snapToGrid w:val="0"/>
          <w:color w:val="auto"/>
          <w:kern w:val="0"/>
          <w:sz w:val="21"/>
          <w:szCs w:val="21"/>
          <w:highlight w:val="none"/>
        </w:rPr>
        <w:t>份、乙方执</w:t>
      </w:r>
      <w:r>
        <w:rPr>
          <w:rFonts w:hint="eastAsia" w:ascii="宋体" w:hAnsi="宋体" w:eastAsia="宋体" w:cs="宋体"/>
          <w:snapToGrid w:val="0"/>
          <w:color w:val="auto"/>
          <w:kern w:val="0"/>
          <w:sz w:val="21"/>
          <w:szCs w:val="21"/>
          <w:highlight w:val="none"/>
          <w:u w:val="single"/>
        </w:rPr>
        <w:t xml:space="preserve"> 贰 </w:t>
      </w:r>
      <w:r>
        <w:rPr>
          <w:rFonts w:hint="eastAsia" w:ascii="宋体" w:hAnsi="宋体" w:eastAsia="宋体" w:cs="宋体"/>
          <w:snapToGrid w:val="0"/>
          <w:color w:val="auto"/>
          <w:kern w:val="0"/>
          <w:sz w:val="21"/>
          <w:szCs w:val="21"/>
          <w:highlight w:val="none"/>
        </w:rPr>
        <w:t>份、鉴证方执</w:t>
      </w:r>
      <w:r>
        <w:rPr>
          <w:rFonts w:hint="eastAsia" w:ascii="宋体" w:hAnsi="宋体" w:eastAsia="宋体" w:cs="宋体"/>
          <w:snapToGrid w:val="0"/>
          <w:color w:val="auto"/>
          <w:kern w:val="0"/>
          <w:sz w:val="21"/>
          <w:szCs w:val="21"/>
          <w:highlight w:val="none"/>
          <w:u w:val="single"/>
        </w:rPr>
        <w:t xml:space="preserve"> 贰 </w:t>
      </w:r>
      <w:r>
        <w:rPr>
          <w:rFonts w:hint="eastAsia" w:ascii="宋体" w:hAnsi="宋体" w:eastAsia="宋体" w:cs="宋体"/>
          <w:snapToGrid w:val="0"/>
          <w:color w:val="auto"/>
          <w:kern w:val="0"/>
          <w:sz w:val="21"/>
          <w:szCs w:val="21"/>
          <w:highlight w:val="none"/>
        </w:rPr>
        <w:t>份。</w:t>
      </w:r>
      <w:r>
        <w:rPr>
          <w:rFonts w:hint="eastAsia" w:ascii="宋体" w:hAnsi="宋体" w:eastAsia="宋体" w:cs="宋体"/>
          <w:color w:val="auto"/>
          <w:sz w:val="21"/>
          <w:szCs w:val="21"/>
          <w:highlight w:val="none"/>
        </w:rPr>
        <w:t>经叁方签字盖章后生效。</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（二）项目采购中甲方招标文件和乙方应标文件，以及采购过程相关材料均作为合同组成部分，具有同等约束效力。</w:t>
      </w:r>
    </w:p>
    <w:p>
      <w:pPr>
        <w:autoSpaceDE w:val="0"/>
        <w:autoSpaceDN w:val="0"/>
        <w:spacing w:line="660" w:lineRule="exact"/>
        <w:ind w:left="0" w:leftChars="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---------------以下无合同具体款项-----------------</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6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lang w:eastAsia="zh-CN"/>
        </w:rPr>
        <w:t>浙江省</w:t>
      </w:r>
      <w:r>
        <w:rPr>
          <w:rFonts w:hint="eastAsia" w:ascii="宋体" w:hAnsi="宋体" w:eastAsia="宋体" w:cs="宋体"/>
          <w:color w:val="auto"/>
          <w:sz w:val="21"/>
          <w:szCs w:val="21"/>
          <w:highlight w:val="none"/>
          <w:lang w:val="en-US" w:eastAsia="zh-CN"/>
        </w:rPr>
        <w:t>数字</w:t>
      </w:r>
      <w:r>
        <w:rPr>
          <w:rFonts w:hint="eastAsia" w:ascii="宋体" w:hAnsi="宋体" w:eastAsia="宋体" w:cs="宋体"/>
          <w:color w:val="auto"/>
          <w:sz w:val="21"/>
          <w:szCs w:val="21"/>
          <w:highlight w:val="none"/>
          <w:lang w:eastAsia="zh-CN"/>
        </w:rPr>
        <w:t>财政管理中心</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受委托人（签字）：</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地址：杭州市环城西路37号</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电话：0571-</w:t>
      </w:r>
      <w:r>
        <w:rPr>
          <w:rFonts w:hint="eastAsia" w:ascii="宋体" w:hAnsi="宋体" w:eastAsia="宋体" w:cs="宋体"/>
          <w:color w:val="auto"/>
          <w:sz w:val="21"/>
          <w:szCs w:val="21"/>
          <w:highlight w:val="none"/>
          <w:lang w:val="en-US" w:eastAsia="zh-CN"/>
        </w:rPr>
        <w:t>85160657-1111</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签订地点：杭州市西湖区</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spacing w:line="660" w:lineRule="exact"/>
        <w:ind w:firstLine="420" w:firstLineChars="200"/>
        <w:rPr>
          <w:rFonts w:hint="eastAsia" w:ascii="宋体" w:hAnsi="宋体" w:eastAsia="宋体" w:cs="宋体"/>
          <w:color w:val="auto"/>
          <w:sz w:val="21"/>
          <w:szCs w:val="21"/>
          <w:highlight w:val="none"/>
        </w:rPr>
      </w:pP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lang w:val="en-US" w:eastAsia="zh-CN"/>
        </w:rPr>
        <w:t xml:space="preserve">                         </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受委托人（签字）：</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 xml:space="preserve">                                 </w:t>
      </w:r>
    </w:p>
    <w:p>
      <w:pPr>
        <w:spacing w:line="6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签订地点：杭州市西湖区</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spacing w:line="660" w:lineRule="exact"/>
        <w:ind w:firstLine="420" w:firstLineChars="200"/>
        <w:rPr>
          <w:rFonts w:hint="eastAsia" w:ascii="宋体" w:hAnsi="宋体" w:eastAsia="宋体" w:cs="宋体"/>
          <w:color w:val="auto"/>
          <w:sz w:val="21"/>
          <w:szCs w:val="21"/>
          <w:highlight w:val="none"/>
        </w:rPr>
      </w:pP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鉴证方（盖章）：</w:t>
      </w:r>
      <w:r>
        <w:rPr>
          <w:rFonts w:hint="eastAsia" w:ascii="宋体" w:hAnsi="宋体" w:eastAsia="宋体" w:cs="宋体"/>
          <w:color w:val="auto"/>
          <w:sz w:val="21"/>
          <w:szCs w:val="21"/>
          <w:highlight w:val="none"/>
          <w:lang w:eastAsia="zh-CN"/>
        </w:rPr>
        <w:t>浙江国际招投标有限公司</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受委托人（签字）：</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地址：杭州市文三路90号东部软件园</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号楼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电话：0571-81061843</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签订地点：杭州市西湖区</w:t>
      </w:r>
    </w:p>
    <w:p>
      <w:pP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jc w:val="center"/>
        <w:rPr>
          <w:rFonts w:hint="eastAsia"/>
          <w:i/>
          <w:iCs/>
          <w:color w:val="auto"/>
          <w:highlight w:val="none"/>
          <w:lang w:eastAsia="zh-CN"/>
        </w:rPr>
      </w:pPr>
    </w:p>
    <w:bookmarkEnd w:id="341"/>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bookmarkStart w:id="346" w:name="_Toc20466"/>
      <w:bookmarkStart w:id="347" w:name="_Toc30435"/>
      <w:bookmarkStart w:id="348" w:name="_Toc23378"/>
      <w:bookmarkStart w:id="349" w:name="_Toc14349"/>
      <w:r>
        <w:rPr>
          <w:rFonts w:hint="eastAsia" w:ascii="宋体" w:hAnsi="宋体" w:cs="宋体"/>
          <w:b/>
          <w:color w:val="auto"/>
          <w:sz w:val="30"/>
          <w:szCs w:val="30"/>
          <w:highlight w:val="none"/>
        </w:rPr>
        <w:t>第五部分  评标办法（综合评分法）</w:t>
      </w:r>
      <w:bookmarkEnd w:id="342"/>
      <w:bookmarkEnd w:id="343"/>
      <w:bookmarkEnd w:id="346"/>
      <w:bookmarkEnd w:id="347"/>
      <w:bookmarkEnd w:id="348"/>
      <w:bookmarkEnd w:id="349"/>
    </w:p>
    <w:p>
      <w:pPr>
        <w:tabs>
          <w:tab w:val="left" w:pos="735"/>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color w:val="auto"/>
          <w:szCs w:val="21"/>
          <w:highlight w:val="none"/>
        </w:rPr>
        <w:t>。</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350" w:name="_Toc249760791"/>
      <w:bookmarkStart w:id="351" w:name="_Toc24061"/>
      <w:bookmarkStart w:id="352" w:name="_Toc6433"/>
      <w:bookmarkStart w:id="353" w:name="_Toc251566662"/>
      <w:bookmarkStart w:id="354" w:name="_Toc798"/>
      <w:bookmarkStart w:id="355" w:name="_Toc9435"/>
      <w:r>
        <w:rPr>
          <w:rFonts w:hint="eastAsia" w:ascii="宋体" w:hAnsi="宋体" w:eastAsia="宋体" w:cs="宋体"/>
          <w:color w:val="auto"/>
          <w:sz w:val="21"/>
          <w:szCs w:val="21"/>
          <w:highlight w:val="none"/>
        </w:rPr>
        <w:t>一、总则</w:t>
      </w:r>
      <w:bookmarkEnd w:id="350"/>
      <w:bookmarkEnd w:id="351"/>
      <w:bookmarkEnd w:id="352"/>
      <w:bookmarkEnd w:id="353"/>
      <w:bookmarkEnd w:id="354"/>
      <w:bookmarkEnd w:id="355"/>
    </w:p>
    <w:p>
      <w:pPr>
        <w:adjustRightInd w:val="0"/>
        <w:snapToGrid w:val="0"/>
        <w:spacing w:line="360" w:lineRule="auto"/>
        <w:ind w:firstLine="420" w:firstLineChars="200"/>
        <w:rPr>
          <w:rFonts w:hint="eastAsia" w:ascii="宋体" w:hAnsi="宋体" w:cs="宋体"/>
          <w:snapToGrid w:val="0"/>
          <w:color w:val="auto"/>
          <w:kern w:val="0"/>
          <w:szCs w:val="21"/>
          <w:highlight w:val="none"/>
        </w:rPr>
      </w:pPr>
      <w:bookmarkStart w:id="356" w:name="_Toc249760792"/>
      <w:bookmarkStart w:id="357" w:name="_Toc251566663"/>
      <w:r>
        <w:rPr>
          <w:rFonts w:hint="eastAsia" w:ascii="宋体" w:hAnsi="宋体" w:cs="宋体"/>
          <w:snapToGrid w:val="0"/>
          <w:color w:val="auto"/>
          <w:kern w:val="0"/>
          <w:szCs w:val="21"/>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358" w:name="_Toc22739"/>
      <w:bookmarkStart w:id="359" w:name="_Toc7187"/>
      <w:bookmarkStart w:id="360" w:name="_Toc27782"/>
      <w:bookmarkStart w:id="361" w:name="_Toc14698"/>
      <w:r>
        <w:rPr>
          <w:rFonts w:hint="eastAsia" w:ascii="宋体" w:hAnsi="宋体" w:eastAsia="宋体" w:cs="宋体"/>
          <w:color w:val="auto"/>
          <w:sz w:val="21"/>
          <w:szCs w:val="21"/>
          <w:highlight w:val="none"/>
        </w:rPr>
        <w:t>二、评标组织</w:t>
      </w:r>
      <w:bookmarkEnd w:id="356"/>
      <w:bookmarkEnd w:id="357"/>
      <w:bookmarkEnd w:id="358"/>
      <w:bookmarkEnd w:id="359"/>
      <w:bookmarkEnd w:id="360"/>
      <w:bookmarkEnd w:id="361"/>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rPr>
        <w:t>评标委员会由采购人代表和评审专家组成，成员人数应当为 5 人（含）以上单数，其中评审专家不得少于成员总数的三分之二。采购</w:t>
      </w:r>
      <w:r>
        <w:rPr>
          <w:rFonts w:hint="eastAsia" w:ascii="宋体" w:hAnsi="宋体" w:cs="宋体"/>
          <w:snapToGrid w:val="0"/>
          <w:color w:val="auto"/>
          <w:kern w:val="0"/>
          <w:szCs w:val="21"/>
          <w:highlight w:val="none"/>
          <w:lang w:eastAsia="zh-CN"/>
        </w:rPr>
        <w:t>预算金额</w:t>
      </w:r>
      <w:r>
        <w:rPr>
          <w:rFonts w:hint="eastAsia" w:ascii="宋体" w:hAnsi="宋体" w:cs="宋体"/>
          <w:snapToGrid w:val="0"/>
          <w:color w:val="auto"/>
          <w:kern w:val="0"/>
          <w:szCs w:val="21"/>
          <w:highlight w:val="none"/>
        </w:rPr>
        <w:t>在 1000 万元以上、技术复杂、社会影响较大的项目，评标委员会成员人数应当为 7 人（含）以上单数</w:t>
      </w:r>
      <w:r>
        <w:rPr>
          <w:rFonts w:hint="eastAsia" w:ascii="宋体" w:hAnsi="宋体" w:cs="宋体"/>
          <w:snapToGrid w:val="0"/>
          <w:color w:val="auto"/>
          <w:kern w:val="0"/>
          <w:szCs w:val="21"/>
          <w:highlight w:val="none"/>
          <w:lang w:eastAsia="zh-CN"/>
        </w:rPr>
        <w:t>。评标委员会</w:t>
      </w:r>
      <w:r>
        <w:rPr>
          <w:rFonts w:hint="eastAsia" w:ascii="宋体" w:hAnsi="宋体" w:cs="宋体"/>
          <w:snapToGrid w:val="0"/>
          <w:color w:val="auto"/>
          <w:kern w:val="0"/>
          <w:szCs w:val="21"/>
          <w:highlight w:val="none"/>
        </w:rPr>
        <w:t>负责对投标文件进行审查、质询、评审等。</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362" w:name="_Toc18788"/>
      <w:bookmarkStart w:id="363" w:name="_Toc249760793"/>
      <w:bookmarkStart w:id="364" w:name="_Toc31018"/>
      <w:bookmarkStart w:id="365" w:name="_Toc251566664"/>
      <w:bookmarkStart w:id="366" w:name="_Toc24538"/>
      <w:bookmarkStart w:id="367" w:name="_Toc31345"/>
      <w:r>
        <w:rPr>
          <w:rFonts w:hint="eastAsia" w:ascii="宋体" w:hAnsi="宋体" w:eastAsia="宋体" w:cs="宋体"/>
          <w:color w:val="auto"/>
          <w:sz w:val="21"/>
          <w:szCs w:val="21"/>
          <w:highlight w:val="none"/>
        </w:rPr>
        <w:t>三、评标纪律</w:t>
      </w:r>
      <w:bookmarkEnd w:id="362"/>
      <w:bookmarkEnd w:id="363"/>
      <w:bookmarkEnd w:id="364"/>
      <w:bookmarkEnd w:id="365"/>
      <w:bookmarkEnd w:id="366"/>
      <w:bookmarkEnd w:id="367"/>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2．所有评标人员应忠于职守、廉洁自律、秉公办事、不徇私情。</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4．评标期间，评标人员不得随意出入评标地点、与外界通讯、会客等。</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9．在中标结果公布前应对评标委员会成员名单予以保密。</w:t>
      </w:r>
    </w:p>
    <w:p>
      <w:pPr>
        <w:adjustRightInd w:val="0"/>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10．评标委员会对各投标人的商业秘密予以保密。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12．在整个评标过程中，投标人企图影响招标结果的任何活动，可能导致其投标失败。如有违法行为，将依法追究其法律责任。</w:t>
      </w:r>
    </w:p>
    <w:p>
      <w:pPr>
        <w:pStyle w:val="4"/>
        <w:snapToGrid w:val="0"/>
        <w:spacing w:before="120" w:beforeLines="50" w:after="120" w:afterLines="50" w:line="360" w:lineRule="auto"/>
        <w:rPr>
          <w:rFonts w:hint="eastAsia" w:ascii="宋体" w:hAnsi="宋体" w:eastAsia="宋体" w:cs="宋体"/>
          <w:b w:val="0"/>
          <w:color w:val="auto"/>
          <w:sz w:val="21"/>
          <w:szCs w:val="21"/>
          <w:highlight w:val="none"/>
        </w:rPr>
      </w:pPr>
      <w:bookmarkStart w:id="368" w:name="_Toc1872"/>
      <w:bookmarkStart w:id="369" w:name="_Toc249760794"/>
      <w:bookmarkStart w:id="370" w:name="_Toc23013"/>
      <w:bookmarkStart w:id="371" w:name="_Toc16742"/>
      <w:bookmarkStart w:id="372" w:name="_Toc5877"/>
      <w:bookmarkStart w:id="373" w:name="_Toc251566665"/>
      <w:r>
        <w:rPr>
          <w:rFonts w:hint="eastAsia" w:ascii="宋体" w:hAnsi="宋体" w:eastAsia="宋体" w:cs="宋体"/>
          <w:color w:val="auto"/>
          <w:sz w:val="21"/>
          <w:szCs w:val="21"/>
          <w:highlight w:val="none"/>
        </w:rPr>
        <w:t>四、评标程序</w:t>
      </w:r>
      <w:bookmarkEnd w:id="368"/>
      <w:bookmarkEnd w:id="369"/>
      <w:bookmarkEnd w:id="370"/>
      <w:bookmarkEnd w:id="371"/>
      <w:bookmarkEnd w:id="372"/>
      <w:bookmarkEnd w:id="373"/>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1．本项目采用不公开方式评标，评标的依据为采购文件和投标文件。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2．熟悉采购文件和评标办法。</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3．采购代理机构按照采购文件规定的时间、地点及程序组织评审。流程如下：</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开启评审场地的录音录像采集设备，并确保其正常运行。</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核验出席评审活动现场的评审小组各成员和相关监督人员身份，并要求其分别登记、签到，按规定统一收缴、保存其通讯工具，无关人员一律拒绝其进入评审现场。</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介绍评审现场的人员情况，宣布评审工作纪律，告知评审人员应当回避情形；组织推选评审小组组长。</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通报报名参加本项目采购的投标人名单及资格预审情况（如有），宣读最终提交采购响应文件的投标人名单，组织评审小组各位成员签订《政府采购评审人员廉洁自律承诺书》。</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根据需要简要介绍采购文件（含补充文件）制定及质疑答复情况、按书面陈述项目基本情况及评审工作需注意事项等。</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评审小组组长组织评审人员独立评审。</w:t>
      </w:r>
    </w:p>
    <w:p>
      <w:pPr>
        <w:tabs>
          <w:tab w:val="left" w:pos="851"/>
          <w:tab w:val="left" w:pos="993"/>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评审小组根据评审汇总情况和采购文件规定确定中标（成交）候选供应商排序名单。</w:t>
      </w:r>
    </w:p>
    <w:p>
      <w:pPr>
        <w:numPr>
          <w:ilvl w:val="1"/>
          <w:numId w:val="18"/>
        </w:numPr>
        <w:tabs>
          <w:tab w:val="left" w:pos="851"/>
          <w:tab w:val="left" w:pos="993"/>
        </w:tabs>
        <w:adjustRightInd w:val="0"/>
        <w:snapToGrid w:val="0"/>
        <w:spacing w:line="360" w:lineRule="auto"/>
        <w:ind w:left="0" w:firstLine="426"/>
        <w:rPr>
          <w:rFonts w:hint="eastAsia" w:ascii="宋体" w:hAnsi="宋体" w:cs="宋体"/>
          <w:color w:val="auto"/>
          <w:szCs w:val="21"/>
          <w:highlight w:val="none"/>
        </w:rPr>
      </w:pPr>
      <w:r>
        <w:rPr>
          <w:rFonts w:hint="eastAsia" w:ascii="宋体" w:hAnsi="宋体" w:cs="宋体"/>
          <w:color w:val="auto"/>
          <w:szCs w:val="21"/>
          <w:highlight w:val="none"/>
        </w:rPr>
        <w:t>起草评审报告，所有评审人员须在评审报告上签字确认。</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评审人员对有关采购文件、投标文件、样品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（1）采购公告刊登的媒体名称、开标日期和地点；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获取</w:t>
      </w:r>
      <w:r>
        <w:rPr>
          <w:rFonts w:hint="eastAsia" w:ascii="宋体" w:hAnsi="宋体" w:cs="宋体"/>
          <w:color w:val="auto"/>
          <w:szCs w:val="21"/>
          <w:highlight w:val="none"/>
        </w:rPr>
        <w:t>采购文件的投标人名单和评标委员会成员名单；</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（3）评标方法和标准；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（4）开标记录和评标情况及说明，包括投标无效投标人名单及原因；</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（5）评标结果和中标候选人排序；</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（6）评标委员会的授标建议。</w:t>
      </w:r>
    </w:p>
    <w:p>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4.评标程序</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4.1投标文件初审。初审分为资格性检查和符合性检查。</w:t>
      </w:r>
    </w:p>
    <w:p>
      <w:pPr>
        <w:numPr>
          <w:ilvl w:val="0"/>
          <w:numId w:val="19"/>
        </w:num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资格性检查。</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开标后，采购人或采购代理机构将依据法律法规和本须知第9.1条规定对投标人的基本资格条件、落实政府采购政策需满足的资格要求</w:t>
      </w:r>
      <w:r>
        <w:rPr>
          <w:rFonts w:hint="eastAsia" w:ascii="宋体" w:hAnsi="宋体" w:eastAsia="宋体" w:cs="宋体"/>
          <w:snapToGrid w:val="0"/>
          <w:color w:val="auto"/>
          <w:kern w:val="0"/>
          <w:szCs w:val="21"/>
          <w:highlight w:val="none"/>
          <w:lang w:eastAsia="zh-CN"/>
        </w:rPr>
        <w:t>及</w:t>
      </w:r>
      <w:r>
        <w:rPr>
          <w:rFonts w:hint="eastAsia" w:ascii="宋体" w:hAnsi="宋体" w:eastAsia="宋体" w:cs="宋体"/>
          <w:snapToGrid w:val="0"/>
          <w:color w:val="auto"/>
          <w:kern w:val="0"/>
          <w:szCs w:val="21"/>
          <w:highlight w:val="none"/>
        </w:rPr>
        <w:t>特定资格条件进行审查。</w:t>
      </w:r>
    </w:p>
    <w:p>
      <w:pPr>
        <w:numPr>
          <w:ilvl w:val="0"/>
          <w:numId w:val="19"/>
        </w:num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评标委员会决定投标文件的响应性只根据投标文件本身的内容，而不寻求外部证据。</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4.2澄清有关问题。在评标期间，对投标文件中含义不明确、同类问题表述不一致或者有明显文字和计算错误的内容，</w:t>
      </w:r>
      <w:r>
        <w:rPr>
          <w:rFonts w:hint="eastAsia" w:ascii="宋体" w:hAnsi="宋体" w:eastAsia="宋体" w:cs="宋体"/>
          <w:color w:val="auto"/>
          <w:szCs w:val="21"/>
          <w:highlight w:val="none"/>
          <w:lang w:eastAsia="zh-CN"/>
        </w:rPr>
        <w:t>可</w:t>
      </w:r>
      <w:r>
        <w:rPr>
          <w:rFonts w:hint="eastAsia" w:ascii="宋体" w:hAnsi="宋体" w:eastAsia="宋体" w:cs="宋体"/>
          <w:color w:val="auto"/>
          <w:szCs w:val="21"/>
          <w:highlight w:val="none"/>
        </w:rPr>
        <w:t>由评审组长将问题汇总后发起询标</w:t>
      </w:r>
      <w:r>
        <w:rPr>
          <w:rFonts w:hint="eastAsia" w:ascii="宋体" w:hAnsi="宋体" w:eastAsia="宋体" w:cs="宋体"/>
          <w:color w:val="auto"/>
          <w:szCs w:val="21"/>
          <w:highlight w:val="none"/>
          <w:lang w:eastAsia="zh-CN"/>
        </w:rPr>
        <w:t>澄清</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（或由采购代理机构代替评审组长发起询标澄清函）</w:t>
      </w:r>
      <w:r>
        <w:rPr>
          <w:rFonts w:hint="eastAsia" w:ascii="宋体" w:hAnsi="宋体" w:eastAsia="宋体" w:cs="宋体"/>
          <w:color w:val="auto"/>
          <w:szCs w:val="21"/>
          <w:highlight w:val="none"/>
        </w:rPr>
        <w:t>。投标人的澄清、说明或者补正不得超出投标文件的范围或者改变投标文件的实质性内容。</w:t>
      </w:r>
    </w:p>
    <w:p>
      <w:pPr>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投标供应商的澄清、说明或者补正应当</w:t>
      </w:r>
      <w:r>
        <w:rPr>
          <w:rFonts w:hint="eastAsia" w:ascii="宋体" w:hAnsi="宋体" w:eastAsia="宋体" w:cs="宋体"/>
          <w:color w:val="auto"/>
          <w:szCs w:val="21"/>
          <w:highlight w:val="none"/>
          <w:lang w:eastAsia="zh-CN"/>
        </w:rPr>
        <w:t>加盖供应商电子签章后上传提交（或通过平台上传经授权代表签字或加盖公章的扫描件）</w:t>
      </w:r>
      <w:r>
        <w:rPr>
          <w:rFonts w:hint="eastAsia" w:ascii="宋体" w:hAnsi="宋体" w:eastAsia="宋体" w:cs="宋体"/>
          <w:color w:val="auto"/>
          <w:szCs w:val="21"/>
          <w:highlight w:val="none"/>
          <w:lang w:val="en-US" w:eastAsia="zh-CN"/>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4.3修正原则</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投标文件报价出现前后不一致的，按照下列规定修正：</w:t>
      </w:r>
    </w:p>
    <w:p>
      <w:pPr>
        <w:numPr>
          <w:ilvl w:val="0"/>
          <w:numId w:val="20"/>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pPr>
        <w:numPr>
          <w:ilvl w:val="0"/>
          <w:numId w:val="20"/>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pPr>
        <w:numPr>
          <w:ilvl w:val="0"/>
          <w:numId w:val="20"/>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pPr>
        <w:numPr>
          <w:ilvl w:val="0"/>
          <w:numId w:val="20"/>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(5)政采云平台填报的开标一览表中的价格与上传的报价响应文件中开标一览表的报价不一致的，以上传的报价响应文件中开标一览表的价格为准，修正平台上的投标报价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4.4比较与评价。</w:t>
      </w:r>
    </w:p>
    <w:p>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按采购文件中规定的评标方法和标准，对资格性检查和符合性检查合格的投标文件进行商务和技术评估，综合比较与评价</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4.5按采购文件中规定的评标方法和标准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对投标人进行排序，并</w:t>
      </w:r>
      <w:r>
        <w:rPr>
          <w:rFonts w:hint="eastAsia" w:ascii="宋体" w:hAnsi="宋体" w:eastAsia="宋体" w:cs="宋体"/>
          <w:color w:val="auto"/>
          <w:szCs w:val="21"/>
          <w:highlight w:val="none"/>
        </w:rPr>
        <w:t>推荐中标候选人。</w:t>
      </w:r>
    </w:p>
    <w:p>
      <w:pPr>
        <w:adjustRightInd w:val="0"/>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4.6编写评标报告</w:t>
      </w:r>
      <w:r>
        <w:rPr>
          <w:rFonts w:hint="eastAsia" w:ascii="宋体" w:hAnsi="宋体" w:eastAsia="宋体" w:cs="宋体"/>
          <w:b/>
          <w:color w:val="auto"/>
          <w:szCs w:val="21"/>
          <w:highlight w:val="none"/>
        </w:rPr>
        <w:t>。</w:t>
      </w:r>
    </w:p>
    <w:p>
      <w:pPr>
        <w:adjustRightInd w:val="0"/>
        <w:snapToGrid w:val="0"/>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．无效投标的认定</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lang w:val="en-US" w:eastAsia="zh-CN"/>
        </w:rPr>
      </w:pPr>
      <w:r>
        <w:rPr>
          <w:rFonts w:hint="eastAsia" w:ascii="宋体" w:hAnsi="宋体" w:eastAsia="宋体" w:cs="宋体"/>
          <w:b/>
          <w:bCs/>
          <w:snapToGrid w:val="0"/>
          <w:color w:val="auto"/>
          <w:kern w:val="0"/>
          <w:szCs w:val="21"/>
          <w:highlight w:val="none"/>
          <w:lang w:val="en-US" w:eastAsia="zh-CN"/>
        </w:rPr>
        <w:t>5.1资格审查阶段</w:t>
      </w:r>
    </w:p>
    <w:p>
      <w:pPr>
        <w:adjustRightInd w:val="0"/>
        <w:snapToGrid w:val="0"/>
        <w:spacing w:line="360" w:lineRule="auto"/>
        <w:ind w:firstLine="420" w:firstLineChars="200"/>
        <w:jc w:val="left"/>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hint="default" w:ascii="宋体" w:hAnsi="宋体" w:eastAsia="宋体" w:cs="宋体"/>
          <w:b/>
          <w:bCs/>
          <w:snapToGrid w:val="0"/>
          <w:color w:val="auto"/>
          <w:kern w:val="0"/>
          <w:szCs w:val="21"/>
          <w:highlight w:val="none"/>
          <w:lang w:val="en-US" w:eastAsia="zh-CN"/>
        </w:rPr>
      </w:pPr>
      <w:r>
        <w:rPr>
          <w:rFonts w:hint="eastAsia" w:ascii="宋体" w:hAnsi="宋体" w:eastAsia="宋体" w:cs="宋体"/>
          <w:b/>
          <w:bCs/>
          <w:snapToGrid w:val="0"/>
          <w:color w:val="auto"/>
          <w:kern w:val="0"/>
          <w:szCs w:val="21"/>
          <w:highlight w:val="none"/>
          <w:lang w:val="en-US" w:eastAsia="zh-CN"/>
        </w:rPr>
        <w:t>5.2商务技术文件评审阶段</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5.2.1</w:t>
      </w:r>
      <w:r>
        <w:rPr>
          <w:rFonts w:hint="eastAsia" w:ascii="宋体" w:hAnsi="宋体" w:eastAsia="宋体" w:cs="宋体"/>
          <w:snapToGrid w:val="0"/>
          <w:color w:val="auto"/>
          <w:kern w:val="0"/>
          <w:szCs w:val="21"/>
          <w:highlight w:val="none"/>
        </w:rPr>
        <w:t>如发现下列情形之一的，</w:t>
      </w:r>
      <w:r>
        <w:rPr>
          <w:rFonts w:hint="eastAsia" w:ascii="宋体" w:hAnsi="宋体" w:eastAsia="宋体" w:cs="宋体"/>
          <w:snapToGrid w:val="0"/>
          <w:color w:val="auto"/>
          <w:kern w:val="0"/>
          <w:szCs w:val="21"/>
          <w:highlight w:val="none"/>
          <w:lang w:eastAsia="zh-CN"/>
        </w:rPr>
        <w:t>商务</w:t>
      </w:r>
      <w:r>
        <w:rPr>
          <w:rFonts w:hint="eastAsia" w:ascii="宋体" w:hAnsi="宋体" w:eastAsia="宋体" w:cs="宋体"/>
          <w:snapToGrid w:val="0"/>
          <w:color w:val="auto"/>
          <w:kern w:val="0"/>
          <w:szCs w:val="21"/>
          <w:highlight w:val="none"/>
        </w:rPr>
        <w:t>文件将被视为无效投标：</w:t>
      </w:r>
    </w:p>
    <w:p>
      <w:pPr>
        <w:numPr>
          <w:ilvl w:val="0"/>
          <w:numId w:val="21"/>
        </w:numPr>
        <w:tabs>
          <w:tab w:val="left" w:pos="900"/>
          <w:tab w:val="clear" w:pos="1273"/>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投标文件中</w:t>
      </w:r>
      <w:r>
        <w:rPr>
          <w:rFonts w:hint="eastAsia" w:ascii="宋体" w:hAnsi="宋体" w:eastAsia="宋体" w:cs="宋体"/>
          <w:b/>
          <w:snapToGrid w:val="0"/>
          <w:color w:val="auto"/>
          <w:kern w:val="0"/>
          <w:szCs w:val="21"/>
          <w:highlight w:val="none"/>
          <w:lang w:eastAsia="zh-CN"/>
        </w:rPr>
        <w:t>授权委托</w:t>
      </w:r>
      <w:r>
        <w:rPr>
          <w:rFonts w:hint="eastAsia" w:ascii="宋体" w:hAnsi="宋体" w:eastAsia="宋体" w:cs="宋体"/>
          <w:b/>
          <w:snapToGrid w:val="0"/>
          <w:color w:val="auto"/>
          <w:kern w:val="0"/>
          <w:szCs w:val="21"/>
          <w:highlight w:val="none"/>
        </w:rPr>
        <w:t>书所载内容与本项目内容有异的或者</w:t>
      </w:r>
      <w:r>
        <w:rPr>
          <w:rFonts w:hint="eastAsia" w:ascii="宋体" w:hAnsi="宋体" w:eastAsia="宋体" w:cs="宋体"/>
          <w:b/>
          <w:snapToGrid w:val="0"/>
          <w:color w:val="auto"/>
          <w:kern w:val="0"/>
          <w:szCs w:val="21"/>
          <w:highlight w:val="none"/>
          <w:lang w:eastAsia="zh-CN"/>
        </w:rPr>
        <w:t>授权委托</w:t>
      </w:r>
      <w:r>
        <w:rPr>
          <w:rFonts w:hint="eastAsia" w:ascii="宋体" w:hAnsi="宋体" w:eastAsia="宋体" w:cs="宋体"/>
          <w:b/>
          <w:snapToGrid w:val="0"/>
          <w:color w:val="auto"/>
          <w:kern w:val="0"/>
          <w:szCs w:val="21"/>
          <w:highlight w:val="none"/>
        </w:rPr>
        <w:t>书未按照采购文件要求签署、盖章的；</w:t>
      </w:r>
    </w:p>
    <w:p>
      <w:pPr>
        <w:numPr>
          <w:ilvl w:val="0"/>
          <w:numId w:val="21"/>
        </w:numPr>
        <w:tabs>
          <w:tab w:val="left" w:pos="900"/>
          <w:tab w:val="clear" w:pos="1273"/>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投标文件内容弄虚作假的；</w:t>
      </w:r>
    </w:p>
    <w:p>
      <w:pPr>
        <w:numPr>
          <w:ilvl w:val="0"/>
          <w:numId w:val="21"/>
        </w:numPr>
        <w:tabs>
          <w:tab w:val="left" w:pos="900"/>
          <w:tab w:val="clear" w:pos="1273"/>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lang w:eastAsia="zh-CN"/>
        </w:rPr>
        <w:t>商务文件</w:t>
      </w:r>
      <w:r>
        <w:rPr>
          <w:rFonts w:hint="eastAsia" w:ascii="宋体" w:hAnsi="宋体" w:eastAsia="宋体" w:cs="宋体"/>
          <w:b/>
          <w:snapToGrid w:val="0"/>
          <w:color w:val="auto"/>
          <w:kern w:val="0"/>
          <w:szCs w:val="21"/>
          <w:highlight w:val="none"/>
        </w:rPr>
        <w:t>未按采购文件要求盖章的；</w:t>
      </w:r>
    </w:p>
    <w:p>
      <w:pPr>
        <w:numPr>
          <w:ilvl w:val="0"/>
          <w:numId w:val="21"/>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bCs/>
          <w:color w:val="auto"/>
          <w:szCs w:val="21"/>
          <w:highlight w:val="none"/>
        </w:rPr>
        <w:t>不响应采购文件标注“▲”条款要求的；</w:t>
      </w:r>
    </w:p>
    <w:p>
      <w:pPr>
        <w:numPr>
          <w:ilvl w:val="0"/>
          <w:numId w:val="21"/>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投标有效期不满足采购文件要求的；</w:t>
      </w:r>
    </w:p>
    <w:p>
      <w:pPr>
        <w:numPr>
          <w:ilvl w:val="0"/>
          <w:numId w:val="21"/>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存在法律、法规规定及采购文件规定的其它无效情形的。</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lang w:val="en-US" w:eastAsia="zh-CN"/>
        </w:rPr>
      </w:pPr>
      <w:r>
        <w:rPr>
          <w:rFonts w:hint="eastAsia" w:ascii="宋体" w:hAnsi="宋体" w:eastAsia="宋体" w:cs="宋体"/>
          <w:b/>
          <w:bCs/>
          <w:snapToGrid w:val="0"/>
          <w:color w:val="auto"/>
          <w:kern w:val="0"/>
          <w:szCs w:val="21"/>
          <w:highlight w:val="none"/>
          <w:lang w:val="en-US" w:eastAsia="zh-CN"/>
        </w:rPr>
        <w:t>5.2.2如发现下列情形之一的，技术文件将被视为无效投标：</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技术文件未按采购文件要求盖章的；</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技术文件标明的响应或偏离与事实不符或虚假投标的；</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服务期等条款不能满足采购文件要求的；</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明显不符合采购内容、质量标准，或者与采购文件中标注“▲”条款存在实质性偏离的；</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投标文件含有采购人不能接受的附加条件的；</w:t>
      </w:r>
    </w:p>
    <w:p>
      <w:pPr>
        <w:numPr>
          <w:ilvl w:val="0"/>
          <w:numId w:val="22"/>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存在法律、法规、规章规定的其它无效投标情况的。</w:t>
      </w:r>
    </w:p>
    <w:p>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lang w:val="en-US" w:eastAsia="zh-CN"/>
        </w:rPr>
      </w:pPr>
      <w:r>
        <w:rPr>
          <w:rFonts w:hint="eastAsia" w:ascii="宋体" w:hAnsi="宋体" w:eastAsia="宋体" w:cs="宋体"/>
          <w:b/>
          <w:bCs/>
          <w:snapToGrid w:val="0"/>
          <w:color w:val="auto"/>
          <w:kern w:val="0"/>
          <w:szCs w:val="21"/>
          <w:highlight w:val="none"/>
          <w:lang w:val="en-US" w:eastAsia="zh-CN"/>
        </w:rPr>
        <w:t>5.3报价文件评审阶段</w:t>
      </w:r>
    </w:p>
    <w:p>
      <w:pPr>
        <w:numPr>
          <w:ilvl w:val="0"/>
          <w:numId w:val="0"/>
        </w:numPr>
        <w:tabs>
          <w:tab w:val="left" w:pos="900"/>
          <w:tab w:val="left" w:pos="1080"/>
        </w:tabs>
        <w:adjustRightInd w:val="0"/>
        <w:snapToGrid w:val="0"/>
        <w:spacing w:line="360" w:lineRule="auto"/>
        <w:ind w:left="360" w:leftChars="0"/>
        <w:jc w:val="left"/>
        <w:rPr>
          <w:rFonts w:hint="eastAsia" w:ascii="宋体" w:hAnsi="宋体" w:eastAsia="宋体" w:cs="宋体"/>
          <w:b/>
          <w:bCs/>
          <w:color w:val="auto"/>
          <w:szCs w:val="21"/>
          <w:highlight w:val="none"/>
          <w:lang w:eastAsia="zh-CN"/>
        </w:rPr>
      </w:pPr>
      <w:r>
        <w:rPr>
          <w:rFonts w:hint="eastAsia" w:ascii="宋体" w:hAnsi="宋体" w:eastAsia="宋体" w:cs="宋体"/>
          <w:snapToGrid w:val="0"/>
          <w:color w:val="auto"/>
          <w:kern w:val="0"/>
          <w:szCs w:val="21"/>
          <w:highlight w:val="none"/>
        </w:rPr>
        <w:t>在报价评审时，如发现下列情形之一的，投标文件将被视为无效</w:t>
      </w:r>
      <w:r>
        <w:rPr>
          <w:rFonts w:hint="eastAsia" w:ascii="宋体" w:hAnsi="宋体" w:eastAsia="宋体" w:cs="宋体"/>
          <w:snapToGrid w:val="0"/>
          <w:color w:val="auto"/>
          <w:kern w:val="0"/>
          <w:szCs w:val="21"/>
          <w:highlight w:val="none"/>
          <w:lang w:eastAsia="zh-CN"/>
        </w:rPr>
        <w:t>：</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报价文件未按采购文件要求盖章的；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开标一览表投标报价为零的（包括投标文件中标明：免费或赠予）或其报价（大写）无法按正常书写方式进行报价唱标的或无投标报价的；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政采云平台填报的开标一览表中的价格与上传的报价响应文件中开标一览表的报价不一致时，投标人不同意按“4.3修正原则”第（5）条原则修正的；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政采云平台上传的报价响应文件缺少最基本的报价内容（如开标一览表）的；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snapToGrid w:val="0"/>
          <w:color w:val="auto"/>
          <w:kern w:val="0"/>
          <w:highlight w:val="none"/>
        </w:rPr>
        <w:t>投标人提交两份或多份内容不同的</w:t>
      </w:r>
      <w:r>
        <w:rPr>
          <w:rFonts w:hint="eastAsia" w:ascii="宋体" w:hAnsi="宋体" w:eastAsia="宋体" w:cs="宋体"/>
          <w:b/>
          <w:snapToGrid w:val="0"/>
          <w:color w:val="auto"/>
          <w:kern w:val="0"/>
          <w:highlight w:val="none"/>
          <w:lang w:eastAsia="zh-CN"/>
        </w:rPr>
        <w:t>报价响应文件</w:t>
      </w:r>
      <w:r>
        <w:rPr>
          <w:rFonts w:hint="eastAsia" w:ascii="宋体" w:hAnsi="宋体" w:eastAsia="宋体" w:cs="宋体"/>
          <w:b/>
          <w:snapToGrid w:val="0"/>
          <w:color w:val="auto"/>
          <w:kern w:val="0"/>
          <w:highlight w:val="none"/>
        </w:rPr>
        <w:t>，或在一份</w:t>
      </w:r>
      <w:r>
        <w:rPr>
          <w:rFonts w:hint="eastAsia" w:ascii="宋体" w:hAnsi="宋体" w:eastAsia="宋体" w:cs="宋体"/>
          <w:b/>
          <w:snapToGrid w:val="0"/>
          <w:color w:val="auto"/>
          <w:kern w:val="0"/>
          <w:highlight w:val="none"/>
          <w:lang w:eastAsia="zh-CN"/>
        </w:rPr>
        <w:t>报价响应文件</w:t>
      </w:r>
      <w:r>
        <w:rPr>
          <w:rFonts w:hint="eastAsia" w:ascii="宋体" w:hAnsi="宋体" w:eastAsia="宋体" w:cs="宋体"/>
          <w:b/>
          <w:snapToGrid w:val="0"/>
          <w:color w:val="auto"/>
          <w:kern w:val="0"/>
          <w:highlight w:val="none"/>
        </w:rPr>
        <w:t>中对同一内容报有两个或多个报价，且未声明哪一个为最终报价的；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投标报价超过采购文件中规定的预算金额</w:t>
      </w:r>
      <w:r>
        <w:rPr>
          <w:rFonts w:hint="eastAsia" w:ascii="宋体" w:hAnsi="宋体" w:eastAsia="宋体" w:cs="宋体"/>
          <w:b/>
          <w:snapToGrid w:val="0"/>
          <w:color w:val="auto"/>
          <w:kern w:val="0"/>
          <w:highlight w:val="none"/>
          <w:lang w:eastAsia="zh-CN"/>
        </w:rPr>
        <w:t>（或最高限价）</w:t>
      </w:r>
      <w:r>
        <w:rPr>
          <w:rFonts w:hint="eastAsia" w:ascii="宋体" w:hAnsi="宋体" w:eastAsia="宋体" w:cs="宋体"/>
          <w:b/>
          <w:snapToGrid w:val="0"/>
          <w:color w:val="auto"/>
          <w:kern w:val="0"/>
          <w:highlight w:val="none"/>
        </w:rPr>
        <w:t>的；</w:t>
      </w:r>
    </w:p>
    <w:p>
      <w:pPr>
        <w:numPr>
          <w:ilvl w:val="0"/>
          <w:numId w:val="23"/>
        </w:numPr>
        <w:tabs>
          <w:tab w:val="left" w:pos="900"/>
          <w:tab w:val="left" w:pos="1080"/>
          <w:tab w:val="clear" w:pos="1273"/>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存在法律、法规规定及采购文件规定的其它无效情形的。</w:t>
      </w:r>
    </w:p>
    <w:p>
      <w:pPr>
        <w:pStyle w:val="4"/>
        <w:snapToGrid w:val="0"/>
        <w:spacing w:before="120" w:beforeLines="50" w:after="120" w:afterLines="50" w:line="360" w:lineRule="auto"/>
        <w:rPr>
          <w:rFonts w:hint="eastAsia" w:ascii="宋体" w:hAnsi="宋体" w:eastAsia="宋体" w:cs="宋体"/>
          <w:color w:val="auto"/>
          <w:sz w:val="21"/>
          <w:szCs w:val="21"/>
          <w:highlight w:val="none"/>
        </w:rPr>
      </w:pPr>
      <w:bookmarkStart w:id="374" w:name="_Toc251566666"/>
      <w:bookmarkStart w:id="375" w:name="_Toc249760795"/>
      <w:bookmarkStart w:id="376" w:name="_Toc20349"/>
      <w:bookmarkStart w:id="377" w:name="_Toc9995"/>
      <w:bookmarkStart w:id="378" w:name="_Toc19351"/>
      <w:bookmarkStart w:id="379" w:name="_Toc12674"/>
      <w:r>
        <w:rPr>
          <w:rFonts w:hint="eastAsia" w:ascii="宋体" w:hAnsi="宋体" w:eastAsia="宋体" w:cs="宋体"/>
          <w:color w:val="auto"/>
          <w:sz w:val="21"/>
          <w:szCs w:val="21"/>
          <w:highlight w:val="none"/>
        </w:rPr>
        <w:t>五、评标</w:t>
      </w:r>
      <w:bookmarkEnd w:id="374"/>
      <w:bookmarkEnd w:id="375"/>
      <w:r>
        <w:rPr>
          <w:rFonts w:hint="eastAsia" w:ascii="宋体" w:hAnsi="宋体" w:eastAsia="宋体" w:cs="宋体"/>
          <w:color w:val="auto"/>
          <w:sz w:val="21"/>
          <w:szCs w:val="21"/>
          <w:highlight w:val="none"/>
        </w:rPr>
        <w:t>细则及标准</w:t>
      </w:r>
      <w:bookmarkEnd w:id="376"/>
      <w:bookmarkEnd w:id="377"/>
      <w:bookmarkEnd w:id="378"/>
      <w:bookmarkEnd w:id="379"/>
    </w:p>
    <w:p>
      <w:pPr>
        <w:autoSpaceDE w:val="0"/>
        <w:autoSpaceDN w:val="0"/>
        <w:adjustRightInd w:val="0"/>
        <w:spacing w:line="360" w:lineRule="auto"/>
        <w:ind w:firstLine="480"/>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（一）技术商务评审因素（满分</w:t>
      </w:r>
      <w:r>
        <w:rPr>
          <w:rFonts w:hint="eastAsia" w:ascii="宋体" w:hAnsi="宋体" w:eastAsia="宋体" w:cs="宋体"/>
          <w:b/>
          <w:color w:val="auto"/>
          <w:szCs w:val="21"/>
          <w:highlight w:val="none"/>
          <w:u w:val="single"/>
          <w:lang w:val="en-US" w:eastAsia="zh-CN"/>
        </w:rPr>
        <w:t xml:space="preserve"> 90 </w:t>
      </w:r>
      <w:r>
        <w:rPr>
          <w:rFonts w:hint="eastAsia" w:ascii="宋体" w:hAnsi="宋体" w:cs="宋体"/>
          <w:b/>
          <w:color w:val="auto"/>
          <w:szCs w:val="21"/>
          <w:highlight w:val="none"/>
          <w:lang w:val="zh-CN"/>
        </w:rPr>
        <w:t>分）</w:t>
      </w:r>
    </w:p>
    <w:p>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lang w:val="zh-CN"/>
        </w:rPr>
        <w:t>评标委员会对各投标人的技术商务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r>
        <w:rPr>
          <w:rFonts w:hint="eastAsia" w:ascii="宋体" w:hAnsi="宋体" w:cs="宋体"/>
          <w:b/>
          <w:color w:val="auto"/>
          <w:szCs w:val="21"/>
          <w:highlight w:val="none"/>
          <w:lang w:val="zh-CN"/>
        </w:rPr>
        <w:t>若评审小组成员个人主观打</w:t>
      </w:r>
      <w:r>
        <w:rPr>
          <w:rFonts w:hint="eastAsia" w:ascii="宋体" w:hAnsi="宋体" w:eastAsia="宋体" w:cs="宋体"/>
          <w:b/>
          <w:color w:val="auto"/>
          <w:sz w:val="21"/>
          <w:szCs w:val="21"/>
          <w:highlight w:val="none"/>
          <w:lang w:val="zh-CN"/>
        </w:rPr>
        <w:t>分偏离所有评审小组成员主观打分平均值</w:t>
      </w:r>
      <w:r>
        <w:rPr>
          <w:rFonts w:hint="eastAsia" w:ascii="宋体" w:hAnsi="宋体" w:eastAsia="宋体" w:cs="宋体"/>
          <w:b/>
          <w:color w:val="auto"/>
          <w:sz w:val="21"/>
          <w:szCs w:val="21"/>
          <w:highlight w:val="none"/>
          <w:lang w:val="en-US" w:eastAsia="zh-CN"/>
        </w:rPr>
        <w:t>30%以上的，由评标委员会启动评分畸高、畸低行为认定程序。</w:t>
      </w:r>
    </w:p>
    <w:tbl>
      <w:tblPr>
        <w:tblStyle w:val="19"/>
        <w:tblW w:w="8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9"/>
        <w:gridCol w:w="1268"/>
        <w:gridCol w:w="577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tcBorders>
              <w:top w:val="single" w:color="000000" w:sz="12"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类别</w:t>
            </w:r>
          </w:p>
        </w:tc>
        <w:tc>
          <w:tcPr>
            <w:tcW w:w="1268" w:type="dxa"/>
            <w:tcBorders>
              <w:top w:val="single" w:color="000000" w:sz="12"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评分内容</w:t>
            </w:r>
          </w:p>
        </w:tc>
        <w:tc>
          <w:tcPr>
            <w:tcW w:w="5777" w:type="dxa"/>
            <w:tcBorders>
              <w:top w:val="single" w:color="000000" w:sz="12"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评分标准</w:t>
            </w:r>
          </w:p>
        </w:tc>
        <w:tc>
          <w:tcPr>
            <w:tcW w:w="825" w:type="dxa"/>
            <w:tcBorders>
              <w:top w:val="single" w:color="000000" w:sz="12"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restart"/>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商务</w:t>
            </w:r>
            <w:r>
              <w:rPr>
                <w:rFonts w:hint="eastAsia" w:ascii="宋体" w:hAnsi="宋体" w:cs="宋体"/>
                <w:i w:val="0"/>
                <w:color w:val="auto"/>
                <w:kern w:val="0"/>
                <w:sz w:val="21"/>
                <w:szCs w:val="21"/>
                <w:highlight w:val="none"/>
                <w:u w:val="none"/>
                <w:lang w:val="en-US" w:eastAsia="zh-CN" w:bidi="ar"/>
              </w:rPr>
              <w:t>资信</w:t>
            </w:r>
            <w:r>
              <w:rPr>
                <w:rFonts w:hint="eastAsia" w:ascii="宋体" w:hAnsi="宋体" w:eastAsia="宋体" w:cs="宋体"/>
                <w:i w:val="0"/>
                <w:color w:val="auto"/>
                <w:kern w:val="0"/>
                <w:sz w:val="21"/>
                <w:szCs w:val="21"/>
                <w:highlight w:val="none"/>
                <w:u w:val="none"/>
                <w:lang w:val="en-US" w:eastAsia="zh-CN" w:bidi="ar"/>
              </w:rPr>
              <w:t>分</w:t>
            </w:r>
          </w:p>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（10分）</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系统建设和服务能力</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具有信息系统建设和服务能力等级证书（能力达到良好级CS3以上），能够保障本项目信息系统建设，服务活动顺利开展。有得3分，无不得分。</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注：以上证书需提供加盖投标供应商公章的证书扫描件。</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管理体系</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具备有效的IT服务管理体系认证证书ISO20000和信息安全管理体系认证证书ISO27001,</w:t>
            </w:r>
            <w:r>
              <w:rPr>
                <w:rFonts w:hint="eastAsia" w:ascii="宋体" w:hAnsi="宋体" w:cs="宋体"/>
                <w:i w:val="0"/>
                <w:color w:val="auto"/>
                <w:kern w:val="0"/>
                <w:sz w:val="21"/>
                <w:szCs w:val="21"/>
                <w:highlight w:val="none"/>
                <w:u w:val="none"/>
                <w:lang w:val="en-US" w:eastAsia="zh-CN" w:bidi="ar"/>
              </w:rPr>
              <w:t>每一个得1.5分，满分</w:t>
            </w:r>
            <w:r>
              <w:rPr>
                <w:rFonts w:hint="eastAsia" w:ascii="宋体" w:hAnsi="宋体" w:eastAsia="宋体" w:cs="宋体"/>
                <w:i w:val="0"/>
                <w:color w:val="auto"/>
                <w:kern w:val="0"/>
                <w:sz w:val="21"/>
                <w:szCs w:val="21"/>
                <w:highlight w:val="none"/>
                <w:u w:val="none"/>
                <w:lang w:val="en-US" w:eastAsia="zh-CN" w:bidi="ar"/>
              </w:rPr>
              <w:t>得3分，无不得分。</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注：以上证书需提供加盖投标供应商公章的证书扫描件。</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软件著作权</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投标人具有“基于云架构的预算管理一体化系统”等类似财政预算管理一体化相关的计算机软件著作权登记证书,得3分，无不得分。</w:t>
            </w:r>
          </w:p>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注：投标人需提供国家版权局颁发的计算机软件著作权登记证书扫描件。 </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类似业绩</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1、预算管理一体化项目业绩证明：自财政部《财政部关于印发&lt;预算管理一体化规范（试行）&gt;的通知》 （财办【2020】13号）文件发布之日（2020年2月27日）起，投标人具有预算管理一体化系统（省级集中部署）建设的经验（需包含预算编制或预算执行模块），同一个省份的合同只作为一个案例。每个案例0.5分，共1分。</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Style w:val="33"/>
                <w:rFonts w:ascii="宋体" w:hAnsi="宋体" w:eastAsia="宋体" w:cs="宋体"/>
                <w:color w:val="auto"/>
                <w:sz w:val="21"/>
                <w:szCs w:val="21"/>
                <w:highlight w:val="none"/>
                <w:lang w:val="en-US" w:eastAsia="zh-CN" w:bidi="ar"/>
              </w:rPr>
              <w:t>注</w:t>
            </w:r>
            <w:r>
              <w:rPr>
                <w:rStyle w:val="34"/>
                <w:rFonts w:ascii="宋体" w:hAnsi="宋体" w:eastAsia="宋体" w:cs="宋体"/>
                <w:color w:val="auto"/>
                <w:sz w:val="21"/>
                <w:szCs w:val="21"/>
                <w:highlight w:val="none"/>
                <w:lang w:val="en-US" w:eastAsia="zh-CN" w:bidi="ar"/>
              </w:rPr>
              <w:t>：需提供中标通知书和合同复印件（合同复印件加盖公司公章，原件备查）。</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1" w:hRule="atLeast"/>
        </w:trPr>
        <w:tc>
          <w:tcPr>
            <w:tcW w:w="1079" w:type="dxa"/>
            <w:vMerge w:val="restart"/>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技术分（80分）</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建设方案</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投标人须提供对本项目总体方案，内容应包括项目的理解、系统总体设计原则、系统技术架构、项目重点难点等。</w:t>
            </w:r>
          </w:p>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升级方案完全响应需求(需包含：基础信息、项目库管理、预算编制、预算批复、预算绩效、预算调整和调剂、预算执行、财政部试点指标账模块及政供养人员业务与一体化整合)，</w:t>
            </w:r>
            <w:r>
              <w:rPr>
                <w:rFonts w:hint="eastAsia" w:ascii="宋体" w:hAnsi="宋体" w:cs="宋体"/>
                <w:i w:val="0"/>
                <w:color w:val="auto"/>
                <w:kern w:val="0"/>
                <w:sz w:val="21"/>
                <w:szCs w:val="21"/>
                <w:highlight w:val="none"/>
                <w:u w:val="none"/>
                <w:lang w:val="en-US" w:eastAsia="zh-CN" w:bidi="ar"/>
              </w:rPr>
              <w:t>方案描述详细、完善的，每一项得1分，方案完整能基本满足要求的，每一项得0.5分，</w:t>
            </w:r>
            <w:r>
              <w:rPr>
                <w:rFonts w:hint="eastAsia" w:ascii="宋体" w:hAnsi="宋体" w:eastAsia="宋体" w:cs="宋体"/>
                <w:i w:val="0"/>
                <w:color w:val="auto"/>
                <w:kern w:val="0"/>
                <w:sz w:val="21"/>
                <w:szCs w:val="21"/>
                <w:highlight w:val="none"/>
                <w:u w:val="none"/>
                <w:lang w:val="en-US" w:eastAsia="zh-CN" w:bidi="ar"/>
              </w:rPr>
              <w:t>每缺漏一项响应需求</w:t>
            </w:r>
            <w:r>
              <w:rPr>
                <w:rFonts w:hint="eastAsia" w:ascii="宋体" w:hAnsi="宋体" w:cs="宋体"/>
                <w:i w:val="0"/>
                <w:color w:val="auto"/>
                <w:kern w:val="0"/>
                <w:sz w:val="21"/>
                <w:szCs w:val="21"/>
                <w:highlight w:val="none"/>
                <w:u w:val="none"/>
                <w:lang w:val="en-US" w:eastAsia="zh-CN" w:bidi="ar"/>
              </w:rPr>
              <w:t>或方案存在明显缺陷</w:t>
            </w:r>
            <w:r>
              <w:rPr>
                <w:rFonts w:hint="eastAsia" w:ascii="宋体" w:hAnsi="宋体" w:eastAsia="宋体" w:cs="宋体"/>
                <w:i w:val="0"/>
                <w:color w:val="auto"/>
                <w:kern w:val="0"/>
                <w:sz w:val="21"/>
                <w:szCs w:val="21"/>
                <w:highlight w:val="none"/>
                <w:u w:val="none"/>
                <w:lang w:val="en-US" w:eastAsia="zh-CN" w:bidi="ar"/>
              </w:rPr>
              <w:t>的，</w:t>
            </w:r>
            <w:r>
              <w:rPr>
                <w:rFonts w:hint="eastAsia" w:ascii="宋体" w:hAnsi="宋体" w:cs="宋体"/>
                <w:i w:val="0"/>
                <w:color w:val="auto"/>
                <w:kern w:val="0"/>
                <w:sz w:val="21"/>
                <w:szCs w:val="21"/>
                <w:highlight w:val="none"/>
                <w:u w:val="none"/>
                <w:lang w:val="en-US" w:eastAsia="zh-CN" w:bidi="ar"/>
              </w:rPr>
              <w:t>该项不得</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本条款满分</w:t>
            </w:r>
            <w:r>
              <w:rPr>
                <w:rFonts w:hint="eastAsia" w:ascii="宋体" w:hAnsi="宋体" w:eastAsia="宋体" w:cs="宋体"/>
                <w:i w:val="0"/>
                <w:color w:val="auto"/>
                <w:kern w:val="0"/>
                <w:sz w:val="21"/>
                <w:szCs w:val="21"/>
                <w:highlight w:val="none"/>
                <w:u w:val="none"/>
                <w:lang w:val="en-US" w:eastAsia="zh-CN" w:bidi="ar"/>
              </w:rPr>
              <w:t>9分</w:t>
            </w:r>
            <w:r>
              <w:rPr>
                <w:rFonts w:hint="eastAsia" w:ascii="宋体" w:hAnsi="宋体" w:cs="宋体"/>
                <w:i w:val="0"/>
                <w:color w:val="auto"/>
                <w:kern w:val="0"/>
                <w:sz w:val="21"/>
                <w:szCs w:val="21"/>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服务方案</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1、投标人提供的对省本级系统的服务方案，包括项目团队人员安排、项目计划、服务内容、项目管理方案等。完全响应招标文件且内容详尽，措施合理</w:t>
            </w:r>
            <w:r>
              <w:rPr>
                <w:rFonts w:hint="eastAsia" w:ascii="宋体" w:hAnsi="宋体" w:cs="宋体"/>
                <w:i w:val="0"/>
                <w:color w:val="auto"/>
                <w:kern w:val="0"/>
                <w:sz w:val="21"/>
                <w:szCs w:val="21"/>
                <w:highlight w:val="none"/>
                <w:u w:val="none"/>
                <w:lang w:val="en-US" w:eastAsia="zh-CN" w:bidi="ar"/>
              </w:rPr>
              <w:t>、完善且具有可行性的最高</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响应内容基本符合采购文件要求，有一定措施的最多得3分，响应内容考虑欠周全，存在瑕疵的最多得1分，存在明显缺陷或缺漏的不得分。</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2、投标人提供的对市县的服务方案，包括实施团队人员安排、服务内容、市县人员保障等。完全响应招标文件且内容详尽，措施合理</w:t>
            </w:r>
            <w:r>
              <w:rPr>
                <w:rFonts w:hint="eastAsia" w:ascii="宋体" w:hAnsi="宋体" w:cs="宋体"/>
                <w:i w:val="0"/>
                <w:color w:val="auto"/>
                <w:kern w:val="0"/>
                <w:sz w:val="21"/>
                <w:szCs w:val="21"/>
                <w:highlight w:val="none"/>
                <w:u w:val="none"/>
                <w:lang w:val="en-US" w:eastAsia="zh-CN" w:bidi="ar"/>
              </w:rPr>
              <w:t>、完善且具有可行性的最高</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响应内容基本符合采购文件要求，有一定措施的最多得3分，响应内容考虑欠周全，存在瑕疵的最多得1分，存在明显缺陷或缺漏的不得分。</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技术路线</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投标人具备金财2.0业务中台适配能力。提供基于浙江实际的详细适配方案</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1、提供技术底座适配方案。包含：缓存服务适配（Redis）、消息中间件适配（RocketMQ）、云数据库适配（POLARDB11）、文件服务适配（OSS）、容器服務适配（Kubernetes），</w:t>
            </w:r>
            <w:r>
              <w:rPr>
                <w:rFonts w:hint="eastAsia" w:ascii="宋体" w:hAnsi="宋体" w:cs="宋体"/>
                <w:i w:val="0"/>
                <w:color w:val="auto"/>
                <w:kern w:val="0"/>
                <w:sz w:val="21"/>
                <w:szCs w:val="21"/>
                <w:highlight w:val="none"/>
                <w:u w:val="none"/>
                <w:lang w:val="en-US" w:eastAsia="zh-CN" w:bidi="ar"/>
              </w:rPr>
              <w:t>适配方案描述详细、完善的，每一项得2分，方案完整能基本满足要求的，每一项得1分，</w:t>
            </w:r>
            <w:r>
              <w:rPr>
                <w:rFonts w:hint="eastAsia" w:ascii="宋体" w:hAnsi="宋体" w:eastAsia="宋体" w:cs="宋体"/>
                <w:i w:val="0"/>
                <w:color w:val="auto"/>
                <w:kern w:val="0"/>
                <w:sz w:val="21"/>
                <w:szCs w:val="21"/>
                <w:highlight w:val="none"/>
                <w:u w:val="none"/>
                <w:lang w:val="en-US" w:eastAsia="zh-CN" w:bidi="ar"/>
              </w:rPr>
              <w:t>每缺漏一项响应需求</w:t>
            </w:r>
            <w:r>
              <w:rPr>
                <w:rFonts w:hint="eastAsia" w:ascii="宋体" w:hAnsi="宋体" w:cs="宋体"/>
                <w:i w:val="0"/>
                <w:color w:val="auto"/>
                <w:kern w:val="0"/>
                <w:sz w:val="21"/>
                <w:szCs w:val="21"/>
                <w:highlight w:val="none"/>
                <w:u w:val="none"/>
                <w:lang w:val="en-US" w:eastAsia="zh-CN" w:bidi="ar"/>
              </w:rPr>
              <w:t>或方案存在明显缺陷</w:t>
            </w:r>
            <w:r>
              <w:rPr>
                <w:rFonts w:hint="eastAsia" w:ascii="宋体" w:hAnsi="宋体" w:eastAsia="宋体" w:cs="宋体"/>
                <w:i w:val="0"/>
                <w:color w:val="auto"/>
                <w:kern w:val="0"/>
                <w:sz w:val="21"/>
                <w:szCs w:val="21"/>
                <w:highlight w:val="none"/>
                <w:u w:val="none"/>
                <w:lang w:val="en-US" w:eastAsia="zh-CN" w:bidi="ar"/>
              </w:rPr>
              <w:t>的，</w:t>
            </w:r>
            <w:r>
              <w:rPr>
                <w:rFonts w:hint="eastAsia" w:ascii="宋体" w:hAnsi="宋体" w:cs="宋体"/>
                <w:i w:val="0"/>
                <w:color w:val="auto"/>
                <w:kern w:val="0"/>
                <w:sz w:val="21"/>
                <w:szCs w:val="21"/>
                <w:highlight w:val="none"/>
                <w:u w:val="none"/>
                <w:lang w:val="en-US" w:eastAsia="zh-CN" w:bidi="ar"/>
              </w:rPr>
              <w:t>该项不得</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本条款满分</w:t>
            </w:r>
            <w:r>
              <w:rPr>
                <w:rFonts w:hint="eastAsia" w:ascii="宋体" w:hAnsi="宋体" w:eastAsia="宋体" w:cs="宋体"/>
                <w:i w:val="0"/>
                <w:color w:val="auto"/>
                <w:kern w:val="0"/>
                <w:sz w:val="21"/>
                <w:szCs w:val="21"/>
                <w:highlight w:val="none"/>
                <w:u w:val="none"/>
                <w:lang w:val="en-US" w:eastAsia="zh-CN" w:bidi="ar"/>
              </w:rPr>
              <w:t>10分；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ind w:right="78" w:rightChars="37"/>
              <w:jc w:val="both"/>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2、提供业务中台适配方案。业务中台实现对所有公共应用关键信息的集中管控，预算管理一体化系统业务应用需要使用业务中台提供的公共服务。方案完全满足项目需求,设计科学合理</w:t>
            </w:r>
            <w:r>
              <w:rPr>
                <w:rFonts w:hint="eastAsia" w:ascii="宋体" w:hAnsi="宋体" w:cs="宋体"/>
                <w:i w:val="0"/>
                <w:color w:val="auto"/>
                <w:kern w:val="0"/>
                <w:sz w:val="21"/>
                <w:szCs w:val="21"/>
                <w:highlight w:val="none"/>
                <w:u w:val="none"/>
                <w:lang w:val="en-US" w:eastAsia="zh-CN" w:bidi="ar"/>
              </w:rPr>
              <w:t>最高得</w:t>
            </w:r>
            <w:r>
              <w:rPr>
                <w:rFonts w:hint="eastAsia" w:ascii="宋体" w:hAnsi="宋体" w:eastAsia="宋体" w:cs="宋体"/>
                <w:i w:val="0"/>
                <w:color w:val="auto"/>
                <w:kern w:val="0"/>
                <w:sz w:val="21"/>
                <w:szCs w:val="21"/>
                <w:highlight w:val="none"/>
                <w:u w:val="none"/>
                <w:lang w:val="en-US" w:eastAsia="zh-CN" w:bidi="ar"/>
              </w:rPr>
              <w:t>5分</w:t>
            </w:r>
            <w:r>
              <w:rPr>
                <w:rFonts w:hint="eastAsia" w:ascii="宋体" w:hAnsi="宋体" w:cs="宋体"/>
                <w:i w:val="0"/>
                <w:color w:val="auto"/>
                <w:kern w:val="0"/>
                <w:sz w:val="21"/>
                <w:szCs w:val="21"/>
                <w:highlight w:val="none"/>
                <w:u w:val="none"/>
                <w:lang w:val="en-US" w:eastAsia="zh-CN" w:bidi="ar"/>
              </w:rPr>
              <w:t>，方案完整，基本满足项目需求的最高得4分，方案存在略微瑕疵但不影响项目实施的，最高得2分，方案存在明显缺陷的得1分，无相应方案的不得分。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项目团队</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为保障项目顺利实施，考核投标供应商团队成员应具备相关专业能力：</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1、项目团队人员至少有1名具有工业和信息化部批准颁发的高级系统架构设计师认证，满足得4分，不满足得0分。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2、项目团队人员至少有1名具有工业和信息化部批准颁发的高级系统分析师认证，满足得4分，不满足得0分。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3、项目团队人员至少有1名具有高级数据库管理工程师认证，满足得2分，不满足得0分。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4、项目团队中人员具有IT服务工程师（ITSS）认证，每1人得1分，最高3分。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5、项目团队中人员具有高级软件工程师认证，满足得2分，不满足得0分。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注：须提供加盖投标供应商公章的有效期内证书复印件或官方查询证明，及该人员在投标截止日期前3个月</w:t>
            </w:r>
            <w:r>
              <w:rPr>
                <w:rFonts w:hint="eastAsia" w:ascii="宋体" w:hAnsi="宋体" w:cs="宋体"/>
                <w:i w:val="0"/>
                <w:color w:val="auto"/>
                <w:kern w:val="0"/>
                <w:sz w:val="21"/>
                <w:szCs w:val="21"/>
                <w:highlight w:val="none"/>
                <w:u w:val="none"/>
                <w:lang w:val="en-US" w:eastAsia="zh-CN" w:bidi="ar"/>
              </w:rPr>
              <w:t>内任意一个月</w:t>
            </w:r>
            <w:r>
              <w:rPr>
                <w:rFonts w:hint="eastAsia" w:ascii="宋体" w:hAnsi="宋体" w:eastAsia="宋体" w:cs="宋体"/>
                <w:i w:val="0"/>
                <w:color w:val="auto"/>
                <w:kern w:val="0"/>
                <w:sz w:val="21"/>
                <w:szCs w:val="21"/>
                <w:highlight w:val="none"/>
                <w:u w:val="none"/>
                <w:lang w:val="en-US" w:eastAsia="zh-CN" w:bidi="ar"/>
              </w:rPr>
              <w:t>通过投标供应商缴纳的社保证明。</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售后服务方案</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1、投标人提供的对省本级系统的售后服务方案：</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（1）包括驻场人员、服务方式、项目质量保障、服务承诺等。完全响应招标文件且内容详尽，措施合理</w:t>
            </w:r>
            <w:r>
              <w:rPr>
                <w:rFonts w:hint="eastAsia" w:ascii="宋体" w:hAnsi="宋体" w:cs="宋体"/>
                <w:i w:val="0"/>
                <w:color w:val="auto"/>
                <w:kern w:val="0"/>
                <w:sz w:val="21"/>
                <w:szCs w:val="21"/>
                <w:highlight w:val="none"/>
                <w:u w:val="none"/>
                <w:lang w:val="en-US" w:eastAsia="zh-CN" w:bidi="ar"/>
              </w:rPr>
              <w:t>、完善的最多</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响应内容基本符合采购文件要求，有一定措施的最多得3分，响应内容考虑欠周全，存在瑕疵的最多得1分，存在明显缺陷或缺漏的不得分。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（2）服务响应时间合理，具有可行性，具有可提供即时响应的服务机构、人员及保障措施，</w:t>
            </w:r>
            <w:r>
              <w:rPr>
                <w:rFonts w:hint="eastAsia" w:ascii="宋体" w:hAnsi="宋体" w:cs="宋体"/>
                <w:i w:val="0"/>
                <w:color w:val="auto"/>
                <w:kern w:val="0"/>
                <w:sz w:val="21"/>
                <w:szCs w:val="21"/>
                <w:highlight w:val="none"/>
                <w:u w:val="none"/>
                <w:lang w:val="en-US" w:eastAsia="zh-CN" w:bidi="ar"/>
              </w:rPr>
              <w:t>完善的最多</w:t>
            </w:r>
            <w:r>
              <w:rPr>
                <w:rFonts w:hint="eastAsia" w:ascii="宋体" w:hAnsi="宋体" w:eastAsia="宋体" w:cs="宋体"/>
                <w:i w:val="0"/>
                <w:color w:val="auto"/>
                <w:kern w:val="0"/>
                <w:sz w:val="21"/>
                <w:szCs w:val="21"/>
                <w:highlight w:val="none"/>
                <w:u w:val="none"/>
                <w:lang w:val="en-US" w:eastAsia="zh-CN" w:bidi="ar"/>
              </w:rPr>
              <w:t>得2分</w:t>
            </w:r>
            <w:r>
              <w:rPr>
                <w:rFonts w:hint="eastAsia" w:ascii="宋体" w:hAnsi="宋体" w:cs="宋体"/>
                <w:i w:val="0"/>
                <w:color w:val="auto"/>
                <w:kern w:val="0"/>
                <w:sz w:val="21"/>
                <w:szCs w:val="21"/>
                <w:highlight w:val="none"/>
                <w:u w:val="none"/>
                <w:lang w:val="en-US" w:eastAsia="zh-CN" w:bidi="ar"/>
              </w:rPr>
              <w:t>，一般的最多得1分，有明显缺陷或无法满足采购需求的不得分</w:t>
            </w:r>
            <w:r>
              <w:rPr>
                <w:rFonts w:hint="eastAsia" w:ascii="宋体" w:hAnsi="宋体" w:eastAsia="宋体" w:cs="宋体"/>
                <w:i w:val="0"/>
                <w:color w:val="auto"/>
                <w:kern w:val="0"/>
                <w:sz w:val="21"/>
                <w:szCs w:val="21"/>
                <w:highlight w:val="none"/>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2、投标人提供的对市县的售后服务方案，包括技术服务人员安排、服务方式、项目质量保障、服务承诺等。完全响应招标文件且内容详尽，措施合理</w:t>
            </w:r>
            <w:r>
              <w:rPr>
                <w:rFonts w:hint="eastAsia" w:ascii="宋体" w:hAnsi="宋体" w:cs="宋体"/>
                <w:i w:val="0"/>
                <w:color w:val="auto"/>
                <w:kern w:val="0"/>
                <w:sz w:val="21"/>
                <w:szCs w:val="21"/>
                <w:highlight w:val="none"/>
                <w:u w:val="none"/>
                <w:lang w:val="en-US" w:eastAsia="zh-CN" w:bidi="ar"/>
              </w:rPr>
              <w:t>、完善且具有可行性的最高</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cs="宋体"/>
                <w:i w:val="0"/>
                <w:color w:val="auto"/>
                <w:kern w:val="0"/>
                <w:sz w:val="21"/>
                <w:szCs w:val="21"/>
                <w:highlight w:val="none"/>
                <w:u w:val="none"/>
                <w:lang w:val="en-US" w:eastAsia="zh-CN" w:bidi="ar"/>
              </w:rPr>
              <w:t>响应内容基本符合采购文件要求，有一定措施的最多得3分，响应内容考虑欠周全，存在瑕疵的最多得1分，存在明显缺陷或缺漏的不得分。</w:t>
            </w:r>
          </w:p>
        </w:tc>
        <w:tc>
          <w:tcPr>
            <w:tcW w:w="825" w:type="dxa"/>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系统演示</w:t>
            </w: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系统演示包含以下关键点：</w:t>
            </w:r>
          </w:p>
        </w:tc>
        <w:tc>
          <w:tcPr>
            <w:tcW w:w="825" w:type="dxa"/>
            <w:vMerge w:val="restart"/>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1、基础信息管理演示（2分）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预算管理一体化系统演示支出标准维护，通过“支出标准编码设置”界面维护支出标准层级，演示通过“支出标准体系设置”界面维护具体标准内容，支出标准维护完成后能够在部门预算编制界面项目标准测算表生效（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2、项目库管理演示（3分）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（1）在预算管理一体化系统申报运转类项目，通过PLDB数据库连接工具（pgAdmn4）在项目表查询该笔运转类项目信息（3分）。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3、预算编制管理演示（5分）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（1）在金财2.0业务中台修改转移支付预笪编制工作流配置，在一体化系统展示工作流修改生效（3分）。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（2）在预算管理一体化系统演示政府过紧日子录入表，能够查询评价标准和分值，根据审核表动态生成得分情况表（2分）。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4、预算调整和调剂演示（5分）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（1）在预算管理一体化系统演示政府预算批准，政府预算批准能够登记预算指标账和收入指标，在PLDB数据库连接工具（pgAdmn4）验证指标帐记账数据和收入指标业务数据一致（3分）。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（2）在预算管理一体化系统演示多组预算指标账的记账模板规则设置，演示单位指标分配功能，能够在同一个界面实现部门预算支出指标、转移支付指标和单位资金指标的分配和分配调剂功能（2分）。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5、预算绩效（3分）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（1）在预算管理一体化系统演示绩效目标复用往年指标功能，绩效目标录入时能够显示往年指标值，可选择指标进行引用（1分）。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（2）在金财2.0业务中台修改部门综合考评表单配置，在一体化系统展示部门综合考评表单修改生效（2分）。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6、预算执行（2分）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1079" w:type="dxa"/>
            <w:vMerge w:val="continue"/>
            <w:tcBorders>
              <w:top w:val="single" w:color="000000" w:sz="4" w:space="0"/>
              <w:left w:val="single" w:color="000000" w:sz="12"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（1）在金财2.0业务中台修改个人公务卡申请报销明细表单配置，在一体化系统个人公务卡复核界面能查看报销明细表单修改生效（2分）。</w:t>
            </w:r>
          </w:p>
        </w:tc>
        <w:tc>
          <w:tcPr>
            <w:tcW w:w="825" w:type="dxa"/>
            <w:vMerge w:val="continue"/>
            <w:tcBorders>
              <w:top w:val="single" w:color="000000" w:sz="4" w:space="0"/>
              <w:left w:val="single" w:color="000000" w:sz="4" w:space="0"/>
              <w:bottom w:val="single" w:color="000000" w:sz="4"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6" w:hRule="atLeast"/>
        </w:trPr>
        <w:tc>
          <w:tcPr>
            <w:tcW w:w="1079" w:type="dxa"/>
            <w:vMerge w:val="continue"/>
            <w:tcBorders>
              <w:top w:val="single" w:color="000000" w:sz="4" w:space="0"/>
              <w:left w:val="single" w:color="000000" w:sz="12" w:space="0"/>
              <w:bottom w:val="single" w:color="000000" w:sz="12" w:space="0"/>
              <w:right w:val="single" w:color="000000" w:sz="4" w:space="0"/>
            </w:tcBorders>
            <w:shd w:val="clear" w:color="auto" w:fill="auto"/>
            <w:tcMar>
              <w:top w:w="9" w:type="dxa"/>
              <w:left w:w="9" w:type="dxa"/>
              <w:right w:w="9" w:type="dxa"/>
            </w:tcMar>
            <w:vAlign w:val="center"/>
          </w:tcPr>
          <w:p>
            <w:pPr>
              <w:spacing w:line="360" w:lineRule="auto"/>
              <w:jc w:val="both"/>
              <w:rPr>
                <w:rFonts w:hint="eastAsia" w:ascii="宋体" w:hAnsi="宋体" w:eastAsia="宋体" w:cs="宋体"/>
                <w:i w:val="0"/>
                <w:color w:val="auto"/>
                <w:sz w:val="21"/>
                <w:szCs w:val="21"/>
                <w:highlight w:val="none"/>
                <w:u w:val="none"/>
              </w:rPr>
            </w:pPr>
          </w:p>
        </w:tc>
        <w:tc>
          <w:tcPr>
            <w:tcW w:w="1268" w:type="dxa"/>
            <w:vMerge w:val="continue"/>
            <w:tcBorders>
              <w:top w:val="single" w:color="000000" w:sz="4" w:space="0"/>
              <w:left w:val="single" w:color="000000" w:sz="4" w:space="0"/>
              <w:bottom w:val="single" w:color="000000" w:sz="12" w:space="0"/>
              <w:right w:val="single" w:color="000000" w:sz="4"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5777" w:type="dxa"/>
            <w:tcBorders>
              <w:top w:val="single" w:color="000000" w:sz="4" w:space="0"/>
              <w:left w:val="single" w:color="000000" w:sz="4" w:space="0"/>
              <w:bottom w:val="single" w:color="000000" w:sz="12" w:space="0"/>
              <w:right w:val="single" w:color="000000" w:sz="4" w:space="0"/>
            </w:tcBorders>
            <w:shd w:val="clear" w:color="auto" w:fill="auto"/>
            <w:tcMar>
              <w:top w:w="9" w:type="dxa"/>
              <w:left w:w="9" w:type="dxa"/>
              <w:right w:w="9" w:type="dxa"/>
            </w:tcMar>
            <w:vAlign w:val="center"/>
          </w:tcPr>
          <w:p>
            <w:pPr>
              <w:keepNext w:val="0"/>
              <w:keepLines w:val="0"/>
              <w:widowControl/>
              <w:suppressLineNumbers w:val="0"/>
              <w:spacing w:line="360" w:lineRule="auto"/>
              <w:ind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注：</w:t>
            </w:r>
          </w:p>
          <w:p>
            <w:pPr>
              <w:keepNext w:val="0"/>
              <w:keepLines w:val="0"/>
              <w:widowControl/>
              <w:suppressLineNumbers w:val="0"/>
              <w:spacing w:line="360" w:lineRule="auto"/>
              <w:ind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1、投标人应采用可交互的实际系统演示，仅用原型DEMO、图片、视频或PPT不得分；</w:t>
            </w:r>
          </w:p>
          <w:p>
            <w:pPr>
              <w:keepNext w:val="0"/>
              <w:keepLines w:val="0"/>
              <w:widowControl/>
              <w:suppressLineNumbers w:val="0"/>
              <w:spacing w:line="360" w:lineRule="auto"/>
              <w:ind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2、演示顺序以投标人加密电子投标文件送达时间依次进行，各投标人演示时间不超过30分钟（不含）演示准备时间； </w:t>
            </w:r>
          </w:p>
          <w:p>
            <w:pPr>
              <w:keepNext w:val="0"/>
              <w:keepLines w:val="0"/>
              <w:widowControl/>
              <w:suppressLineNumbers w:val="0"/>
              <w:spacing w:line="360" w:lineRule="auto"/>
              <w:ind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3、评标现场只提供场地、网络、电源、投影接入设备，演示所需要的电脑投标人自备；</w:t>
            </w:r>
          </w:p>
          <w:p>
            <w:pPr>
              <w:keepNext w:val="0"/>
              <w:keepLines w:val="0"/>
              <w:widowControl/>
              <w:suppressLineNumbers w:val="0"/>
              <w:spacing w:line="360" w:lineRule="auto"/>
              <w:ind w:firstLineChars="1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4、投标人的演示环境需使用POLARDB11数据库，使用其他版本数据库不得分。</w:t>
            </w:r>
          </w:p>
        </w:tc>
        <w:tc>
          <w:tcPr>
            <w:tcW w:w="825" w:type="dxa"/>
            <w:vMerge w:val="continue"/>
            <w:tcBorders>
              <w:top w:val="single" w:color="000000" w:sz="4" w:space="0"/>
              <w:left w:val="single" w:color="000000" w:sz="4" w:space="0"/>
              <w:bottom w:val="single" w:color="000000" w:sz="12" w:space="0"/>
              <w:right w:val="single" w:color="000000" w:sz="12" w:space="0"/>
            </w:tcBorders>
            <w:shd w:val="clear" w:color="auto" w:fill="auto"/>
            <w:tcMar>
              <w:top w:w="9" w:type="dxa"/>
              <w:left w:w="9" w:type="dxa"/>
              <w:right w:w="9" w:type="dxa"/>
            </w:tcMar>
            <w:vAlign w:val="center"/>
          </w:tcPr>
          <w:p>
            <w:pPr>
              <w:spacing w:line="360" w:lineRule="auto"/>
              <w:jc w:val="center"/>
              <w:rPr>
                <w:rFonts w:hint="eastAsia" w:ascii="宋体" w:hAnsi="宋体" w:eastAsia="宋体" w:cs="宋体"/>
                <w:i w:val="0"/>
                <w:color w:val="auto"/>
                <w:sz w:val="21"/>
                <w:szCs w:val="21"/>
                <w:highlight w:val="none"/>
                <w:u w:val="none"/>
              </w:rPr>
            </w:pPr>
          </w:p>
        </w:tc>
      </w:tr>
    </w:tbl>
    <w:p>
      <w:pPr>
        <w:pStyle w:val="8"/>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lang w:val="en-US" w:eastAsia="zh-CN"/>
        </w:rPr>
      </w:pPr>
    </w:p>
    <w:p>
      <w:pPr>
        <w:pStyle w:val="9"/>
        <w:rPr>
          <w:rFonts w:hint="eastAsia"/>
          <w:color w:val="auto"/>
          <w:highlight w:val="none"/>
          <w:lang w:val="en-US" w:eastAsia="zh-CN"/>
        </w:rPr>
      </w:pPr>
    </w:p>
    <w:p>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（三）商务报价（满分</w:t>
      </w:r>
      <w:r>
        <w:rPr>
          <w:rFonts w:hint="eastAsia" w:ascii="宋体" w:hAnsi="宋体" w:eastAsia="宋体" w:cs="宋体"/>
          <w:b/>
          <w:color w:val="auto"/>
          <w:sz w:val="21"/>
          <w:szCs w:val="21"/>
          <w:highlight w:val="none"/>
          <w:u w:val="single"/>
          <w:lang w:val="en-US" w:eastAsia="zh-CN"/>
        </w:rPr>
        <w:t xml:space="preserve"> 10 </w:t>
      </w:r>
      <w:r>
        <w:rPr>
          <w:rFonts w:hint="eastAsia" w:ascii="宋体" w:hAnsi="宋体" w:eastAsia="宋体" w:cs="宋体"/>
          <w:b/>
          <w:color w:val="auto"/>
          <w:sz w:val="21"/>
          <w:szCs w:val="21"/>
          <w:highlight w:val="none"/>
          <w:lang w:val="zh-CN"/>
        </w:rPr>
        <w:t>分）</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zh-CN"/>
        </w:rPr>
        <w:t>投标价格的合理性：</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2.商务报价计算</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各投标人的商务报价得分统一采用低价优先法计算，即满足采购文件要求且投标价格最低的投标报价为评标基准价，其价格分为满分</w:t>
      </w:r>
      <w:r>
        <w:rPr>
          <w:rFonts w:hint="eastAsia" w:ascii="宋体" w:hAnsi="宋体" w:eastAsia="宋体" w:cs="宋体"/>
          <w:color w:val="auto"/>
          <w:szCs w:val="21"/>
          <w:highlight w:val="none"/>
          <w:u w:val="single"/>
          <w:lang w:val="en-US" w:eastAsia="zh-CN"/>
        </w:rPr>
        <w:t xml:space="preserve"> 10 </w:t>
      </w:r>
      <w:r>
        <w:rPr>
          <w:rFonts w:hint="eastAsia" w:ascii="宋体" w:hAnsi="宋体" w:cs="宋体"/>
          <w:color w:val="auto"/>
          <w:szCs w:val="21"/>
          <w:highlight w:val="none"/>
        </w:rPr>
        <w:t>分</w:t>
      </w:r>
      <w:r>
        <w:rPr>
          <w:rFonts w:hint="eastAsia" w:ascii="宋体" w:hAnsi="宋体" w:cs="宋体"/>
          <w:color w:val="auto"/>
          <w:szCs w:val="21"/>
          <w:highlight w:val="none"/>
          <w:lang w:val="zh-CN"/>
        </w:rPr>
        <w:t>。其他投标人的商务报价得分统一按照下列公式计算：</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投标报价得分=（评标基准价/投标报价）×价格权值（即</w:t>
      </w:r>
      <w:r>
        <w:rPr>
          <w:rFonts w:hint="eastAsia" w:ascii="宋体" w:hAnsi="宋体" w:eastAsia="宋体" w:cs="宋体"/>
          <w:color w:val="auto"/>
          <w:szCs w:val="21"/>
          <w:highlight w:val="none"/>
          <w:u w:val="single"/>
          <w:lang w:val="en-US" w:eastAsia="zh-CN"/>
        </w:rPr>
        <w:t xml:space="preserve"> 10 </w:t>
      </w:r>
      <w:r>
        <w:rPr>
          <w:rFonts w:hint="eastAsia" w:ascii="宋体" w:hAnsi="宋体" w:cs="宋体"/>
          <w:color w:val="auto"/>
          <w:szCs w:val="21"/>
          <w:highlight w:val="none"/>
          <w:lang w:val="zh-CN"/>
        </w:rPr>
        <w:t>%）×100</w:t>
      </w:r>
    </w:p>
    <w:p>
      <w:pPr>
        <w:pStyle w:val="8"/>
        <w:numPr>
          <w:ilvl w:val="0"/>
          <w:numId w:val="24"/>
        </w:numPr>
        <w:spacing w:line="360" w:lineRule="auto"/>
        <w:ind w:firstLine="422" w:firstLineChars="200"/>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zh-CN" w:eastAsia="zh-CN"/>
        </w:rPr>
        <w:t>价格评审相关政策</w:t>
      </w:r>
    </w:p>
    <w:p>
      <w:pPr>
        <w:pStyle w:val="8"/>
        <w:numPr>
          <w:ilvl w:val="0"/>
          <w:numId w:val="0"/>
        </w:num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kern w:val="2"/>
          <w:szCs w:val="21"/>
          <w:highlight w:val="none"/>
          <w:lang w:val="zh-CN"/>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2"/>
          <w:szCs w:val="21"/>
          <w:highlight w:val="none"/>
          <w:lang w:val="zh-CN" w:eastAsia="zh-CN"/>
        </w:rPr>
        <w:t>2</w:t>
      </w:r>
      <w:r>
        <w:rPr>
          <w:rFonts w:hint="eastAsia" w:ascii="宋体" w:hAnsi="宋体" w:eastAsia="宋体" w:cs="宋体"/>
          <w:color w:val="auto"/>
          <w:kern w:val="2"/>
          <w:szCs w:val="21"/>
          <w:highlight w:val="none"/>
          <w:lang w:val="zh-CN"/>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2"/>
          <w:szCs w:val="21"/>
          <w:highlight w:val="none"/>
          <w:lang w:val="zh-CN" w:eastAsia="zh-CN"/>
        </w:rPr>
        <w:t>6</w:t>
      </w:r>
      <w:r>
        <w:rPr>
          <w:rFonts w:hint="eastAsia" w:ascii="宋体" w:hAnsi="宋体" w:eastAsia="宋体" w:cs="宋体"/>
          <w:color w:val="auto"/>
          <w:kern w:val="2"/>
          <w:szCs w:val="21"/>
          <w:highlight w:val="none"/>
          <w:lang w:val="zh-CN"/>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（四）其他</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评分时保留小数点后1位小数，计算评分值时保留小数点后2位小数，由评标委员会当场统一计算。</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投标人的最终总得分为技术商务及报价部分二部分得分的总和。</w:t>
      </w:r>
    </w:p>
    <w:p>
      <w:pPr>
        <w:adjustRightInd w:val="0"/>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snapToGrid w:val="0"/>
          <w:color w:val="auto"/>
          <w:kern w:val="0"/>
          <w:szCs w:val="21"/>
          <w:highlight w:val="none"/>
        </w:rPr>
        <w:t>报价是中标的一个重要因素，但最低报价不是中标的唯一依据。</w:t>
      </w:r>
    </w:p>
    <w:p>
      <w:pPr>
        <w:adjustRightInd w:val="0"/>
        <w:snapToGrid w:val="0"/>
        <w:spacing w:before="120" w:beforeLines="50" w:after="120" w:afterLines="50" w:line="360" w:lineRule="auto"/>
        <w:jc w:val="center"/>
        <w:outlineLvl w:val="0"/>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bookmarkStart w:id="380" w:name="_Toc1306"/>
      <w:bookmarkStart w:id="381" w:name="_Toc28666"/>
      <w:bookmarkStart w:id="382" w:name="_Toc251566668"/>
      <w:bookmarkStart w:id="383" w:name="_Toc15418"/>
      <w:bookmarkStart w:id="384" w:name="_Toc249760797"/>
      <w:bookmarkStart w:id="385" w:name="_Toc234764855"/>
      <w:bookmarkStart w:id="386" w:name="_Toc31237"/>
      <w:r>
        <w:rPr>
          <w:rFonts w:hint="eastAsia" w:ascii="宋体" w:hAnsi="宋体" w:cs="宋体"/>
          <w:b/>
          <w:color w:val="auto"/>
          <w:sz w:val="30"/>
          <w:szCs w:val="30"/>
          <w:highlight w:val="none"/>
        </w:rPr>
        <w:t>第六部分  投标文件格式</w:t>
      </w:r>
      <w:bookmarkEnd w:id="380"/>
      <w:bookmarkEnd w:id="381"/>
      <w:bookmarkEnd w:id="382"/>
      <w:bookmarkEnd w:id="383"/>
      <w:bookmarkEnd w:id="384"/>
      <w:bookmarkEnd w:id="385"/>
      <w:bookmarkEnd w:id="386"/>
    </w:p>
    <w:p>
      <w:pPr>
        <w:autoSpaceDE w:val="0"/>
        <w:autoSpaceDN w:val="0"/>
        <w:adjustRightInd w:val="0"/>
        <w:spacing w:line="360" w:lineRule="auto"/>
        <w:ind w:firstLine="480"/>
        <w:rPr>
          <w:rFonts w:hint="eastAsia" w:ascii="宋体" w:hAnsi="宋体" w:cs="宋体"/>
          <w:color w:val="auto"/>
          <w:sz w:val="24"/>
          <w:highlight w:val="none"/>
        </w:rPr>
      </w:pPr>
    </w:p>
    <w:p>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1．投标文件由投标人根据采购文件要求参照附件格式编制。</w:t>
      </w:r>
    </w:p>
    <w:p>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2．投标人根据实际情况填写。</w:t>
      </w:r>
    </w:p>
    <w:p>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3．采购文件中没有参考格式的，投标人自行编制。</w:t>
      </w:r>
    </w:p>
    <w:p>
      <w:pPr>
        <w:autoSpaceDE w:val="0"/>
        <w:autoSpaceDN w:val="0"/>
        <w:adjustRightInd w:val="0"/>
        <w:snapToGrid w:val="0"/>
        <w:spacing w:line="360" w:lineRule="auto"/>
        <w:outlineLvl w:val="1"/>
        <w:rPr>
          <w:rFonts w:hint="eastAsia" w:ascii="宋体" w:hAnsi="宋体" w:cs="宋体"/>
          <w:bCs/>
          <w:snapToGrid w:val="0"/>
          <w:color w:val="auto"/>
          <w:kern w:val="0"/>
          <w:szCs w:val="21"/>
          <w:highlight w:val="none"/>
        </w:rPr>
      </w:pPr>
      <w:r>
        <w:rPr>
          <w:rFonts w:hint="eastAsia" w:ascii="宋体" w:hAnsi="宋体" w:cs="宋体"/>
          <w:b/>
          <w:bCs/>
          <w:color w:val="auto"/>
          <w:sz w:val="32"/>
          <w:szCs w:val="32"/>
          <w:highlight w:val="none"/>
        </w:rPr>
        <w:br w:type="page"/>
      </w:r>
      <w:bookmarkStart w:id="387" w:name="_Toc27220"/>
      <w:bookmarkStart w:id="388" w:name="_Toc1647"/>
      <w:bookmarkStart w:id="389" w:name="_Toc30853"/>
      <w:bookmarkStart w:id="390" w:name="_Toc664"/>
      <w:bookmarkStart w:id="391" w:name="_Toc10652"/>
      <w:r>
        <w:rPr>
          <w:rFonts w:hint="eastAsia" w:ascii="宋体" w:hAnsi="宋体" w:cs="宋体"/>
          <w:bCs/>
          <w:snapToGrid w:val="0"/>
          <w:color w:val="auto"/>
          <w:kern w:val="0"/>
          <w:szCs w:val="21"/>
          <w:highlight w:val="none"/>
        </w:rPr>
        <w:t>一、</w:t>
      </w:r>
      <w:bookmarkEnd w:id="387"/>
      <w:bookmarkEnd w:id="388"/>
      <w:bookmarkStart w:id="392" w:name="_Toc32101"/>
      <w:bookmarkStart w:id="393" w:name="_Toc27346"/>
      <w:r>
        <w:rPr>
          <w:rFonts w:hint="eastAsia" w:ascii="宋体" w:hAnsi="宋体" w:cs="宋体"/>
          <w:bCs/>
          <w:snapToGrid w:val="0"/>
          <w:color w:val="auto"/>
          <w:kern w:val="0"/>
          <w:szCs w:val="21"/>
          <w:highlight w:val="none"/>
        </w:rPr>
        <w:t>投标文件封面（格式供参考）</w:t>
      </w:r>
      <w:bookmarkEnd w:id="389"/>
      <w:bookmarkEnd w:id="390"/>
      <w:bookmarkEnd w:id="391"/>
      <w:bookmarkEnd w:id="392"/>
      <w:bookmarkEnd w:id="393"/>
    </w:p>
    <w:p>
      <w:pPr>
        <w:autoSpaceDE w:val="0"/>
        <w:autoSpaceDN w:val="0"/>
        <w:adjustRightInd w:val="0"/>
        <w:rPr>
          <w:rFonts w:hint="eastAsia" w:ascii="宋体" w:hAnsi="宋体" w:cs="宋体"/>
          <w:bCs/>
          <w:color w:val="auto"/>
          <w:highlight w:val="none"/>
        </w:rPr>
      </w:pPr>
    </w:p>
    <w:p>
      <w:pPr>
        <w:autoSpaceDE w:val="0"/>
        <w:autoSpaceDN w:val="0"/>
        <w:adjustRightInd w:val="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1</w:t>
      </w:r>
      <w:r>
        <w:rPr>
          <w:rFonts w:hint="eastAsia" w:ascii="宋体" w:hAnsi="宋体" w:cs="宋体"/>
          <w:bCs/>
          <w:color w:val="auto"/>
          <w:highlight w:val="none"/>
          <w:lang w:eastAsia="zh-CN"/>
        </w:rPr>
        <w:t>报价响应文件</w:t>
      </w:r>
      <w:r>
        <w:rPr>
          <w:rFonts w:hint="eastAsia" w:ascii="宋体" w:hAnsi="宋体" w:cs="宋体"/>
          <w:bCs/>
          <w:color w:val="auto"/>
          <w:highlight w:val="none"/>
        </w:rPr>
        <w:t>封面格式</w:t>
      </w: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u w:val="single"/>
          <w:lang w:val="en-US" w:eastAsia="zh-CN"/>
        </w:rPr>
        <w:t xml:space="preserve">       项目名称       </w:t>
      </w:r>
    </w:p>
    <w:p>
      <w:pPr>
        <w:autoSpaceDE w:val="0"/>
        <w:autoSpaceDN w:val="0"/>
        <w:adjustRightInd w:val="0"/>
        <w:spacing w:line="360" w:lineRule="auto"/>
        <w:jc w:val="center"/>
        <w:rPr>
          <w:rFonts w:hint="eastAsia" w:ascii="宋体" w:hAnsi="宋体" w:cs="宋体"/>
          <w:color w:val="auto"/>
          <w:sz w:val="32"/>
          <w:szCs w:val="32"/>
          <w:highlight w:val="none"/>
          <w:u w:val="single"/>
        </w:rPr>
      </w:pPr>
    </w:p>
    <w:p>
      <w:pPr>
        <w:autoSpaceDE w:val="0"/>
        <w:autoSpaceDN w:val="0"/>
        <w:adjustRightInd w:val="0"/>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w:t>
      </w:r>
      <w:r>
        <w:rPr>
          <w:rFonts w:hint="eastAsia" w:ascii="宋体" w:hAnsi="宋体" w:cs="宋体"/>
          <w:b/>
          <w:color w:val="auto"/>
          <w:sz w:val="44"/>
          <w:szCs w:val="44"/>
          <w:highlight w:val="none"/>
          <w:lang w:eastAsia="zh-CN"/>
        </w:rPr>
        <w:t>报价响应文件</w:t>
      </w:r>
      <w:r>
        <w:rPr>
          <w:rFonts w:hint="eastAsia" w:ascii="宋体" w:hAnsi="宋体" w:cs="宋体"/>
          <w:b/>
          <w:color w:val="auto"/>
          <w:sz w:val="44"/>
          <w:szCs w:val="44"/>
          <w:highlight w:val="none"/>
        </w:rPr>
        <w:t>）</w:t>
      </w: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采购编号：ZJ-2272868</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w:t>
      </w:r>
      <w:r>
        <w:rPr>
          <w:rFonts w:hint="eastAsia" w:ascii="宋体" w:hAnsi="宋体" w:cs="宋体"/>
          <w:b/>
          <w:color w:val="auto"/>
          <w:sz w:val="32"/>
          <w:szCs w:val="32"/>
          <w:highlight w:val="none"/>
          <w:lang w:eastAsia="zh-CN"/>
        </w:rPr>
        <w:t>公</w:t>
      </w:r>
      <w:r>
        <w:rPr>
          <w:rFonts w:hint="eastAsia" w:ascii="宋体" w:hAnsi="宋体" w:cs="宋体"/>
          <w:b/>
          <w:color w:val="auto"/>
          <w:sz w:val="32"/>
          <w:szCs w:val="32"/>
          <w:highlight w:val="none"/>
        </w:rPr>
        <w:t>章</w:t>
      </w:r>
      <w:r>
        <w:rPr>
          <w:rFonts w:hint="eastAsia" w:ascii="宋体" w:hAnsi="宋体" w:cs="宋体"/>
          <w:b/>
          <w:color w:val="auto"/>
          <w:sz w:val="32"/>
          <w:szCs w:val="32"/>
          <w:highlight w:val="none"/>
          <w:lang w:eastAsia="zh-CN"/>
        </w:rPr>
        <w:t>或电子签章</w:t>
      </w:r>
      <w:r>
        <w:rPr>
          <w:rFonts w:hint="eastAsia" w:ascii="宋体" w:hAnsi="宋体" w:cs="宋体"/>
          <w:b/>
          <w:color w:val="auto"/>
          <w:sz w:val="32"/>
          <w:szCs w:val="32"/>
          <w:highlight w:val="none"/>
        </w:rPr>
        <w:t>）：</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rPr>
          <w:rFonts w:hint="eastAsia" w:ascii="宋体" w:hAnsi="宋体" w:cs="宋体"/>
          <w:bCs/>
          <w:color w:val="auto"/>
          <w:highlight w:val="none"/>
        </w:rPr>
      </w:pPr>
      <w:r>
        <w:rPr>
          <w:rFonts w:hint="eastAsia" w:ascii="宋体" w:hAnsi="宋体" w:cs="宋体"/>
          <w:color w:val="auto"/>
          <w:highlight w:val="none"/>
        </w:rPr>
        <w:br w:type="page"/>
      </w:r>
      <w:r>
        <w:rPr>
          <w:rFonts w:hint="eastAsia" w:ascii="宋体" w:hAnsi="宋体" w:cs="宋体"/>
          <w:bCs/>
          <w:color w:val="auto"/>
          <w:highlight w:val="none"/>
          <w:lang w:val="en-US" w:eastAsia="zh-CN"/>
        </w:rPr>
        <w:t>1.2</w:t>
      </w:r>
      <w:r>
        <w:rPr>
          <w:rFonts w:hint="eastAsia" w:ascii="宋体" w:hAnsi="宋体" w:cs="宋体"/>
          <w:bCs/>
          <w:color w:val="auto"/>
          <w:highlight w:val="none"/>
          <w:lang w:eastAsia="zh-CN"/>
        </w:rPr>
        <w:t>资格响应文件</w:t>
      </w:r>
      <w:r>
        <w:rPr>
          <w:rFonts w:hint="eastAsia" w:ascii="宋体" w:hAnsi="宋体" w:cs="宋体"/>
          <w:bCs/>
          <w:color w:val="auto"/>
          <w:highlight w:val="none"/>
        </w:rPr>
        <w:t>/</w:t>
      </w:r>
      <w:r>
        <w:rPr>
          <w:rFonts w:hint="eastAsia" w:ascii="宋体" w:hAnsi="宋体" w:cs="宋体"/>
          <w:bCs/>
          <w:color w:val="auto"/>
          <w:highlight w:val="none"/>
          <w:lang w:eastAsia="zh-CN"/>
        </w:rPr>
        <w:t>商务技术响应文件</w:t>
      </w:r>
      <w:r>
        <w:rPr>
          <w:rFonts w:hint="eastAsia" w:ascii="宋体" w:hAnsi="宋体" w:cs="宋体"/>
          <w:bCs/>
          <w:color w:val="auto"/>
          <w:highlight w:val="none"/>
        </w:rPr>
        <w:t>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u w:val="single"/>
          <w:lang w:val="en-US" w:eastAsia="zh-CN"/>
        </w:rPr>
        <w:t xml:space="preserve">       项目名称       </w:t>
      </w:r>
    </w:p>
    <w:p>
      <w:pPr>
        <w:autoSpaceDE w:val="0"/>
        <w:autoSpaceDN w:val="0"/>
        <w:adjustRightInd w:val="0"/>
        <w:spacing w:line="360" w:lineRule="auto"/>
        <w:jc w:val="center"/>
        <w:rPr>
          <w:rFonts w:hint="eastAsia" w:ascii="宋体" w:hAnsi="宋体" w:cs="宋体"/>
          <w:color w:val="auto"/>
          <w:sz w:val="32"/>
          <w:szCs w:val="32"/>
          <w:highlight w:val="none"/>
          <w:u w:val="single"/>
        </w:rPr>
      </w:pPr>
    </w:p>
    <w:p>
      <w:pPr>
        <w:autoSpaceDE w:val="0"/>
        <w:autoSpaceDN w:val="0"/>
        <w:adjustRightInd w:val="0"/>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w:t>
      </w:r>
      <w:r>
        <w:rPr>
          <w:rFonts w:hint="eastAsia" w:ascii="宋体" w:hAnsi="宋体" w:cs="宋体"/>
          <w:b/>
          <w:color w:val="auto"/>
          <w:sz w:val="44"/>
          <w:szCs w:val="44"/>
          <w:highlight w:val="none"/>
          <w:lang w:eastAsia="zh-CN"/>
        </w:rPr>
        <w:t>资格文件</w:t>
      </w:r>
      <w:r>
        <w:rPr>
          <w:rFonts w:hint="eastAsia" w:ascii="宋体" w:hAnsi="宋体" w:cs="宋体"/>
          <w:b/>
          <w:color w:val="auto"/>
          <w:sz w:val="44"/>
          <w:szCs w:val="44"/>
          <w:highlight w:val="none"/>
        </w:rPr>
        <w:t>/</w:t>
      </w:r>
      <w:r>
        <w:rPr>
          <w:rFonts w:hint="eastAsia" w:ascii="宋体" w:hAnsi="宋体" w:cs="宋体"/>
          <w:b/>
          <w:color w:val="auto"/>
          <w:sz w:val="44"/>
          <w:szCs w:val="44"/>
          <w:highlight w:val="none"/>
          <w:lang w:eastAsia="zh-CN"/>
        </w:rPr>
        <w:t>商务技术文件</w:t>
      </w:r>
      <w:r>
        <w:rPr>
          <w:rFonts w:hint="eastAsia" w:ascii="宋体" w:hAnsi="宋体" w:cs="宋体"/>
          <w:b/>
          <w:color w:val="auto"/>
          <w:sz w:val="44"/>
          <w:szCs w:val="44"/>
          <w:highlight w:val="none"/>
        </w:rPr>
        <w:t>）</w:t>
      </w: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采购编号：ZJ-2272868</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w:t>
      </w:r>
      <w:r>
        <w:rPr>
          <w:rFonts w:hint="eastAsia" w:ascii="宋体" w:hAnsi="宋体" w:cs="宋体"/>
          <w:b/>
          <w:color w:val="auto"/>
          <w:sz w:val="32"/>
          <w:szCs w:val="32"/>
          <w:highlight w:val="none"/>
          <w:lang w:eastAsia="zh-CN"/>
        </w:rPr>
        <w:t>公</w:t>
      </w:r>
      <w:r>
        <w:rPr>
          <w:rFonts w:hint="eastAsia" w:ascii="宋体" w:hAnsi="宋体" w:cs="宋体"/>
          <w:b/>
          <w:color w:val="auto"/>
          <w:sz w:val="32"/>
          <w:szCs w:val="32"/>
          <w:highlight w:val="none"/>
        </w:rPr>
        <w:t>章</w:t>
      </w:r>
      <w:r>
        <w:rPr>
          <w:rFonts w:hint="eastAsia" w:ascii="宋体" w:hAnsi="宋体" w:cs="宋体"/>
          <w:b/>
          <w:color w:val="auto"/>
          <w:sz w:val="32"/>
          <w:szCs w:val="32"/>
          <w:highlight w:val="none"/>
          <w:lang w:eastAsia="zh-CN"/>
        </w:rPr>
        <w:t>或电子签章</w:t>
      </w:r>
      <w:r>
        <w:rPr>
          <w:rFonts w:hint="eastAsia" w:ascii="宋体" w:hAnsi="宋体" w:cs="宋体"/>
          <w:b/>
          <w:color w:val="auto"/>
          <w:sz w:val="32"/>
          <w:szCs w:val="32"/>
          <w:highlight w:val="none"/>
        </w:rPr>
        <w:t>）：</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snapToGrid w:val="0"/>
          <w:color w:val="auto"/>
          <w:kern w:val="0"/>
          <w:highlight w:val="none"/>
        </w:rPr>
        <w:br w:type="page"/>
      </w:r>
    </w:p>
    <w:p>
      <w:pPr>
        <w:autoSpaceDE w:val="0"/>
        <w:autoSpaceDN w:val="0"/>
        <w:adjustRightInd w:val="0"/>
        <w:spacing w:line="360" w:lineRule="auto"/>
        <w:outlineLvl w:val="1"/>
        <w:rPr>
          <w:rFonts w:hint="eastAsia" w:ascii="宋体" w:hAnsi="宋体" w:eastAsia="宋体" w:cs="宋体"/>
          <w:b/>
          <w:bCs/>
          <w:color w:val="auto"/>
          <w:sz w:val="24"/>
          <w:highlight w:val="none"/>
          <w:lang w:eastAsia="zh-CN"/>
        </w:rPr>
      </w:pPr>
      <w:bookmarkStart w:id="394" w:name="_Toc15653"/>
      <w:bookmarkStart w:id="395" w:name="_Toc31523"/>
      <w:bookmarkStart w:id="396" w:name="_Toc11494"/>
      <w:bookmarkStart w:id="397" w:name="_Toc7360"/>
      <w:bookmarkStart w:id="398" w:name="_Toc18146"/>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bookmarkEnd w:id="394"/>
      <w:bookmarkEnd w:id="395"/>
      <w:r>
        <w:rPr>
          <w:rFonts w:hint="eastAsia" w:ascii="宋体" w:hAnsi="宋体" w:cs="宋体"/>
          <w:b/>
          <w:bCs/>
          <w:color w:val="auto"/>
          <w:sz w:val="24"/>
          <w:highlight w:val="none"/>
          <w:lang w:eastAsia="zh-CN"/>
        </w:rPr>
        <w:t>资格响应文件</w:t>
      </w:r>
      <w:bookmarkEnd w:id="396"/>
      <w:bookmarkEnd w:id="397"/>
      <w:bookmarkEnd w:id="398"/>
    </w:p>
    <w:p>
      <w:pPr>
        <w:autoSpaceDE w:val="0"/>
        <w:autoSpaceDN w:val="0"/>
        <w:adjustRightInd w:val="0"/>
        <w:snapToGrid w:val="0"/>
        <w:spacing w:line="360" w:lineRule="auto"/>
        <w:ind w:right="420"/>
        <w:rPr>
          <w:rFonts w:hint="eastAsia" w:ascii="宋体" w:hAnsi="宋体" w:cs="宋体"/>
          <w:b/>
          <w:snapToGrid w:val="0"/>
          <w:color w:val="auto"/>
          <w:kern w:val="0"/>
          <w:highlight w:val="none"/>
        </w:rPr>
      </w:pPr>
      <w:r>
        <w:rPr>
          <w:rFonts w:hint="eastAsia" w:ascii="宋体" w:hAnsi="宋体" w:cs="宋体"/>
          <w:b/>
          <w:snapToGrid w:val="0"/>
          <w:color w:val="auto"/>
          <w:kern w:val="0"/>
          <w:highlight w:val="none"/>
          <w:lang w:val="en-US" w:eastAsia="zh-CN"/>
        </w:rPr>
        <w:t>2</w:t>
      </w:r>
      <w:r>
        <w:rPr>
          <w:rFonts w:hint="eastAsia" w:ascii="宋体" w:hAnsi="宋体" w:cs="宋体"/>
          <w:b/>
          <w:snapToGrid w:val="0"/>
          <w:color w:val="auto"/>
          <w:kern w:val="0"/>
          <w:highlight w:val="none"/>
        </w:rPr>
        <w:t>.1资格审查需要的资料</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35" w:type="dxa"/>
            <w:noWrap w:val="0"/>
            <w:vAlign w:val="center"/>
          </w:tcPr>
          <w:p>
            <w:pPr>
              <w:ind w:left="344" w:leftChars="114" w:hanging="105" w:hangingChars="50"/>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4338" w:type="dxa"/>
            <w:noWrap w:val="0"/>
            <w:vAlign w:val="center"/>
          </w:tcPr>
          <w:p>
            <w:pPr>
              <w:ind w:left="2"/>
              <w:jc w:val="center"/>
              <w:rPr>
                <w:rFonts w:hint="eastAsia" w:ascii="宋体" w:hAnsi="宋体" w:cs="宋体"/>
                <w:color w:val="auto"/>
                <w:szCs w:val="21"/>
                <w:highlight w:val="none"/>
              </w:rPr>
            </w:pPr>
            <w:r>
              <w:rPr>
                <w:rFonts w:hint="eastAsia" w:ascii="宋体" w:hAnsi="宋体" w:cs="宋体"/>
                <w:color w:val="auto"/>
                <w:szCs w:val="21"/>
                <w:highlight w:val="none"/>
              </w:rPr>
              <w:t>相关证明文件</w:t>
            </w:r>
          </w:p>
        </w:tc>
        <w:tc>
          <w:tcPr>
            <w:tcW w:w="1474" w:type="dxa"/>
            <w:noWrap w:val="0"/>
            <w:vAlign w:val="center"/>
          </w:tcPr>
          <w:p>
            <w:pPr>
              <w:ind w:left="2"/>
              <w:jc w:val="center"/>
              <w:rPr>
                <w:rFonts w:hint="eastAsia" w:ascii="宋体" w:hAnsi="宋体" w:cs="宋体"/>
                <w:color w:val="auto"/>
                <w:szCs w:val="21"/>
                <w:highlight w:val="none"/>
              </w:rPr>
            </w:pPr>
            <w:r>
              <w:rPr>
                <w:rFonts w:hint="eastAsia" w:ascii="宋体" w:hAnsi="宋体" w:cs="宋体"/>
                <w:color w:val="auto"/>
                <w:szCs w:val="21"/>
                <w:highlight w:val="none"/>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35" w:type="dxa"/>
            <w:noWrap w:val="0"/>
            <w:vAlign w:val="center"/>
          </w:tcPr>
          <w:p>
            <w:pPr>
              <w:widowControl/>
              <w:adjustRightInd w:val="0"/>
              <w:snapToGrid w:val="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采购公告第</w:t>
            </w:r>
            <w:r>
              <w:rPr>
                <w:rFonts w:hint="eastAsia" w:ascii="宋体" w:hAnsi="宋体" w:cs="宋体"/>
                <w:b/>
                <w:snapToGrid w:val="0"/>
                <w:color w:val="auto"/>
                <w:kern w:val="0"/>
                <w:szCs w:val="21"/>
                <w:highlight w:val="none"/>
                <w:lang w:eastAsia="zh-CN"/>
              </w:rPr>
              <w:t>二</w:t>
            </w:r>
            <w:r>
              <w:rPr>
                <w:rFonts w:hint="eastAsia" w:ascii="宋体" w:hAnsi="宋体" w:cs="宋体"/>
                <w:b/>
                <w:snapToGrid w:val="0"/>
                <w:color w:val="auto"/>
                <w:kern w:val="0"/>
                <w:szCs w:val="21"/>
                <w:highlight w:val="none"/>
              </w:rPr>
              <w:t>条要求</w:t>
            </w:r>
          </w:p>
        </w:tc>
        <w:tc>
          <w:tcPr>
            <w:tcW w:w="4338" w:type="dxa"/>
            <w:noWrap w:val="0"/>
            <w:vAlign w:val="center"/>
          </w:tcPr>
          <w:p>
            <w:pPr>
              <w:tabs>
                <w:tab w:val="left" w:pos="720"/>
              </w:tabs>
              <w:adjustRightInd w:val="0"/>
              <w:snapToGrid w:val="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采购文件投标须知9.1条规定的相关资料</w:t>
            </w:r>
          </w:p>
        </w:tc>
        <w:tc>
          <w:tcPr>
            <w:tcW w:w="1474" w:type="dxa"/>
            <w:noWrap w:val="0"/>
            <w:vAlign w:val="center"/>
          </w:tcPr>
          <w:p>
            <w:pPr>
              <w:adjustRightInd w:val="0"/>
              <w:snapToGrid w:val="0"/>
              <w:jc w:val="left"/>
              <w:rPr>
                <w:rFonts w:hint="eastAsia" w:ascii="宋体" w:hAnsi="宋体" w:cs="宋体"/>
                <w:color w:val="auto"/>
                <w:szCs w:val="21"/>
                <w:highlight w:val="none"/>
              </w:rPr>
            </w:pPr>
          </w:p>
        </w:tc>
      </w:tr>
    </w:tbl>
    <w:p>
      <w:pPr>
        <w:tabs>
          <w:tab w:val="left" w:pos="735"/>
        </w:tabs>
        <w:adjustRightInd w:val="0"/>
        <w:snapToGrid w:val="0"/>
        <w:spacing w:line="360" w:lineRule="auto"/>
        <w:rPr>
          <w:rFonts w:hint="eastAsia" w:ascii="宋体" w:hAnsi="宋体" w:cs="宋体"/>
          <w:b/>
          <w:color w:val="auto"/>
          <w:szCs w:val="21"/>
          <w:highlight w:val="none"/>
        </w:rPr>
      </w:pPr>
      <w:r>
        <w:rPr>
          <w:rFonts w:hint="eastAsia" w:ascii="宋体" w:hAnsi="宋体" w:cs="宋体"/>
          <w:b/>
          <w:snapToGrid w:val="0"/>
          <w:color w:val="auto"/>
          <w:kern w:val="0"/>
          <w:szCs w:val="21"/>
          <w:highlight w:val="none"/>
        </w:rPr>
        <w:t>注：证明材料附后。</w:t>
      </w:r>
    </w:p>
    <w:p>
      <w:pPr>
        <w:pStyle w:val="17"/>
        <w:tabs>
          <w:tab w:val="left" w:pos="630"/>
          <w:tab w:val="left" w:pos="840"/>
          <w:tab w:val="left" w:pos="1050"/>
        </w:tabs>
        <w:adjustRightInd w:val="0"/>
        <w:snapToGrid w:val="0"/>
        <w:spacing w:before="0" w:beforeAutospacing="0" w:after="0" w:afterAutospacing="0" w:line="360" w:lineRule="auto"/>
        <w:rPr>
          <w:rFonts w:hint="eastAsia" w:ascii="宋体" w:hAnsi="宋体" w:cs="宋体"/>
          <w:b/>
          <w:bCs/>
          <w:color w:val="auto"/>
          <w:sz w:val="21"/>
          <w:szCs w:val="21"/>
          <w:highlight w:val="none"/>
        </w:rPr>
      </w:pPr>
      <w:r>
        <w:rPr>
          <w:rFonts w:hint="eastAsia" w:ascii="宋体" w:hAnsi="宋体" w:cs="宋体"/>
          <w:color w:val="auto"/>
          <w:highlight w:val="none"/>
        </w:rPr>
        <w:br w:type="page"/>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.2基本资格条件相关证明材料</w:t>
      </w:r>
    </w:p>
    <w:p>
      <w:pPr>
        <w:pStyle w:val="17"/>
        <w:numPr>
          <w:ilvl w:val="0"/>
          <w:numId w:val="2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具有独立承担民事责任能力的证明材料：</w:t>
      </w:r>
    </w:p>
    <w:p>
      <w:pPr>
        <w:pStyle w:val="17"/>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投标人须在投标文件中出具符合以下情况的证明材料复印件（五选一）：</w:t>
      </w:r>
    </w:p>
    <w:p>
      <w:pPr>
        <w:pStyle w:val="17"/>
        <w:numPr>
          <w:ilvl w:val="0"/>
          <w:numId w:val="2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如投标人是企业（包括合伙企业），提供在工商部门注册的有效“企业法人营业执照”或“营业执照”；</w:t>
      </w:r>
    </w:p>
    <w:p>
      <w:pPr>
        <w:pStyle w:val="17"/>
        <w:numPr>
          <w:ilvl w:val="0"/>
          <w:numId w:val="2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如投标人是事业单位，提供有效的“事业单位法人证书”；</w:t>
      </w:r>
    </w:p>
    <w:p>
      <w:pPr>
        <w:pStyle w:val="17"/>
        <w:numPr>
          <w:ilvl w:val="0"/>
          <w:numId w:val="2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如投标人是非企业专业服务机构的，提供执业许可证等证明文件；</w:t>
      </w:r>
    </w:p>
    <w:p>
      <w:pPr>
        <w:pStyle w:val="17"/>
        <w:numPr>
          <w:ilvl w:val="0"/>
          <w:numId w:val="2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如投标人是个体工商户，提供有效的“个体工商户营业执照”；</w:t>
      </w:r>
    </w:p>
    <w:p>
      <w:pPr>
        <w:pStyle w:val="17"/>
        <w:numPr>
          <w:ilvl w:val="0"/>
          <w:numId w:val="2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如投标人是自然人，提供有效的自然人身份证明（居民身份证正反面或公安机关出具的临时居民身份证正反面或港澳台胞证或护照）。</w:t>
      </w:r>
    </w:p>
    <w:p>
      <w:pPr>
        <w:pStyle w:val="17"/>
        <w:tabs>
          <w:tab w:val="left" w:pos="312"/>
        </w:tabs>
        <w:adjustRightInd w:val="0"/>
        <w:snapToGrid w:val="0"/>
        <w:spacing w:before="0" w:beforeAutospacing="0" w:after="0" w:afterAutospacing="0" w:line="360" w:lineRule="auto"/>
        <w:ind w:left="420" w:left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pPr>
        <w:pStyle w:val="17"/>
        <w:numPr>
          <w:ilvl w:val="0"/>
          <w:numId w:val="2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符合参与政府采购活动资格条件的承诺函：</w:t>
      </w:r>
    </w:p>
    <w:p>
      <w:pPr>
        <w:pStyle w:val="17"/>
        <w:numPr>
          <w:ilvl w:val="0"/>
          <w:numId w:val="0"/>
        </w:numPr>
        <w:adjustRightInd w:val="0"/>
        <w:snapToGrid w:val="0"/>
        <w:spacing w:before="0" w:beforeAutospacing="0" w:after="0" w:afterAutospacing="0" w:line="360" w:lineRule="auto"/>
        <w:ind w:leftChars="200"/>
        <w:rPr>
          <w:rFonts w:hint="eastAsia" w:ascii="宋体" w:hAnsi="宋体" w:cs="宋体"/>
          <w:b/>
          <w:bCs/>
          <w:color w:val="auto"/>
          <w:sz w:val="21"/>
          <w:szCs w:val="21"/>
          <w:highlight w:val="none"/>
        </w:rPr>
      </w:pPr>
    </w:p>
    <w:p>
      <w:pPr>
        <w:pStyle w:val="17"/>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color w:val="auto"/>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single"/>
        </w:rPr>
        <w:t>（采购人）：</w:t>
      </w: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3" w:firstLineChars="400"/>
        <w:textAlignment w:val="auto"/>
        <w:rPr>
          <w:rFonts w:hint="eastAsia" w:ascii="宋体" w:hAnsi="宋体" w:eastAsia="宋体" w:cs="宋体"/>
          <w:b/>
          <w:bCs/>
          <w:color w:val="auto"/>
          <w:sz w:val="21"/>
          <w:szCs w:val="21"/>
          <w:highlight w:val="none"/>
          <w:lang w:eastAsia="zh-CN"/>
        </w:rPr>
      </w:pPr>
    </w:p>
    <w:p>
      <w:pPr>
        <w:pStyle w:val="1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eastAsia="zh-CN"/>
        </w:rPr>
        <w:t>我方</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lang w:val="en-US" w:eastAsia="zh-CN"/>
        </w:rPr>
        <w:t>（投标人全称）</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none"/>
          <w:lang w:val="en-US" w:eastAsia="zh-CN"/>
        </w:rPr>
        <w:t>参与</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lang w:val="en-US" w:eastAsia="zh-CN"/>
        </w:rPr>
        <w:t xml:space="preserve">  （项目名称）</w:t>
      </w:r>
      <w:r>
        <w:rPr>
          <w:rFonts w:hint="eastAsia" w:ascii="宋体" w:hAnsi="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政府采购活动，</w:t>
      </w:r>
      <w:r>
        <w:rPr>
          <w:rFonts w:hint="eastAsia" w:ascii="宋体" w:hAnsi="宋体" w:cs="宋体"/>
          <w:b/>
          <w:bCs/>
          <w:color w:val="auto"/>
          <w:sz w:val="21"/>
          <w:szCs w:val="21"/>
          <w:highlight w:val="none"/>
          <w:u w:val="none"/>
          <w:lang w:val="en-US" w:eastAsia="zh-CN"/>
        </w:rPr>
        <w:t>针对《中华人民共和国政府采购法》第二十二条所述条件做如下承诺：</w:t>
      </w:r>
    </w:p>
    <w:p>
      <w:pPr>
        <w:pStyle w:val="17"/>
        <w:keepNext w:val="0"/>
        <w:keepLines w:val="0"/>
        <w:pageBreakBefore w:val="0"/>
        <w:numPr>
          <w:ilvl w:val="0"/>
          <w:numId w:val="2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cs="宋体"/>
          <w:b/>
          <w:bCs/>
          <w:color w:val="auto"/>
          <w:sz w:val="21"/>
          <w:szCs w:val="21"/>
          <w:highlight w:val="none"/>
          <w:u w:val="none"/>
          <w:lang w:eastAsia="zh-CN"/>
        </w:rPr>
      </w:pPr>
      <w:r>
        <w:rPr>
          <w:rFonts w:hint="eastAsia" w:ascii="宋体" w:hAnsi="宋体" w:cs="宋体"/>
          <w:b/>
          <w:bCs/>
          <w:color w:val="auto"/>
          <w:sz w:val="21"/>
          <w:szCs w:val="21"/>
          <w:highlight w:val="none"/>
          <w:lang w:val="en-US" w:eastAsia="zh-CN"/>
        </w:rPr>
        <w:t>我方</w:t>
      </w:r>
      <w:r>
        <w:rPr>
          <w:rFonts w:hint="eastAsia" w:ascii="宋体" w:hAnsi="宋体" w:eastAsia="宋体" w:cs="宋体"/>
          <w:b/>
          <w:bCs/>
          <w:color w:val="auto"/>
          <w:sz w:val="21"/>
          <w:szCs w:val="21"/>
          <w:highlight w:val="none"/>
          <w:lang w:eastAsia="zh-CN"/>
        </w:rPr>
        <w:t>具有</w:t>
      </w:r>
      <w:r>
        <w:rPr>
          <w:rFonts w:hint="eastAsia" w:ascii="宋体" w:hAnsi="宋体" w:cs="宋体"/>
          <w:b/>
          <w:bCs/>
          <w:color w:val="auto"/>
          <w:sz w:val="21"/>
          <w:szCs w:val="21"/>
          <w:highlight w:val="none"/>
          <w:lang w:eastAsia="zh-CN"/>
        </w:rPr>
        <w:t>良好的商业信誉和</w:t>
      </w:r>
      <w:r>
        <w:rPr>
          <w:rFonts w:hint="eastAsia" w:ascii="宋体" w:hAnsi="宋体" w:eastAsia="宋体" w:cs="宋体"/>
          <w:b/>
          <w:bCs/>
          <w:color w:val="auto"/>
          <w:sz w:val="21"/>
          <w:szCs w:val="21"/>
          <w:highlight w:val="none"/>
          <w:u w:val="none"/>
          <w:lang w:eastAsia="zh-CN"/>
        </w:rPr>
        <w:t>健全的财务会计制度</w:t>
      </w:r>
      <w:r>
        <w:rPr>
          <w:rFonts w:hint="eastAsia" w:ascii="宋体" w:hAnsi="宋体" w:cs="宋体"/>
          <w:b/>
          <w:bCs/>
          <w:color w:val="auto"/>
          <w:sz w:val="21"/>
          <w:szCs w:val="21"/>
          <w:highlight w:val="none"/>
          <w:u w:val="none"/>
          <w:lang w:eastAsia="zh-CN"/>
        </w:rPr>
        <w:t>；</w:t>
      </w:r>
    </w:p>
    <w:p>
      <w:pPr>
        <w:pStyle w:val="17"/>
        <w:keepNext w:val="0"/>
        <w:keepLines w:val="0"/>
        <w:pageBreakBefore w:val="0"/>
        <w:numPr>
          <w:ilvl w:val="0"/>
          <w:numId w:val="2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我方</w:t>
      </w:r>
      <w:r>
        <w:rPr>
          <w:rFonts w:hint="eastAsia" w:ascii="宋体" w:hAnsi="宋体" w:eastAsia="宋体" w:cs="宋体"/>
          <w:b/>
          <w:bCs/>
          <w:color w:val="auto"/>
          <w:sz w:val="21"/>
          <w:szCs w:val="21"/>
          <w:highlight w:val="none"/>
          <w:lang w:eastAsia="zh-CN"/>
        </w:rPr>
        <w:t>具有履行</w:t>
      </w:r>
      <w:r>
        <w:rPr>
          <w:rFonts w:hint="eastAsia" w:ascii="宋体" w:hAnsi="宋体" w:cs="宋体"/>
          <w:b/>
          <w:bCs/>
          <w:color w:val="auto"/>
          <w:sz w:val="21"/>
          <w:szCs w:val="21"/>
          <w:highlight w:val="none"/>
          <w:lang w:eastAsia="zh-CN"/>
        </w:rPr>
        <w:t>本项目</w:t>
      </w:r>
      <w:r>
        <w:rPr>
          <w:rFonts w:hint="eastAsia" w:ascii="宋体" w:hAnsi="宋体" w:eastAsia="宋体" w:cs="宋体"/>
          <w:b/>
          <w:bCs/>
          <w:color w:val="auto"/>
          <w:sz w:val="21"/>
          <w:szCs w:val="21"/>
          <w:highlight w:val="none"/>
          <w:lang w:eastAsia="zh-CN"/>
        </w:rPr>
        <w:t>合同所必需的设备和专业技术能力</w:t>
      </w:r>
      <w:r>
        <w:rPr>
          <w:rFonts w:hint="eastAsia" w:ascii="宋体" w:hAnsi="宋体" w:cs="宋体"/>
          <w:b/>
          <w:bCs/>
          <w:color w:val="auto"/>
          <w:sz w:val="21"/>
          <w:szCs w:val="21"/>
          <w:highlight w:val="none"/>
          <w:lang w:eastAsia="zh-CN"/>
        </w:rPr>
        <w:t>；</w:t>
      </w:r>
    </w:p>
    <w:p>
      <w:pPr>
        <w:pStyle w:val="17"/>
        <w:keepNext w:val="0"/>
        <w:keepLines w:val="0"/>
        <w:pageBreakBefore w:val="0"/>
        <w:numPr>
          <w:ilvl w:val="0"/>
          <w:numId w:val="2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u w:val="none"/>
          <w:lang w:eastAsia="zh-CN"/>
        </w:rPr>
        <w:t>我方</w:t>
      </w:r>
      <w:r>
        <w:rPr>
          <w:rFonts w:hint="eastAsia" w:ascii="宋体" w:hAnsi="宋体" w:eastAsia="宋体" w:cs="宋体"/>
          <w:b/>
          <w:bCs/>
          <w:color w:val="auto"/>
          <w:sz w:val="21"/>
          <w:szCs w:val="21"/>
          <w:highlight w:val="none"/>
          <w:u w:val="none"/>
          <w:lang w:eastAsia="zh-CN"/>
        </w:rPr>
        <w:t>没有缴纳税收和社会保障等方面的失信记录</w:t>
      </w:r>
      <w:r>
        <w:rPr>
          <w:rFonts w:hint="eastAsia" w:ascii="宋体" w:hAnsi="宋体" w:cs="宋体"/>
          <w:b/>
          <w:bCs/>
          <w:color w:val="auto"/>
          <w:sz w:val="21"/>
          <w:szCs w:val="21"/>
          <w:highlight w:val="none"/>
          <w:u w:val="none"/>
          <w:lang w:eastAsia="zh-CN"/>
        </w:rPr>
        <w:t>；</w:t>
      </w:r>
    </w:p>
    <w:p>
      <w:pPr>
        <w:pStyle w:val="17"/>
        <w:keepNext w:val="0"/>
        <w:keepLines w:val="0"/>
        <w:pageBreakBefore w:val="0"/>
        <w:numPr>
          <w:ilvl w:val="0"/>
          <w:numId w:val="2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我方对上述承诺内容的真实性负责。如有虚假，将依法承担相应责任。</w:t>
      </w: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供应商名称（盖公章或电子签章） ： </w:t>
      </w: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日期：  年  月  日    </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特别说明：已完成信用修复的“缴纳税收和社会保障等方面的失信记录”不包含在上述第3点所述情形内（属于重大违法纪录情形的除外）。</w:t>
      </w:r>
    </w:p>
    <w:p>
      <w:pPr>
        <w:tabs>
          <w:tab w:val="left" w:pos="4860"/>
        </w:tabs>
        <w:spacing w:line="588" w:lineRule="exact"/>
        <w:ind w:right="1560" w:firstLine="422" w:firstLineChars="200"/>
        <w:jc w:val="center"/>
        <w:rPr>
          <w:rFonts w:hint="eastAsia" w:ascii="宋体" w:hAnsi="宋体" w:eastAsia="宋体" w:cs="宋体"/>
          <w:color w:val="auto"/>
          <w:spacing w:val="6"/>
          <w:szCs w:val="21"/>
          <w:highlight w:val="none"/>
          <w:lang w:eastAsia="zh-CN"/>
        </w:rPr>
      </w:pPr>
      <w:r>
        <w:rPr>
          <w:rFonts w:hint="eastAsia" w:ascii="宋体" w:hAnsi="宋体" w:eastAsia="宋体" w:cs="宋体"/>
          <w:b/>
          <w:bCs/>
          <w:color w:val="auto"/>
          <w:sz w:val="21"/>
          <w:szCs w:val="21"/>
          <w:highlight w:val="none"/>
          <w:u w:val="none"/>
          <w:lang w:val="en-US" w:eastAsia="zh-CN"/>
        </w:rPr>
        <w:br w:type="page"/>
      </w:r>
      <w:r>
        <w:rPr>
          <w:rFonts w:hint="eastAsia" w:ascii="宋体" w:hAnsi="宋体" w:eastAsia="宋体" w:cs="宋体"/>
          <w:b/>
          <w:snapToGrid w:val="0"/>
          <w:color w:val="auto"/>
          <w:kern w:val="0"/>
          <w:szCs w:val="21"/>
          <w:highlight w:val="none"/>
          <w:lang w:val="en-US" w:eastAsia="zh-CN"/>
        </w:rPr>
        <w:t>2.3</w:t>
      </w:r>
      <w:r>
        <w:rPr>
          <w:rFonts w:hint="eastAsia" w:ascii="宋体" w:hAnsi="宋体" w:eastAsia="宋体" w:cs="宋体"/>
          <w:b/>
          <w:snapToGrid w:val="0"/>
          <w:color w:val="auto"/>
          <w:kern w:val="0"/>
          <w:szCs w:val="21"/>
          <w:highlight w:val="none"/>
          <w:lang w:eastAsia="zh-CN"/>
        </w:rPr>
        <w:t>落实政府采购政策需满足的资格要求所对应的证明材料：</w:t>
      </w:r>
      <w:r>
        <w:rPr>
          <w:rFonts w:hint="eastAsia" w:ascii="宋体" w:hAnsi="宋体" w:cs="宋体"/>
          <w:color w:val="auto"/>
          <w:spacing w:val="6"/>
          <w:szCs w:val="21"/>
          <w:highlight w:val="none"/>
          <w:lang w:eastAsia="zh-CN"/>
        </w:rPr>
        <w:t>无</w:t>
      </w:r>
    </w:p>
    <w:p>
      <w:pPr>
        <w:tabs>
          <w:tab w:val="left" w:pos="720"/>
        </w:tabs>
        <w:adjustRightInd w:val="0"/>
        <w:snapToGrid w:val="0"/>
        <w:spacing w:line="360" w:lineRule="auto"/>
        <w:jc w:val="both"/>
        <w:rPr>
          <w:rFonts w:hint="eastAsia" w:ascii="宋体" w:hAnsi="宋体" w:eastAsia="宋体" w:cs="宋体"/>
          <w:b/>
          <w:snapToGrid w:val="0"/>
          <w:color w:val="auto"/>
          <w:kern w:val="0"/>
          <w:szCs w:val="21"/>
          <w:highlight w:val="none"/>
          <w:lang w:eastAsia="zh-CN"/>
        </w:rPr>
      </w:pPr>
      <w:r>
        <w:rPr>
          <w:rFonts w:hint="eastAsia" w:ascii="宋体" w:hAnsi="宋体" w:cs="宋体"/>
          <w:color w:val="auto"/>
          <w:spacing w:val="6"/>
          <w:szCs w:val="21"/>
          <w:highlight w:val="none"/>
        </w:rPr>
        <w:br w:type="page"/>
      </w:r>
    </w:p>
    <w:p>
      <w:pPr>
        <w:numPr>
          <w:ilvl w:val="0"/>
          <w:numId w:val="0"/>
        </w:numPr>
        <w:tabs>
          <w:tab w:val="left" w:pos="720"/>
        </w:tabs>
        <w:adjustRightInd w:val="0"/>
        <w:snapToGrid w:val="0"/>
        <w:spacing w:line="360" w:lineRule="auto"/>
        <w:jc w:val="left"/>
        <w:rPr>
          <w:rFonts w:hint="eastAsia" w:ascii="宋体" w:hAnsi="宋体" w:eastAsia="宋体" w:cs="宋体"/>
          <w:b/>
          <w:i/>
          <w:iCs/>
          <w:snapToGrid w:val="0"/>
          <w:color w:val="auto"/>
          <w:kern w:val="0"/>
          <w:szCs w:val="21"/>
          <w:highlight w:val="none"/>
          <w:lang w:eastAsia="zh-CN"/>
        </w:rPr>
      </w:pPr>
      <w:r>
        <w:rPr>
          <w:rFonts w:hint="eastAsia" w:ascii="宋体" w:hAnsi="宋体" w:eastAsia="宋体" w:cs="宋体"/>
          <w:b/>
          <w:snapToGrid w:val="0"/>
          <w:color w:val="auto"/>
          <w:kern w:val="0"/>
          <w:szCs w:val="21"/>
          <w:highlight w:val="none"/>
          <w:lang w:val="en-US" w:eastAsia="zh-CN"/>
        </w:rPr>
        <w:t>2.4</w:t>
      </w:r>
      <w:r>
        <w:rPr>
          <w:rFonts w:hint="eastAsia" w:ascii="宋体" w:hAnsi="宋体" w:eastAsia="宋体" w:cs="宋体"/>
          <w:b/>
          <w:snapToGrid w:val="0"/>
          <w:color w:val="auto"/>
          <w:kern w:val="0"/>
          <w:szCs w:val="21"/>
          <w:highlight w:val="none"/>
          <w:lang w:eastAsia="zh-CN"/>
        </w:rPr>
        <w:t>特定资格条件对应的证明材料：</w:t>
      </w:r>
      <w:r>
        <w:rPr>
          <w:rFonts w:hint="eastAsia" w:ascii="宋体" w:hAnsi="宋体" w:eastAsia="宋体" w:cs="宋体"/>
          <w:b/>
          <w:i/>
          <w:iCs/>
          <w:snapToGrid w:val="0"/>
          <w:color w:val="auto"/>
          <w:kern w:val="0"/>
          <w:szCs w:val="21"/>
          <w:highlight w:val="none"/>
          <w:lang w:eastAsia="zh-CN"/>
        </w:rPr>
        <w:t>无</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宋体" w:hAnsi="宋体" w:cs="宋体"/>
          <w:color w:val="auto"/>
          <w:highlight w:val="none"/>
        </w:rPr>
        <w:br w:type="page"/>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bidi w:val="0"/>
        <w:rPr>
          <w:rFonts w:hint="eastAsia" w:ascii="宋体" w:hAnsi="宋体" w:cs="宋体"/>
          <w:color w:val="auto"/>
          <w:highlight w:val="none"/>
        </w:rPr>
      </w:pPr>
      <w:r>
        <w:rPr>
          <w:rFonts w:hint="eastAsia" w:ascii="宋体" w:hAnsi="宋体" w:cs="宋体"/>
          <w:color w:val="auto"/>
          <w:highlight w:val="none"/>
        </w:rPr>
        <w:br w:type="page"/>
      </w:r>
      <w:bookmarkStart w:id="399" w:name="_Toc3961"/>
    </w:p>
    <w:p>
      <w:pPr>
        <w:autoSpaceDE w:val="0"/>
        <w:autoSpaceDN w:val="0"/>
        <w:adjustRightInd w:val="0"/>
        <w:spacing w:line="360" w:lineRule="auto"/>
        <w:outlineLvl w:val="1"/>
        <w:rPr>
          <w:rFonts w:hint="eastAsia" w:ascii="宋体" w:hAnsi="宋体" w:eastAsia="宋体" w:cs="宋体"/>
          <w:b/>
          <w:bCs/>
          <w:color w:val="auto"/>
          <w:sz w:val="24"/>
          <w:highlight w:val="none"/>
          <w:lang w:val="en-US" w:eastAsia="zh-CN"/>
        </w:rPr>
      </w:pPr>
      <w:bookmarkStart w:id="400" w:name="_Toc26086"/>
      <w:bookmarkStart w:id="401" w:name="_Toc4870"/>
      <w:bookmarkStart w:id="402" w:name="_Toc32146"/>
      <w:r>
        <w:rPr>
          <w:rFonts w:hint="eastAsia" w:ascii="宋体" w:hAnsi="宋体" w:eastAsia="宋体" w:cs="宋体"/>
          <w:b/>
          <w:bCs/>
          <w:color w:val="auto"/>
          <w:sz w:val="24"/>
          <w:highlight w:val="none"/>
          <w:lang w:val="en-US" w:eastAsia="zh-CN"/>
        </w:rPr>
        <w:t>三、商务技术响应文件部分格式</w:t>
      </w:r>
      <w:bookmarkEnd w:id="399"/>
      <w:bookmarkEnd w:id="400"/>
      <w:bookmarkEnd w:id="401"/>
      <w:bookmarkEnd w:id="402"/>
    </w:p>
    <w:p>
      <w:pPr>
        <w:autoSpaceDE w:val="0"/>
        <w:autoSpaceDN w:val="0"/>
        <w:adjustRightInd w:val="0"/>
        <w:spacing w:line="360" w:lineRule="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（顺序不做强制；未提供格式的，可自行提供）</w:t>
      </w:r>
    </w:p>
    <w:p>
      <w:pPr>
        <w:autoSpaceDE w:val="0"/>
        <w:autoSpaceDN w:val="0"/>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3.1</w:t>
      </w:r>
      <w:r>
        <w:rPr>
          <w:rFonts w:hint="eastAsia" w:ascii="宋体" w:hAnsi="宋体" w:cs="宋体"/>
          <w:b/>
          <w:color w:val="auto"/>
          <w:szCs w:val="21"/>
          <w:highlight w:val="none"/>
        </w:rPr>
        <w:t>评分索引表；</w:t>
      </w:r>
    </w:p>
    <w:p>
      <w:pPr>
        <w:pStyle w:val="11"/>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评分索引表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序号</w:t>
            </w:r>
          </w:p>
        </w:tc>
        <w:tc>
          <w:tcPr>
            <w:tcW w:w="5033" w:type="dxa"/>
            <w:noWrap w:val="0"/>
            <w:vAlign w:val="center"/>
          </w:tcPr>
          <w:p>
            <w:pPr>
              <w:adjustRightInd w:val="0"/>
              <w:snapToGrid w:val="0"/>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评分细则内容</w:t>
            </w: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投标响应情况</w:t>
            </w: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证明材料所在页码</w:t>
            </w: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snapToGrid w:val="0"/>
                <w:color w:val="auto"/>
                <w:kern w:val="0"/>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color w:val="auto"/>
                <w:kern w:val="0"/>
                <w:szCs w:val="21"/>
                <w:highlight w:val="none"/>
              </w:rPr>
            </w:pPr>
          </w:p>
        </w:tc>
        <w:tc>
          <w:tcPr>
            <w:tcW w:w="5033" w:type="dxa"/>
            <w:noWrap w:val="0"/>
            <w:vAlign w:val="center"/>
          </w:tcPr>
          <w:p>
            <w:pPr>
              <w:adjustRightInd w:val="0"/>
              <w:snapToGrid w:val="0"/>
              <w:rPr>
                <w:rFonts w:hint="eastAsia" w:ascii="宋体" w:hAnsi="宋体" w:cs="宋体"/>
                <w:color w:val="auto"/>
                <w:szCs w:val="21"/>
                <w:highlight w:val="none"/>
              </w:rPr>
            </w:pPr>
          </w:p>
        </w:tc>
        <w:tc>
          <w:tcPr>
            <w:tcW w:w="1134"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82" w:type="dxa"/>
            <w:noWrap w:val="0"/>
            <w:vAlign w:val="center"/>
          </w:tcPr>
          <w:p>
            <w:pPr>
              <w:adjustRightInd w:val="0"/>
              <w:snapToGrid w:val="0"/>
              <w:jc w:val="center"/>
              <w:rPr>
                <w:rFonts w:hint="eastAsia" w:ascii="宋体" w:hAnsi="宋体" w:cs="宋体"/>
                <w:b/>
                <w:snapToGrid w:val="0"/>
                <w:color w:val="auto"/>
                <w:kern w:val="0"/>
                <w:szCs w:val="21"/>
                <w:highlight w:val="none"/>
              </w:rPr>
            </w:pPr>
          </w:p>
        </w:tc>
        <w:tc>
          <w:tcPr>
            <w:tcW w:w="1044" w:type="dxa"/>
            <w:noWrap w:val="0"/>
            <w:vAlign w:val="center"/>
          </w:tcPr>
          <w:p>
            <w:pPr>
              <w:adjustRightInd w:val="0"/>
              <w:snapToGrid w:val="0"/>
              <w:jc w:val="center"/>
              <w:rPr>
                <w:rFonts w:hint="eastAsia" w:ascii="宋体" w:hAnsi="宋体" w:cs="宋体"/>
                <w:b/>
                <w:snapToGrid w:val="0"/>
                <w:color w:val="auto"/>
                <w:kern w:val="0"/>
                <w:szCs w:val="21"/>
                <w:highlight w:val="none"/>
              </w:rPr>
            </w:pPr>
          </w:p>
        </w:tc>
      </w:tr>
    </w:tbl>
    <w:p>
      <w:pPr>
        <w:autoSpaceDE w:val="0"/>
        <w:autoSpaceDN w:val="0"/>
        <w:adjustRightInd w:val="0"/>
        <w:spacing w:line="360" w:lineRule="auto"/>
        <w:rPr>
          <w:rFonts w:hint="eastAsia" w:ascii="宋体" w:hAnsi="宋体" w:cs="宋体"/>
          <w:b/>
          <w:color w:val="auto"/>
          <w:szCs w:val="21"/>
          <w:highlight w:val="none"/>
        </w:rPr>
        <w:sectPr>
          <w:headerReference r:id="rId5" w:type="default"/>
          <w:footerReference r:id="rId6" w:type="default"/>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投标函</w:t>
      </w:r>
    </w:p>
    <w:p>
      <w:pPr>
        <w:pStyle w:val="11"/>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highlight w:val="none"/>
        </w:rPr>
        <w:t>：</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(投标人全称)授权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 (</w:t>
      </w:r>
      <w:r>
        <w:rPr>
          <w:rFonts w:hint="eastAsia" w:ascii="宋体" w:hAnsi="宋体" w:eastAsia="宋体" w:cs="宋体"/>
          <w:color w:val="auto"/>
          <w:highlight w:val="none"/>
          <w:lang w:eastAsia="zh-CN"/>
        </w:rPr>
        <w:t>采购编号：ZJ-2272868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)的有关活动，并对此项目进行投标。为此：</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1、我方同意在投标人编制和提交投标文件须知规定的开标日期起遵守本投标书中的承诺且在投标有效期满之前均具有约束力。</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2、我方承诺已经具备《中华人民共和国政府采购法》中规定的参加政府采购活动的投标人应当具备的条件：</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(4)良好的资金、财务状况；</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(5)没有违反政府采购法规、政策的记录；</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(6)没有发生重大经济纠纷和走私犯罪记录。</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3、提供编制和提交</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rPr>
        <w:t>须知规定的全部投标文件，包括一份电子加密标书（后缀格式为.jmbs），一份备份标书文件（后缀格式为.bfbs）。具体内容为：</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(1)资格文件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商务技术文件、报价文件</w:t>
      </w:r>
      <w:r>
        <w:rPr>
          <w:rFonts w:hint="eastAsia" w:ascii="宋体" w:hAnsi="宋体" w:eastAsia="宋体" w:cs="宋体"/>
          <w:color w:val="auto"/>
          <w:highlight w:val="none"/>
        </w:rPr>
        <w:t>；</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)编制和提交投标文件须知要求投标人提交的全部文件；</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文件要求提供和交付的货物和服务的投标报价详见开标一览表；</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)保证忠实地执行双方所签订的合同，并承担合同规定的责任和义务；</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)保证遵守</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文件中的其他有关规定。</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5、我方愿意向贵方提供任何与该项投标有关的数据、情况和技术资料。若贵方需要，我方愿意提供我方作出的一切承诺的证明材料。</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6、我方已详细审核全部采购文件，包括采购文件修改书(如果有)、参考资料及有关附件，确认无误。</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b)采取不正当手段诋毁、排挤其他投标人的；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c)与采购人、其它投标人或者采购代理机构恶意串通的；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投标人有前款第a)至e)项情形之一的，中标、成交无效。</w:t>
      </w:r>
    </w:p>
    <w:p>
      <w:pPr>
        <w:pStyle w:val="11"/>
        <w:spacing w:line="420" w:lineRule="exact"/>
        <w:ind w:firstLine="420" w:firstLineChars="200"/>
        <w:rPr>
          <w:rFonts w:hint="eastAsia" w:ascii="宋体" w:hAnsi="宋体" w:eastAsia="宋体" w:cs="宋体"/>
          <w:color w:val="auto"/>
          <w:highlight w:val="none"/>
        </w:rPr>
      </w:pPr>
    </w:p>
    <w:p>
      <w:pPr>
        <w:pStyle w:val="11"/>
        <w:spacing w:line="420" w:lineRule="exact"/>
        <w:ind w:firstLine="420" w:firstLineChars="200"/>
        <w:rPr>
          <w:rFonts w:hint="eastAsia" w:ascii="宋体" w:hAnsi="宋体" w:eastAsia="宋体" w:cs="宋体"/>
          <w:color w:val="auto"/>
          <w:highlight w:val="none"/>
        </w:rPr>
      </w:pPr>
    </w:p>
    <w:p>
      <w:pPr>
        <w:pStyle w:val="11"/>
        <w:spacing w:line="420" w:lineRule="exact"/>
        <w:ind w:firstLine="420" w:firstLineChars="200"/>
        <w:rPr>
          <w:rFonts w:hint="eastAsia" w:ascii="宋体" w:hAnsi="宋体" w:eastAsia="宋体" w:cs="宋体"/>
          <w:color w:val="auto"/>
          <w:highlight w:val="none"/>
        </w:rPr>
      </w:pPr>
    </w:p>
    <w:p>
      <w:pPr>
        <w:pStyle w:val="11"/>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r>
        <w:rPr>
          <w:rFonts w:hint="eastAsia" w:ascii="宋体" w:hAnsi="宋体" w:cs="宋体"/>
          <w:snapToGrid w:val="0"/>
          <w:color w:val="auto"/>
          <w:kern w:val="0"/>
          <w:szCs w:val="21"/>
          <w:highlight w:val="none"/>
        </w:rPr>
        <w:t>或</w:t>
      </w:r>
      <w:r>
        <w:rPr>
          <w:rFonts w:hint="eastAsia" w:ascii="宋体" w:hAnsi="宋体" w:eastAsia="宋体" w:cs="宋体"/>
          <w:snapToGrid w:val="0"/>
          <w:color w:val="auto"/>
          <w:kern w:val="0"/>
          <w:szCs w:val="21"/>
          <w:highlight w:val="none"/>
          <w:lang w:eastAsia="zh-CN"/>
        </w:rPr>
        <w:t>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u w:val="single"/>
        </w:rPr>
        <w:t xml:space="preserve">：                 </w:t>
      </w:r>
    </w:p>
    <w:p>
      <w:pPr>
        <w:pStyle w:val="11"/>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cs="宋体"/>
          <w:b/>
          <w:color w:val="auto"/>
          <w:szCs w:val="21"/>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cs="宋体"/>
          <w:b/>
          <w:color w:val="auto"/>
          <w:szCs w:val="21"/>
          <w:highlight w:val="none"/>
          <w:lang w:val="en-US" w:eastAsia="zh-CN"/>
        </w:rPr>
        <w:br w:type="page"/>
      </w:r>
      <w:r>
        <w:rPr>
          <w:rFonts w:hint="eastAsia" w:ascii="宋体" w:hAnsi="宋体" w:cs="宋体"/>
          <w:b/>
          <w:color w:val="auto"/>
          <w:szCs w:val="21"/>
          <w:highlight w:val="none"/>
          <w:lang w:val="en-US" w:eastAsia="zh-CN"/>
        </w:rPr>
        <w:t>3.3</w:t>
      </w:r>
      <w:r>
        <w:rPr>
          <w:rFonts w:hint="eastAsia" w:ascii="宋体" w:hAnsi="宋体" w:cs="宋体"/>
          <w:b/>
          <w:color w:val="auto"/>
          <w:szCs w:val="21"/>
          <w:highlight w:val="none"/>
        </w:rPr>
        <w:t>投标响应一览表</w:t>
      </w:r>
    </w:p>
    <w:p>
      <w:pPr>
        <w:pStyle w:val="11"/>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投标响应一览表</w:t>
      </w:r>
    </w:p>
    <w:p>
      <w:pPr>
        <w:adjustRightInd w:val="0"/>
        <w:snapToGrid w:val="0"/>
        <w:spacing w:line="360" w:lineRule="auto"/>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 xml:space="preserve">项目名称：                                                  </w:t>
      </w:r>
    </w:p>
    <w:p>
      <w:pPr>
        <w:adjustRightInd w:val="0"/>
        <w:snapToGrid w:val="0"/>
        <w:spacing w:line="36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采购编号：ZJ-2272868</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noWrap w:val="0"/>
            <w:vAlign w:val="center"/>
          </w:tcPr>
          <w:p>
            <w:pPr>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5271" w:type="dxa"/>
            <w:noWrap w:val="0"/>
            <w:vAlign w:val="center"/>
          </w:tcPr>
          <w:p>
            <w:pPr>
              <w:adjustRightInd w:val="0"/>
              <w:snapToGrid w:val="0"/>
              <w:spacing w:line="360" w:lineRule="auto"/>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noWrap w:val="0"/>
            <w:vAlign w:val="center"/>
          </w:tcPr>
          <w:p>
            <w:pPr>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拟派项目负责人</w:t>
            </w:r>
          </w:p>
        </w:tc>
        <w:tc>
          <w:tcPr>
            <w:tcW w:w="5271" w:type="dxa"/>
            <w:noWrap w:val="0"/>
            <w:vAlign w:val="center"/>
          </w:tcPr>
          <w:p>
            <w:pPr>
              <w:adjustRightInd w:val="0"/>
              <w:snapToGrid w:val="0"/>
              <w:spacing w:line="360" w:lineRule="auto"/>
              <w:jc w:val="center"/>
              <w:rPr>
                <w:rFonts w:hint="eastAsia" w:ascii="宋体" w:hAnsi="宋体" w:cs="宋体"/>
                <w:snapToGrid w:val="0"/>
                <w:color w:val="auto"/>
                <w:kern w:val="0"/>
                <w:szCs w:val="21"/>
                <w:highlight w:val="none"/>
              </w:rPr>
            </w:pPr>
          </w:p>
        </w:tc>
      </w:tr>
    </w:tbl>
    <w:p>
      <w:pPr>
        <w:adjustRightInd w:val="0"/>
        <w:snapToGrid w:val="0"/>
        <w:spacing w:line="360" w:lineRule="auto"/>
        <w:jc w:val="left"/>
        <w:rPr>
          <w:rFonts w:hint="eastAsia" w:ascii="宋体" w:hAnsi="宋体" w:cs="宋体"/>
          <w:snapToGrid w:val="0"/>
          <w:color w:val="auto"/>
          <w:kern w:val="0"/>
          <w:szCs w:val="21"/>
          <w:highlight w:val="none"/>
        </w:rPr>
      </w:pPr>
    </w:p>
    <w:p>
      <w:pPr>
        <w:widowControl/>
        <w:adjustRightInd w:val="0"/>
        <w:snapToGrid w:val="0"/>
        <w:spacing w:line="360" w:lineRule="auto"/>
        <w:ind w:firstLine="420" w:firstLineChars="200"/>
        <w:jc w:val="left"/>
        <w:rPr>
          <w:rFonts w:hint="eastAsia" w:ascii="宋体" w:hAnsi="宋体" w:cs="宋体"/>
          <w:snapToGrid w:val="0"/>
          <w:color w:val="auto"/>
          <w:kern w:val="0"/>
          <w:szCs w:val="21"/>
          <w:highlight w:val="none"/>
        </w:rPr>
      </w:pPr>
    </w:p>
    <w:p>
      <w:pPr>
        <w:adjustRightInd w:val="0"/>
        <w:snapToGrid w:val="0"/>
        <w:spacing w:line="360" w:lineRule="auto"/>
        <w:ind w:firstLine="4515" w:firstLineChars="2150"/>
        <w:rPr>
          <w:rFonts w:hint="eastAsia" w:ascii="宋体" w:hAnsi="宋体" w:cs="宋体"/>
          <w:snapToGrid w:val="0"/>
          <w:color w:val="auto"/>
          <w:kern w:val="0"/>
          <w:szCs w:val="21"/>
          <w:highlight w:val="none"/>
        </w:rPr>
      </w:pPr>
    </w:p>
    <w:p>
      <w:pPr>
        <w:adjustRightInd w:val="0"/>
        <w:snapToGrid w:val="0"/>
        <w:spacing w:line="360" w:lineRule="auto"/>
        <w:ind w:firstLine="4515" w:firstLineChars="215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w:t>
      </w:r>
      <w:r>
        <w:rPr>
          <w:rFonts w:hint="eastAsia" w:ascii="宋体" w:hAnsi="宋体" w:cs="宋体"/>
          <w:snapToGrid w:val="0"/>
          <w:color w:val="auto"/>
          <w:kern w:val="0"/>
          <w:szCs w:val="21"/>
          <w:highlight w:val="none"/>
          <w:lang w:eastAsia="zh-CN"/>
        </w:rPr>
        <w:t>电子签章</w:t>
      </w:r>
      <w:r>
        <w:rPr>
          <w:rFonts w:hint="eastAsia" w:ascii="宋体" w:hAnsi="宋体" w:cs="宋体"/>
          <w:snapToGrid w:val="0"/>
          <w:color w:val="auto"/>
          <w:kern w:val="0"/>
          <w:szCs w:val="21"/>
          <w:highlight w:val="none"/>
        </w:rPr>
        <w:t>)：</w:t>
      </w:r>
    </w:p>
    <w:p>
      <w:pPr>
        <w:adjustRightInd w:val="0"/>
        <w:snapToGrid w:val="0"/>
        <w:spacing w:line="360" w:lineRule="auto"/>
        <w:ind w:firstLine="4515" w:firstLineChars="2150"/>
        <w:rPr>
          <w:rFonts w:hint="eastAsia" w:ascii="宋体" w:hAnsi="宋体" w:cs="宋体"/>
          <w:snapToGrid w:val="0"/>
          <w:color w:val="auto"/>
          <w:kern w:val="0"/>
          <w:szCs w:val="21"/>
          <w:highlight w:val="none"/>
        </w:rPr>
      </w:pPr>
    </w:p>
    <w:p>
      <w:pPr>
        <w:adjustRightInd w:val="0"/>
        <w:snapToGrid w:val="0"/>
        <w:spacing w:line="360" w:lineRule="auto"/>
        <w:ind w:firstLine="4515" w:firstLineChars="215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pStyle w:val="8"/>
        <w:rPr>
          <w:rFonts w:hint="eastAsia" w:eastAsia="宋体"/>
          <w:color w:val="auto"/>
          <w:highlight w:val="none"/>
          <w:lang w:val="en-US" w:eastAsia="zh-CN"/>
        </w:rPr>
      </w:pPr>
    </w:p>
    <w:p>
      <w:pPr>
        <w:pStyle w:val="8"/>
        <w:rPr>
          <w:rFonts w:hint="eastAsia" w:eastAsia="宋体"/>
          <w:color w:val="auto"/>
          <w:highlight w:val="none"/>
          <w:lang w:val="en-US" w:eastAsia="zh-CN"/>
        </w:rPr>
      </w:pPr>
    </w:p>
    <w:p>
      <w:pPr>
        <w:autoSpaceDE w:val="0"/>
        <w:autoSpaceDN w:val="0"/>
        <w:adjustRightInd w:val="0"/>
        <w:spacing w:line="360" w:lineRule="auto"/>
        <w:rPr>
          <w:rFonts w:hint="eastAsia" w:ascii="宋体" w:hAnsi="宋体" w:cs="宋体"/>
          <w:b/>
          <w:color w:val="auto"/>
          <w:szCs w:val="21"/>
          <w:highlight w:val="none"/>
          <w:lang w:val="en-US" w:eastAsia="zh-CN"/>
        </w:rPr>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投标人基本情况</w:t>
      </w:r>
    </w:p>
    <w:p>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spacing w:line="240" w:lineRule="atLeast"/>
        <w:ind w:firstLine="2233" w:firstLineChars="695"/>
        <w:rPr>
          <w:rFonts w:hint="eastAsia" w:ascii="宋体" w:hAnsi="宋体" w:cs="宋体"/>
          <w:b/>
          <w:color w:val="auto"/>
          <w:sz w:val="32"/>
          <w:szCs w:val="32"/>
          <w:highlight w:val="none"/>
        </w:rPr>
      </w:pPr>
    </w:p>
    <w:tbl>
      <w:tblPr>
        <w:tblStyle w:val="19"/>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地址</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邮编:</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电话:  </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传真:       </w:t>
            </w:r>
          </w:p>
        </w:tc>
      </w:tr>
      <w:tr>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名称:                      账号:          </w:t>
            </w:r>
          </w:p>
        </w:tc>
      </w:tr>
      <w:tr>
        <w:tblPrEx>
          <w:tblCellMar>
            <w:top w:w="0" w:type="dxa"/>
            <w:left w:w="28" w:type="dxa"/>
            <w:bottom w:w="0" w:type="dxa"/>
            <w:right w:w="28" w:type="dxa"/>
          </w:tblCellMar>
        </w:tblPrEx>
        <w:trPr>
          <w:cantSplit/>
          <w:trHeight w:val="5279" w:hRule="atLeas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组织机构框图</w:t>
            </w:r>
          </w:p>
          <w:p>
            <w:pPr>
              <w:widowControl/>
              <w:autoSpaceDE w:val="0"/>
              <w:autoSpaceDN w:val="0"/>
              <w:spacing w:line="440" w:lineRule="atLeast"/>
              <w:ind w:left="105"/>
              <w:jc w:val="center"/>
              <w:textAlignment w:val="bottom"/>
              <w:rPr>
                <w:rFonts w:hint="eastAsia" w:ascii="宋体" w:hAnsi="宋体" w:cs="宋体"/>
                <w:color w:val="auto"/>
                <w:highlight w:val="none"/>
              </w:rPr>
            </w:pPr>
          </w:p>
          <w:p>
            <w:pPr>
              <w:autoSpaceDE w:val="0"/>
              <w:autoSpaceDN w:val="0"/>
              <w:spacing w:line="440" w:lineRule="atLeast"/>
              <w:ind w:left="105"/>
              <w:textAlignment w:val="bottom"/>
              <w:rPr>
                <w:rFonts w:hint="eastAsia" w:ascii="宋体" w:hAnsi="宋体" w:cs="宋体"/>
                <w:color w:val="auto"/>
                <w:highlight w:val="none"/>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bl>
    <w:p>
      <w:pPr>
        <w:spacing w:line="360" w:lineRule="auto"/>
        <w:ind w:left="630" w:hanging="630" w:hangingChars="300"/>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b/>
          <w:color w:val="auto"/>
          <w:highlight w:val="none"/>
        </w:rPr>
      </w:pPr>
      <w:r>
        <w:rPr>
          <w:rFonts w:hint="eastAsia" w:ascii="宋体" w:hAnsi="宋体" w:cs="宋体"/>
          <w:b/>
          <w:color w:val="auto"/>
          <w:sz w:val="24"/>
          <w:highlight w:val="none"/>
        </w:rPr>
        <w:br w:type="page"/>
      </w:r>
      <w:r>
        <w:rPr>
          <w:rFonts w:hint="eastAsia" w:ascii="宋体" w:hAnsi="宋体" w:cs="宋体"/>
          <w:b/>
          <w:color w:val="auto"/>
          <w:highlight w:val="none"/>
          <w:lang w:val="en-US" w:eastAsia="zh-CN"/>
        </w:rPr>
        <w:t>3.5</w:t>
      </w:r>
      <w:r>
        <w:rPr>
          <w:rFonts w:hint="eastAsia" w:ascii="宋体" w:hAnsi="宋体" w:cs="宋体"/>
          <w:b/>
          <w:color w:val="auto"/>
          <w:highlight w:val="none"/>
        </w:rPr>
        <w:t>授权委托书</w:t>
      </w:r>
    </w:p>
    <w:p>
      <w:pPr>
        <w:rPr>
          <w:rFonts w:hint="eastAsia" w:ascii="宋体" w:hAnsi="宋体" w:cs="宋体"/>
          <w:b/>
          <w:snapToGrid w:val="0"/>
          <w:color w:val="auto"/>
          <w:kern w:val="0"/>
          <w:szCs w:val="21"/>
          <w:highlight w:val="none"/>
        </w:rPr>
      </w:pPr>
    </w:p>
    <w:p>
      <w:pPr>
        <w:adjustRightInd w:val="0"/>
        <w:spacing w:line="360" w:lineRule="auto"/>
        <w:rPr>
          <w:rFonts w:hint="eastAsia" w:ascii="宋体" w:hAnsi="宋体" w:cs="宋体"/>
          <w:snapToGrid w:val="0"/>
          <w:color w:val="auto"/>
          <w:kern w:val="0"/>
          <w:szCs w:val="21"/>
          <w:highlight w:val="none"/>
        </w:rPr>
      </w:pPr>
    </w:p>
    <w:p>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pPr>
        <w:adjustRightInd w:val="0"/>
        <w:spacing w:line="360" w:lineRule="auto"/>
        <w:jc w:val="left"/>
        <w:rPr>
          <w:rFonts w:hint="eastAsia" w:ascii="宋体" w:hAnsi="宋体" w:cs="宋体"/>
          <w:b/>
          <w:snapToGrid w:val="0"/>
          <w:color w:val="auto"/>
          <w:kern w:val="0"/>
          <w:sz w:val="32"/>
          <w:szCs w:val="20"/>
          <w:highlight w:val="none"/>
        </w:rPr>
      </w:pPr>
    </w:p>
    <w:p>
      <w:pPr>
        <w:adjustRightInd w:val="0"/>
        <w:spacing w:line="480" w:lineRule="auto"/>
        <w:ind w:left="4" w:firstLine="455" w:firstLineChars="217"/>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（投标人名称），现授权委托</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（姓名、身份证号）为我公司授权代表，以本公司的名义参加</w:t>
      </w:r>
      <w:r>
        <w:rPr>
          <w:rFonts w:hint="eastAsia" w:ascii="宋体" w:hAnsi="宋体" w:cs="宋体"/>
          <w:snapToGrid w:val="0"/>
          <w:color w:val="auto"/>
          <w:kern w:val="0"/>
          <w:szCs w:val="21"/>
          <w:highlight w:val="none"/>
          <w:u w:val="single"/>
        </w:rPr>
        <w:t xml:space="preserve">   （采购人）    </w:t>
      </w:r>
      <w:r>
        <w:rPr>
          <w:rFonts w:hint="eastAsia" w:ascii="宋体" w:hAnsi="宋体" w:cs="宋体"/>
          <w:snapToGrid w:val="0"/>
          <w:color w:val="auto"/>
          <w:kern w:val="0"/>
          <w:szCs w:val="21"/>
          <w:highlight w:val="none"/>
        </w:rPr>
        <w:t xml:space="preserve">的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项目的投标活动。授权代表在开标、评标、合同谈判过程中所签署的一切文件和处理与之有关的一切事务，我均予以承认。</w:t>
      </w:r>
    </w:p>
    <w:p>
      <w:pPr>
        <w:adjustRightInd w:val="0"/>
        <w:spacing w:line="48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授权代表无权转委托。特此委托。</w:t>
      </w:r>
    </w:p>
    <w:p>
      <w:pPr>
        <w:spacing w:line="360" w:lineRule="auto"/>
        <w:ind w:right="1800" w:firstLine="3780" w:firstLineChars="18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w:t>
      </w:r>
      <w:r>
        <w:rPr>
          <w:rFonts w:hint="eastAsia" w:ascii="宋体" w:hAnsi="宋体" w:cs="宋体"/>
          <w:snapToGrid w:val="0"/>
          <w:color w:val="auto"/>
          <w:kern w:val="0"/>
          <w:szCs w:val="21"/>
          <w:highlight w:val="none"/>
          <w:lang w:eastAsia="zh-CN"/>
        </w:rPr>
        <w:t>电子签章</w:t>
      </w:r>
      <w:r>
        <w:rPr>
          <w:rFonts w:hint="eastAsia" w:ascii="宋体" w:hAnsi="宋体" w:cs="宋体"/>
          <w:snapToGrid w:val="0"/>
          <w:color w:val="auto"/>
          <w:kern w:val="0"/>
          <w:szCs w:val="21"/>
          <w:highlight w:val="none"/>
        </w:rPr>
        <w:t xml:space="preserve">）       </w:t>
      </w: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授权代表身份证号码：</w:t>
      </w:r>
    </w:p>
    <w:p>
      <w:pPr>
        <w:autoSpaceDE w:val="0"/>
        <w:autoSpaceDN w:val="0"/>
        <w:adjustRightInd w:val="0"/>
        <w:spacing w:line="360" w:lineRule="auto"/>
        <w:ind w:right="420"/>
        <w:rPr>
          <w:rFonts w:hint="eastAsia" w:ascii="宋体" w:hAnsi="宋体" w:cs="宋体"/>
          <w:snapToGrid w:val="0"/>
          <w:color w:val="auto"/>
          <w:kern w:val="0"/>
          <w:szCs w:val="21"/>
          <w:highlight w:val="none"/>
        </w:rPr>
      </w:pP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年    月    日</w:t>
      </w: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附：授权代表的身份证复印件。（正反面）</w:t>
      </w:r>
    </w:p>
    <w:p>
      <w:pPr>
        <w:autoSpaceDE w:val="0"/>
        <w:autoSpaceDN w:val="0"/>
        <w:adjustRightInd w:val="0"/>
        <w:spacing w:line="360" w:lineRule="auto"/>
        <w:rPr>
          <w:rFonts w:hint="eastAsia" w:ascii="宋体" w:hAnsi="宋体" w:cs="宋体"/>
          <w:snapToGrid w:val="0"/>
          <w:color w:val="auto"/>
          <w:kern w:val="0"/>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autoSpaceDE w:val="0"/>
              <w:autoSpaceDN w:val="0"/>
              <w:adjustRightInd w:val="0"/>
              <w:spacing w:line="360" w:lineRule="auto"/>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tc>
      </w:tr>
    </w:tbl>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cs="宋体"/>
          <w:snapToGrid w:val="0"/>
          <w:color w:val="auto"/>
          <w:kern w:val="0"/>
          <w:szCs w:val="21"/>
          <w:highlight w:val="none"/>
        </w:rPr>
        <w:br w:type="page"/>
      </w:r>
      <w:r>
        <w:rPr>
          <w:rFonts w:hint="eastAsia" w:ascii="宋体" w:hAnsi="宋体" w:eastAsia="宋体" w:cs="宋体"/>
          <w:b/>
          <w:color w:val="auto"/>
          <w:highlight w:val="none"/>
          <w:lang w:val="en-US" w:eastAsia="zh-CN"/>
        </w:rPr>
        <w:t>3.6</w:t>
      </w:r>
      <w:r>
        <w:rPr>
          <w:rFonts w:hint="eastAsia" w:ascii="宋体" w:hAnsi="宋体" w:eastAsia="宋体" w:cs="宋体"/>
          <w:b/>
          <w:color w:val="auto"/>
          <w:highlight w:val="none"/>
        </w:rPr>
        <w:t>政府采购供应商廉洁自律承诺书</w:t>
      </w:r>
    </w:p>
    <w:p>
      <w:pPr>
        <w:autoSpaceDE w:val="0"/>
        <w:autoSpaceDN w:val="0"/>
        <w:adjustRightInd w:val="0"/>
        <w:spacing w:line="360" w:lineRule="auto"/>
        <w:rPr>
          <w:rFonts w:hint="eastAsia" w:ascii="宋体" w:hAnsi="宋体" w:eastAsia="宋体" w:cs="宋体"/>
          <w:b/>
          <w:color w:val="auto"/>
          <w:highlight w:val="none"/>
        </w:rPr>
      </w:pPr>
    </w:p>
    <w:p>
      <w:pPr>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政府采购供应商廉洁自律承诺书</w:t>
      </w:r>
    </w:p>
    <w:p>
      <w:pPr>
        <w:spacing w:line="360" w:lineRule="auto"/>
        <w:jc w:val="center"/>
        <w:rPr>
          <w:rFonts w:hint="eastAsia" w:ascii="仿宋_GB2312" w:hAnsi="仿宋" w:eastAsia="仿宋_GB2312" w:cs="仿宋_GB2312"/>
          <w:color w:val="auto"/>
          <w:sz w:val="24"/>
          <w:highlight w:val="none"/>
        </w:rPr>
      </w:pPr>
      <w:r>
        <w:rPr>
          <w:rFonts w:hint="eastAsia" w:ascii="宋体" w:hAnsi="宋体" w:cs="宋体"/>
          <w:color w:val="auto"/>
          <w:sz w:val="24"/>
          <w:highlight w:val="none"/>
        </w:rPr>
        <w:t> </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采购人</w:t>
      </w:r>
      <w:r>
        <w:rPr>
          <w:rFonts w:hint="eastAsia" w:ascii="宋体" w:hAnsi="宋体" w:cs="宋体"/>
          <w:color w:val="auto"/>
          <w:sz w:val="24"/>
          <w:highlight w:val="none"/>
          <w:u w:val="single"/>
          <w:lang w:eastAsia="zh-CN"/>
        </w:rPr>
        <w:t>名</w:t>
      </w:r>
      <w:r>
        <w:rPr>
          <w:rFonts w:hint="eastAsia" w:ascii="宋体" w:hAnsi="宋体" w:eastAsia="宋体" w:cs="宋体"/>
          <w:color w:val="auto"/>
          <w:sz w:val="24"/>
          <w:highlight w:val="none"/>
          <w:u w:val="single"/>
          <w:lang w:eastAsia="zh-CN"/>
        </w:rPr>
        <w:t>称、代理机构</w:t>
      </w:r>
      <w:r>
        <w:rPr>
          <w:rFonts w:hint="eastAsia" w:ascii="宋体" w:hAnsi="宋体" w:cs="宋体"/>
          <w:color w:val="auto"/>
          <w:sz w:val="24"/>
          <w:highlight w:val="none"/>
          <w:u w:val="single"/>
          <w:lang w:eastAsia="zh-CN"/>
        </w:rPr>
        <w:t>名</w:t>
      </w:r>
      <w:r>
        <w:rPr>
          <w:rFonts w:hint="eastAsia" w:ascii="宋体" w:hAnsi="宋体" w:eastAsia="宋体" w:cs="宋体"/>
          <w:color w:val="auto"/>
          <w:sz w:val="24"/>
          <w:highlight w:val="none"/>
          <w:u w:val="single"/>
          <w:lang w:eastAsia="zh-CN"/>
        </w:rPr>
        <w:t>称</w:t>
      </w:r>
      <w:r>
        <w:rPr>
          <w:rFonts w:hint="eastAsia" w:ascii="宋体" w:hAnsi="宋体" w:eastAsia="宋体" w:cs="宋体"/>
          <w:color w:val="auto"/>
          <w:sz w:val="24"/>
          <w:highlight w:val="none"/>
          <w:u w:val="single"/>
        </w:rPr>
        <w:t>：</w:t>
      </w:r>
    </w:p>
    <w:p>
      <w:pPr>
        <w:keepNext w:val="0"/>
        <w:keepLines w:val="0"/>
        <w:pageBreakBefore w:val="0"/>
        <w:widowControl w:val="0"/>
        <w:kinsoku/>
        <w:wordWrap/>
        <w:overflowPunct/>
        <w:topLinePunct w:val="0"/>
        <w:bidi w:val="0"/>
        <w:adjustRightInd/>
        <w:snapToGrid/>
        <w:spacing w:line="360" w:lineRule="auto"/>
        <w:ind w:left="239" w:leftChars="114"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本单位合法参加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】政府采购活动，就有关廉洁自律和公平竞争事项郑重声明如下：</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一、本单位与采购人之间不存在利害关系，不存在行贿、串通等违法行为。</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二、本单位与其他当事人之间不存在直接控股、管理关系等情况，不存在法定的不允许投标情形，不存在行贿、串通等违法行为。</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三、本单位清楚知道并严格遵守政府采购法律法规、政策文件和相关纪律。</w:t>
      </w:r>
    </w:p>
    <w:p>
      <w:pPr>
        <w:keepNext w:val="0"/>
        <w:keepLines w:val="0"/>
        <w:pageBreakBefore w:val="0"/>
        <w:widowControl w:val="0"/>
        <w:kinsoku/>
        <w:wordWrap/>
        <w:overflowPunct/>
        <w:topLinePunct w:val="0"/>
        <w:autoSpaceDE w:val="0"/>
        <w:autoSpaceDN w:val="0"/>
        <w:bidi w:val="0"/>
        <w:adjustRightInd/>
        <w:snapToGrid/>
        <w:spacing w:line="360" w:lineRule="auto"/>
        <w:ind w:firstLine="5040" w:firstLineChars="2100"/>
        <w:jc w:val="left"/>
        <w:textAlignment w:val="auto"/>
        <w:rPr>
          <w:rFonts w:hint="eastAsia" w:ascii="宋体" w:hAnsi="宋体" w:eastAsia="宋体" w:cs="宋体"/>
          <w:color w:val="auto"/>
          <w:kern w:val="0"/>
          <w:sz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5040" w:firstLineChars="2100"/>
        <w:jc w:val="left"/>
        <w:textAlignment w:val="auto"/>
        <w:rPr>
          <w:rFonts w:hint="eastAsia" w:ascii="宋体" w:hAnsi="宋体" w:eastAsia="宋体" w:cs="宋体"/>
          <w:color w:val="auto"/>
          <w:kern w:val="0"/>
          <w:sz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投标人名称（盖公章或电子签章）：</w:t>
      </w:r>
    </w:p>
    <w:p>
      <w:pPr>
        <w:keepNext w:val="0"/>
        <w:keepLines w:val="0"/>
        <w:pageBreakBefore w:val="0"/>
        <w:widowControl w:val="0"/>
        <w:kinsoku/>
        <w:wordWrap/>
        <w:overflowPunct/>
        <w:topLinePunct w:val="0"/>
        <w:autoSpaceDE w:val="0"/>
        <w:autoSpaceDN w:val="0"/>
        <w:bidi w:val="0"/>
        <w:adjustRightInd/>
        <w:snapToGrid/>
        <w:spacing w:line="360" w:lineRule="auto"/>
        <w:ind w:firstLine="3840" w:firstLineChars="1600"/>
        <w:textAlignment w:val="auto"/>
        <w:rPr>
          <w:rFonts w:hint="eastAsia" w:ascii="宋体" w:hAnsi="宋体" w:eastAsia="宋体" w:cs="宋体"/>
          <w:b/>
          <w:color w:val="auto"/>
          <w:highlight w:val="none"/>
        </w:rPr>
      </w:pPr>
      <w:r>
        <w:rPr>
          <w:rFonts w:hint="eastAsia" w:ascii="宋体" w:hAnsi="宋体" w:eastAsia="宋体" w:cs="宋体"/>
          <w:color w:val="auto"/>
          <w:kern w:val="0"/>
          <w:sz w:val="24"/>
          <w:highlight w:val="none"/>
          <w:lang w:val="zh-CN"/>
        </w:rPr>
        <w:t>日期：  年  月   日</w:t>
      </w:r>
      <w:r>
        <w:rPr>
          <w:rFonts w:hint="eastAsia" w:ascii="宋体" w:hAnsi="宋体" w:cs="宋体"/>
          <w:snapToGrid w:val="0"/>
          <w:color w:val="auto"/>
          <w:kern w:val="0"/>
          <w:szCs w:val="21"/>
          <w:highlight w:val="none"/>
        </w:rPr>
        <w:br w:type="page"/>
      </w:r>
      <w:r>
        <w:rPr>
          <w:rFonts w:hint="eastAsia" w:ascii="宋体" w:hAnsi="宋体" w:eastAsia="宋体" w:cs="宋体"/>
          <w:b/>
          <w:color w:val="auto"/>
          <w:highlight w:val="none"/>
          <w:lang w:val="en-US" w:eastAsia="zh-CN"/>
        </w:rPr>
        <w:t>3.7</w:t>
      </w:r>
      <w:r>
        <w:rPr>
          <w:rFonts w:hint="eastAsia" w:ascii="宋体" w:hAnsi="宋体" w:eastAsia="宋体" w:cs="宋体"/>
          <w:b/>
          <w:color w:val="auto"/>
          <w:highlight w:val="none"/>
        </w:rPr>
        <w:t>廉政承诺书</w:t>
      </w: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cs="宋体"/>
          <w:bCs/>
          <w:color w:val="auto"/>
          <w:szCs w:val="21"/>
          <w:highlight w:val="none"/>
        </w:rPr>
        <w:t>：</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六、严格遵守政府采购法、</w:t>
      </w:r>
      <w:r>
        <w:rPr>
          <w:rFonts w:hint="eastAsia" w:ascii="宋体" w:hAnsi="宋体" w:cs="宋体"/>
          <w:bCs/>
          <w:color w:val="auto"/>
          <w:szCs w:val="21"/>
          <w:highlight w:val="none"/>
          <w:lang w:eastAsia="zh-CN"/>
        </w:rPr>
        <w:t>民法典</w:t>
      </w:r>
      <w:r>
        <w:rPr>
          <w:rFonts w:hint="eastAsia" w:ascii="宋体" w:hAnsi="宋体" w:cs="宋体"/>
          <w:bCs/>
          <w:color w:val="auto"/>
          <w:szCs w:val="21"/>
          <w:highlight w:val="none"/>
        </w:rPr>
        <w:t>等法律，诚实守信，合法经营，坚决抵制各种违法违纪行为。</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如违反上述承诺，你单位有权立即取消我单位应标、中标或在建项目的资格，有权拒绝我单位在一定时期内</w:t>
      </w:r>
      <w:r>
        <w:rPr>
          <w:rFonts w:hint="eastAsia" w:ascii="宋体" w:hAnsi="宋体" w:cs="宋体"/>
          <w:bCs/>
          <w:color w:val="auto"/>
          <w:szCs w:val="21"/>
          <w:highlight w:val="none"/>
          <w:lang w:eastAsia="zh-CN"/>
        </w:rPr>
        <w:t>参与</w:t>
      </w:r>
      <w:r>
        <w:rPr>
          <w:rFonts w:hint="eastAsia" w:ascii="宋体" w:hAnsi="宋体" w:cs="宋体"/>
          <w:bCs/>
          <w:color w:val="auto"/>
          <w:szCs w:val="21"/>
          <w:highlight w:val="none"/>
        </w:rPr>
        <w:t>你单位</w:t>
      </w:r>
      <w:r>
        <w:rPr>
          <w:rFonts w:hint="eastAsia" w:ascii="宋体" w:hAnsi="宋体" w:cs="宋体"/>
          <w:bCs/>
          <w:color w:val="auto"/>
          <w:szCs w:val="21"/>
          <w:highlight w:val="none"/>
          <w:lang w:eastAsia="zh-CN"/>
        </w:rPr>
        <w:t>项目采购</w:t>
      </w:r>
      <w:r>
        <w:rPr>
          <w:rFonts w:hint="eastAsia" w:ascii="宋体" w:hAnsi="宋体" w:cs="宋体"/>
          <w:bCs/>
          <w:color w:val="auto"/>
          <w:szCs w:val="21"/>
          <w:highlight w:val="none"/>
        </w:rPr>
        <w:t>或其他经营活动，并通报</w:t>
      </w:r>
      <w:r>
        <w:rPr>
          <w:rFonts w:hint="eastAsia" w:ascii="宋体" w:hAnsi="宋体" w:cs="宋体"/>
          <w:bCs/>
          <w:color w:val="auto"/>
          <w:szCs w:val="21"/>
          <w:highlight w:val="none"/>
          <w:lang w:eastAsia="zh-CN"/>
        </w:rPr>
        <w:t>监管部门</w:t>
      </w:r>
      <w:r>
        <w:rPr>
          <w:rFonts w:hint="eastAsia" w:ascii="宋体" w:hAnsi="宋体" w:cs="宋体"/>
          <w:bCs/>
          <w:color w:val="auto"/>
          <w:szCs w:val="21"/>
          <w:highlight w:val="none"/>
        </w:rPr>
        <w:t>。由此引起的相应损失均由我单位承担。</w:t>
      </w: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投标人（盖公章或</w:t>
      </w:r>
      <w:r>
        <w:rPr>
          <w:rFonts w:hint="eastAsia" w:ascii="宋体" w:hAnsi="宋体" w:cs="宋体"/>
          <w:bCs/>
          <w:color w:val="auto"/>
          <w:szCs w:val="21"/>
          <w:highlight w:val="none"/>
          <w:lang w:eastAsia="zh-CN"/>
        </w:rPr>
        <w:t>电子签章</w:t>
      </w:r>
      <w:r>
        <w:rPr>
          <w:rFonts w:hint="eastAsia" w:ascii="宋体" w:hAnsi="宋体" w:cs="宋体"/>
          <w:bCs/>
          <w:color w:val="auto"/>
          <w:szCs w:val="21"/>
          <w:highlight w:val="none"/>
        </w:rPr>
        <w:t xml:space="preserve">）：                </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color w:val="auto"/>
          <w:spacing w:val="20"/>
          <w:highlight w:val="none"/>
        </w:rPr>
        <w:t xml:space="preserve">  </w:t>
      </w:r>
      <w:r>
        <w:rPr>
          <w:rFonts w:hint="eastAsia" w:ascii="宋体" w:hAnsi="宋体" w:cs="宋体"/>
          <w:color w:val="auto"/>
          <w:highlight w:val="none"/>
        </w:rPr>
        <w:t>年  月  日</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color w:val="auto"/>
          <w:sz w:val="24"/>
          <w:highlight w:val="none"/>
        </w:rPr>
        <w:br w:type="page"/>
      </w:r>
      <w:r>
        <w:rPr>
          <w:rFonts w:hint="eastAsia" w:ascii="宋体" w:hAnsi="宋体" w:cs="宋体"/>
          <w:b/>
          <w:bCs/>
          <w:color w:val="auto"/>
          <w:szCs w:val="21"/>
          <w:highlight w:val="none"/>
          <w:lang w:val="en-US" w:eastAsia="zh-CN"/>
        </w:rPr>
        <w:t>3.8</w:t>
      </w:r>
      <w:r>
        <w:rPr>
          <w:rFonts w:hint="eastAsia" w:ascii="宋体" w:hAnsi="宋体" w:cs="宋体"/>
          <w:b/>
          <w:bCs/>
          <w:color w:val="auto"/>
          <w:szCs w:val="21"/>
          <w:highlight w:val="none"/>
        </w:rPr>
        <w:t>类似业绩</w:t>
      </w:r>
    </w:p>
    <w:p>
      <w:pPr>
        <w:snapToGrid w:val="0"/>
        <w:spacing w:line="360" w:lineRule="auto"/>
        <w:jc w:val="center"/>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投标人曾承担过的</w:t>
      </w:r>
      <w:r>
        <w:rPr>
          <w:rFonts w:hint="eastAsia" w:ascii="宋体" w:hAnsi="宋体" w:cs="宋体"/>
          <w:b/>
          <w:snapToGrid w:val="0"/>
          <w:color w:val="auto"/>
          <w:kern w:val="0"/>
          <w:sz w:val="24"/>
          <w:highlight w:val="none"/>
          <w:lang w:eastAsia="zh-CN"/>
        </w:rPr>
        <w:t>同类</w:t>
      </w:r>
      <w:r>
        <w:rPr>
          <w:rFonts w:hint="eastAsia" w:ascii="宋体" w:hAnsi="宋体" w:cs="宋体"/>
          <w:b/>
          <w:snapToGrid w:val="0"/>
          <w:color w:val="auto"/>
          <w:kern w:val="0"/>
          <w:sz w:val="24"/>
          <w:highlight w:val="none"/>
        </w:rPr>
        <w:t>项目业绩一览表</w:t>
      </w: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color w:val="auto"/>
                <w:spacing w:val="3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beforeLines="50" w:after="50" w:line="460" w:lineRule="exact"/>
              <w:ind w:left="5250"/>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bl>
    <w:p>
      <w:pPr>
        <w:tabs>
          <w:tab w:val="left" w:pos="744"/>
        </w:tabs>
        <w:spacing w:line="400" w:lineRule="exact"/>
        <w:ind w:firstLine="308" w:firstLineChars="147"/>
        <w:rPr>
          <w:rFonts w:hint="eastAsia" w:ascii="宋体" w:hAnsi="宋体" w:cs="宋体"/>
          <w:color w:val="auto"/>
          <w:highlight w:val="none"/>
        </w:rPr>
      </w:pPr>
      <w:r>
        <w:rPr>
          <w:rFonts w:hint="eastAsia" w:ascii="宋体" w:hAnsi="宋体" w:cs="宋体"/>
          <w:color w:val="auto"/>
          <w:highlight w:val="none"/>
        </w:rPr>
        <w:t>注：1.表中所列业绩如与评分有关的，出具的证明材料需满足评审依据，否则不予得分。</w:t>
      </w:r>
    </w:p>
    <w:p>
      <w:pPr>
        <w:tabs>
          <w:tab w:val="left" w:pos="744"/>
        </w:tabs>
        <w:spacing w:line="400" w:lineRule="exact"/>
        <w:ind w:firstLine="308" w:firstLineChars="147"/>
        <w:rPr>
          <w:rFonts w:hint="eastAsia" w:ascii="宋体" w:hAnsi="宋体" w:cs="宋体"/>
          <w:color w:val="auto"/>
          <w:highlight w:val="none"/>
        </w:rPr>
      </w:pPr>
      <w:r>
        <w:rPr>
          <w:rFonts w:hint="eastAsia" w:ascii="宋体" w:hAnsi="宋体" w:cs="宋体"/>
          <w:color w:val="auto"/>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w:t>
      </w:r>
      <w:r>
        <w:rPr>
          <w:rFonts w:hint="eastAsia" w:ascii="宋体" w:hAnsi="宋体" w:cs="宋体"/>
          <w:snapToGrid w:val="0"/>
          <w:color w:val="auto"/>
          <w:kern w:val="0"/>
          <w:szCs w:val="21"/>
          <w:highlight w:val="none"/>
          <w:lang w:eastAsia="zh-CN"/>
        </w:rPr>
        <w:t>电子签章</w:t>
      </w:r>
      <w:r>
        <w:rPr>
          <w:rFonts w:hint="eastAsia" w:ascii="宋体" w:hAnsi="宋体" w:cs="宋体"/>
          <w:snapToGrid w:val="0"/>
          <w:color w:val="auto"/>
          <w:kern w:val="0"/>
          <w:szCs w:val="21"/>
          <w:highlight w:val="none"/>
        </w:rPr>
        <w:t>)</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Cs w:val="21"/>
          <w:highlight w:val="none"/>
          <w:lang w:val="en-US" w:eastAsia="zh-CN"/>
        </w:rPr>
        <w:t>3.9</w:t>
      </w:r>
      <w:r>
        <w:rPr>
          <w:rFonts w:hint="eastAsia" w:ascii="宋体" w:hAnsi="宋体" w:cs="宋体"/>
          <w:b/>
          <w:bCs/>
          <w:color w:val="auto"/>
          <w:szCs w:val="21"/>
          <w:highlight w:val="none"/>
        </w:rPr>
        <w:t>合同/商务条款偏离表</w:t>
      </w:r>
    </w:p>
    <w:p>
      <w:pPr>
        <w:spacing w:line="36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合同/商务条款偏离表</w:t>
      </w:r>
    </w:p>
    <w:p>
      <w:pPr>
        <w:spacing w:line="360" w:lineRule="atLeast"/>
        <w:jc w:val="center"/>
        <w:rPr>
          <w:rFonts w:hint="eastAsia" w:ascii="宋体" w:hAnsi="宋体" w:cs="宋体"/>
          <w:color w:val="auto"/>
          <w:highlight w:val="none"/>
        </w:rPr>
      </w:pP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bl>
    <w:p>
      <w:pPr>
        <w:spacing w:line="360" w:lineRule="atLeast"/>
        <w:rPr>
          <w:rFonts w:hint="eastAsia" w:ascii="宋体" w:hAnsi="宋体" w:cs="宋体"/>
          <w:color w:val="auto"/>
          <w:highlight w:val="none"/>
        </w:rPr>
      </w:pPr>
      <w:r>
        <w:rPr>
          <w:rFonts w:hint="eastAsia" w:ascii="宋体" w:hAnsi="宋体" w:cs="宋体"/>
          <w:color w:val="auto"/>
          <w:highlight w:val="none"/>
        </w:rPr>
        <w:t>注：若不填写或只填写“无”视作完全响应采购文件的要求。</w:t>
      </w:r>
    </w:p>
    <w:p>
      <w:pPr>
        <w:spacing w:line="360" w:lineRule="atLeast"/>
        <w:rPr>
          <w:rFonts w:hint="eastAsia" w:ascii="宋体" w:hAnsi="宋体" w:cs="宋体"/>
          <w:color w:val="auto"/>
          <w:highlight w:val="none"/>
        </w:rPr>
      </w:pPr>
    </w:p>
    <w:p>
      <w:pPr>
        <w:spacing w:line="360" w:lineRule="atLeast"/>
        <w:rPr>
          <w:rFonts w:hint="eastAsia" w:ascii="宋体" w:hAnsi="宋体" w:cs="宋体"/>
          <w:color w:val="auto"/>
          <w:highlight w:val="none"/>
        </w:rPr>
      </w:pPr>
    </w:p>
    <w:p>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投标人(盖公章</w:t>
      </w:r>
      <w:r>
        <w:rPr>
          <w:rFonts w:hint="eastAsia" w:ascii="宋体" w:hAnsi="宋体" w:cs="宋体"/>
          <w:snapToGrid w:val="0"/>
          <w:color w:val="auto"/>
          <w:kern w:val="0"/>
          <w:szCs w:val="21"/>
          <w:highlight w:val="none"/>
        </w:rPr>
        <w:t>或</w:t>
      </w:r>
      <w:r>
        <w:rPr>
          <w:rFonts w:hint="eastAsia" w:ascii="宋体" w:hAnsi="宋体" w:cs="宋体"/>
          <w:snapToGrid w:val="0"/>
          <w:color w:val="auto"/>
          <w:kern w:val="0"/>
          <w:szCs w:val="21"/>
          <w:highlight w:val="none"/>
          <w:lang w:eastAsia="zh-CN"/>
        </w:rPr>
        <w:t>电子签章</w:t>
      </w:r>
      <w:r>
        <w:rPr>
          <w:rFonts w:hint="eastAsia" w:ascii="宋体" w:hAnsi="宋体" w:cs="宋体"/>
          <w:color w:val="auto"/>
          <w:szCs w:val="21"/>
          <w:highlight w:val="none"/>
        </w:rPr>
        <w:t>)：</w:t>
      </w:r>
    </w:p>
    <w:p>
      <w:pPr>
        <w:spacing w:line="360" w:lineRule="atLeast"/>
        <w:jc w:val="left"/>
        <w:rPr>
          <w:rFonts w:hint="eastAsia" w:ascii="宋体" w:hAnsi="宋体" w:cs="宋体"/>
          <w:color w:val="auto"/>
          <w:szCs w:val="21"/>
          <w:highlight w:val="none"/>
        </w:rPr>
      </w:pP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highlight w:val="none"/>
        </w:rPr>
      </w:pPr>
      <w:r>
        <w:rPr>
          <w:rFonts w:hint="eastAsia" w:ascii="宋体" w:hAnsi="宋体" w:cs="宋体"/>
          <w:color w:val="auto"/>
          <w:highlight w:val="none"/>
        </w:rPr>
        <w:t>日</w:t>
      </w:r>
      <w:r>
        <w:rPr>
          <w:rFonts w:hint="eastAsia" w:ascii="宋体" w:hAnsi="宋体" w:cs="宋体"/>
          <w:color w:val="auto"/>
          <w:highlight w:val="none"/>
        </w:rPr>
        <w:tab/>
      </w:r>
      <w:r>
        <w:rPr>
          <w:rFonts w:hint="eastAsia" w:ascii="宋体" w:hAnsi="宋体" w:cs="宋体"/>
          <w:color w:val="auto"/>
          <w:highlight w:val="none"/>
        </w:rPr>
        <w:t>期：</w:t>
      </w:r>
    </w:p>
    <w:p>
      <w:pPr>
        <w:adjustRightInd w:val="0"/>
        <w:spacing w:line="360" w:lineRule="auto"/>
        <w:rPr>
          <w:rFonts w:hint="eastAsia" w:ascii="宋体" w:hAnsi="宋体" w:cs="宋体"/>
          <w:b/>
          <w:snapToGrid w:val="0"/>
          <w:color w:val="auto"/>
          <w:kern w:val="0"/>
          <w:szCs w:val="21"/>
          <w:highlight w:val="none"/>
        </w:rPr>
      </w:pPr>
      <w:r>
        <w:rPr>
          <w:rFonts w:hint="eastAsia" w:ascii="宋体" w:hAnsi="宋体" w:cs="宋体"/>
          <w:b/>
          <w:color w:val="auto"/>
          <w:sz w:val="24"/>
          <w:highlight w:val="none"/>
        </w:rPr>
        <w:br w:type="page"/>
      </w:r>
      <w:r>
        <w:rPr>
          <w:rFonts w:hint="eastAsia" w:ascii="宋体" w:hAnsi="宋体" w:cs="宋体"/>
          <w:b/>
          <w:snapToGrid w:val="0"/>
          <w:color w:val="auto"/>
          <w:kern w:val="0"/>
          <w:szCs w:val="21"/>
          <w:highlight w:val="none"/>
          <w:lang w:val="en-US" w:eastAsia="zh-CN"/>
        </w:rPr>
        <w:t>3.10</w:t>
      </w:r>
      <w:r>
        <w:rPr>
          <w:rFonts w:hint="eastAsia" w:ascii="宋体" w:hAnsi="宋体" w:cs="宋体"/>
          <w:b/>
          <w:snapToGrid w:val="0"/>
          <w:color w:val="auto"/>
          <w:kern w:val="0"/>
          <w:szCs w:val="21"/>
          <w:highlight w:val="none"/>
        </w:rPr>
        <w:t>拟派项目团队配备情况表</w:t>
      </w:r>
    </w:p>
    <w:p>
      <w:pPr>
        <w:snapToGrid w:val="0"/>
        <w:spacing w:line="360" w:lineRule="auto"/>
        <w:jc w:val="center"/>
        <w:rPr>
          <w:rFonts w:hint="eastAsia" w:ascii="宋体" w:hAnsi="宋体" w:cs="宋体"/>
          <w:b/>
          <w:snapToGrid w:val="0"/>
          <w:color w:val="auto"/>
          <w:kern w:val="0"/>
          <w:sz w:val="24"/>
          <w:highlight w:val="none"/>
        </w:rPr>
      </w:pPr>
    </w:p>
    <w:p>
      <w:pPr>
        <w:pStyle w:val="11"/>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（1）拟派项目团队配备情况表</w:t>
      </w:r>
    </w:p>
    <w:tbl>
      <w:tblPr>
        <w:tblStyle w:val="19"/>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bl>
    <w:p>
      <w:pPr>
        <w:snapToGrid w:val="0"/>
        <w:spacing w:line="360" w:lineRule="auto"/>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注：涉及评分项的其它证明材料附后。</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w:t>
      </w:r>
      <w:r>
        <w:rPr>
          <w:rFonts w:hint="eastAsia" w:ascii="宋体" w:hAnsi="宋体" w:cs="宋体"/>
          <w:snapToGrid w:val="0"/>
          <w:color w:val="auto"/>
          <w:kern w:val="0"/>
          <w:szCs w:val="21"/>
          <w:highlight w:val="none"/>
          <w:lang w:eastAsia="zh-CN"/>
        </w:rPr>
        <w:t>电子签章</w:t>
      </w:r>
      <w:r>
        <w:rPr>
          <w:rFonts w:hint="eastAsia" w:ascii="宋体" w:hAnsi="宋体" w:cs="宋体"/>
          <w:snapToGrid w:val="0"/>
          <w:color w:val="auto"/>
          <w:kern w:val="0"/>
          <w:szCs w:val="21"/>
          <w:highlight w:val="none"/>
        </w:rPr>
        <w:t>)</w:t>
      </w:r>
    </w:p>
    <w:p>
      <w:pPr>
        <w:snapToGrid w:val="0"/>
        <w:spacing w:line="360" w:lineRule="auto"/>
        <w:ind w:firstLine="4200" w:firstLineChars="2000"/>
        <w:rPr>
          <w:rFonts w:hint="eastAsia" w:ascii="宋体" w:hAnsi="宋体" w:cs="宋体"/>
          <w:snapToGrid w:val="0"/>
          <w:color w:val="auto"/>
          <w:kern w:val="0"/>
          <w:szCs w:val="21"/>
          <w:highlight w:val="none"/>
        </w:rPr>
      </w:pPr>
    </w:p>
    <w:p>
      <w:pPr>
        <w:snapToGrid w:val="0"/>
        <w:spacing w:line="360" w:lineRule="auto"/>
        <w:ind w:firstLine="4200" w:firstLineChars="20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br w:type="page"/>
      </w:r>
    </w:p>
    <w:p>
      <w:pPr>
        <w:pStyle w:val="11"/>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（2）项目负责人简历表</w:t>
      </w:r>
    </w:p>
    <w:tbl>
      <w:tblPr>
        <w:tblStyle w:val="19"/>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姓   名</w:t>
            </w:r>
          </w:p>
        </w:tc>
        <w:tc>
          <w:tcPr>
            <w:tcW w:w="1389" w:type="dxa"/>
            <w:noWrap w:val="0"/>
            <w:vAlign w:val="center"/>
          </w:tcPr>
          <w:p>
            <w:pPr>
              <w:snapToGrid w:val="0"/>
              <w:spacing w:line="320" w:lineRule="atLeast"/>
              <w:jc w:val="center"/>
              <w:rPr>
                <w:rFonts w:hint="eastAsia" w:ascii="宋体" w:hAnsi="宋体" w:cs="宋体"/>
                <w:color w:val="auto"/>
                <w:highlight w:val="none"/>
              </w:rPr>
            </w:pPr>
          </w:p>
        </w:tc>
        <w:tc>
          <w:tcPr>
            <w:tcW w:w="1155"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年   龄</w:t>
            </w:r>
          </w:p>
        </w:tc>
        <w:tc>
          <w:tcPr>
            <w:tcW w:w="1260" w:type="dxa"/>
            <w:gridSpan w:val="2"/>
            <w:noWrap w:val="0"/>
            <w:vAlign w:val="center"/>
          </w:tcPr>
          <w:p>
            <w:pPr>
              <w:snapToGrid w:val="0"/>
              <w:spacing w:line="320" w:lineRule="atLeast"/>
              <w:jc w:val="center"/>
              <w:rPr>
                <w:rFonts w:hint="eastAsia" w:ascii="宋体" w:hAnsi="宋体" w:cs="宋体"/>
                <w:color w:val="auto"/>
                <w:highlight w:val="none"/>
              </w:rPr>
            </w:pPr>
          </w:p>
        </w:tc>
        <w:tc>
          <w:tcPr>
            <w:tcW w:w="209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专   业</w:t>
            </w:r>
          </w:p>
        </w:tc>
        <w:tc>
          <w:tcPr>
            <w:tcW w:w="1270" w:type="dxa"/>
            <w:noWrap w:val="0"/>
            <w:vAlign w:val="center"/>
          </w:tcPr>
          <w:p>
            <w:pPr>
              <w:snapToGrid w:val="0"/>
              <w:spacing w:line="320" w:lineRule="atLeast"/>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职   称</w:t>
            </w:r>
          </w:p>
        </w:tc>
        <w:tc>
          <w:tcPr>
            <w:tcW w:w="1389" w:type="dxa"/>
            <w:noWrap w:val="0"/>
            <w:vAlign w:val="center"/>
          </w:tcPr>
          <w:p>
            <w:pPr>
              <w:snapToGrid w:val="0"/>
              <w:spacing w:line="320" w:lineRule="atLeast"/>
              <w:jc w:val="center"/>
              <w:rPr>
                <w:rFonts w:hint="eastAsia" w:ascii="宋体" w:hAnsi="宋体" w:cs="宋体"/>
                <w:color w:val="auto"/>
                <w:highlight w:val="none"/>
              </w:rPr>
            </w:pPr>
          </w:p>
        </w:tc>
        <w:tc>
          <w:tcPr>
            <w:tcW w:w="1155"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职   务</w:t>
            </w:r>
          </w:p>
        </w:tc>
        <w:tc>
          <w:tcPr>
            <w:tcW w:w="1260" w:type="dxa"/>
            <w:gridSpan w:val="2"/>
            <w:noWrap w:val="0"/>
            <w:vAlign w:val="center"/>
          </w:tcPr>
          <w:p>
            <w:pPr>
              <w:snapToGrid w:val="0"/>
              <w:spacing w:line="320" w:lineRule="atLeast"/>
              <w:jc w:val="center"/>
              <w:rPr>
                <w:rFonts w:hint="eastAsia" w:ascii="宋体" w:hAnsi="宋体" w:cs="宋体"/>
                <w:color w:val="auto"/>
                <w:highlight w:val="none"/>
              </w:rPr>
            </w:pPr>
          </w:p>
        </w:tc>
        <w:tc>
          <w:tcPr>
            <w:tcW w:w="209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拟在本合同</w:t>
            </w:r>
          </w:p>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项目担任职务</w:t>
            </w:r>
          </w:p>
        </w:tc>
        <w:tc>
          <w:tcPr>
            <w:tcW w:w="1270" w:type="dxa"/>
            <w:noWrap w:val="0"/>
            <w:vAlign w:val="center"/>
          </w:tcPr>
          <w:p>
            <w:pPr>
              <w:snapToGrid w:val="0"/>
              <w:spacing w:line="320" w:lineRule="atLeast"/>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毕业学校</w:t>
            </w:r>
          </w:p>
        </w:tc>
        <w:tc>
          <w:tcPr>
            <w:tcW w:w="7166" w:type="dxa"/>
            <w:gridSpan w:val="7"/>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月毕业于</w:t>
            </w:r>
            <w:r>
              <w:rPr>
                <w:rFonts w:hint="eastAsia" w:ascii="宋体" w:hAnsi="宋体" w:cs="宋体"/>
                <w:color w:val="auto"/>
                <w:highlight w:val="none"/>
                <w:u w:val="single"/>
              </w:rPr>
              <w:t xml:space="preserve">      </w:t>
            </w:r>
            <w:r>
              <w:rPr>
                <w:rFonts w:hint="eastAsia" w:ascii="宋体" w:hAnsi="宋体" w:cs="宋体"/>
                <w:color w:val="auto"/>
                <w:highlight w:val="none"/>
              </w:rPr>
              <w:t>学校</w:t>
            </w:r>
            <w:r>
              <w:rPr>
                <w:rFonts w:hint="eastAsia" w:ascii="宋体" w:hAnsi="宋体" w:cs="宋体"/>
                <w:color w:val="auto"/>
                <w:highlight w:val="none"/>
                <w:u w:val="single"/>
              </w:rPr>
              <w:t xml:space="preserve">    </w:t>
            </w:r>
            <w:r>
              <w:rPr>
                <w:rFonts w:hint="eastAsia" w:ascii="宋体" w:hAnsi="宋体" w:cs="宋体"/>
                <w:color w:val="auto"/>
                <w:highlight w:val="none"/>
              </w:rPr>
              <w:t>系(科)，学制</w:t>
            </w:r>
            <w:r>
              <w:rPr>
                <w:rFonts w:hint="eastAsia" w:ascii="宋体" w:hAnsi="宋体" w:cs="宋体"/>
                <w:color w:val="auto"/>
                <w:highlight w:val="none"/>
                <w:u w:val="single"/>
              </w:rPr>
              <w:t xml:space="preserve">    </w:t>
            </w:r>
            <w:r>
              <w:rPr>
                <w:rFonts w:hint="eastAsia" w:ascii="宋体" w:hAnsi="宋体" w:cs="宋体"/>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年   月</w:t>
            </w:r>
          </w:p>
        </w:tc>
        <w:tc>
          <w:tcPr>
            <w:tcW w:w="3600" w:type="dxa"/>
            <w:gridSpan w:val="4"/>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工作经历</w:t>
            </w:r>
          </w:p>
        </w:tc>
        <w:tc>
          <w:tcPr>
            <w:tcW w:w="2040"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担 任 何 职</w:t>
            </w:r>
          </w:p>
        </w:tc>
        <w:tc>
          <w:tcPr>
            <w:tcW w:w="153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noWrap w:val="0"/>
            <w:vAlign w:val="center"/>
          </w:tcPr>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tc>
        <w:tc>
          <w:tcPr>
            <w:tcW w:w="3600" w:type="dxa"/>
            <w:gridSpan w:val="4"/>
            <w:noWrap w:val="0"/>
            <w:vAlign w:val="center"/>
          </w:tcPr>
          <w:p>
            <w:pPr>
              <w:snapToGrid w:val="0"/>
              <w:spacing w:line="320" w:lineRule="atLeast"/>
              <w:jc w:val="center"/>
              <w:rPr>
                <w:rFonts w:hint="eastAsia" w:ascii="宋体" w:hAnsi="宋体" w:cs="宋体"/>
                <w:color w:val="auto"/>
                <w:highlight w:val="none"/>
              </w:rPr>
            </w:pPr>
          </w:p>
        </w:tc>
        <w:tc>
          <w:tcPr>
            <w:tcW w:w="2040" w:type="dxa"/>
            <w:gridSpan w:val="2"/>
            <w:noWrap w:val="0"/>
            <w:vAlign w:val="center"/>
          </w:tcPr>
          <w:p>
            <w:pPr>
              <w:snapToGrid w:val="0"/>
              <w:spacing w:line="320" w:lineRule="atLeast"/>
              <w:jc w:val="center"/>
              <w:rPr>
                <w:rFonts w:hint="eastAsia" w:ascii="宋体" w:hAnsi="宋体" w:cs="宋体"/>
                <w:color w:val="auto"/>
                <w:highlight w:val="none"/>
              </w:rPr>
            </w:pPr>
          </w:p>
        </w:tc>
        <w:tc>
          <w:tcPr>
            <w:tcW w:w="1532" w:type="dxa"/>
            <w:gridSpan w:val="2"/>
            <w:noWrap w:val="0"/>
            <w:vAlign w:val="center"/>
          </w:tcPr>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tc>
      </w:tr>
    </w:tbl>
    <w:p>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 注：与评分有关的证明材料附后。</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b/>
          <w:snapToGrid w:val="0"/>
          <w:color w:val="auto"/>
          <w:kern w:val="0"/>
          <w:sz w:val="24"/>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w:t>
      </w:r>
      <w:r>
        <w:rPr>
          <w:rFonts w:hint="eastAsia" w:ascii="宋体" w:hAnsi="宋体" w:cs="宋体"/>
          <w:snapToGrid w:val="0"/>
          <w:color w:val="auto"/>
          <w:kern w:val="0"/>
          <w:szCs w:val="21"/>
          <w:highlight w:val="none"/>
          <w:lang w:eastAsia="zh-CN"/>
        </w:rPr>
        <w:t>电子签章</w:t>
      </w:r>
      <w:r>
        <w:rPr>
          <w:rFonts w:hint="eastAsia" w:ascii="宋体" w:hAnsi="宋体" w:cs="宋体"/>
          <w:snapToGrid w:val="0"/>
          <w:color w:val="auto"/>
          <w:kern w:val="0"/>
          <w:szCs w:val="21"/>
          <w:highlight w:val="none"/>
        </w:rPr>
        <w:t>)</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snapToGrid w:val="0"/>
        <w:spacing w:line="360" w:lineRule="auto"/>
        <w:ind w:firstLine="4200" w:firstLineChars="20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spacing w:line="360" w:lineRule="atLeast"/>
        <w:outlineLvl w:val="1"/>
        <w:rPr>
          <w:rFonts w:hint="eastAsia" w:ascii="宋体" w:hAnsi="宋体" w:eastAsia="宋体" w:cs="宋体"/>
          <w:b/>
          <w:bCs/>
          <w:color w:val="auto"/>
          <w:sz w:val="24"/>
          <w:highlight w:val="none"/>
          <w:lang w:val="en-US" w:eastAsia="zh-CN"/>
        </w:rPr>
      </w:pPr>
      <w:r>
        <w:rPr>
          <w:rFonts w:hint="eastAsia" w:ascii="宋体" w:hAnsi="宋体" w:cs="宋体"/>
          <w:snapToGrid w:val="0"/>
          <w:color w:val="auto"/>
          <w:kern w:val="0"/>
          <w:szCs w:val="21"/>
          <w:highlight w:val="none"/>
        </w:rPr>
        <w:br w:type="page"/>
      </w:r>
      <w:bookmarkStart w:id="403" w:name="_Toc31556"/>
      <w:bookmarkStart w:id="404" w:name="_Toc2517"/>
      <w:bookmarkStart w:id="405" w:name="_Toc28558"/>
      <w:bookmarkStart w:id="406" w:name="_Toc25970"/>
      <w:r>
        <w:rPr>
          <w:rFonts w:hint="eastAsia" w:ascii="宋体" w:hAnsi="宋体" w:eastAsia="宋体" w:cs="宋体"/>
          <w:b/>
          <w:bCs/>
          <w:color w:val="auto"/>
          <w:sz w:val="24"/>
          <w:highlight w:val="none"/>
          <w:lang w:val="en-US" w:eastAsia="zh-CN"/>
        </w:rPr>
        <w:t>四、报价响应文件部分格式</w:t>
      </w:r>
      <w:bookmarkEnd w:id="403"/>
      <w:bookmarkEnd w:id="404"/>
      <w:bookmarkEnd w:id="405"/>
      <w:bookmarkEnd w:id="406"/>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开标一览表</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开标一览表</w:t>
      </w:r>
    </w:p>
    <w:p>
      <w:pPr>
        <w:adjustRightInd w:val="0"/>
        <w:spacing w:line="360" w:lineRule="auto"/>
        <w:rPr>
          <w:rFonts w:hint="eastAsia" w:ascii="宋体" w:hAnsi="宋体" w:cs="宋体"/>
          <w:color w:val="auto"/>
          <w:szCs w:val="21"/>
          <w:highlight w:val="none"/>
        </w:rPr>
      </w:pPr>
    </w:p>
    <w:p>
      <w:pPr>
        <w:adjustRightIn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项目名称：                                 </w:t>
      </w:r>
      <w:r>
        <w:rPr>
          <w:rFonts w:hint="eastAsia" w:ascii="宋体" w:hAnsi="宋体" w:cs="宋体"/>
          <w:color w:val="auto"/>
          <w:szCs w:val="21"/>
          <w:highlight w:val="none"/>
          <w:lang w:eastAsia="zh-CN"/>
        </w:rPr>
        <w:t>采购编号：ZJ-2272868</w:t>
      </w:r>
    </w:p>
    <w:tbl>
      <w:tblPr>
        <w:tblStyle w:val="19"/>
        <w:tblW w:w="9358"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963"/>
        <w:gridCol w:w="1112"/>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16" w:type="dxa"/>
            <w:tcBorders>
              <w:top w:val="single" w:color="auto" w:sz="12" w:space="0"/>
              <w:left w:val="single" w:color="auto" w:sz="12" w:space="0"/>
              <w:bottom w:val="single" w:color="auto" w:sz="6" w:space="0"/>
              <w:right w:val="single" w:color="auto" w:sz="6" w:space="0"/>
            </w:tcBorders>
            <w:noWrap w:val="0"/>
            <w:vAlign w:val="center"/>
          </w:tcPr>
          <w:p>
            <w:pPr>
              <w:adjustRightInd w:val="0"/>
              <w:spacing w:line="360" w:lineRule="auto"/>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none"/>
                <w:lang w:eastAsia="zh-CN"/>
              </w:rPr>
              <w:t>项目内容</w:t>
            </w:r>
          </w:p>
        </w:tc>
        <w:tc>
          <w:tcPr>
            <w:tcW w:w="3963" w:type="dxa"/>
            <w:tcBorders>
              <w:top w:val="single" w:color="auto" w:sz="12" w:space="0"/>
              <w:left w:val="single" w:color="auto" w:sz="6" w:space="0"/>
              <w:bottom w:val="single" w:color="auto" w:sz="6" w:space="0"/>
              <w:right w:val="single" w:color="auto" w:sz="6" w:space="0"/>
            </w:tcBorders>
            <w:noWrap w:val="0"/>
            <w:vAlign w:val="center"/>
          </w:tcPr>
          <w:p>
            <w:pPr>
              <w:adjustRightIn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投标报价</w:t>
            </w:r>
          </w:p>
        </w:tc>
        <w:tc>
          <w:tcPr>
            <w:tcW w:w="1112" w:type="dxa"/>
            <w:tcBorders>
              <w:top w:val="single" w:color="auto" w:sz="12" w:space="0"/>
              <w:left w:val="single" w:color="auto" w:sz="6" w:space="0"/>
              <w:bottom w:val="single" w:color="auto" w:sz="6" w:space="0"/>
              <w:right w:val="single" w:color="auto" w:sz="6" w:space="0"/>
            </w:tcBorders>
            <w:noWrap w:val="0"/>
            <w:vAlign w:val="center"/>
          </w:tcPr>
          <w:p>
            <w:pPr>
              <w:adjustRightIn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预估数量</w:t>
            </w:r>
          </w:p>
        </w:tc>
        <w:tc>
          <w:tcPr>
            <w:tcW w:w="2867" w:type="dxa"/>
            <w:tcBorders>
              <w:top w:val="single" w:color="auto" w:sz="12" w:space="0"/>
              <w:left w:val="single" w:color="auto" w:sz="6" w:space="0"/>
              <w:bottom w:val="single" w:color="auto" w:sz="6" w:space="0"/>
              <w:right w:val="single" w:color="auto" w:sz="12" w:space="0"/>
            </w:tcBorders>
            <w:noWrap w:val="0"/>
            <w:vAlign w:val="center"/>
          </w:tcPr>
          <w:p>
            <w:pPr>
              <w:adjustRightIn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16" w:type="dxa"/>
            <w:tcBorders>
              <w:top w:val="single" w:color="auto" w:sz="6" w:space="0"/>
              <w:left w:val="single" w:color="auto" w:sz="12" w:space="0"/>
              <w:bottom w:val="single" w:color="auto" w:sz="6" w:space="0"/>
              <w:right w:val="single" w:color="auto" w:sz="6" w:space="0"/>
            </w:tcBorders>
            <w:noWrap w:val="0"/>
            <w:vAlign w:val="center"/>
          </w:tcPr>
          <w:p>
            <w:pPr>
              <w:adjustRightIn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省本级预算管理一体化项目</w:t>
            </w:r>
          </w:p>
        </w:tc>
        <w:tc>
          <w:tcPr>
            <w:tcW w:w="396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c>
          <w:tcPr>
            <w:tcW w:w="111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867" w:type="dxa"/>
            <w:vMerge w:val="restart"/>
            <w:tcBorders>
              <w:top w:val="single" w:color="auto" w:sz="6" w:space="0"/>
              <w:left w:val="single" w:color="auto" w:sz="6" w:space="0"/>
              <w:bottom w:val="single" w:color="auto" w:sz="6" w:space="0"/>
              <w:right w:val="single" w:color="auto" w:sz="12" w:space="0"/>
            </w:tcBorders>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总报价（人民币）¥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大写：</w:t>
            </w:r>
          </w:p>
          <w:p>
            <w:pPr>
              <w:adjustRightInd w:val="0"/>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416" w:type="dxa"/>
            <w:tcBorders>
              <w:top w:val="single" w:color="auto" w:sz="6" w:space="0"/>
              <w:left w:val="single" w:color="auto" w:sz="12" w:space="0"/>
              <w:bottom w:val="single" w:color="auto" w:sz="6" w:space="0"/>
              <w:right w:val="single" w:color="auto" w:sz="6" w:space="0"/>
            </w:tcBorders>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地</w:t>
            </w:r>
            <w:r>
              <w:rPr>
                <w:rFonts w:hint="eastAsia" w:ascii="宋体" w:hAnsi="宋体" w:eastAsia="宋体" w:cs="宋体"/>
                <w:color w:val="auto"/>
                <w:szCs w:val="21"/>
                <w:highlight w:val="none"/>
                <w:lang w:eastAsia="zh-CN"/>
              </w:rPr>
              <w:t>市级年度服务</w:t>
            </w:r>
          </w:p>
        </w:tc>
        <w:tc>
          <w:tcPr>
            <w:tcW w:w="396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val="en-US" w:eastAsia="zh-CN"/>
              </w:rPr>
              <w:t>/年</w:t>
            </w:r>
            <w:r>
              <w:rPr>
                <w:rFonts w:hint="eastAsia" w:ascii="宋体" w:hAnsi="宋体" w:cs="宋体"/>
                <w:color w:val="auto"/>
                <w:szCs w:val="21"/>
                <w:highlight w:val="none"/>
                <w:lang w:val="en-US" w:eastAsia="zh-CN"/>
              </w:rPr>
              <w:t>/地市</w:t>
            </w:r>
            <w:r>
              <w:rPr>
                <w:rFonts w:hint="eastAsia" w:ascii="宋体" w:hAnsi="宋体" w:cs="宋体"/>
                <w:color w:val="auto"/>
                <w:szCs w:val="21"/>
                <w:highlight w:val="none"/>
              </w:rPr>
              <w:t>，</w:t>
            </w:r>
          </w:p>
          <w:p>
            <w:pPr>
              <w:adjustRightInd w:val="0"/>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/年/地市</w:t>
            </w:r>
          </w:p>
        </w:tc>
        <w:tc>
          <w:tcPr>
            <w:tcW w:w="111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867" w:type="dxa"/>
            <w:vMerge w:val="continue"/>
            <w:tcBorders>
              <w:top w:val="single" w:color="auto" w:sz="6" w:space="0"/>
              <w:left w:val="single" w:color="auto" w:sz="6" w:space="0"/>
              <w:bottom w:val="single" w:color="auto" w:sz="6" w:space="0"/>
              <w:right w:val="single" w:color="auto" w:sz="12" w:space="0"/>
            </w:tcBorders>
            <w:noWrap w:val="0"/>
            <w:vAlign w:val="center"/>
          </w:tcPr>
          <w:p>
            <w:pPr>
              <w:adjustRightInd w:val="0"/>
              <w:spacing w:line="360" w:lineRule="auto"/>
              <w:jc w:val="both"/>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416" w:type="dxa"/>
            <w:tcBorders>
              <w:top w:val="single" w:color="auto" w:sz="6" w:space="0"/>
              <w:left w:val="single" w:color="auto" w:sz="12" w:space="0"/>
              <w:bottom w:val="single" w:color="auto" w:sz="12" w:space="0"/>
              <w:right w:val="single" w:color="auto" w:sz="6" w:space="0"/>
            </w:tcBorders>
            <w:noWrap w:val="0"/>
            <w:vAlign w:val="center"/>
          </w:tcPr>
          <w:p>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区县级年度服务</w:t>
            </w:r>
          </w:p>
        </w:tc>
        <w:tc>
          <w:tcPr>
            <w:tcW w:w="3963" w:type="dxa"/>
            <w:tcBorders>
              <w:top w:val="single" w:color="auto" w:sz="6" w:space="0"/>
              <w:left w:val="single" w:color="auto" w:sz="6" w:space="0"/>
              <w:bottom w:val="single" w:color="auto" w:sz="12" w:space="0"/>
              <w:right w:val="single" w:color="auto" w:sz="6" w:space="0"/>
            </w:tcBorders>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val="en-US" w:eastAsia="zh-CN"/>
              </w:rPr>
              <w:t>/年/区县</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w:t>
            </w:r>
          </w:p>
          <w:p>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u w:val="none"/>
                <w:lang w:val="en-US" w:eastAsia="zh-CN"/>
              </w:rPr>
              <w:t>/区县</w:t>
            </w:r>
          </w:p>
        </w:tc>
        <w:tc>
          <w:tcPr>
            <w:tcW w:w="1112" w:type="dxa"/>
            <w:tcBorders>
              <w:top w:val="single" w:color="auto" w:sz="6" w:space="0"/>
              <w:left w:val="single" w:color="auto" w:sz="6" w:space="0"/>
              <w:bottom w:val="single" w:color="auto" w:sz="12" w:space="0"/>
              <w:right w:val="single" w:color="auto" w:sz="6" w:space="0"/>
            </w:tcBorders>
            <w:noWrap w:val="0"/>
            <w:vAlign w:val="center"/>
          </w:tcPr>
          <w:p>
            <w:pPr>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86</w:t>
            </w:r>
          </w:p>
        </w:tc>
        <w:tc>
          <w:tcPr>
            <w:tcW w:w="2867" w:type="dxa"/>
            <w:vMerge w:val="continue"/>
            <w:tcBorders>
              <w:top w:val="single" w:color="auto" w:sz="6" w:space="0"/>
              <w:left w:val="single" w:color="auto" w:sz="6" w:space="0"/>
              <w:bottom w:val="single" w:color="auto" w:sz="12" w:space="0"/>
              <w:right w:val="single" w:color="auto" w:sz="12" w:space="0"/>
            </w:tcBorders>
            <w:noWrap w:val="0"/>
            <w:vAlign w:val="center"/>
          </w:tcPr>
          <w:p>
            <w:pPr>
              <w:adjustRightInd w:val="0"/>
              <w:spacing w:line="360" w:lineRule="auto"/>
              <w:jc w:val="center"/>
              <w:rPr>
                <w:rFonts w:hint="eastAsia" w:ascii="宋体" w:hAnsi="宋体" w:cs="宋体"/>
                <w:color w:val="auto"/>
                <w:szCs w:val="21"/>
                <w:highlight w:val="none"/>
              </w:rPr>
            </w:pPr>
          </w:p>
        </w:tc>
      </w:tr>
    </w:tbl>
    <w:p>
      <w:pPr>
        <w:adjustRightInd w:val="0"/>
        <w:spacing w:line="360" w:lineRule="auto"/>
        <w:jc w:val="left"/>
        <w:rPr>
          <w:rFonts w:hint="eastAsia" w:ascii="宋体" w:hAnsi="宋体" w:cs="宋体"/>
          <w:color w:val="auto"/>
          <w:szCs w:val="21"/>
          <w:highlight w:val="none"/>
        </w:rPr>
      </w:pPr>
    </w:p>
    <w:p>
      <w:pPr>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注：“报价方式”以一次报清，完成本项目所需的所有费用必须包含在总报价中。</w:t>
      </w: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r>
        <w:rPr>
          <w:rFonts w:hint="eastAsia" w:ascii="宋体" w:hAnsi="宋体" w:cs="宋体"/>
          <w:snapToGrid w:val="0"/>
          <w:color w:val="auto"/>
          <w:kern w:val="0"/>
          <w:szCs w:val="21"/>
          <w:highlight w:val="none"/>
        </w:rPr>
        <w:t>或</w:t>
      </w:r>
      <w:r>
        <w:rPr>
          <w:rFonts w:hint="eastAsia" w:ascii="宋体" w:hAnsi="宋体" w:cs="宋体"/>
          <w:snapToGrid w:val="0"/>
          <w:color w:val="auto"/>
          <w:kern w:val="0"/>
          <w:szCs w:val="21"/>
          <w:highlight w:val="none"/>
          <w:lang w:eastAsia="zh-CN"/>
        </w:rPr>
        <w:t>电子签章</w:t>
      </w:r>
      <w:r>
        <w:rPr>
          <w:rFonts w:hint="eastAsia" w:ascii="宋体" w:hAnsi="宋体" w:cs="宋体"/>
          <w:color w:val="auto"/>
          <w:szCs w:val="21"/>
          <w:highlight w:val="none"/>
        </w:rPr>
        <w:t>)</w:t>
      </w:r>
    </w:p>
    <w:p>
      <w:pPr>
        <w:adjustRightInd w:val="0"/>
        <w:spacing w:line="360" w:lineRule="auto"/>
        <w:ind w:firstLine="4515" w:firstLineChars="2150"/>
        <w:rPr>
          <w:rFonts w:hint="eastAsia" w:ascii="宋体" w:hAnsi="宋体" w:cs="宋体"/>
          <w:color w:val="auto"/>
          <w:szCs w:val="21"/>
          <w:highlight w:val="none"/>
        </w:rPr>
      </w:pPr>
    </w:p>
    <w:p>
      <w:pPr>
        <w:pStyle w:val="11"/>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投标报价明细表</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投标报价明细表</w:t>
      </w:r>
    </w:p>
    <w:p>
      <w:pPr>
        <w:jc w:val="center"/>
        <w:rPr>
          <w:rFonts w:hint="eastAsia" w:eastAsia="宋体"/>
          <w:color w:val="auto"/>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（按省本级、地市级、区县级分别提供）</w:t>
      </w:r>
    </w:p>
    <w:p>
      <w:pPr>
        <w:adjustRightInd w:val="0"/>
        <w:spacing w:line="360" w:lineRule="auto"/>
        <w:jc w:val="left"/>
        <w:rPr>
          <w:rFonts w:hint="eastAsia" w:ascii="宋体" w:hAnsi="宋体" w:cs="宋体"/>
          <w:color w:val="auto"/>
          <w:szCs w:val="21"/>
          <w:highlight w:val="none"/>
        </w:rPr>
      </w:pPr>
    </w:p>
    <w:p>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ZJ-2272868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jc w:val="right"/>
        <w:rPr>
          <w:rFonts w:hint="eastAsia" w:ascii="宋体" w:hAnsi="宋体" w:cs="宋体"/>
          <w:color w:val="auto"/>
          <w:highlight w:val="none"/>
        </w:rPr>
      </w:pPr>
      <w:r>
        <w:rPr>
          <w:rFonts w:hint="eastAsia" w:ascii="宋体" w:hAnsi="宋体" w:cs="宋体"/>
          <w:color w:val="auto"/>
          <w:highlight w:val="none"/>
        </w:rPr>
        <w:t xml:space="preserve"> 元人民币</w:t>
      </w:r>
    </w:p>
    <w:tbl>
      <w:tblPr>
        <w:tblStyle w:val="19"/>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551"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659"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32"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746"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127"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r>
              <w:rPr>
                <w:rFonts w:hint="eastAsia" w:ascii="宋体" w:hAnsi="宋体" w:cs="宋体"/>
                <w:i/>
                <w:iCs/>
                <w:color w:val="auto"/>
                <w:sz w:val="24"/>
                <w:highlight w:val="none"/>
                <w:lang w:eastAsia="zh-CN"/>
              </w:rPr>
              <w:t>……</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r>
              <w:rPr>
                <w:rFonts w:hint="eastAsia" w:ascii="宋体" w:hAnsi="宋体" w:eastAsia="宋体" w:cs="宋体"/>
                <w:b w:val="0"/>
                <w:bCs/>
                <w:color w:val="auto"/>
                <w:kern w:val="0"/>
                <w:sz w:val="21"/>
                <w:szCs w:val="21"/>
                <w:highlight w:val="none"/>
                <w:lang w:val="en-US" w:eastAsia="zh-CN" w:bidi="ar-SA"/>
              </w:rPr>
              <w:t>预算（基础信息、项目库、预算编制与批复、预算绩效、预算调整与调剂）</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adjustRightInd w:val="0"/>
              <w:snapToGrid w:val="0"/>
              <w:spacing w:line="460" w:lineRule="exact"/>
              <w:rPr>
                <w:rFonts w:hint="eastAsia" w:ascii="宋体" w:hAnsi="宋体" w:cs="宋体"/>
                <w:i/>
                <w:iCs/>
                <w:color w:val="auto"/>
                <w:sz w:val="24"/>
                <w:highlight w:val="none"/>
              </w:rPr>
            </w:pPr>
            <w:r>
              <w:rPr>
                <w:rFonts w:hint="eastAsia" w:ascii="宋体" w:hAnsi="宋体" w:eastAsia="宋体" w:cs="宋体"/>
                <w:b w:val="0"/>
                <w:bCs/>
                <w:color w:val="auto"/>
                <w:kern w:val="0"/>
                <w:sz w:val="21"/>
                <w:szCs w:val="21"/>
                <w:highlight w:val="none"/>
                <w:lang w:val="en-US" w:eastAsia="zh-CN" w:bidi="ar-SA"/>
              </w:rPr>
              <w:t>执行（预算执行、预算指标会计核算）</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r>
              <w:rPr>
                <w:rFonts w:ascii="宋体" w:hAnsi="宋体" w:eastAsia="宋体" w:cs="宋体"/>
                <w:b w:val="0"/>
                <w:bCs/>
                <w:color w:val="auto"/>
                <w:sz w:val="21"/>
                <w:szCs w:val="21"/>
                <w:highlight w:val="none"/>
              </w:rPr>
              <w:t>安全服务</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r>
              <w:rPr>
                <w:rFonts w:hint="eastAsia" w:ascii="宋体" w:hAnsi="宋体" w:cs="宋体"/>
                <w:i/>
                <w:iCs/>
                <w:color w:val="auto"/>
                <w:sz w:val="24"/>
                <w:highlight w:val="none"/>
                <w:lang w:eastAsia="zh-CN"/>
              </w:rPr>
              <w:t>……</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r>
              <w:rPr>
                <w:rFonts w:hint="eastAsia" w:ascii="宋体" w:hAnsi="宋体" w:cs="宋体"/>
                <w:i/>
                <w:iCs/>
                <w:color w:val="auto"/>
                <w:sz w:val="24"/>
                <w:highlight w:val="none"/>
                <w:lang w:eastAsia="zh-CN"/>
              </w:rPr>
              <w:t>……</w:t>
            </w: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color w:val="auto"/>
                <w:sz w:val="24"/>
                <w:highlight w:val="none"/>
              </w:rPr>
            </w:pPr>
          </w:p>
        </w:tc>
        <w:tc>
          <w:tcPr>
            <w:tcW w:w="2551" w:type="dxa"/>
            <w:noWrap w:val="0"/>
            <w:vAlign w:val="center"/>
          </w:tcPr>
          <w:p>
            <w:pPr>
              <w:spacing w:line="460" w:lineRule="exact"/>
              <w:jc w:val="center"/>
              <w:rPr>
                <w:rFonts w:hint="eastAsia" w:ascii="宋体" w:hAnsi="宋体" w:cs="宋体"/>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pPr>
              <w:spacing w:line="4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投标总价（小写）</w:t>
            </w:r>
          </w:p>
        </w:tc>
        <w:tc>
          <w:tcPr>
            <w:tcW w:w="5664" w:type="dxa"/>
            <w:gridSpan w:val="4"/>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pPr>
              <w:spacing w:line="4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投标总价（大写）</w:t>
            </w:r>
          </w:p>
        </w:tc>
        <w:tc>
          <w:tcPr>
            <w:tcW w:w="5664" w:type="dxa"/>
            <w:gridSpan w:val="4"/>
            <w:noWrap w:val="0"/>
            <w:vAlign w:val="center"/>
          </w:tcPr>
          <w:p>
            <w:pPr>
              <w:spacing w:line="460" w:lineRule="exact"/>
              <w:jc w:val="center"/>
              <w:rPr>
                <w:rFonts w:hint="eastAsia" w:ascii="宋体" w:hAnsi="宋体" w:cs="宋体"/>
                <w:color w:val="auto"/>
                <w:sz w:val="24"/>
                <w:highlight w:val="none"/>
              </w:rPr>
            </w:pPr>
          </w:p>
        </w:tc>
      </w:tr>
    </w:tbl>
    <w:p>
      <w:pPr>
        <w:spacing w:line="360" w:lineRule="auto"/>
        <w:rPr>
          <w:rFonts w:hint="eastAsia" w:ascii="宋体" w:hAnsi="宋体" w:cs="宋体"/>
          <w:color w:val="auto"/>
          <w:highlight w:val="none"/>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注：1. 投标人根据实际情况可在表中报价明细的基础上进行扩展</w:t>
      </w:r>
      <w:r>
        <w:rPr>
          <w:rFonts w:hint="eastAsia" w:ascii="宋体" w:hAnsi="宋体" w:cs="宋体"/>
          <w:color w:val="auto"/>
          <w:highlight w:val="none"/>
          <w:lang w:eastAsia="zh-CN"/>
        </w:rPr>
        <w:t>，</w:t>
      </w:r>
      <w:r>
        <w:rPr>
          <w:rFonts w:hint="eastAsia" w:ascii="宋体" w:hAnsi="宋体" w:cs="宋体"/>
          <w:b/>
          <w:bCs/>
          <w:color w:val="auto"/>
          <w:highlight w:val="none"/>
          <w:lang w:eastAsia="zh-CN"/>
        </w:rPr>
        <w:t>但至少应包含以上所列内容分项</w:t>
      </w:r>
      <w:r>
        <w:rPr>
          <w:rFonts w:hint="eastAsia" w:ascii="宋体" w:hAnsi="宋体" w:cs="宋体"/>
          <w:b/>
          <w:bCs/>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上表所述“总报价”应与“开标一览表”中的总报价一致，如有矛盾，以“开标一览表”中的为准。</w:t>
      </w:r>
    </w:p>
    <w:p>
      <w:pPr>
        <w:spacing w:line="360" w:lineRule="auto"/>
        <w:ind w:firstLine="420" w:firstLineChars="200"/>
        <w:rPr>
          <w:rFonts w:hint="eastAsia"/>
          <w:color w:val="auto"/>
          <w:highlight w:val="none"/>
        </w:rPr>
      </w:pPr>
      <w:r>
        <w:rPr>
          <w:rFonts w:hint="eastAsia" w:ascii="宋体" w:hAnsi="宋体" w:cs="宋体"/>
          <w:color w:val="auto"/>
          <w:highlight w:val="none"/>
        </w:rPr>
        <w:t>3.▲采购人将以合同形式有偿取得服务，不接受投标人给予的赠品、回扣或者与采购无关的其他商品、服务，各项明细费用请按实填写（不得出现“0元”“免费赠送”等形式的无偿报价）。</w:t>
      </w:r>
    </w:p>
    <w:p>
      <w:pPr>
        <w:adjustRightInd w:val="0"/>
        <w:spacing w:line="360" w:lineRule="auto"/>
        <w:ind w:firstLine="4515" w:firstLineChars="2150"/>
        <w:rPr>
          <w:rFonts w:hint="eastAsia" w:ascii="宋体" w:hAnsi="宋体" w:cs="宋体"/>
          <w:color w:val="auto"/>
          <w:szCs w:val="21"/>
          <w:highlight w:val="none"/>
        </w:rPr>
      </w:pP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r>
        <w:rPr>
          <w:rFonts w:hint="eastAsia" w:ascii="宋体" w:hAnsi="宋体" w:cs="宋体"/>
          <w:snapToGrid w:val="0"/>
          <w:color w:val="auto"/>
          <w:kern w:val="0"/>
          <w:szCs w:val="21"/>
          <w:highlight w:val="none"/>
        </w:rPr>
        <w:t>或</w:t>
      </w:r>
      <w:r>
        <w:rPr>
          <w:rFonts w:hint="eastAsia" w:ascii="宋体" w:hAnsi="宋体" w:cs="宋体"/>
          <w:snapToGrid w:val="0"/>
          <w:color w:val="auto"/>
          <w:kern w:val="0"/>
          <w:szCs w:val="21"/>
          <w:highlight w:val="none"/>
          <w:lang w:eastAsia="zh-CN"/>
        </w:rPr>
        <w:t>电子签章</w:t>
      </w:r>
      <w:r>
        <w:rPr>
          <w:rFonts w:hint="eastAsia" w:ascii="宋体" w:hAnsi="宋体" w:cs="宋体"/>
          <w:color w:val="auto"/>
          <w:szCs w:val="21"/>
          <w:highlight w:val="none"/>
        </w:rPr>
        <w:t>)</w:t>
      </w:r>
    </w:p>
    <w:p>
      <w:pPr>
        <w:adjustRightInd w:val="0"/>
        <w:spacing w:line="360" w:lineRule="auto"/>
        <w:ind w:firstLine="4515" w:firstLineChars="2150"/>
        <w:rPr>
          <w:rFonts w:hint="eastAsia" w:ascii="宋体" w:hAnsi="宋体" w:cs="宋体"/>
          <w:color w:val="auto"/>
          <w:szCs w:val="21"/>
          <w:highlight w:val="none"/>
        </w:rPr>
      </w:pPr>
    </w:p>
    <w:p>
      <w:pPr>
        <w:pStyle w:val="11"/>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eastAsia="宋体" w:cs="宋体"/>
          <w:b/>
          <w:color w:val="auto"/>
          <w:szCs w:val="21"/>
          <w:highlight w:val="none"/>
          <w:lang w:eastAsia="zh-CN"/>
        </w:rPr>
      </w:pPr>
      <w:r>
        <w:rPr>
          <w:rFonts w:hint="eastAsia" w:ascii="宋体" w:hAnsi="宋体" w:cs="宋体"/>
          <w:color w:val="auto"/>
          <w:highlight w:val="none"/>
        </w:rPr>
        <w:br w:type="page"/>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成本测算依据</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成本测算依据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7" w:hRule="atLeast"/>
        </w:trPr>
        <w:tc>
          <w:tcPr>
            <w:tcW w:w="8946" w:type="dxa"/>
            <w:noWrap w:val="0"/>
            <w:vAlign w:val="top"/>
          </w:tcPr>
          <w:p>
            <w:pPr>
              <w:snapToGrid w:val="0"/>
              <w:spacing w:line="360" w:lineRule="auto"/>
              <w:rPr>
                <w:rFonts w:hint="eastAsia" w:ascii="宋体" w:hAnsi="宋体" w:cs="宋体"/>
                <w:color w:val="auto"/>
                <w:highlight w:val="none"/>
              </w:rPr>
            </w:pPr>
          </w:p>
        </w:tc>
      </w:tr>
    </w:tbl>
    <w:p>
      <w:pPr>
        <w:snapToGrid w:val="0"/>
        <w:spacing w:line="360" w:lineRule="auto"/>
        <w:rPr>
          <w:rFonts w:hint="eastAsia" w:ascii="宋体" w:hAnsi="宋体" w:cs="宋体"/>
          <w:color w:val="auto"/>
          <w:highlight w:val="none"/>
        </w:rPr>
      </w:pPr>
      <w:r>
        <w:rPr>
          <w:rFonts w:hint="eastAsia" w:ascii="宋体" w:hAnsi="宋体" w:cs="宋体"/>
          <w:color w:val="auto"/>
          <w:highlight w:val="none"/>
        </w:rPr>
        <w:t>注：各投标人须对本项目投标报价的合理性进行说明，形式不限。</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r>
        <w:rPr>
          <w:rFonts w:hint="eastAsia" w:ascii="宋体" w:hAnsi="宋体" w:cs="宋体"/>
          <w:snapToGrid w:val="0"/>
          <w:color w:val="auto"/>
          <w:kern w:val="0"/>
          <w:szCs w:val="21"/>
          <w:highlight w:val="none"/>
        </w:rPr>
        <w:t>或</w:t>
      </w:r>
      <w:r>
        <w:rPr>
          <w:rFonts w:hint="eastAsia" w:ascii="宋体" w:hAnsi="宋体" w:cs="宋体"/>
          <w:snapToGrid w:val="0"/>
          <w:color w:val="auto"/>
          <w:kern w:val="0"/>
          <w:szCs w:val="21"/>
          <w:highlight w:val="none"/>
          <w:lang w:eastAsia="zh-CN"/>
        </w:rPr>
        <w:t>电子签章</w:t>
      </w:r>
      <w:r>
        <w:rPr>
          <w:rFonts w:hint="eastAsia" w:ascii="宋体" w:hAnsi="宋体" w:cs="宋体"/>
          <w:color w:val="auto"/>
          <w:szCs w:val="21"/>
          <w:highlight w:val="none"/>
        </w:rPr>
        <w:t>)</w:t>
      </w:r>
    </w:p>
    <w:p>
      <w:pPr>
        <w:adjustRightInd w:val="0"/>
        <w:spacing w:line="360" w:lineRule="auto"/>
        <w:ind w:firstLine="4515" w:firstLineChars="2150"/>
        <w:rPr>
          <w:rFonts w:hint="eastAsia" w:ascii="宋体" w:hAnsi="宋体" w:cs="宋体"/>
          <w:color w:val="auto"/>
          <w:szCs w:val="21"/>
          <w:highlight w:val="none"/>
        </w:rPr>
      </w:pPr>
    </w:p>
    <w:p>
      <w:pPr>
        <w:pStyle w:val="11"/>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eastAsia="宋体" w:cs="宋体"/>
          <w:b/>
          <w:color w:val="auto"/>
          <w:szCs w:val="21"/>
          <w:highlight w:val="none"/>
          <w:lang w:eastAsia="zh-CN"/>
        </w:rPr>
      </w:pPr>
      <w:r>
        <w:rPr>
          <w:rFonts w:hint="eastAsia" w:ascii="宋体" w:hAnsi="宋体" w:cs="宋体"/>
          <w:color w:val="auto"/>
          <w:highlight w:val="none"/>
        </w:rPr>
        <w:br w:type="page"/>
      </w:r>
      <w:r>
        <w:rPr>
          <w:rFonts w:hint="eastAsia" w:ascii="宋体" w:hAnsi="宋体" w:cs="宋体"/>
          <w:color w:val="auto"/>
          <w:highlight w:val="none"/>
          <w:lang w:val="en-US" w:eastAsia="zh-CN"/>
        </w:rPr>
        <w:t>4.4</w:t>
      </w:r>
      <w:r>
        <w:rPr>
          <w:rFonts w:hint="eastAsia" w:ascii="宋体" w:hAnsi="宋体" w:cs="宋体"/>
          <w:b/>
          <w:color w:val="auto"/>
          <w:szCs w:val="21"/>
          <w:highlight w:val="none"/>
        </w:rPr>
        <w:t>中小企业声明函</w:t>
      </w:r>
      <w:r>
        <w:rPr>
          <w:rFonts w:hint="eastAsia" w:ascii="宋体" w:hAnsi="宋体" w:cs="宋体"/>
          <w:b/>
          <w:color w:val="auto"/>
          <w:szCs w:val="21"/>
          <w:highlight w:val="none"/>
          <w:lang w:eastAsia="zh-CN"/>
        </w:rPr>
        <w:t>（如有）</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中小企业声明函（服务）</w:t>
      </w:r>
    </w:p>
    <w:p>
      <w:pPr>
        <w:pStyle w:val="8"/>
        <w:spacing w:before="5"/>
        <w:ind w:left="0"/>
        <w:rPr>
          <w:rFonts w:ascii="宋体"/>
          <w:b/>
          <w:color w:val="auto"/>
          <w:spacing w:val="0"/>
          <w:position w:val="0"/>
          <w:sz w:val="18"/>
          <w:szCs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54" w:rightChars="0" w:firstLine="420" w:firstLineChars="20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spacing w:val="0"/>
          <w:position w:val="0"/>
          <w:sz w:val="21"/>
          <w:szCs w:val="21"/>
          <w:highlight w:val="none"/>
          <w:u w:val="single"/>
        </w:rPr>
        <w:t>（单位名称）</w:t>
      </w:r>
      <w:r>
        <w:rPr>
          <w:rFonts w:hint="eastAsia" w:ascii="宋体" w:hAnsi="宋体" w:eastAsia="宋体" w:cs="宋体"/>
          <w:color w:val="auto"/>
          <w:spacing w:val="0"/>
          <w:position w:val="0"/>
          <w:sz w:val="21"/>
          <w:szCs w:val="21"/>
          <w:highlight w:val="none"/>
        </w:rPr>
        <w:t>的</w:t>
      </w:r>
      <w:r>
        <w:rPr>
          <w:rFonts w:hint="eastAsia" w:ascii="宋体" w:hAnsi="宋体" w:eastAsia="宋体" w:cs="宋体"/>
          <w:i/>
          <w:color w:val="auto"/>
          <w:spacing w:val="0"/>
          <w:position w:val="0"/>
          <w:sz w:val="21"/>
          <w:szCs w:val="21"/>
          <w:highlight w:val="none"/>
          <w:u w:val="single"/>
        </w:rPr>
        <w:t>（项目名称）</w:t>
      </w:r>
      <w:r>
        <w:rPr>
          <w:rFonts w:hint="eastAsia" w:ascii="宋体" w:hAnsi="宋体" w:eastAsia="宋体" w:cs="宋体"/>
          <w:color w:val="auto"/>
          <w:spacing w:val="0"/>
          <w:position w:val="0"/>
          <w:sz w:val="21"/>
          <w:szCs w:val="21"/>
          <w:highlight w:val="none"/>
        </w:rPr>
        <w:t>采购活动，</w:t>
      </w:r>
      <w:r>
        <w:rPr>
          <w:rFonts w:hint="eastAsia" w:ascii="宋体" w:hAnsi="宋体" w:eastAsia="宋体" w:cs="宋体"/>
          <w:b/>
          <w:bCs/>
          <w:color w:val="auto"/>
          <w:spacing w:val="0"/>
          <w:position w:val="0"/>
          <w:sz w:val="21"/>
          <w:szCs w:val="21"/>
          <w:highlight w:val="none"/>
        </w:rPr>
        <w:t>服务</w:t>
      </w:r>
      <w:r>
        <w:rPr>
          <w:rFonts w:hint="eastAsia" w:ascii="宋体" w:hAnsi="宋体" w:eastAsia="宋体" w:cs="宋体"/>
          <w:b/>
          <w:bCs/>
          <w:color w:val="auto"/>
          <w:spacing w:val="0"/>
          <w:w w:val="95"/>
          <w:position w:val="0"/>
          <w:sz w:val="21"/>
          <w:szCs w:val="21"/>
          <w:highlight w:val="none"/>
        </w:rPr>
        <w:t>全部由符合政策要求的中小企业承接。</w:t>
      </w:r>
      <w:r>
        <w:rPr>
          <w:rFonts w:hint="eastAsia" w:ascii="宋体" w:hAnsi="宋体" w:eastAsia="宋体" w:cs="宋体"/>
          <w:color w:val="auto"/>
          <w:spacing w:val="0"/>
          <w:w w:val="95"/>
          <w:position w:val="0"/>
          <w:sz w:val="21"/>
          <w:szCs w:val="21"/>
          <w:highlight w:val="none"/>
        </w:rPr>
        <w:t>相关企业（含联合</w:t>
      </w:r>
      <w:r>
        <w:rPr>
          <w:rFonts w:hint="eastAsia" w:ascii="宋体" w:hAnsi="宋体" w:eastAsia="宋体" w:cs="宋体"/>
          <w:color w:val="auto"/>
          <w:spacing w:val="0"/>
          <w:position w:val="0"/>
          <w:sz w:val="21"/>
          <w:szCs w:val="21"/>
          <w:highlight w:val="none"/>
        </w:rPr>
        <w:t>体中的中小企业、签订分包意向协议的中小企业）的具体情况如下：</w:t>
      </w:r>
    </w:p>
    <w:p>
      <w:pPr>
        <w:pStyle w:val="2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19" w:leftChars="0" w:right="0" w:rightChars="0" w:firstLine="480" w:firstLineChars="239"/>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i w:val="0"/>
          <w:iCs/>
          <w:color w:val="auto"/>
          <w:spacing w:val="0"/>
          <w:w w:val="96"/>
          <w:position w:val="0"/>
          <w:sz w:val="21"/>
          <w:szCs w:val="21"/>
          <w:highlight w:val="none"/>
          <w:u w:val="none" w:color="auto"/>
          <w:lang w:val="en-US" w:eastAsia="zh-CN"/>
        </w:rPr>
        <w:t>1.</w:t>
      </w:r>
      <w:r>
        <w:rPr>
          <w:rFonts w:hint="eastAsia" w:ascii="宋体" w:hAnsi="宋体" w:eastAsia="宋体" w:cs="宋体"/>
          <w:i/>
          <w:color w:val="auto"/>
          <w:spacing w:val="0"/>
          <w:w w:val="96"/>
          <w:position w:val="0"/>
          <w:sz w:val="21"/>
          <w:szCs w:val="21"/>
          <w:highlight w:val="none"/>
          <w:u w:val="single"/>
        </w:rPr>
        <w:t>（标的名称）</w:t>
      </w:r>
      <w:r>
        <w:rPr>
          <w:rFonts w:hint="eastAsia" w:ascii="宋体" w:hAnsi="宋体" w:eastAsia="宋体" w:cs="宋体"/>
          <w:color w:val="auto"/>
          <w:spacing w:val="0"/>
          <w:w w:val="99"/>
          <w:position w:val="0"/>
          <w:sz w:val="21"/>
          <w:szCs w:val="21"/>
          <w:highlight w:val="none"/>
          <w:u w:val="none"/>
        </w:rPr>
        <w:t>，属于</w:t>
      </w:r>
      <w:r>
        <w:rPr>
          <w:rFonts w:hint="eastAsia" w:ascii="宋体" w:hAnsi="宋体" w:eastAsia="宋体" w:cs="宋体"/>
          <w:i/>
          <w:color w:val="auto"/>
          <w:spacing w:val="0"/>
          <w:w w:val="96"/>
          <w:position w:val="0"/>
          <w:sz w:val="21"/>
          <w:szCs w:val="21"/>
          <w:highlight w:val="none"/>
          <w:u w:val="none"/>
        </w:rPr>
        <w:t>（</w:t>
      </w:r>
      <w:r>
        <w:rPr>
          <w:rFonts w:hint="eastAsia"/>
          <w:b/>
          <w:bCs/>
          <w:color w:val="auto"/>
          <w:highlight w:val="none"/>
          <w:u w:val="single"/>
          <w:lang w:val="en-US" w:eastAsia="zh-CN"/>
        </w:rPr>
        <w:t>软件和信息技术服务业</w:t>
      </w:r>
      <w:r>
        <w:rPr>
          <w:rFonts w:hint="eastAsia" w:ascii="宋体" w:hAnsi="宋体" w:eastAsia="宋体" w:cs="宋体"/>
          <w:i/>
          <w:color w:val="auto"/>
          <w:spacing w:val="0"/>
          <w:w w:val="96"/>
          <w:position w:val="0"/>
          <w:sz w:val="21"/>
          <w:szCs w:val="21"/>
          <w:highlight w:val="none"/>
          <w:u w:val="single"/>
        </w:rPr>
        <w:t>）</w:t>
      </w:r>
      <w:r>
        <w:rPr>
          <w:rFonts w:hint="eastAsia" w:ascii="宋体" w:hAnsi="宋体" w:eastAsia="宋体" w:cs="宋体"/>
          <w:color w:val="auto"/>
          <w:spacing w:val="0"/>
          <w:w w:val="99"/>
          <w:position w:val="0"/>
          <w:sz w:val="21"/>
          <w:szCs w:val="21"/>
          <w:highlight w:val="none"/>
          <w:u w:val="none"/>
        </w:rPr>
        <w:t>；</w:t>
      </w:r>
      <w:r>
        <w:rPr>
          <w:rFonts w:hint="eastAsia" w:ascii="宋体" w:hAnsi="宋体" w:eastAsia="宋体" w:cs="宋体"/>
          <w:color w:val="auto"/>
          <w:spacing w:val="0"/>
          <w:w w:val="99"/>
          <w:position w:val="0"/>
          <w:sz w:val="21"/>
          <w:szCs w:val="21"/>
          <w:highlight w:val="none"/>
          <w:u w:val="none" w:color="auto"/>
        </w:rPr>
        <w:t>承建（承接）企业为</w:t>
      </w:r>
      <w:r>
        <w:rPr>
          <w:rFonts w:hint="eastAsia" w:ascii="宋体" w:hAnsi="宋体" w:eastAsia="宋体" w:cs="宋体"/>
          <w:i/>
          <w:color w:val="auto"/>
          <w:spacing w:val="0"/>
          <w:w w:val="96"/>
          <w:position w:val="0"/>
          <w:sz w:val="21"/>
          <w:szCs w:val="21"/>
          <w:highlight w:val="none"/>
          <w:u w:val="single"/>
        </w:rPr>
        <w:t>（企业名称）</w:t>
      </w:r>
      <w:r>
        <w:rPr>
          <w:rFonts w:hint="eastAsia" w:ascii="宋体" w:hAnsi="宋体" w:eastAsia="宋体" w:cs="宋体"/>
          <w:color w:val="auto"/>
          <w:spacing w:val="0"/>
          <w:w w:val="99"/>
          <w:position w:val="0"/>
          <w:sz w:val="21"/>
          <w:szCs w:val="21"/>
          <w:highlight w:val="none"/>
          <w:u w:val="none" w:color="auto"/>
        </w:rPr>
        <w:t>，从业人员</w:t>
      </w:r>
      <w:r>
        <w:rPr>
          <w:rFonts w:hint="eastAsia" w:ascii="宋体" w:hAnsi="宋体" w:eastAsia="宋体" w:cs="宋体"/>
          <w:color w:val="auto"/>
          <w:spacing w:val="0"/>
          <w:w w:val="99"/>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w w:val="99"/>
          <w:position w:val="0"/>
          <w:sz w:val="21"/>
          <w:szCs w:val="21"/>
          <w:highlight w:val="none"/>
          <w:u w:val="none" w:color="auto"/>
        </w:rPr>
        <w:t>人，营业</w:t>
      </w:r>
      <w:r>
        <w:rPr>
          <w:rFonts w:hint="eastAsia" w:ascii="宋体" w:hAnsi="宋体" w:eastAsia="宋体" w:cs="宋体"/>
          <w:color w:val="auto"/>
          <w:spacing w:val="0"/>
          <w:position w:val="0"/>
          <w:sz w:val="21"/>
          <w:szCs w:val="21"/>
          <w:highlight w:val="none"/>
          <w:u w:val="none" w:color="auto"/>
        </w:rPr>
        <w:t>收入为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color="auto"/>
        </w:rPr>
        <w:t>万元，资产总额为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none" w:color="auto"/>
        </w:rPr>
        <w:t>万元</w:t>
      </w:r>
      <w:r>
        <w:rPr>
          <w:rFonts w:hint="eastAsia" w:ascii="宋体" w:hAnsi="宋体" w:eastAsia="宋体" w:cs="宋体"/>
          <w:color w:val="auto"/>
          <w:spacing w:val="0"/>
          <w:position w:val="0"/>
          <w:sz w:val="21"/>
          <w:szCs w:val="21"/>
          <w:highlight w:val="none"/>
          <w:u w:val="none" w:color="auto"/>
          <w:vertAlign w:val="superscript"/>
        </w:rPr>
        <w:fldChar w:fldCharType="begin"/>
      </w:r>
      <w:r>
        <w:rPr>
          <w:rFonts w:hint="eastAsia" w:ascii="宋体" w:hAnsi="宋体" w:eastAsia="宋体" w:cs="宋体"/>
          <w:color w:val="auto"/>
          <w:spacing w:val="0"/>
          <w:position w:val="0"/>
          <w:sz w:val="21"/>
          <w:szCs w:val="21"/>
          <w:highlight w:val="none"/>
          <w:u w:val="none" w:color="auto"/>
          <w:vertAlign w:val="superscript"/>
        </w:rPr>
        <w:instrText xml:space="preserve"> HYPERLINK \l "_bookmark1" </w:instrText>
      </w:r>
      <w:r>
        <w:rPr>
          <w:rFonts w:hint="eastAsia" w:ascii="宋体" w:hAnsi="宋体" w:eastAsia="宋体" w:cs="宋体"/>
          <w:color w:val="auto"/>
          <w:spacing w:val="0"/>
          <w:position w:val="0"/>
          <w:sz w:val="21"/>
          <w:szCs w:val="21"/>
          <w:highlight w:val="none"/>
          <w:u w:val="none" w:color="auto"/>
          <w:vertAlign w:val="superscript"/>
        </w:rPr>
        <w:fldChar w:fldCharType="separate"/>
      </w:r>
      <w:r>
        <w:rPr>
          <w:rFonts w:hint="eastAsia" w:ascii="宋体" w:hAnsi="宋体" w:eastAsia="宋体" w:cs="宋体"/>
          <w:color w:val="auto"/>
          <w:spacing w:val="0"/>
          <w:position w:val="0"/>
          <w:sz w:val="21"/>
          <w:szCs w:val="21"/>
          <w:highlight w:val="none"/>
          <w:u w:val="none" w:color="auto"/>
          <w:vertAlign w:val="superscript"/>
        </w:rPr>
        <w:t>1</w:t>
      </w:r>
      <w:r>
        <w:rPr>
          <w:rFonts w:hint="eastAsia" w:ascii="宋体" w:hAnsi="宋体" w:eastAsia="宋体" w:cs="宋体"/>
          <w:color w:val="auto"/>
          <w:spacing w:val="0"/>
          <w:position w:val="0"/>
          <w:sz w:val="21"/>
          <w:szCs w:val="21"/>
          <w:highlight w:val="none"/>
          <w:u w:val="none" w:color="auto"/>
          <w:vertAlign w:val="superscript"/>
        </w:rPr>
        <w:fldChar w:fldCharType="end"/>
      </w:r>
      <w:r>
        <w:rPr>
          <w:rFonts w:hint="eastAsia" w:ascii="宋体" w:hAnsi="宋体" w:eastAsia="宋体" w:cs="宋体"/>
          <w:color w:val="auto"/>
          <w:spacing w:val="0"/>
          <w:position w:val="0"/>
          <w:sz w:val="21"/>
          <w:szCs w:val="21"/>
          <w:highlight w:val="none"/>
          <w:u w:val="none" w:color="auto"/>
        </w:rPr>
        <w:t>，属于</w:t>
      </w:r>
      <w:r>
        <w:rPr>
          <w:rFonts w:hint="eastAsia" w:ascii="宋体" w:hAnsi="宋体" w:eastAsia="宋体" w:cs="宋体"/>
          <w:i/>
          <w:color w:val="auto"/>
          <w:spacing w:val="0"/>
          <w:position w:val="0"/>
          <w:sz w:val="21"/>
          <w:szCs w:val="21"/>
          <w:highlight w:val="none"/>
          <w:u w:val="single"/>
        </w:rPr>
        <w:t>（中型企业、</w:t>
      </w:r>
      <w:r>
        <w:rPr>
          <w:rFonts w:hint="eastAsia" w:ascii="宋体" w:hAnsi="宋体" w:eastAsia="宋体" w:cs="宋体"/>
          <w:i/>
          <w:color w:val="auto"/>
          <w:spacing w:val="0"/>
          <w:w w:val="96"/>
          <w:position w:val="0"/>
          <w:sz w:val="21"/>
          <w:szCs w:val="21"/>
          <w:highlight w:val="none"/>
          <w:u w:val="single"/>
        </w:rPr>
        <w:t>小型企业、微型企业）</w:t>
      </w:r>
      <w:r>
        <w:rPr>
          <w:rFonts w:hint="eastAsia" w:ascii="宋体" w:hAnsi="宋体" w:eastAsia="宋体" w:cs="宋体"/>
          <w:color w:val="auto"/>
          <w:spacing w:val="0"/>
          <w:w w:val="99"/>
          <w:position w:val="0"/>
          <w:sz w:val="21"/>
          <w:szCs w:val="21"/>
          <w:highlight w:val="none"/>
          <w:u w:val="none" w:color="auto"/>
        </w:rPr>
        <w:t>；</w:t>
      </w:r>
    </w:p>
    <w:p>
      <w:pPr>
        <w:pStyle w:val="25"/>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val="0"/>
        <w:autoSpaceDN w:val="0"/>
        <w:bidi w:val="0"/>
        <w:adjustRightInd/>
        <w:snapToGrid/>
        <w:spacing w:before="0" w:after="0" w:line="360" w:lineRule="auto"/>
        <w:ind w:left="15" w:leftChars="0" w:right="-54" w:rightChars="0" w:firstLine="478" w:firstLineChars="238"/>
        <w:jc w:val="left"/>
        <w:textAlignment w:val="auto"/>
        <w:rPr>
          <w:rFonts w:hint="eastAsia" w:ascii="宋体" w:hAnsi="宋体" w:eastAsia="宋体" w:cs="宋体"/>
          <w:color w:val="auto"/>
          <w:spacing w:val="0"/>
          <w:position w:val="0"/>
          <w:sz w:val="21"/>
          <w:szCs w:val="21"/>
          <w:highlight w:val="none"/>
          <w:u w:val="none"/>
        </w:rPr>
      </w:pPr>
      <w:r>
        <w:rPr>
          <w:rFonts w:hint="eastAsia" w:ascii="宋体" w:hAnsi="宋体" w:eastAsia="宋体" w:cs="宋体"/>
          <w:i w:val="0"/>
          <w:iCs/>
          <w:color w:val="auto"/>
          <w:spacing w:val="0"/>
          <w:w w:val="96"/>
          <w:position w:val="0"/>
          <w:sz w:val="21"/>
          <w:szCs w:val="21"/>
          <w:highlight w:val="none"/>
          <w:u w:val="none" w:color="auto"/>
          <w:lang w:val="en-US" w:eastAsia="zh-CN"/>
        </w:rPr>
        <w:t>2.</w:t>
      </w:r>
      <w:r>
        <w:rPr>
          <w:rFonts w:hint="eastAsia" w:ascii="宋体" w:hAnsi="宋体" w:eastAsia="宋体" w:cs="宋体"/>
          <w:i/>
          <w:color w:val="auto"/>
          <w:spacing w:val="0"/>
          <w:w w:val="96"/>
          <w:position w:val="0"/>
          <w:sz w:val="21"/>
          <w:szCs w:val="21"/>
          <w:highlight w:val="none"/>
          <w:u w:val="single"/>
        </w:rPr>
        <w:t>（标的名称）</w:t>
      </w:r>
      <w:r>
        <w:rPr>
          <w:rFonts w:hint="eastAsia" w:ascii="宋体" w:hAnsi="宋体" w:eastAsia="宋体" w:cs="宋体"/>
          <w:color w:val="auto"/>
          <w:spacing w:val="0"/>
          <w:w w:val="99"/>
          <w:position w:val="0"/>
          <w:sz w:val="21"/>
          <w:szCs w:val="21"/>
          <w:highlight w:val="none"/>
          <w:u w:val="none"/>
        </w:rPr>
        <w:t>，属于</w:t>
      </w:r>
      <w:r>
        <w:rPr>
          <w:rFonts w:hint="eastAsia" w:ascii="宋体" w:hAnsi="宋体" w:eastAsia="宋体" w:cs="宋体"/>
          <w:i/>
          <w:color w:val="auto"/>
          <w:spacing w:val="0"/>
          <w:w w:val="96"/>
          <w:position w:val="0"/>
          <w:sz w:val="21"/>
          <w:szCs w:val="21"/>
          <w:highlight w:val="none"/>
          <w:u w:val="none"/>
        </w:rPr>
        <w:t>（</w:t>
      </w:r>
      <w:r>
        <w:rPr>
          <w:rFonts w:hint="eastAsia"/>
          <w:b/>
          <w:bCs/>
          <w:color w:val="auto"/>
          <w:highlight w:val="none"/>
          <w:u w:val="single"/>
          <w:lang w:val="en-US" w:eastAsia="zh-CN"/>
        </w:rPr>
        <w:t>软件和信息技术服务业</w:t>
      </w:r>
      <w:r>
        <w:rPr>
          <w:rFonts w:hint="eastAsia" w:ascii="宋体" w:hAnsi="宋体" w:eastAsia="宋体" w:cs="宋体"/>
          <w:i/>
          <w:color w:val="auto"/>
          <w:spacing w:val="0"/>
          <w:w w:val="96"/>
          <w:position w:val="0"/>
          <w:sz w:val="21"/>
          <w:szCs w:val="21"/>
          <w:highlight w:val="none"/>
          <w:u w:val="single"/>
        </w:rPr>
        <w:t>）</w:t>
      </w:r>
      <w:r>
        <w:rPr>
          <w:rFonts w:hint="eastAsia" w:ascii="宋体" w:hAnsi="宋体" w:eastAsia="宋体" w:cs="宋体"/>
          <w:color w:val="auto"/>
          <w:spacing w:val="0"/>
          <w:w w:val="99"/>
          <w:position w:val="0"/>
          <w:sz w:val="21"/>
          <w:szCs w:val="21"/>
          <w:highlight w:val="none"/>
          <w:u w:val="none"/>
        </w:rPr>
        <w:t>； 承建（承接）企业为</w:t>
      </w:r>
      <w:r>
        <w:rPr>
          <w:rFonts w:hint="eastAsia" w:ascii="宋体" w:hAnsi="宋体" w:eastAsia="宋体" w:cs="宋体"/>
          <w:i/>
          <w:color w:val="auto"/>
          <w:spacing w:val="0"/>
          <w:w w:val="96"/>
          <w:position w:val="0"/>
          <w:sz w:val="21"/>
          <w:szCs w:val="21"/>
          <w:highlight w:val="none"/>
          <w:u w:val="single"/>
        </w:rPr>
        <w:t>（企业名称）</w:t>
      </w:r>
      <w:r>
        <w:rPr>
          <w:rFonts w:hint="eastAsia" w:ascii="宋体" w:hAnsi="宋体" w:eastAsia="宋体" w:cs="宋体"/>
          <w:color w:val="auto"/>
          <w:spacing w:val="0"/>
          <w:w w:val="99"/>
          <w:position w:val="0"/>
          <w:sz w:val="21"/>
          <w:szCs w:val="21"/>
          <w:highlight w:val="none"/>
          <w:u w:val="none"/>
        </w:rPr>
        <w:t>，从业人员</w:t>
      </w:r>
      <w:r>
        <w:rPr>
          <w:rFonts w:hint="eastAsia" w:ascii="宋体" w:hAnsi="宋体" w:eastAsia="宋体" w:cs="宋体"/>
          <w:color w:val="auto"/>
          <w:spacing w:val="0"/>
          <w:w w:val="99"/>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w w:val="99"/>
          <w:position w:val="0"/>
          <w:sz w:val="21"/>
          <w:szCs w:val="21"/>
          <w:highlight w:val="none"/>
          <w:u w:val="none"/>
        </w:rPr>
        <w:t>人，营业</w:t>
      </w:r>
      <w:r>
        <w:rPr>
          <w:rFonts w:hint="eastAsia" w:ascii="宋体" w:hAnsi="宋体" w:eastAsia="宋体" w:cs="宋体"/>
          <w:color w:val="auto"/>
          <w:spacing w:val="0"/>
          <w:position w:val="0"/>
          <w:sz w:val="21"/>
          <w:szCs w:val="21"/>
          <w:highlight w:val="none"/>
          <w:u w:val="none"/>
        </w:rPr>
        <w:t>收入为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rPr>
        <w:t>万元，资产总额为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rPr>
        <w:t>万元，属于</w:t>
      </w:r>
      <w:r>
        <w:rPr>
          <w:rFonts w:hint="eastAsia" w:ascii="宋体" w:hAnsi="宋体" w:eastAsia="宋体" w:cs="宋体"/>
          <w:i/>
          <w:color w:val="auto"/>
          <w:spacing w:val="0"/>
          <w:position w:val="0"/>
          <w:sz w:val="21"/>
          <w:szCs w:val="21"/>
          <w:highlight w:val="none"/>
          <w:u w:val="single"/>
        </w:rPr>
        <w:t>（中型企业、</w:t>
      </w:r>
      <w:r>
        <w:rPr>
          <w:rFonts w:hint="eastAsia" w:ascii="宋体" w:hAnsi="宋体" w:eastAsia="宋体" w:cs="宋体"/>
          <w:i/>
          <w:color w:val="auto"/>
          <w:spacing w:val="0"/>
          <w:w w:val="96"/>
          <w:position w:val="0"/>
          <w:sz w:val="21"/>
          <w:szCs w:val="21"/>
          <w:highlight w:val="none"/>
          <w:u w:val="single"/>
        </w:rPr>
        <w:t>小型企业、微型企业）</w:t>
      </w:r>
      <w:r>
        <w:rPr>
          <w:rFonts w:hint="eastAsia" w:ascii="宋体" w:hAnsi="宋体" w:eastAsia="宋体" w:cs="宋体"/>
          <w:color w:val="auto"/>
          <w:spacing w:val="0"/>
          <w:w w:val="99"/>
          <w:position w:val="0"/>
          <w:sz w:val="21"/>
          <w:szCs w:val="21"/>
          <w:highlight w:val="none"/>
          <w:u w:val="none"/>
        </w:rPr>
        <w:t>；</w:t>
      </w:r>
    </w:p>
    <w:p>
      <w:pPr>
        <w:pStyle w:val="8"/>
        <w:keepNext w:val="0"/>
        <w:keepLines w:val="0"/>
        <w:pageBreakBefore w:val="0"/>
        <w:widowControl w:val="0"/>
        <w:kinsoku/>
        <w:wordWrap/>
        <w:overflowPunct/>
        <w:topLinePunct w:val="0"/>
        <w:autoSpaceDE w:val="0"/>
        <w:autoSpaceDN w:val="0"/>
        <w:bidi w:val="0"/>
        <w:adjustRightInd/>
        <w:snapToGrid/>
        <w:spacing w:before="11" w:line="360" w:lineRule="auto"/>
        <w:ind w:left="86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54" w:rightChars="0" w:firstLine="645" w:firstLineChars="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54" w:rightChars="0" w:firstLine="640" w:firstLineChars="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本企业对上述声明内容的真实性负责。如有虚假，将依法承担相应责任。</w:t>
      </w:r>
    </w:p>
    <w:p>
      <w:pPr>
        <w:pStyle w:val="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r>
        <w:rPr>
          <w:rFonts w:hint="eastAsia" w:ascii="宋体" w:hAnsi="宋体" w:eastAsia="宋体" w:cs="宋体"/>
          <w:color w:val="auto"/>
          <w:spacing w:val="0"/>
          <w:w w:val="99"/>
          <w:position w:val="0"/>
          <w:sz w:val="21"/>
          <w:szCs w:val="21"/>
          <w:highlight w:val="none"/>
        </w:rPr>
        <w:t>企业名称（盖章）：</w:t>
      </w:r>
    </w:p>
    <w:p>
      <w:pPr>
        <w:pStyle w:val="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日期：</w:t>
      </w:r>
    </w:p>
    <w:p>
      <w:pPr>
        <w:pStyle w:val="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position w:val="0"/>
          <w:sz w:val="21"/>
          <w:szCs w:val="21"/>
          <w:highlight w:val="none"/>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val="0"/>
          <w:color w:val="auto"/>
          <w:sz w:val="18"/>
          <w:highlight w:val="none"/>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position w:val="6"/>
          <w:sz w:val="11"/>
          <w:highlight w:val="none"/>
        </w:rPr>
        <w:t>1</w:t>
      </w:r>
      <w:r>
        <w:rPr>
          <w:rFonts w:hint="eastAsia" w:ascii="宋体" w:hAnsi="宋体" w:eastAsia="宋体" w:cs="宋体"/>
          <w:b/>
          <w:bCs w:val="0"/>
          <w:color w:val="auto"/>
          <w:sz w:val="18"/>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val="0"/>
          <w:color w:val="auto"/>
          <w:sz w:val="18"/>
          <w:highlight w:val="none"/>
          <w:lang w:val="en-US" w:eastAsia="zh-CN"/>
        </w:rPr>
      </w:pPr>
      <w:r>
        <w:rPr>
          <w:rFonts w:hint="eastAsia" w:ascii="宋体" w:hAnsi="宋体" w:eastAsia="宋体" w:cs="宋体"/>
          <w:b/>
          <w:bCs w:val="0"/>
          <w:color w:val="auto"/>
          <w:sz w:val="18"/>
          <w:highlight w:val="none"/>
          <w:lang w:val="en-US" w:eastAsia="zh-CN"/>
        </w:rPr>
        <w:t>2.</w:t>
      </w:r>
      <w:r>
        <w:rPr>
          <w:rFonts w:hint="eastAsia" w:ascii="宋体" w:hAnsi="宋体" w:eastAsia="宋体" w:cs="宋体"/>
          <w:b/>
          <w:bCs w:val="0"/>
          <w:color w:val="auto"/>
          <w:sz w:val="18"/>
          <w:highlight w:val="none"/>
          <w:lang w:eastAsia="zh-CN"/>
        </w:rPr>
        <w:t>本项目所</w:t>
      </w:r>
      <w:r>
        <w:rPr>
          <w:rFonts w:hint="eastAsia" w:ascii="宋体" w:hAnsi="宋体" w:eastAsia="宋体" w:cs="宋体"/>
          <w:b/>
          <w:bCs w:val="0"/>
          <w:color w:val="auto"/>
          <w:sz w:val="18"/>
          <w:highlight w:val="none"/>
        </w:rPr>
        <w:t>属行业</w:t>
      </w:r>
      <w:r>
        <w:rPr>
          <w:rFonts w:hint="eastAsia" w:ascii="宋体" w:hAnsi="宋体" w:eastAsia="宋体" w:cs="宋体"/>
          <w:b/>
          <w:bCs w:val="0"/>
          <w:color w:val="auto"/>
          <w:sz w:val="18"/>
          <w:highlight w:val="none"/>
          <w:lang w:eastAsia="zh-CN"/>
        </w:rPr>
        <w:t>见前附表。</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color w:val="auto"/>
          <w:sz w:val="18"/>
          <w:highlight w:val="none"/>
          <w:lang w:eastAsia="zh-CN"/>
        </w:rPr>
      </w:pPr>
      <w:r>
        <w:rPr>
          <w:rFonts w:hint="eastAsia" w:ascii="宋体" w:hAnsi="宋体" w:eastAsia="宋体" w:cs="宋体"/>
          <w:b/>
          <w:bCs/>
          <w:color w:val="auto"/>
          <w:sz w:val="18"/>
          <w:highlight w:val="none"/>
          <w:lang w:val="en-US" w:eastAsia="zh-CN"/>
        </w:rPr>
        <w:t>3.</w:t>
      </w:r>
      <w:r>
        <w:rPr>
          <w:rFonts w:hint="eastAsia" w:ascii="宋体" w:hAnsi="宋体" w:eastAsia="宋体" w:cs="宋体"/>
          <w:b/>
          <w:bCs/>
          <w:color w:val="auto"/>
          <w:sz w:val="18"/>
          <w:highlight w:val="none"/>
          <w:lang w:eastAsia="zh-CN"/>
        </w:rPr>
        <w:t>中小企业划型标准规定（工信部联企业[2011]300号）附后。</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val="0"/>
          <w:color w:val="auto"/>
          <w:sz w:val="18"/>
          <w:highlight w:val="none"/>
          <w:lang w:val="en-US" w:eastAsia="zh-CN"/>
        </w:rPr>
      </w:pPr>
      <w:r>
        <w:rPr>
          <w:rFonts w:hint="eastAsia" w:ascii="宋体" w:hAnsi="宋体" w:eastAsia="宋体" w:cs="宋体"/>
          <w:b/>
          <w:bCs w:val="0"/>
          <w:color w:val="auto"/>
          <w:sz w:val="18"/>
          <w:highlight w:val="none"/>
          <w:lang w:val="en-US" w:eastAsia="zh-CN"/>
        </w:rPr>
        <w:t>4.《中小企业声明函》格式不得擅自调整，格式中划横线的部分需要各投标人按实际情况如实填写，括号中的内容是对拟填写内容的说明。</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color w:val="auto"/>
          <w:sz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default" w:ascii="宋体" w:hAnsi="宋体" w:eastAsia="宋体" w:cs="宋体"/>
          <w:b/>
          <w:bCs/>
          <w:color w:val="auto"/>
          <w:sz w:val="18"/>
          <w:highlight w:val="none"/>
          <w:lang w:val="en-US" w:eastAsia="zh-CN"/>
        </w:rPr>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pStyle w:val="2"/>
        <w:ind w:left="0" w:leftChars="0" w:firstLine="0" w:firstLineChars="0"/>
        <w:rPr>
          <w:rFonts w:hint="eastAsia"/>
          <w:color w:val="auto"/>
          <w:highlight w:val="none"/>
          <w:lang w:eastAsia="zh-CN"/>
        </w:rPr>
      </w:pPr>
      <w:r>
        <w:rPr>
          <w:color w:val="auto"/>
          <w:highlight w:val="none"/>
        </w:rPr>
        <w:drawing>
          <wp:inline distT="0" distB="0" distL="114300" distR="114300">
            <wp:extent cx="9091295" cy="5498465"/>
            <wp:effectExtent l="0" t="0" r="1460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9091295" cy="5498465"/>
                    </a:xfrm>
                    <a:prstGeom prst="rect">
                      <a:avLst/>
                    </a:prstGeom>
                    <a:noFill/>
                    <a:ln>
                      <a:noFill/>
                    </a:ln>
                  </pic:spPr>
                </pic:pic>
              </a:graphicData>
            </a:graphic>
          </wp:inline>
        </w:drawing>
      </w:r>
    </w:p>
    <w:p>
      <w:pPr>
        <w:snapToGrid w:val="0"/>
        <w:spacing w:line="360" w:lineRule="auto"/>
        <w:rPr>
          <w:rFonts w:hint="eastAsia" w:ascii="宋体" w:hAnsi="宋体" w:cs="宋体"/>
          <w:b/>
          <w:color w:val="auto"/>
          <w:szCs w:val="21"/>
          <w:highlight w:val="none"/>
          <w:lang w:val="en-US" w:eastAsia="zh-CN"/>
        </w:rPr>
        <w:sectPr>
          <w:pgSz w:w="16838" w:h="11906" w:orient="landscape"/>
          <w:pgMar w:top="1587" w:right="1247" w:bottom="1587" w:left="1089" w:header="851" w:footer="992"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投标人为监狱企业的证明文件：省级以上监狱管理局、戒毒管理局（含新疆生产建设兵团）出具（如有）</w:t>
      </w:r>
    </w:p>
    <w:p>
      <w:pPr>
        <w:snapToGrid w:val="0"/>
        <w:spacing w:line="360" w:lineRule="auto"/>
        <w:rPr>
          <w:rFonts w:hint="eastAsia" w:ascii="宋体" w:hAnsi="宋体" w:cs="宋体"/>
          <w:snapToGrid w:val="0"/>
          <w:color w:val="auto"/>
          <w:kern w:val="0"/>
          <w:szCs w:val="21"/>
          <w:highlight w:val="none"/>
        </w:rPr>
      </w:pPr>
    </w:p>
    <w:p>
      <w:pPr>
        <w:snapToGrid w:val="0"/>
        <w:spacing w:line="360" w:lineRule="auto"/>
        <w:rPr>
          <w:rFonts w:hint="eastAsia" w:ascii="宋体" w:hAnsi="宋体" w:cs="宋体"/>
          <w:snapToGrid w:val="0"/>
          <w:color w:val="auto"/>
          <w:kern w:val="0"/>
          <w:szCs w:val="21"/>
          <w:highlight w:val="none"/>
        </w:rPr>
      </w:pPr>
    </w:p>
    <w:p>
      <w:pPr>
        <w:snapToGrid w:val="0"/>
        <w:spacing w:line="360" w:lineRule="auto"/>
        <w:rPr>
          <w:rFonts w:hint="eastAsia" w:ascii="宋体" w:hAnsi="宋体" w:cs="宋体"/>
          <w:snapToGrid w:val="0"/>
          <w:color w:val="auto"/>
          <w:kern w:val="0"/>
          <w:szCs w:val="21"/>
          <w:highlight w:val="none"/>
        </w:rPr>
      </w:pPr>
    </w:p>
    <w:p>
      <w:pPr>
        <w:snapToGrid w:val="0"/>
        <w:spacing w:line="360" w:lineRule="auto"/>
        <w:rPr>
          <w:rFonts w:hint="eastAsia" w:ascii="宋体" w:hAnsi="宋体" w:cs="宋体"/>
          <w:snapToGrid w:val="0"/>
          <w:color w:val="auto"/>
          <w:kern w:val="0"/>
          <w:szCs w:val="21"/>
          <w:highlight w:val="none"/>
        </w:rPr>
      </w:pPr>
    </w:p>
    <w:p>
      <w:pPr>
        <w:snapToGrid w:val="0"/>
        <w:spacing w:line="360" w:lineRule="auto"/>
        <w:rPr>
          <w:rFonts w:hint="eastAsia" w:ascii="宋体" w:hAnsi="宋体" w:cs="宋体"/>
          <w:snapToGrid w:val="0"/>
          <w:color w:val="auto"/>
          <w:kern w:val="0"/>
          <w:szCs w:val="21"/>
          <w:highlight w:val="none"/>
        </w:rPr>
      </w:pPr>
    </w:p>
    <w:p>
      <w:pPr>
        <w:snapToGrid w:val="0"/>
        <w:spacing w:line="360" w:lineRule="auto"/>
        <w:rPr>
          <w:rFonts w:hint="eastAsia" w:ascii="宋体" w:hAnsi="宋体" w:cs="宋体"/>
          <w:snapToGrid w:val="0"/>
          <w:color w:val="auto"/>
          <w:kern w:val="0"/>
          <w:szCs w:val="21"/>
          <w:highlight w:val="none"/>
        </w:rPr>
      </w:pPr>
    </w:p>
    <w:p>
      <w:pPr>
        <w:spacing w:line="588" w:lineRule="exact"/>
        <w:rPr>
          <w:rFonts w:hint="eastAsia" w:ascii="宋体" w:hAnsi="宋体" w:cs="宋体"/>
          <w:b/>
          <w:color w:val="auto"/>
          <w:szCs w:val="21"/>
          <w:highlight w:val="none"/>
        </w:rPr>
      </w:pPr>
      <w:r>
        <w:rPr>
          <w:rFonts w:hint="eastAsia" w:ascii="宋体" w:hAnsi="宋体" w:cs="宋体"/>
          <w:snapToGrid w:val="0"/>
          <w:color w:val="auto"/>
          <w:kern w:val="0"/>
          <w:szCs w:val="21"/>
          <w:highlight w:val="none"/>
        </w:rPr>
        <w:br w:type="page"/>
      </w:r>
      <w:r>
        <w:rPr>
          <w:rFonts w:hint="eastAsia" w:ascii="宋体" w:hAnsi="宋体" w:cs="宋体"/>
          <w:b/>
          <w:color w:val="auto"/>
          <w:szCs w:val="21"/>
          <w:highlight w:val="none"/>
        </w:rPr>
        <w:t>残疾人福利性单位声明函（如有）</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p>
    <w:p>
      <w:pPr>
        <w:spacing w:line="36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p>
      <w:pPr>
        <w:spacing w:line="588" w:lineRule="exact"/>
        <w:rPr>
          <w:rFonts w:hint="eastAsia" w:ascii="宋体" w:hAnsi="宋体" w:cs="宋体"/>
          <w:b/>
          <w:color w:val="auto"/>
          <w:spacing w:val="6"/>
          <w:sz w:val="30"/>
          <w:szCs w:val="30"/>
          <w:highlight w:val="none"/>
        </w:rPr>
      </w:pP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highlight w:val="none"/>
        </w:rPr>
      </w:pPr>
    </w:p>
    <w:p>
      <w:pPr>
        <w:spacing w:line="588" w:lineRule="exact"/>
        <w:ind w:firstLine="444" w:firstLineChars="200"/>
        <w:rPr>
          <w:rFonts w:hint="eastAsia" w:ascii="宋体" w:hAnsi="宋体" w:cs="宋体"/>
          <w:color w:val="auto"/>
          <w:spacing w:val="6"/>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单位名称（盖公章或电子签章）：</w:t>
      </w: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pPr>
        <w:widowControl/>
        <w:spacing w:line="360" w:lineRule="auto"/>
        <w:ind w:firstLine="411" w:firstLineChars="196"/>
        <w:jc w:val="left"/>
        <w:rPr>
          <w:rFonts w:ascii="仿宋_GB2312" w:hAnsi="仿宋" w:eastAsia="仿宋_GB2312" w:cs="仿宋_GB2312"/>
          <w:b/>
          <w:color w:val="auto"/>
          <w:sz w:val="24"/>
          <w:highlight w:val="none"/>
        </w:rPr>
      </w:pPr>
      <w:r>
        <w:rPr>
          <w:rFonts w:hint="eastAsia" w:ascii="宋体" w:hAnsi="宋体" w:cs="宋体"/>
          <w:color w:val="auto"/>
          <w:highlight w:val="none"/>
        </w:rPr>
        <w:br w:type="page"/>
      </w:r>
      <w:r>
        <w:rPr>
          <w:rFonts w:hint="eastAsia" w:ascii="仿宋_GB2312" w:hAnsi="仿宋" w:eastAsia="仿宋_GB2312" w:cs="仿宋_GB2312"/>
          <w:color w:val="auto"/>
          <w:sz w:val="24"/>
          <w:highlight w:val="none"/>
        </w:rPr>
        <w:t>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pageBreakBefore w:val="0"/>
        <w:widowControl/>
        <w:kinsoku/>
        <w:wordWrap/>
        <w:overflowPunct/>
        <w:topLinePunct w:val="0"/>
        <w:autoSpaceDE/>
        <w:autoSpaceDN/>
        <w:bidi w:val="0"/>
        <w:adjustRightInd w:val="0"/>
        <w:snapToGrid w:val="0"/>
        <w:spacing w:line="360" w:lineRule="auto"/>
        <w:ind w:firstLine="420" w:firstLineChars="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bidi w:val="0"/>
        <w:ind w:firstLine="420" w:firstLineChars="0"/>
        <w:rPr>
          <w:color w:val="auto"/>
          <w:highlight w:val="none"/>
        </w:rPr>
      </w:pP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758" w:leftChars="342" w:hanging="5040" w:hangingChars="210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pageBreakBefore w:val="0"/>
        <w:kinsoku/>
        <w:wordWrap/>
        <w:overflowPunct/>
        <w:topLinePunct w:val="0"/>
        <w:autoSpaceDE/>
        <w:autoSpaceDN/>
        <w:bidi w:val="0"/>
        <w:adjustRightInd w:val="0"/>
        <w:snapToGrid w:val="0"/>
        <w:spacing w:line="360" w:lineRule="auto"/>
        <w:ind w:firstLine="5640" w:firstLineChars="235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pageBreakBefore w:val="0"/>
        <w:kinsoku/>
        <w:wordWrap/>
        <w:overflowPunct/>
        <w:topLinePunct w:val="0"/>
        <w:autoSpaceDE/>
        <w:autoSpaceDN/>
        <w:bidi w:val="0"/>
        <w:adjustRightInd w:val="0"/>
        <w:snapToGrid w:val="0"/>
        <w:spacing w:line="360" w:lineRule="auto"/>
        <w:ind w:firstLine="5760" w:firstLineChars="2400"/>
        <w:textAlignment w:val="auto"/>
        <w:rPr>
          <w:color w:val="auto"/>
          <w:highlight w:val="none"/>
        </w:rPr>
      </w:pPr>
      <w:r>
        <w:rPr>
          <w:rFonts w:hint="eastAsia" w:ascii="仿宋_GB2312" w:hAnsi="仿宋" w:eastAsia="仿宋_GB2312" w:cs="仿宋_GB2312"/>
          <w:color w:val="auto"/>
          <w:kern w:val="0"/>
          <w:sz w:val="24"/>
          <w:highlight w:val="none"/>
          <w:lang w:val="zh-CN"/>
        </w:rPr>
        <w:t>……</w:t>
      </w:r>
    </w:p>
    <w:p>
      <w:pPr>
        <w:pageBreakBefore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r>
        <w:rPr>
          <w:rFonts w:hint="eastAsia" w:ascii="宋体" w:hAnsi="宋体" w:cs="宋体"/>
          <w:color w:val="auto"/>
          <w:highlight w:val="none"/>
        </w:rPr>
        <w:br w:type="page"/>
      </w:r>
      <w:bookmarkStart w:id="407" w:name="_Toc21885"/>
      <w:bookmarkStart w:id="408" w:name="_Toc21291"/>
      <w:bookmarkStart w:id="409" w:name="_Toc29263"/>
      <w:bookmarkStart w:id="410" w:name="_Toc19910"/>
      <w:r>
        <w:rPr>
          <w:rFonts w:hint="eastAsia" w:ascii="宋体" w:hAnsi="宋体" w:cs="宋体"/>
          <w:b/>
          <w:color w:val="auto"/>
          <w:sz w:val="30"/>
          <w:szCs w:val="30"/>
          <w:highlight w:val="none"/>
        </w:rPr>
        <w:t>第七部分   其它</w:t>
      </w:r>
      <w:bookmarkEnd w:id="407"/>
      <w:bookmarkEnd w:id="408"/>
      <w:bookmarkEnd w:id="409"/>
      <w:bookmarkEnd w:id="410"/>
    </w:p>
    <w:p>
      <w:pPr>
        <w:pStyle w:val="26"/>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pPr>
        <w:pStyle w:val="26"/>
        <w:widowControl w:val="0"/>
        <w:adjustRightInd w:val="0"/>
        <w:snapToGrid w:val="0"/>
        <w:spacing w:line="360" w:lineRule="auto"/>
        <w:jc w:val="both"/>
        <w:rPr>
          <w:rFonts w:ascii="仿宋" w:hAnsi="仿宋"/>
          <w:color w:val="auto"/>
          <w:kern w:val="0"/>
          <w:szCs w:val="21"/>
          <w:highlight w:val="none"/>
          <w:u w:val="single"/>
        </w:rPr>
      </w:pPr>
    </w:p>
    <w:p>
      <w:pPr>
        <w:pStyle w:val="26"/>
        <w:widowControl w:val="0"/>
        <w:adjustRightInd w:val="0"/>
        <w:snapToGrid w:val="0"/>
        <w:spacing w:line="360" w:lineRule="auto"/>
        <w:jc w:val="both"/>
        <w:rPr>
          <w:rFonts w:hint="default" w:ascii="仿宋" w:hAnsi="仿宋"/>
          <w:b/>
          <w:color w:val="auto"/>
          <w:szCs w:val="21"/>
          <w:highlight w:val="none"/>
        </w:rPr>
      </w:pPr>
      <w:r>
        <w:rPr>
          <w:rFonts w:hint="eastAsia" w:ascii="仿宋" w:hAnsi="仿宋"/>
          <w:color w:val="auto"/>
          <w:kern w:val="0"/>
          <w:szCs w:val="21"/>
          <w:highlight w:val="none"/>
          <w:u w:val="single"/>
          <w:lang w:eastAsia="zh-CN"/>
        </w:rPr>
        <w:t>浙江国际招投标有限公司</w:t>
      </w:r>
      <w:r>
        <w:rPr>
          <w:rFonts w:ascii="仿宋" w:hAnsi="仿宋"/>
          <w:color w:val="auto"/>
          <w:kern w:val="0"/>
          <w:szCs w:val="21"/>
          <w:highlight w:val="none"/>
        </w:rPr>
        <w:t>：</w:t>
      </w:r>
    </w:p>
    <w:p>
      <w:pPr>
        <w:pStyle w:val="26"/>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hint="eastAsia" w:ascii="仿宋" w:hAnsi="仿宋"/>
          <w:color w:val="auto"/>
          <w:spacing w:val="6"/>
          <w:szCs w:val="21"/>
          <w:highlight w:val="none"/>
          <w:u w:val="single"/>
          <w:lang w:val="en-US" w:eastAsia="zh-CN"/>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w:t>
      </w:r>
      <w:r>
        <w:rPr>
          <w:rFonts w:hint="eastAsia" w:ascii="仿宋" w:hAnsi="仿宋"/>
          <w:color w:val="auto"/>
          <w:spacing w:val="6"/>
          <w:szCs w:val="21"/>
          <w:highlight w:val="none"/>
          <w:u w:val="single"/>
          <w:lang w:val="en-US" w:eastAsia="zh-CN"/>
        </w:rPr>
        <w:t xml:space="preserve">    </w:t>
      </w:r>
      <w:r>
        <w:rPr>
          <w:rFonts w:ascii="仿宋" w:hAnsi="仿宋"/>
          <w:color w:val="auto"/>
          <w:spacing w:val="6"/>
          <w:szCs w:val="21"/>
          <w:highlight w:val="none"/>
          <w:u w:val="single"/>
        </w:rPr>
        <w:t>）</w:t>
      </w:r>
      <w:r>
        <w:rPr>
          <w:rFonts w:ascii="仿宋" w:hAnsi="仿宋"/>
          <w:color w:val="auto"/>
          <w:spacing w:val="6"/>
          <w:szCs w:val="21"/>
          <w:highlight w:val="none"/>
        </w:rPr>
        <w:t xml:space="preserve">政府采购活动，经与本单位法人代表（负责人）联系确认，现就有关公平竞争事项郑重声明如下： </w:t>
      </w:r>
    </w:p>
    <w:p>
      <w:pPr>
        <w:pStyle w:val="27"/>
        <w:widowControl/>
        <w:numPr>
          <w:ilvl w:val="0"/>
          <w:numId w:val="2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27"/>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27"/>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27"/>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2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2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2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2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2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2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26"/>
        <w:widowControl w:val="0"/>
        <w:adjustRightInd w:val="0"/>
        <w:snapToGrid w:val="0"/>
        <w:spacing w:line="360" w:lineRule="auto"/>
        <w:ind w:firstLine="200"/>
        <w:jc w:val="both"/>
        <w:rPr>
          <w:rFonts w:ascii="仿宋" w:hAnsi="仿宋" w:cs="Times New Roman"/>
          <w:color w:val="auto"/>
          <w:kern w:val="0"/>
          <w:szCs w:val="21"/>
          <w:highlight w:val="none"/>
        </w:rPr>
      </w:pPr>
      <w:r>
        <w:rPr>
          <w:rFonts w:ascii="仿宋" w:hAnsi="仿宋" w:cs="Times New Roman"/>
          <w:color w:val="auto"/>
          <w:kern w:val="0"/>
          <w:szCs w:val="21"/>
          <w:highlight w:val="none"/>
        </w:rPr>
        <w:t xml:space="preserve">  G.存在共同直接或间接投资设立子公司、联营企业和合营企业情况</w:t>
      </w:r>
    </w:p>
    <w:p>
      <w:pPr>
        <w:pStyle w:val="26"/>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2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27"/>
        <w:widowControl/>
        <w:numPr>
          <w:ilvl w:val="0"/>
          <w:numId w:val="2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27"/>
        <w:widowControl/>
        <w:numPr>
          <w:ilvl w:val="0"/>
          <w:numId w:val="2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27"/>
        <w:widowControl/>
        <w:adjustRightInd w:val="0"/>
        <w:snapToGrid w:val="0"/>
        <w:spacing w:line="360" w:lineRule="auto"/>
        <w:rPr>
          <w:rFonts w:hint="default" w:ascii="仿宋" w:hAnsi="仿宋"/>
          <w:color w:val="auto"/>
          <w:kern w:val="0"/>
          <w:szCs w:val="21"/>
          <w:highlight w:val="none"/>
        </w:rPr>
      </w:pPr>
    </w:p>
    <w:p>
      <w:pPr>
        <w:pStyle w:val="27"/>
        <w:widowControl/>
        <w:adjustRightInd w:val="0"/>
        <w:snapToGrid w:val="0"/>
        <w:spacing w:line="360" w:lineRule="auto"/>
        <w:rPr>
          <w:rFonts w:hint="default" w:ascii="仿宋" w:hAnsi="仿宋"/>
          <w:color w:val="auto"/>
          <w:kern w:val="0"/>
          <w:szCs w:val="21"/>
          <w:highlight w:val="none"/>
        </w:rPr>
      </w:pPr>
    </w:p>
    <w:p>
      <w:pPr>
        <w:pStyle w:val="27"/>
        <w:widowControl/>
        <w:adjustRightInd w:val="0"/>
        <w:snapToGrid w:val="0"/>
        <w:spacing w:line="360" w:lineRule="auto"/>
        <w:rPr>
          <w:rFonts w:hint="default" w:ascii="仿宋" w:hAnsi="仿宋"/>
          <w:color w:val="auto"/>
          <w:kern w:val="0"/>
          <w:szCs w:val="21"/>
          <w:highlight w:val="none"/>
        </w:rPr>
      </w:pPr>
    </w:p>
    <w:p>
      <w:pPr>
        <w:pStyle w:val="26"/>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center"/>
        <w:rPr>
          <w:rFonts w:hint="eastAsia" w:ascii="宋体" w:hAnsi="宋体" w:cs="宋体"/>
          <w:color w:val="auto"/>
          <w:sz w:val="30"/>
          <w:szCs w:val="30"/>
          <w:highlight w:val="none"/>
        </w:rPr>
      </w:pPr>
    </w:p>
    <w:p>
      <w:pPr>
        <w:pStyle w:val="2"/>
        <w:ind w:left="0" w:leftChars="0" w:firstLine="0" w:firstLineChars="0"/>
        <w:rPr>
          <w:rFonts w:hint="eastAsia" w:ascii="宋体" w:hAnsi="宋体" w:cs="宋体"/>
          <w:b/>
          <w:color w:val="auto"/>
          <w:sz w:val="21"/>
          <w:szCs w:val="21"/>
          <w:highlight w:val="none"/>
          <w:lang w:val="en-US" w:eastAsia="zh-CN"/>
        </w:rPr>
      </w:pPr>
      <w:r>
        <w:rPr>
          <w:rFonts w:hint="eastAsia"/>
          <w:color w:val="auto"/>
          <w:highlight w:val="none"/>
        </w:rPr>
        <w:br w:type="page"/>
      </w:r>
    </w:p>
    <w:p>
      <w:pPr>
        <w:tabs>
          <w:tab w:val="left" w:pos="0"/>
        </w:tabs>
        <w:autoSpaceDE w:val="0"/>
        <w:autoSpaceDN w:val="0"/>
        <w:spacing w:line="360" w:lineRule="auto"/>
        <w:jc w:val="center"/>
        <w:rPr>
          <w:rFonts w:hint="eastAsia"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质疑函范本</w:t>
      </w:r>
    </w:p>
    <w:p>
      <w:pPr>
        <w:adjustRightInd w:val="0"/>
        <w:snapToGrid w:val="0"/>
        <w:spacing w:beforeLines="100"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四、与质疑事项相关的质疑请求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adjustRightInd w:val="0"/>
        <w:snapToGrid w:val="0"/>
        <w:spacing w:line="360" w:lineRule="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br w:type="page"/>
      </w:r>
      <w:r>
        <w:rPr>
          <w:rFonts w:hint="eastAsia" w:ascii="黑体" w:hAnsi="黑体" w:eastAsia="黑体"/>
          <w:b/>
          <w:color w:val="auto"/>
          <w:sz w:val="24"/>
          <w:szCs w:val="24"/>
          <w:highlight w:val="none"/>
        </w:rPr>
        <w:t>质疑函制作说明：</w:t>
      </w:r>
    </w:p>
    <w:p>
      <w:pPr>
        <w:pStyle w:val="2"/>
        <w:rPr>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color w:val="auto"/>
          <w:sz w:val="24"/>
          <w:szCs w:val="24"/>
          <w:highlight w:val="none"/>
        </w:rPr>
      </w:pPr>
    </w:p>
    <w:p>
      <w:pPr>
        <w:rPr>
          <w:rFonts w:hint="default"/>
          <w:color w:val="auto"/>
          <w:highlight w:val="none"/>
          <w:lang w:val="en-US" w:eastAsia="zh-CN"/>
        </w:rPr>
      </w:pPr>
    </w:p>
    <w:p>
      <w:pPr>
        <w:jc w:val="both"/>
        <w:rPr>
          <w:rFonts w:hint="eastAsia" w:ascii="宋体" w:hAnsi="宋体"/>
          <w:b/>
          <w:color w:val="auto"/>
          <w:sz w:val="28"/>
          <w:szCs w:val="28"/>
          <w:highlight w:val="none"/>
        </w:rPr>
      </w:pPr>
      <w:r>
        <w:rPr>
          <w:rFonts w:hint="default"/>
          <w:color w:val="auto"/>
          <w:highlight w:val="none"/>
          <w:lang w:val="en-US" w:eastAsia="zh-CN"/>
        </w:rPr>
        <w:br w:type="page"/>
      </w:r>
    </w:p>
    <w:p>
      <w:pPr>
        <w:tabs>
          <w:tab w:val="left" w:pos="0"/>
        </w:tabs>
        <w:autoSpaceDE w:val="0"/>
        <w:autoSpaceDN w:val="0"/>
        <w:spacing w:line="360" w:lineRule="auto"/>
        <w:jc w:val="center"/>
        <w:rPr>
          <w:rFonts w:hint="eastAsia"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投诉书范本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一、投诉相关主体基本情况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keepNext w:val="0"/>
        <w:keepLines w:val="0"/>
        <w:pageBreakBefore w:val="0"/>
        <w:tabs>
          <w:tab w:val="left" w:pos="651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keepNext w:val="0"/>
        <w:keepLines w:val="0"/>
        <w:pageBreakBefore w:val="0"/>
        <w:tabs>
          <w:tab w:val="left" w:pos="65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二、投诉项目基本情况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三、质疑基本情况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四、投诉事项具体内容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五、与投诉事项相关的投诉请求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p>
    <w:p>
      <w:pPr>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投诉书制作说明：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w:t>
      </w:r>
      <w:r>
        <w:rPr>
          <w:rFonts w:hint="eastAsia" w:ascii="宋体" w:hAnsi="宋体" w:eastAsia="宋体" w:cs="宋体"/>
          <w:color w:val="auto"/>
          <w:sz w:val="24"/>
          <w:szCs w:val="24"/>
          <w:highlight w:val="none"/>
        </w:rPr>
        <w:t>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pStyle w:val="2"/>
        <w:ind w:left="0" w:leftChars="0" w:firstLine="0" w:firstLineChars="0"/>
        <w:rPr>
          <w:rFonts w:hint="eastAsia"/>
          <w:color w:val="auto"/>
          <w:highlight w:val="none"/>
        </w:rPr>
      </w:pPr>
    </w:p>
    <w:p>
      <w:pPr>
        <w:rPr>
          <w:color w:val="auto"/>
          <w:highlight w:val="none"/>
        </w:rPr>
      </w:pPr>
    </w:p>
    <w:sectPr>
      <w:pgSz w:w="11906" w:h="16838"/>
      <w:pgMar w:top="1247" w:right="1587" w:bottom="1088" w:left="1587" w:header="851" w:footer="992"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Times New Roman"/>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900"/>
        <w:tab w:val="clear" w:pos="4153"/>
        <w:tab w:val="clear" w:pos="8306"/>
      </w:tabs>
      <w:jc w:val="center"/>
    </w:pPr>
    <w:r>
      <w:fldChar w:fldCharType="begin"/>
    </w:r>
    <w:r>
      <w:rPr>
        <w:rStyle w:val="22"/>
      </w:rPr>
      <w:instrText xml:space="preserve"> PAGE </w:instrText>
    </w:r>
    <w:r>
      <w:fldChar w:fldCharType="separate"/>
    </w:r>
    <w:r>
      <w:rPr>
        <w:rStyle w:val="22"/>
      </w:rPr>
      <w:t>27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right"/>
      <w:rPr>
        <w:rFonts w:hint="eastAsia"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right"/>
      <w:rPr>
        <w:rFonts w:hint="eastAsia"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853C1"/>
    <w:multiLevelType w:val="singleLevel"/>
    <w:tmpl w:val="837853C1"/>
    <w:lvl w:ilvl="0" w:tentative="0">
      <w:start w:val="1"/>
      <w:numFmt w:val="lowerLetter"/>
      <w:lvlText w:val="%1."/>
      <w:lvlJc w:val="left"/>
      <w:pPr>
        <w:tabs>
          <w:tab w:val="left" w:pos="312"/>
        </w:tabs>
      </w:pPr>
    </w:lvl>
  </w:abstractNum>
  <w:abstractNum w:abstractNumId="1">
    <w:nsid w:val="9443C1F7"/>
    <w:multiLevelType w:val="multilevel"/>
    <w:tmpl w:val="9443C1F7"/>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
    <w:nsid w:val="98C19939"/>
    <w:multiLevelType w:val="singleLevel"/>
    <w:tmpl w:val="98C19939"/>
    <w:lvl w:ilvl="0" w:tentative="0">
      <w:start w:val="1"/>
      <w:numFmt w:val="decimal"/>
      <w:suff w:val="nothing"/>
      <w:lvlText w:val="（%1）"/>
      <w:lvlJc w:val="left"/>
    </w:lvl>
  </w:abstractNum>
  <w:abstractNum w:abstractNumId="3">
    <w:nsid w:val="99449755"/>
    <w:multiLevelType w:val="singleLevel"/>
    <w:tmpl w:val="99449755"/>
    <w:lvl w:ilvl="0" w:tentative="0">
      <w:start w:val="1"/>
      <w:numFmt w:val="decimal"/>
      <w:lvlText w:val="%1."/>
      <w:lvlJc w:val="left"/>
      <w:pPr>
        <w:tabs>
          <w:tab w:val="left" w:pos="312"/>
        </w:tabs>
      </w:pPr>
    </w:lvl>
  </w:abstractNum>
  <w:abstractNum w:abstractNumId="4">
    <w:nsid w:val="A6956879"/>
    <w:multiLevelType w:val="multilevel"/>
    <w:tmpl w:val="A6956879"/>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A748B2BA"/>
    <w:multiLevelType w:val="singleLevel"/>
    <w:tmpl w:val="A748B2BA"/>
    <w:lvl w:ilvl="0" w:tentative="0">
      <w:start w:val="1"/>
      <w:numFmt w:val="decimal"/>
      <w:lvlText w:val="%1."/>
      <w:lvlJc w:val="left"/>
      <w:pPr>
        <w:tabs>
          <w:tab w:val="left" w:pos="312"/>
        </w:tabs>
      </w:pPr>
    </w:lvl>
  </w:abstractNum>
  <w:abstractNum w:abstractNumId="6">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7">
    <w:nsid w:val="B09E43A5"/>
    <w:multiLevelType w:val="singleLevel"/>
    <w:tmpl w:val="B09E43A5"/>
    <w:lvl w:ilvl="0" w:tentative="0">
      <w:start w:val="1"/>
      <w:numFmt w:val="decimal"/>
      <w:suff w:val="space"/>
      <w:lvlText w:val="%1."/>
      <w:lvlJc w:val="left"/>
    </w:lvl>
  </w:abstractNum>
  <w:abstractNum w:abstractNumId="8">
    <w:nsid w:val="C52A12FF"/>
    <w:multiLevelType w:val="singleLevel"/>
    <w:tmpl w:val="C52A12FF"/>
    <w:lvl w:ilvl="0" w:tentative="0">
      <w:start w:val="2"/>
      <w:numFmt w:val="decimal"/>
      <w:suff w:val="nothing"/>
      <w:lvlText w:val="（%1）"/>
      <w:lvlJc w:val="left"/>
      <w:pPr>
        <w:ind w:left="-2"/>
      </w:pPr>
    </w:lvl>
  </w:abstractNum>
  <w:abstractNum w:abstractNumId="9">
    <w:nsid w:val="C8E4A651"/>
    <w:multiLevelType w:val="singleLevel"/>
    <w:tmpl w:val="C8E4A651"/>
    <w:lvl w:ilvl="0" w:tentative="0">
      <w:start w:val="1"/>
      <w:numFmt w:val="decimal"/>
      <w:lvlText w:val="(%1)"/>
      <w:lvlJc w:val="left"/>
      <w:pPr>
        <w:ind w:left="425" w:hanging="425"/>
      </w:pPr>
      <w:rPr>
        <w:rFonts w:hint="default"/>
      </w:rPr>
    </w:lvl>
  </w:abstractNum>
  <w:abstractNum w:abstractNumId="10">
    <w:nsid w:val="CBC0DC41"/>
    <w:multiLevelType w:val="singleLevel"/>
    <w:tmpl w:val="CBC0DC41"/>
    <w:lvl w:ilvl="0" w:tentative="0">
      <w:start w:val="1"/>
      <w:numFmt w:val="decimal"/>
      <w:lvlText w:val="%1."/>
      <w:lvlJc w:val="left"/>
      <w:pPr>
        <w:tabs>
          <w:tab w:val="left" w:pos="312"/>
        </w:tabs>
      </w:pPr>
    </w:lvl>
  </w:abstractNum>
  <w:abstractNum w:abstractNumId="11">
    <w:nsid w:val="F1D14BBD"/>
    <w:multiLevelType w:val="multilevel"/>
    <w:tmpl w:val="F1D14BBD"/>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13">
    <w:nsid w:val="FD8902AC"/>
    <w:multiLevelType w:val="singleLevel"/>
    <w:tmpl w:val="FD8902AC"/>
    <w:lvl w:ilvl="0" w:tentative="0">
      <w:start w:val="1"/>
      <w:numFmt w:val="lowerLetter"/>
      <w:lvlText w:val="%1."/>
      <w:lvlJc w:val="left"/>
      <w:pPr>
        <w:ind w:left="425" w:hanging="425"/>
      </w:pPr>
      <w:rPr>
        <w:rFonts w:hint="default"/>
      </w:rPr>
    </w:lvl>
  </w:abstractNum>
  <w:abstractNum w:abstractNumId="14">
    <w:nsid w:val="00000003"/>
    <w:multiLevelType w:val="multilevel"/>
    <w:tmpl w:val="00000003"/>
    <w:lvl w:ilvl="0" w:tentative="0">
      <w:start w:val="1"/>
      <w:numFmt w:val="decimal"/>
      <w:lvlText w:val="（%1）"/>
      <w:lvlJc w:val="left"/>
      <w:pPr>
        <w:tabs>
          <w:tab w:val="left" w:pos="937"/>
        </w:tabs>
        <w:ind w:left="926"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2FCA2B6"/>
    <w:multiLevelType w:val="singleLevel"/>
    <w:tmpl w:val="02FCA2B6"/>
    <w:lvl w:ilvl="0" w:tentative="0">
      <w:start w:val="1"/>
      <w:numFmt w:val="decimal"/>
      <w:suff w:val="space"/>
      <w:lvlText w:val="%1."/>
      <w:lvlJc w:val="left"/>
    </w:lvl>
  </w:abstractNum>
  <w:abstractNum w:abstractNumId="16">
    <w:nsid w:val="0AB90C6B"/>
    <w:multiLevelType w:val="multilevel"/>
    <w:tmpl w:val="0AB90C6B"/>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7">
    <w:nsid w:val="155271F1"/>
    <w:multiLevelType w:val="singleLevel"/>
    <w:tmpl w:val="155271F1"/>
    <w:lvl w:ilvl="0" w:tentative="0">
      <w:start w:val="1"/>
      <w:numFmt w:val="chineseCounting"/>
      <w:suff w:val="nothing"/>
      <w:lvlText w:val="%1、"/>
      <w:lvlJc w:val="left"/>
      <w:rPr>
        <w:rFonts w:hint="eastAsia"/>
      </w:rPr>
    </w:lvl>
  </w:abstractNum>
  <w:abstractNum w:abstractNumId="18">
    <w:nsid w:val="176A3C49"/>
    <w:multiLevelType w:val="multilevel"/>
    <w:tmpl w:val="176A3C49"/>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9">
    <w:nsid w:val="22F0BE78"/>
    <w:multiLevelType w:val="multilevel"/>
    <w:tmpl w:val="22F0BE78"/>
    <w:lvl w:ilvl="0" w:tentative="0">
      <w:start w:val="1"/>
      <w:numFmt w:val="decimal"/>
      <w:lvlText w:val="（%1）"/>
      <w:lvlJc w:val="left"/>
      <w:pPr>
        <w:tabs>
          <w:tab w:val="left" w:pos="937"/>
        </w:tabs>
        <w:ind w:left="926"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0F850BC"/>
    <w:multiLevelType w:val="singleLevel"/>
    <w:tmpl w:val="30F850BC"/>
    <w:lvl w:ilvl="0" w:tentative="0">
      <w:start w:val="5"/>
      <w:numFmt w:val="decimal"/>
      <w:suff w:val="nothing"/>
      <w:lvlText w:val="（%1）"/>
      <w:lvlJc w:val="left"/>
    </w:lvl>
  </w:abstractNum>
  <w:abstractNum w:abstractNumId="21">
    <w:nsid w:val="39E4E3C9"/>
    <w:multiLevelType w:val="singleLevel"/>
    <w:tmpl w:val="39E4E3C9"/>
    <w:lvl w:ilvl="0" w:tentative="0">
      <w:start w:val="13"/>
      <w:numFmt w:val="decimal"/>
      <w:suff w:val="nothing"/>
      <w:lvlText w:val="%1．"/>
      <w:lvlJc w:val="left"/>
    </w:lvl>
  </w:abstractNum>
  <w:abstractNum w:abstractNumId="22">
    <w:nsid w:val="47A7DCD3"/>
    <w:multiLevelType w:val="singleLevel"/>
    <w:tmpl w:val="47A7DCD3"/>
    <w:lvl w:ilvl="0" w:tentative="0">
      <w:start w:val="1"/>
      <w:numFmt w:val="decimal"/>
      <w:suff w:val="space"/>
      <w:lvlText w:val="%1."/>
      <w:lvlJc w:val="left"/>
    </w:lvl>
  </w:abstractNum>
  <w:abstractNum w:abstractNumId="23">
    <w:nsid w:val="54F403B5"/>
    <w:multiLevelType w:val="singleLevel"/>
    <w:tmpl w:val="54F403B5"/>
    <w:lvl w:ilvl="0" w:tentative="0">
      <w:start w:val="1"/>
      <w:numFmt w:val="chineseCounting"/>
      <w:suff w:val="nothing"/>
      <w:lvlText w:val="%1、"/>
      <w:lvlJc w:val="left"/>
    </w:lvl>
  </w:abstractNum>
  <w:abstractNum w:abstractNumId="24">
    <w:nsid w:val="557FD3DA"/>
    <w:multiLevelType w:val="singleLevel"/>
    <w:tmpl w:val="557FD3DA"/>
    <w:lvl w:ilvl="0" w:tentative="0">
      <w:start w:val="3"/>
      <w:numFmt w:val="chineseCounting"/>
      <w:suff w:val="nothing"/>
      <w:lvlText w:val="%1、"/>
      <w:lvlJc w:val="left"/>
    </w:lvl>
  </w:abstractNum>
  <w:abstractNum w:abstractNumId="25">
    <w:nsid w:val="5A3C02B2"/>
    <w:multiLevelType w:val="singleLevel"/>
    <w:tmpl w:val="5A3C02B2"/>
    <w:lvl w:ilvl="0" w:tentative="0">
      <w:start w:val="1"/>
      <w:numFmt w:val="lowerLetter"/>
      <w:lvlText w:val="%1."/>
      <w:lvlJc w:val="left"/>
      <w:pPr>
        <w:ind w:left="425" w:hanging="425"/>
      </w:pPr>
      <w:rPr>
        <w:rFonts w:hint="default"/>
      </w:rPr>
    </w:lvl>
  </w:abstractNum>
  <w:abstractNum w:abstractNumId="26">
    <w:nsid w:val="5A3F51AF"/>
    <w:multiLevelType w:val="singleLevel"/>
    <w:tmpl w:val="5A3F51AF"/>
    <w:lvl w:ilvl="0" w:tentative="0">
      <w:start w:val="1"/>
      <w:numFmt w:val="bullet"/>
      <w:pStyle w:val="6"/>
      <w:lvlText w:val=""/>
      <w:lvlJc w:val="left"/>
      <w:pPr>
        <w:tabs>
          <w:tab w:val="left" w:pos="360"/>
        </w:tabs>
        <w:ind w:left="360" w:hanging="360"/>
      </w:pPr>
      <w:rPr>
        <w:rFonts w:hint="default" w:ascii="Wingdings" w:hAnsi="Wingdings"/>
      </w:rPr>
    </w:lvl>
  </w:abstractNum>
  <w:abstractNum w:abstractNumId="27">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26"/>
  </w:num>
  <w:num w:numId="2">
    <w:abstractNumId w:val="4"/>
  </w:num>
  <w:num w:numId="3">
    <w:abstractNumId w:val="7"/>
  </w:num>
  <w:num w:numId="4">
    <w:abstractNumId w:val="22"/>
  </w:num>
  <w:num w:numId="5">
    <w:abstractNumId w:val="15"/>
  </w:num>
  <w:num w:numId="6">
    <w:abstractNumId w:val="5"/>
  </w:num>
  <w:num w:numId="7">
    <w:abstractNumId w:val="25"/>
  </w:num>
  <w:num w:numId="8">
    <w:abstractNumId w:val="6"/>
  </w:num>
  <w:num w:numId="9">
    <w:abstractNumId w:val="8"/>
  </w:num>
  <w:num w:numId="10">
    <w:abstractNumId w:val="14"/>
  </w:num>
  <w:num w:numId="11">
    <w:abstractNumId w:val="19"/>
  </w:num>
  <w:num w:numId="12">
    <w:abstractNumId w:val="11"/>
  </w:num>
  <w:num w:numId="13">
    <w:abstractNumId w:val="27"/>
  </w:num>
  <w:num w:numId="14">
    <w:abstractNumId w:val="21"/>
  </w:num>
  <w:num w:numId="15">
    <w:abstractNumId w:val="0"/>
  </w:num>
  <w:num w:numId="16">
    <w:abstractNumId w:val="20"/>
  </w:num>
  <w:num w:numId="17">
    <w:abstractNumId w:val="17"/>
  </w:num>
  <w:num w:numId="18">
    <w:abstractNumId w:val="28"/>
  </w:num>
  <w:num w:numId="19">
    <w:abstractNumId w:val="2"/>
  </w:num>
  <w:num w:numId="20">
    <w:abstractNumId w:val="9"/>
  </w:num>
  <w:num w:numId="21">
    <w:abstractNumId w:val="16"/>
  </w:num>
  <w:num w:numId="22">
    <w:abstractNumId w:val="18"/>
  </w:num>
  <w:num w:numId="23">
    <w:abstractNumId w:val="1"/>
  </w:num>
  <w:num w:numId="24">
    <w:abstractNumId w:val="3"/>
  </w:num>
  <w:num w:numId="25">
    <w:abstractNumId w:val="13"/>
  </w:num>
  <w:num w:numId="26">
    <w:abstractNumId w:val="12"/>
  </w:num>
  <w:num w:numId="27">
    <w:abstractNumId w:val="10"/>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mRiZGM3ZTg4N2MzMmJlY2YyOGY4Y2Q5MDdlMzUifQ=="/>
  </w:docVars>
  <w:rsids>
    <w:rsidRoot w:val="39410A6D"/>
    <w:rsid w:val="00C00574"/>
    <w:rsid w:val="00E741C3"/>
    <w:rsid w:val="013D4B42"/>
    <w:rsid w:val="07A37123"/>
    <w:rsid w:val="09CF3A68"/>
    <w:rsid w:val="151D0E2B"/>
    <w:rsid w:val="16893F4C"/>
    <w:rsid w:val="1C880A5C"/>
    <w:rsid w:val="1E586658"/>
    <w:rsid w:val="1E9D20DE"/>
    <w:rsid w:val="27333133"/>
    <w:rsid w:val="2AD76B43"/>
    <w:rsid w:val="2C5B759D"/>
    <w:rsid w:val="2E47221F"/>
    <w:rsid w:val="325154C6"/>
    <w:rsid w:val="387824DE"/>
    <w:rsid w:val="39410A6D"/>
    <w:rsid w:val="39A400D7"/>
    <w:rsid w:val="3A3E1C33"/>
    <w:rsid w:val="3ABE6841"/>
    <w:rsid w:val="3AFE160D"/>
    <w:rsid w:val="41087E14"/>
    <w:rsid w:val="41931657"/>
    <w:rsid w:val="43065C6B"/>
    <w:rsid w:val="43C561F3"/>
    <w:rsid w:val="4A270584"/>
    <w:rsid w:val="4C0074F9"/>
    <w:rsid w:val="58E45172"/>
    <w:rsid w:val="608A797F"/>
    <w:rsid w:val="6745444A"/>
    <w:rsid w:val="70FD41A2"/>
    <w:rsid w:val="754756A3"/>
    <w:rsid w:val="7B1041DF"/>
    <w:rsid w:val="7BCE71FD"/>
    <w:rsid w:val="7D56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Century Gothic"/>
      <w:b/>
      <w:bCs/>
      <w:kern w:val="44"/>
      <w:sz w:val="44"/>
      <w:szCs w:val="44"/>
    </w:rPr>
  </w:style>
  <w:style w:type="paragraph" w:styleId="4">
    <w:name w:val="heading 2"/>
    <w:basedOn w:val="1"/>
    <w:next w:val="1"/>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ascii="Century Gothic" w:hAnsi="Century Gothic" w:eastAsia="Century Gothic"/>
      <w:sz w:val="24"/>
      <w:szCs w:val="20"/>
    </w:rPr>
  </w:style>
  <w:style w:type="paragraph" w:styleId="6">
    <w:name w:val="List Bullet"/>
    <w:basedOn w:val="1"/>
    <w:next w:val="1"/>
    <w:qFormat/>
    <w:uiPriority w:val="0"/>
    <w:pPr>
      <w:numPr>
        <w:ilvl w:val="0"/>
        <w:numId w:val="1"/>
      </w:numPr>
    </w:p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afterLines="0"/>
    </w:pPr>
  </w:style>
  <w:style w:type="paragraph" w:styleId="9">
    <w:name w:val="Body Text First Indent"/>
    <w:basedOn w:val="8"/>
    <w:next w:val="10"/>
    <w:qFormat/>
    <w:uiPriority w:val="0"/>
    <w:pPr>
      <w:ind w:firstLine="420"/>
    </w:pPr>
  </w:style>
  <w:style w:type="paragraph" w:customStyle="1" w:styleId="10">
    <w:name w:val="样式 正文首行缩进 + 首行缩进:  1 字符"/>
    <w:basedOn w:val="9"/>
    <w:next w:val="6"/>
    <w:qFormat/>
    <w:uiPriority w:val="0"/>
    <w:pPr>
      <w:spacing w:after="40"/>
      <w:ind w:firstLine="200" w:firstLineChars="200"/>
    </w:pPr>
    <w:rPr>
      <w:rFonts w:eastAsia="隶书" w:cs="宋体"/>
      <w:snapToGrid/>
      <w:kern w:val="2"/>
      <w:shd w:val="clear" w:color="auto" w:fill="FFFFFF"/>
    </w:rPr>
  </w:style>
  <w:style w:type="paragraph" w:styleId="11">
    <w:name w:val="Plain Text"/>
    <w:basedOn w:val="1"/>
    <w:qFormat/>
    <w:uiPriority w:val="0"/>
    <w:rPr>
      <w:rFonts w:ascii="Century Gothic" w:hAnsi="楷体_GB2312" w:eastAsia="Century Gothic" w:cs="楷体_GB2312"/>
      <w:szCs w:val="21"/>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adjustRightInd w:val="0"/>
      <w:jc w:val="left"/>
    </w:pPr>
    <w:rPr>
      <w:rFonts w:eastAsia="Century Gothic"/>
      <w:sz w:val="18"/>
      <w:szCs w:val="20"/>
    </w:rPr>
  </w:style>
  <w:style w:type="paragraph" w:styleId="14">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5">
    <w:name w:val="toc 1"/>
    <w:basedOn w:val="1"/>
    <w:next w:val="1"/>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16">
    <w:name w:val="toc 2"/>
    <w:basedOn w:val="1"/>
    <w:next w:val="1"/>
    <w:qFormat/>
    <w:uiPriority w:val="39"/>
    <w:pPr>
      <w:tabs>
        <w:tab w:val="right" w:leader="dot" w:pos="8720"/>
      </w:tabs>
      <w:adjustRightInd w:val="0"/>
      <w:snapToGrid w:val="0"/>
      <w:jc w:val="left"/>
    </w:pPr>
    <w:rPr>
      <w:smallCaps/>
      <w:sz w:val="20"/>
      <w:szCs w:val="20"/>
    </w:rPr>
  </w:style>
  <w:style w:type="paragraph" w:styleId="17">
    <w:name w:val="Normal (Web)"/>
    <w:basedOn w:val="1"/>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18">
    <w:name w:val="Body Text First Indent 2"/>
    <w:basedOn w:val="2"/>
    <w:qFormat/>
    <w:uiPriority w:val="99"/>
    <w:pPr>
      <w:adjustRightInd w:val="0"/>
      <w:spacing w:after="0" w:line="360" w:lineRule="auto"/>
      <w:ind w:left="0" w:leftChars="0" w:firstLine="420" w:firstLineChars="200"/>
      <w:jc w:val="left"/>
    </w:pPr>
    <w:rPr>
      <w:rFonts w:ascii="Century Gothic" w:hAnsi="Century Gothic" w:eastAsia="Century Gothic" w:cs="Times New Roman"/>
      <w:sz w:val="24"/>
      <w:szCs w:val="2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p0"/>
    <w:basedOn w:val="1"/>
    <w:unhideWhenUsed/>
    <w:qFormat/>
    <w:uiPriority w:val="0"/>
    <w:pPr>
      <w:widowControl/>
    </w:pPr>
    <w:rPr>
      <w:rFonts w:hint="eastAsia"/>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0"/>
    <w:pPr>
      <w:ind w:firstLine="420" w:firstLineChars="200"/>
    </w:pPr>
    <w:rPr>
      <w:rFonts w:ascii="Times New Roman" w:hAnsi="Times New Roman" w:cs="Times New Roman"/>
    </w:rPr>
  </w:style>
  <w:style w:type="paragraph" w:customStyle="1" w:styleId="26">
    <w:name w:val="Plain Text"/>
    <w:basedOn w:val="27"/>
    <w:qFormat/>
    <w:uiPriority w:val="0"/>
    <w:pPr>
      <w:widowControl/>
      <w:jc w:val="left"/>
    </w:pPr>
    <w:rPr>
      <w:rFonts w:ascii="宋体" w:hAnsi="Courier New"/>
    </w:rPr>
  </w:style>
  <w:style w:type="paragraph" w:customStyle="1" w:styleId="2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
    <w:name w:val="表格文字"/>
    <w:basedOn w:val="1"/>
    <w:next w:val="8"/>
    <w:qFormat/>
    <w:uiPriority w:val="0"/>
    <w:pPr>
      <w:jc w:val="center"/>
    </w:pPr>
    <w:rPr>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B表格正文"/>
    <w:next w:val="1"/>
    <w:qFormat/>
    <w:uiPriority w:val="0"/>
    <w:rPr>
      <w:rFonts w:eastAsia="黑体" w:asciiTheme="minorHAnsi" w:hAnsiTheme="minorHAnsi" w:cstheme="minorBidi"/>
      <w:kern w:val="2"/>
      <w:sz w:val="21"/>
      <w:szCs w:val="21"/>
      <w:lang w:val="en-US" w:eastAsia="zh-CN" w:bidi="ar-SA"/>
    </w:rPr>
  </w:style>
  <w:style w:type="paragraph" w:customStyle="1" w:styleId="31">
    <w:name w:val="B表头样式"/>
    <w:next w:val="1"/>
    <w:qFormat/>
    <w:uiPriority w:val="0"/>
    <w:pPr>
      <w:jc w:val="center"/>
    </w:pPr>
    <w:rPr>
      <w:rFonts w:eastAsia="黑体" w:asciiTheme="minorHAnsi" w:hAnsiTheme="minorHAnsi" w:cstheme="minorBidi"/>
      <w:b/>
      <w:kern w:val="2"/>
      <w:sz w:val="21"/>
      <w:szCs w:val="21"/>
      <w:lang w:val="en-US" w:eastAsia="zh-CN" w:bidi="ar-SA"/>
    </w:rPr>
  </w:style>
  <w:style w:type="paragraph" w:customStyle="1" w:styleId="32">
    <w:name w:val="正文（首行缩进2字符）"/>
    <w:basedOn w:val="1"/>
    <w:qFormat/>
    <w:uiPriority w:val="0"/>
    <w:pPr>
      <w:widowControl w:val="0"/>
      <w:snapToGrid w:val="0"/>
      <w:spacing w:line="240" w:lineRule="auto"/>
      <w:ind w:firstLine="461" w:firstLineChars="192"/>
      <w:jc w:val="both"/>
    </w:pPr>
    <w:rPr>
      <w:rFonts w:ascii="Times New Roman" w:hAnsi="Times New Roman" w:eastAsia="宋体" w:cs="Times New Roman"/>
      <w:kern w:val="0"/>
      <w:szCs w:val="28"/>
    </w:rPr>
  </w:style>
  <w:style w:type="character" w:customStyle="1" w:styleId="33">
    <w:name w:val="font11"/>
    <w:basedOn w:val="21"/>
    <w:qFormat/>
    <w:uiPriority w:val="0"/>
    <w:rPr>
      <w:rFonts w:hint="eastAsia" w:ascii="宋体" w:hAnsi="宋体" w:eastAsia="宋体" w:cs="宋体"/>
      <w:b/>
      <w:color w:val="000000"/>
      <w:sz w:val="21"/>
      <w:szCs w:val="21"/>
      <w:u w:val="none"/>
    </w:rPr>
  </w:style>
  <w:style w:type="character" w:customStyle="1" w:styleId="34">
    <w:name w:val="font01"/>
    <w:basedOn w:val="21"/>
    <w:qFormat/>
    <w:uiPriority w:val="0"/>
    <w:rPr>
      <w:rFonts w:hint="eastAsia" w:ascii="宋体" w:hAnsi="宋体" w:eastAsia="宋体" w:cs="宋体"/>
      <w:color w:val="000000"/>
      <w:sz w:val="21"/>
      <w:szCs w:val="21"/>
      <w:u w:val="none"/>
    </w:rPr>
  </w:style>
  <w:style w:type="paragraph" w:customStyle="1" w:styleId="35">
    <w:name w:val="_正文段落"/>
    <w:basedOn w:val="1"/>
    <w:qFormat/>
    <w:uiPriority w:val="0"/>
    <w:pPr>
      <w:spacing w:before="15" w:beforeLines="15" w:after="15" w:afterLines="15" w:line="360" w:lineRule="auto"/>
      <w:ind w:firstLine="56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52030</Words>
  <Characters>54052</Characters>
  <Lines>0</Lines>
  <Paragraphs>0</Paragraphs>
  <TotalTime>12</TotalTime>
  <ScaleCrop>false</ScaleCrop>
  <LinksUpToDate>false</LinksUpToDate>
  <CharactersWithSpaces>59053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2022-10-09T11:24:00Z</dcterms:created>
  <dc:creator>33小姑娘</dc:creator>
  <cp:lastModifiedBy>CQY</cp:lastModifiedBy>
  <dcterms:modified xsi:type="dcterms:W3CDTF">2022-11-02T01:57:06Z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D006A11664934E4684344E8818C2BC6A</vt:lpwstr>
  </property>
</Properties>
</file>