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黑体" w:hAnsi="宋体" w:eastAsia="黑体" w:cs="Angsana New"/>
          <w:color w:val="auto"/>
          <w:w w:val="80"/>
          <w:sz w:val="28"/>
          <w:szCs w:val="28"/>
          <w:highlight w:val="none"/>
          <w:lang w:val="en-US" w:eastAsia="zh-CN" w:bidi="th-TH"/>
        </w:rPr>
      </w:pPr>
    </w:p>
    <w:p>
      <w:pPr>
        <w:pStyle w:val="9"/>
        <w:rPr>
          <w:rFonts w:hint="eastAsia"/>
          <w:color w:val="auto"/>
          <w:highlight w:val="none"/>
        </w:rPr>
      </w:pPr>
    </w:p>
    <w:p>
      <w:pPr>
        <w:pStyle w:val="9"/>
        <w:rPr>
          <w:rFonts w:hint="eastAsia"/>
          <w:color w:val="auto"/>
          <w:highlight w:val="none"/>
        </w:rPr>
      </w:pPr>
    </w:p>
    <w:p>
      <w:pPr>
        <w:pStyle w:val="9"/>
        <w:rPr>
          <w:rFonts w:hint="eastAsia"/>
          <w:color w:val="auto"/>
          <w:highlight w:val="none"/>
        </w:rPr>
      </w:pPr>
    </w:p>
    <w:p>
      <w:pPr>
        <w:snapToGrid w:val="0"/>
        <w:spacing w:line="360" w:lineRule="auto"/>
        <w:jc w:val="center"/>
        <w:rPr>
          <w:rFonts w:hint="eastAsia" w:ascii="黑体" w:hAnsi="宋体" w:eastAsia="黑体" w:cs="楷体_GB2312"/>
          <w:color w:val="auto"/>
          <w:w w:val="90"/>
          <w:sz w:val="44"/>
          <w:szCs w:val="44"/>
          <w:highlight w:val="none"/>
          <w:lang w:eastAsia="zh-CN"/>
        </w:rPr>
      </w:pPr>
      <w:r>
        <w:rPr>
          <w:rFonts w:hint="eastAsia" w:ascii="黑体" w:hAnsi="宋体" w:eastAsia="黑体" w:cs="楷体_GB2312"/>
          <w:color w:val="auto"/>
          <w:w w:val="90"/>
          <w:sz w:val="44"/>
          <w:szCs w:val="44"/>
          <w:highlight w:val="none"/>
          <w:lang w:eastAsia="zh-CN"/>
        </w:rPr>
        <w:t>浙江省预算管理一体化项目</w:t>
      </w:r>
    </w:p>
    <w:p>
      <w:pPr>
        <w:jc w:val="center"/>
        <w:rPr>
          <w:rFonts w:hint="eastAsia" w:ascii="宋体" w:hAnsi="宋体"/>
          <w:b/>
          <w:color w:val="auto"/>
          <w:szCs w:val="84"/>
          <w:highlight w:val="none"/>
          <w:lang w:eastAsia="zh-CN"/>
        </w:rPr>
      </w:pPr>
    </w:p>
    <w:p>
      <w:pPr>
        <w:jc w:val="center"/>
        <w:rPr>
          <w:rFonts w:hint="eastAsia" w:ascii="宋体" w:hAnsi="宋体" w:eastAsia="宋体"/>
          <w:b/>
          <w:color w:val="auto"/>
          <w:sz w:val="24"/>
          <w:szCs w:val="24"/>
          <w:highlight w:val="none"/>
          <w:lang w:eastAsia="zh-CN"/>
        </w:rPr>
      </w:pPr>
      <w:r>
        <w:rPr>
          <w:rFonts w:hint="eastAsia" w:ascii="宋体" w:hAnsi="宋体"/>
          <w:b/>
          <w:color w:val="auto"/>
          <w:sz w:val="24"/>
          <w:szCs w:val="24"/>
          <w:highlight w:val="none"/>
          <w:lang w:eastAsia="zh-CN"/>
        </w:rPr>
        <w:t>（电子招投标方式）</w:t>
      </w:r>
    </w:p>
    <w:p>
      <w:pPr>
        <w:jc w:val="center"/>
        <w:rPr>
          <w:rFonts w:hint="eastAsia" w:ascii="宋体" w:hAnsi="宋体"/>
          <w:b/>
          <w:color w:val="auto"/>
          <w:szCs w:val="84"/>
          <w:highlight w:val="none"/>
        </w:rPr>
      </w:pPr>
    </w:p>
    <w:p>
      <w:pPr>
        <w:jc w:val="center"/>
        <w:rPr>
          <w:rFonts w:hint="eastAsia" w:ascii="宋体" w:hAnsi="宋体"/>
          <w:b/>
          <w:color w:val="auto"/>
          <w:szCs w:val="84"/>
          <w:highlight w:val="none"/>
        </w:rPr>
      </w:pPr>
    </w:p>
    <w:p>
      <w:pPr>
        <w:jc w:val="center"/>
        <w:rPr>
          <w:rFonts w:hint="eastAsia" w:ascii="宋体" w:hAnsi="宋体"/>
          <w:b/>
          <w:color w:val="auto"/>
          <w:szCs w:val="84"/>
          <w:highlight w:val="none"/>
        </w:rPr>
      </w:pPr>
    </w:p>
    <w:p>
      <w:pPr>
        <w:spacing w:line="360" w:lineRule="auto"/>
        <w:jc w:val="center"/>
        <w:rPr>
          <w:rFonts w:hint="eastAsia" w:ascii="宋体" w:hAnsi="宋体"/>
          <w:b/>
          <w:color w:val="auto"/>
          <w:sz w:val="84"/>
          <w:szCs w:val="84"/>
          <w:highlight w:val="none"/>
        </w:rPr>
      </w:pPr>
      <w:r>
        <w:rPr>
          <w:rFonts w:hint="eastAsia" w:ascii="黑体" w:hAnsi="宋体" w:eastAsia="黑体" w:cs="Angsana New"/>
          <w:color w:val="auto"/>
          <w:spacing w:val="40"/>
          <w:w w:val="80"/>
          <w:sz w:val="96"/>
          <w:szCs w:val="96"/>
          <w:highlight w:val="none"/>
          <w:lang w:bidi="th-TH"/>
        </w:rPr>
        <w:t>采 购 文 件</w:t>
      </w:r>
    </w:p>
    <w:p>
      <w:pPr>
        <w:jc w:val="center"/>
        <w:rPr>
          <w:rFonts w:hint="eastAsia" w:ascii="宋体" w:hAnsi="宋体"/>
          <w:b/>
          <w:color w:val="auto"/>
          <w:szCs w:val="84"/>
          <w:highlight w:val="none"/>
        </w:rPr>
      </w:pPr>
    </w:p>
    <w:p>
      <w:pPr>
        <w:jc w:val="center"/>
        <w:rPr>
          <w:rFonts w:hint="eastAsia" w:ascii="宋体" w:hAnsi="宋体"/>
          <w:b/>
          <w:color w:val="auto"/>
          <w:szCs w:val="84"/>
          <w:highlight w:val="none"/>
        </w:rPr>
      </w:pPr>
    </w:p>
    <w:p>
      <w:pPr>
        <w:spacing w:line="360" w:lineRule="auto"/>
        <w:jc w:val="center"/>
        <w:rPr>
          <w:rFonts w:hint="eastAsia" w:ascii="宋体" w:hAnsi="宋体" w:eastAsia="宋体" w:cs="Angsana New"/>
          <w:b/>
          <w:bCs/>
          <w:color w:val="auto"/>
          <w:w w:val="80"/>
          <w:sz w:val="36"/>
          <w:szCs w:val="36"/>
          <w:highlight w:val="none"/>
          <w:lang w:eastAsia="zh-CN" w:bidi="th-TH"/>
        </w:rPr>
      </w:pPr>
      <w:r>
        <w:rPr>
          <w:rFonts w:hint="eastAsia" w:ascii="宋体" w:hAnsi="宋体" w:eastAsia="宋体" w:cs="Angsana New"/>
          <w:b/>
          <w:bCs/>
          <w:color w:val="auto"/>
          <w:w w:val="80"/>
          <w:sz w:val="36"/>
          <w:szCs w:val="36"/>
          <w:highlight w:val="none"/>
          <w:lang w:eastAsia="zh-CN" w:bidi="th-TH"/>
        </w:rPr>
        <w:t>采购编号：</w:t>
      </w:r>
      <w:r>
        <w:rPr>
          <w:rFonts w:hint="eastAsia" w:ascii="宋体" w:hAnsi="宋体" w:cs="Angsana New"/>
          <w:b/>
          <w:bCs/>
          <w:color w:val="auto"/>
          <w:w w:val="80"/>
          <w:sz w:val="36"/>
          <w:szCs w:val="36"/>
          <w:highlight w:val="none"/>
          <w:lang w:eastAsia="zh-CN" w:bidi="th-TH"/>
        </w:rPr>
        <w:t>ZJ-2272868</w:t>
      </w:r>
    </w:p>
    <w:p>
      <w:pPr>
        <w:pStyle w:val="12"/>
        <w:ind w:left="5250"/>
        <w:rPr>
          <w:rFonts w:hint="eastAsia" w:ascii="宋体" w:hAnsi="宋体"/>
          <w:color w:val="auto"/>
          <w:szCs w:val="28"/>
          <w:highlight w:val="none"/>
        </w:rPr>
      </w:pPr>
      <w:r>
        <w:rPr>
          <w:rFonts w:hint="eastAsia" w:ascii="宋体" w:hAnsi="宋体"/>
          <w:color w:val="auto"/>
          <w:highlight w:val="none"/>
        </w:rPr>
        <w:t xml:space="preserve">      </w:t>
      </w:r>
    </w:p>
    <w:p>
      <w:pPr>
        <w:rPr>
          <w:rFonts w:hint="eastAsia" w:ascii="宋体" w:hAnsi="宋体"/>
          <w:b/>
          <w:color w:val="auto"/>
          <w:highlight w:val="none"/>
        </w:rPr>
      </w:pPr>
    </w:p>
    <w:p>
      <w:pPr>
        <w:rPr>
          <w:rFonts w:hint="eastAsia" w:ascii="宋体" w:hAnsi="宋体"/>
          <w:b/>
          <w:color w:val="auto"/>
          <w:highlight w:val="none"/>
        </w:rPr>
      </w:pPr>
    </w:p>
    <w:p>
      <w:pPr>
        <w:rPr>
          <w:rFonts w:hint="eastAsia" w:ascii="宋体" w:hAnsi="宋体"/>
          <w:b/>
          <w:color w:val="auto"/>
          <w:highlight w:val="none"/>
        </w:rPr>
      </w:pPr>
    </w:p>
    <w:p>
      <w:pPr>
        <w:rPr>
          <w:rFonts w:hint="eastAsia" w:ascii="宋体" w:hAnsi="宋体"/>
          <w:b/>
          <w:color w:val="auto"/>
          <w:highlight w:val="none"/>
        </w:rPr>
      </w:pPr>
    </w:p>
    <w:p>
      <w:pPr>
        <w:rPr>
          <w:rFonts w:hint="eastAsia" w:ascii="宋体" w:hAnsi="宋体"/>
          <w:b/>
          <w:color w:val="auto"/>
          <w:highlight w:val="none"/>
        </w:rPr>
      </w:pPr>
    </w:p>
    <w:p>
      <w:pPr>
        <w:rPr>
          <w:rFonts w:hint="eastAsia" w:ascii="宋体" w:hAnsi="宋体"/>
          <w:b/>
          <w:color w:val="auto"/>
          <w:highlight w:val="none"/>
        </w:rPr>
      </w:pPr>
    </w:p>
    <w:p>
      <w:pPr>
        <w:rPr>
          <w:rFonts w:hint="eastAsia" w:ascii="宋体" w:hAnsi="宋体"/>
          <w:b/>
          <w:color w:val="auto"/>
          <w:highlight w:val="none"/>
        </w:rPr>
      </w:pPr>
    </w:p>
    <w:p>
      <w:pPr>
        <w:rPr>
          <w:rFonts w:hint="eastAsia" w:ascii="宋体" w:hAnsi="宋体"/>
          <w:b/>
          <w:color w:val="auto"/>
          <w:highlight w:val="none"/>
        </w:rPr>
      </w:pPr>
    </w:p>
    <w:p>
      <w:pPr>
        <w:rPr>
          <w:rFonts w:hint="eastAsia" w:ascii="宋体" w:hAnsi="宋体"/>
          <w:b/>
          <w:color w:val="auto"/>
          <w:highlight w:val="none"/>
        </w:rPr>
      </w:pPr>
    </w:p>
    <w:p>
      <w:pPr>
        <w:rPr>
          <w:rFonts w:hint="eastAsia" w:ascii="宋体" w:hAnsi="宋体"/>
          <w:b/>
          <w:color w:val="auto"/>
          <w:highlight w:val="none"/>
        </w:rPr>
      </w:pPr>
    </w:p>
    <w:tbl>
      <w:tblPr>
        <w:tblStyle w:val="19"/>
        <w:tblW w:w="0" w:type="auto"/>
        <w:jc w:val="center"/>
        <w:tblLayout w:type="fixed"/>
        <w:tblCellMar>
          <w:top w:w="0" w:type="dxa"/>
          <w:left w:w="108" w:type="dxa"/>
          <w:bottom w:w="0" w:type="dxa"/>
          <w:right w:w="108" w:type="dxa"/>
        </w:tblCellMar>
      </w:tblPr>
      <w:tblGrid>
        <w:gridCol w:w="2032"/>
        <w:gridCol w:w="516"/>
        <w:gridCol w:w="4411"/>
      </w:tblGrid>
      <w:tr>
        <w:tblPrEx>
          <w:tblCellMar>
            <w:top w:w="0" w:type="dxa"/>
            <w:left w:w="108" w:type="dxa"/>
            <w:bottom w:w="0" w:type="dxa"/>
            <w:right w:w="108" w:type="dxa"/>
          </w:tblCellMar>
        </w:tblPrEx>
        <w:trPr>
          <w:trHeight w:val="680" w:hRule="atLeast"/>
          <w:jc w:val="center"/>
        </w:trPr>
        <w:tc>
          <w:tcPr>
            <w:tcW w:w="2032" w:type="dxa"/>
            <w:noWrap w:val="0"/>
            <w:vAlign w:val="center"/>
          </w:tcPr>
          <w:p>
            <w:pPr>
              <w:snapToGrid w:val="0"/>
              <w:jc w:val="distribute"/>
              <w:rPr>
                <w:rFonts w:hint="eastAsia" w:ascii="黑体" w:hAnsi="Courier New" w:eastAsia="黑体" w:cs="Courier New"/>
                <w:color w:val="auto"/>
                <w:sz w:val="30"/>
                <w:szCs w:val="30"/>
                <w:highlight w:val="none"/>
              </w:rPr>
            </w:pPr>
            <w:r>
              <w:rPr>
                <w:rFonts w:hint="eastAsia" w:ascii="黑体" w:hAnsi="Courier New" w:eastAsia="黑体" w:cs="Courier New"/>
                <w:color w:val="auto"/>
                <w:sz w:val="30"/>
                <w:szCs w:val="30"/>
                <w:highlight w:val="none"/>
              </w:rPr>
              <w:t>采购人</w:t>
            </w:r>
          </w:p>
        </w:tc>
        <w:tc>
          <w:tcPr>
            <w:tcW w:w="516" w:type="dxa"/>
            <w:noWrap w:val="0"/>
            <w:vAlign w:val="center"/>
          </w:tcPr>
          <w:p>
            <w:pPr>
              <w:snapToGrid w:val="0"/>
              <w:jc w:val="distribute"/>
              <w:rPr>
                <w:rFonts w:hint="eastAsia" w:ascii="黑体" w:hAnsi="Courier New" w:eastAsia="黑体" w:cs="Courier New"/>
                <w:color w:val="auto"/>
                <w:sz w:val="30"/>
                <w:szCs w:val="30"/>
                <w:highlight w:val="none"/>
              </w:rPr>
            </w:pPr>
            <w:r>
              <w:rPr>
                <w:rFonts w:hint="eastAsia" w:ascii="黑体" w:hAnsi="Courier New" w:eastAsia="黑体" w:cs="Courier New"/>
                <w:color w:val="auto"/>
                <w:sz w:val="30"/>
                <w:szCs w:val="30"/>
                <w:highlight w:val="none"/>
              </w:rPr>
              <w:t>：</w:t>
            </w:r>
          </w:p>
        </w:tc>
        <w:tc>
          <w:tcPr>
            <w:tcW w:w="4411" w:type="dxa"/>
            <w:noWrap w:val="0"/>
            <w:vAlign w:val="center"/>
          </w:tcPr>
          <w:p>
            <w:pPr>
              <w:snapToGrid w:val="0"/>
              <w:jc w:val="distribute"/>
              <w:rPr>
                <w:rFonts w:hint="default" w:ascii="黑体" w:hAnsi="Courier New" w:eastAsia="黑体" w:cs="Courier New"/>
                <w:color w:val="auto"/>
                <w:sz w:val="30"/>
                <w:szCs w:val="30"/>
                <w:highlight w:val="none"/>
                <w:lang w:val="en-US" w:eastAsia="zh-CN"/>
              </w:rPr>
            </w:pPr>
            <w:r>
              <w:rPr>
                <w:rFonts w:hint="eastAsia" w:ascii="黑体" w:hAnsi="Courier New" w:eastAsia="黑体" w:cs="Courier New"/>
                <w:color w:val="auto"/>
                <w:sz w:val="30"/>
                <w:szCs w:val="30"/>
                <w:highlight w:val="none"/>
                <w:lang w:val="en-US" w:eastAsia="zh-CN"/>
              </w:rPr>
              <w:t>浙江省数字财政管理中心</w:t>
            </w:r>
          </w:p>
        </w:tc>
      </w:tr>
      <w:tr>
        <w:tblPrEx>
          <w:tblCellMar>
            <w:top w:w="0" w:type="dxa"/>
            <w:left w:w="108" w:type="dxa"/>
            <w:bottom w:w="0" w:type="dxa"/>
            <w:right w:w="108" w:type="dxa"/>
          </w:tblCellMar>
        </w:tblPrEx>
        <w:trPr>
          <w:trHeight w:val="297" w:hRule="atLeast"/>
          <w:jc w:val="center"/>
        </w:trPr>
        <w:tc>
          <w:tcPr>
            <w:tcW w:w="2032" w:type="dxa"/>
            <w:noWrap w:val="0"/>
            <w:vAlign w:val="center"/>
          </w:tcPr>
          <w:p>
            <w:pPr>
              <w:snapToGrid w:val="0"/>
              <w:jc w:val="distribute"/>
              <w:rPr>
                <w:rFonts w:hint="eastAsia" w:ascii="黑体" w:hAnsi="Courier New" w:eastAsia="黑体" w:cs="Courier New"/>
                <w:color w:val="auto"/>
                <w:szCs w:val="21"/>
                <w:highlight w:val="none"/>
              </w:rPr>
            </w:pPr>
          </w:p>
        </w:tc>
        <w:tc>
          <w:tcPr>
            <w:tcW w:w="516" w:type="dxa"/>
            <w:noWrap w:val="0"/>
            <w:vAlign w:val="center"/>
          </w:tcPr>
          <w:p>
            <w:pPr>
              <w:snapToGrid w:val="0"/>
              <w:jc w:val="distribute"/>
              <w:rPr>
                <w:rFonts w:hint="eastAsia" w:ascii="黑体" w:hAnsi="Courier New" w:eastAsia="黑体" w:cs="Courier New"/>
                <w:color w:val="auto"/>
                <w:szCs w:val="21"/>
                <w:highlight w:val="none"/>
              </w:rPr>
            </w:pPr>
          </w:p>
        </w:tc>
        <w:tc>
          <w:tcPr>
            <w:tcW w:w="4411" w:type="dxa"/>
            <w:noWrap w:val="0"/>
            <w:vAlign w:val="center"/>
          </w:tcPr>
          <w:p>
            <w:pPr>
              <w:snapToGrid w:val="0"/>
              <w:jc w:val="distribute"/>
              <w:rPr>
                <w:rFonts w:hint="eastAsia" w:ascii="黑体" w:hAnsi="Courier New" w:eastAsia="黑体" w:cs="Courier New"/>
                <w:color w:val="auto"/>
                <w:szCs w:val="21"/>
                <w:highlight w:val="none"/>
              </w:rPr>
            </w:pPr>
          </w:p>
        </w:tc>
      </w:tr>
      <w:tr>
        <w:tblPrEx>
          <w:tblCellMar>
            <w:top w:w="0" w:type="dxa"/>
            <w:left w:w="108" w:type="dxa"/>
            <w:bottom w:w="0" w:type="dxa"/>
            <w:right w:w="108" w:type="dxa"/>
          </w:tblCellMar>
        </w:tblPrEx>
        <w:trPr>
          <w:trHeight w:val="680" w:hRule="atLeast"/>
          <w:jc w:val="center"/>
        </w:trPr>
        <w:tc>
          <w:tcPr>
            <w:tcW w:w="2032" w:type="dxa"/>
            <w:noWrap w:val="0"/>
            <w:vAlign w:val="center"/>
          </w:tcPr>
          <w:p>
            <w:pPr>
              <w:snapToGrid w:val="0"/>
              <w:jc w:val="distribute"/>
              <w:rPr>
                <w:rFonts w:hint="eastAsia" w:ascii="黑体" w:hAnsi="Courier New" w:eastAsia="黑体" w:cs="Courier New"/>
                <w:color w:val="auto"/>
                <w:sz w:val="30"/>
                <w:szCs w:val="30"/>
                <w:highlight w:val="none"/>
              </w:rPr>
            </w:pPr>
            <w:r>
              <w:rPr>
                <w:rFonts w:hint="eastAsia" w:ascii="黑体" w:hAnsi="Courier New" w:eastAsia="黑体" w:cs="Courier New"/>
                <w:color w:val="auto"/>
                <w:sz w:val="30"/>
                <w:szCs w:val="30"/>
                <w:highlight w:val="none"/>
              </w:rPr>
              <w:t>采购代理机构</w:t>
            </w:r>
          </w:p>
        </w:tc>
        <w:tc>
          <w:tcPr>
            <w:tcW w:w="516" w:type="dxa"/>
            <w:noWrap w:val="0"/>
            <w:vAlign w:val="center"/>
          </w:tcPr>
          <w:p>
            <w:pPr>
              <w:snapToGrid w:val="0"/>
              <w:jc w:val="distribute"/>
              <w:rPr>
                <w:rFonts w:hint="eastAsia" w:ascii="黑体" w:hAnsi="Courier New" w:eastAsia="黑体" w:cs="Courier New"/>
                <w:color w:val="auto"/>
                <w:sz w:val="30"/>
                <w:szCs w:val="30"/>
                <w:highlight w:val="none"/>
              </w:rPr>
            </w:pPr>
            <w:r>
              <w:rPr>
                <w:rFonts w:hint="eastAsia" w:ascii="黑体" w:hAnsi="Courier New" w:eastAsia="黑体" w:cs="Courier New"/>
                <w:color w:val="auto"/>
                <w:sz w:val="30"/>
                <w:szCs w:val="30"/>
                <w:highlight w:val="none"/>
              </w:rPr>
              <w:t>：</w:t>
            </w:r>
          </w:p>
        </w:tc>
        <w:tc>
          <w:tcPr>
            <w:tcW w:w="4411" w:type="dxa"/>
            <w:noWrap w:val="0"/>
            <w:vAlign w:val="center"/>
          </w:tcPr>
          <w:p>
            <w:pPr>
              <w:snapToGrid w:val="0"/>
              <w:jc w:val="distribute"/>
              <w:rPr>
                <w:rFonts w:hint="eastAsia" w:ascii="黑体" w:hAnsi="Courier New" w:eastAsia="黑体" w:cs="Courier New"/>
                <w:color w:val="auto"/>
                <w:sz w:val="30"/>
                <w:szCs w:val="30"/>
                <w:highlight w:val="none"/>
                <w:lang w:eastAsia="zh-CN"/>
              </w:rPr>
            </w:pPr>
            <w:r>
              <w:rPr>
                <w:rFonts w:hint="eastAsia" w:ascii="黑体" w:hAnsi="Courier New" w:eastAsia="黑体" w:cs="Courier New"/>
                <w:color w:val="auto"/>
                <w:sz w:val="30"/>
                <w:szCs w:val="30"/>
                <w:highlight w:val="none"/>
                <w:lang w:eastAsia="zh-CN"/>
              </w:rPr>
              <w:t>浙江国际招投标有限公司</w:t>
            </w:r>
          </w:p>
        </w:tc>
      </w:tr>
      <w:tr>
        <w:tblPrEx>
          <w:tblCellMar>
            <w:top w:w="0" w:type="dxa"/>
            <w:left w:w="108" w:type="dxa"/>
            <w:bottom w:w="0" w:type="dxa"/>
            <w:right w:w="108" w:type="dxa"/>
          </w:tblCellMar>
        </w:tblPrEx>
        <w:trPr>
          <w:trHeight w:val="656" w:hRule="atLeast"/>
          <w:jc w:val="center"/>
        </w:trPr>
        <w:tc>
          <w:tcPr>
            <w:tcW w:w="6959" w:type="dxa"/>
            <w:gridSpan w:val="3"/>
            <w:noWrap w:val="0"/>
            <w:vAlign w:val="bottom"/>
          </w:tcPr>
          <w:p>
            <w:pPr>
              <w:snapToGrid w:val="0"/>
              <w:jc w:val="center"/>
              <w:rPr>
                <w:rFonts w:hint="eastAsia" w:ascii="黑体" w:hAnsi="Courier New" w:eastAsia="黑体" w:cs="Courier New"/>
                <w:color w:val="auto"/>
                <w:sz w:val="30"/>
                <w:szCs w:val="30"/>
                <w:highlight w:val="none"/>
              </w:rPr>
            </w:pPr>
            <w:r>
              <w:rPr>
                <w:rFonts w:hint="eastAsia" w:ascii="黑体" w:hAnsi="Courier New" w:eastAsia="黑体" w:cs="Courier New"/>
                <w:color w:val="auto"/>
                <w:sz w:val="30"/>
                <w:szCs w:val="30"/>
                <w:highlight w:val="none"/>
              </w:rPr>
              <w:t>202</w:t>
            </w:r>
            <w:r>
              <w:rPr>
                <w:rFonts w:hint="eastAsia" w:ascii="黑体" w:hAnsi="Courier New" w:eastAsia="黑体" w:cs="Courier New"/>
                <w:color w:val="auto"/>
                <w:sz w:val="30"/>
                <w:szCs w:val="30"/>
                <w:highlight w:val="none"/>
                <w:lang w:val="en-US" w:eastAsia="zh-CN"/>
              </w:rPr>
              <w:t>2</w:t>
            </w:r>
            <w:r>
              <w:rPr>
                <w:rFonts w:hint="eastAsia" w:ascii="黑体" w:hAnsi="Courier New" w:eastAsia="黑体" w:cs="Courier New"/>
                <w:color w:val="auto"/>
                <w:sz w:val="30"/>
                <w:szCs w:val="30"/>
                <w:highlight w:val="none"/>
              </w:rPr>
              <w:t>年</w:t>
            </w:r>
            <w:r>
              <w:rPr>
                <w:rFonts w:hint="eastAsia" w:ascii="黑体" w:hAnsi="Courier New" w:eastAsia="黑体" w:cs="Courier New"/>
                <w:color w:val="auto"/>
                <w:sz w:val="30"/>
                <w:szCs w:val="30"/>
                <w:highlight w:val="none"/>
                <w:lang w:val="en-US" w:eastAsia="zh-CN"/>
              </w:rPr>
              <w:t xml:space="preserve"> 11月</w:t>
            </w:r>
          </w:p>
        </w:tc>
      </w:tr>
    </w:tbl>
    <w:p>
      <w:pPr>
        <w:pStyle w:val="11"/>
        <w:spacing w:line="360" w:lineRule="auto"/>
        <w:jc w:val="center"/>
        <w:rPr>
          <w:rFonts w:hint="eastAsia" w:ascii="宋体" w:hAnsi="宋体" w:eastAsia="宋体" w:cs="宋体"/>
          <w:b/>
          <w:color w:val="auto"/>
          <w:sz w:val="28"/>
          <w:szCs w:val="28"/>
          <w:highlight w:val="none"/>
        </w:rPr>
      </w:pPr>
      <w:r>
        <w:rPr>
          <w:rFonts w:ascii="宋体" w:hAnsi="宋体"/>
          <w:b/>
          <w:color w:val="auto"/>
          <w:sz w:val="48"/>
          <w:szCs w:val="48"/>
          <w:highlight w:val="none"/>
        </w:rPr>
        <w:br w:type="page"/>
      </w:r>
      <w:r>
        <w:rPr>
          <w:rFonts w:hint="eastAsia" w:ascii="宋体" w:hAnsi="宋体" w:eastAsia="宋体" w:cs="宋体"/>
          <w:b/>
          <w:color w:val="auto"/>
          <w:sz w:val="28"/>
          <w:szCs w:val="28"/>
          <w:highlight w:val="none"/>
        </w:rPr>
        <w:t>目    录</w:t>
      </w:r>
    </w:p>
    <w:p>
      <w:pPr>
        <w:pStyle w:val="15"/>
        <w:tabs>
          <w:tab w:val="right" w:leader="dot" w:pos="8730"/>
          <w:tab w:val="clear" w:pos="8720"/>
        </w:tabs>
        <w:rPr>
          <w:color w:val="auto"/>
          <w:highlight w:val="none"/>
        </w:rPr>
      </w:pPr>
      <w:r>
        <w:rPr>
          <w:rFonts w:hint="eastAsia" w:ascii="宋体" w:hAnsi="宋体" w:eastAsia="宋体" w:cs="宋体"/>
          <w:b/>
          <w:caps w:val="0"/>
          <w:color w:val="auto"/>
          <w:sz w:val="24"/>
          <w:szCs w:val="24"/>
          <w:highlight w:val="none"/>
        </w:rPr>
        <w:fldChar w:fldCharType="begin"/>
      </w:r>
      <w:r>
        <w:rPr>
          <w:rFonts w:hint="eastAsia" w:ascii="宋体" w:hAnsi="宋体" w:eastAsia="宋体" w:cs="宋体"/>
          <w:b/>
          <w:caps w:val="0"/>
          <w:color w:val="auto"/>
          <w:sz w:val="24"/>
          <w:szCs w:val="24"/>
          <w:highlight w:val="none"/>
        </w:rPr>
        <w:instrText xml:space="preserve"> TOC \o "1-2" \u </w:instrText>
      </w:r>
      <w:r>
        <w:rPr>
          <w:rFonts w:hint="eastAsia" w:ascii="宋体" w:hAnsi="宋体" w:eastAsia="宋体" w:cs="宋体"/>
          <w:b/>
          <w:caps w:val="0"/>
          <w:color w:val="auto"/>
          <w:sz w:val="24"/>
          <w:szCs w:val="24"/>
          <w:highlight w:val="none"/>
        </w:rPr>
        <w:fldChar w:fldCharType="separate"/>
      </w:r>
      <w:r>
        <w:rPr>
          <w:rFonts w:hint="eastAsia" w:ascii="宋体" w:hAnsi="宋体" w:eastAsia="宋体" w:cs="宋体"/>
          <w:color w:val="auto"/>
          <w:szCs w:val="30"/>
          <w:highlight w:val="none"/>
        </w:rPr>
        <w:t>第一部分  采购公告</w:t>
      </w:r>
      <w:r>
        <w:rPr>
          <w:color w:val="auto"/>
          <w:highlight w:val="none"/>
        </w:rPr>
        <w:tab/>
      </w:r>
      <w:r>
        <w:rPr>
          <w:color w:val="auto"/>
          <w:highlight w:val="none"/>
        </w:rPr>
        <w:fldChar w:fldCharType="begin"/>
      </w:r>
      <w:r>
        <w:rPr>
          <w:color w:val="auto"/>
          <w:highlight w:val="none"/>
        </w:rPr>
        <w:instrText xml:space="preserve"> PAGEREF _Toc27647 \h </w:instrText>
      </w:r>
      <w:r>
        <w:rPr>
          <w:color w:val="auto"/>
          <w:highlight w:val="none"/>
        </w:rPr>
        <w:fldChar w:fldCharType="separate"/>
      </w:r>
      <w:r>
        <w:rPr>
          <w:color w:val="auto"/>
          <w:highlight w:val="none"/>
        </w:rPr>
        <w:t>3</w:t>
      </w:r>
      <w:r>
        <w:rPr>
          <w:color w:val="auto"/>
          <w:highlight w:val="none"/>
        </w:rPr>
        <w:fldChar w:fldCharType="end"/>
      </w:r>
    </w:p>
    <w:p>
      <w:pPr>
        <w:pStyle w:val="15"/>
        <w:tabs>
          <w:tab w:val="right" w:leader="dot" w:pos="8730"/>
          <w:tab w:val="clear" w:pos="8720"/>
        </w:tabs>
        <w:rPr>
          <w:color w:val="auto"/>
          <w:highlight w:val="none"/>
        </w:rPr>
      </w:pPr>
      <w:r>
        <w:rPr>
          <w:rFonts w:hint="eastAsia" w:ascii="宋体" w:hAnsi="宋体" w:cs="宋体"/>
          <w:color w:val="auto"/>
          <w:szCs w:val="30"/>
          <w:highlight w:val="none"/>
        </w:rPr>
        <w:t>第二部分  投标须知</w:t>
      </w:r>
      <w:r>
        <w:rPr>
          <w:color w:val="auto"/>
          <w:highlight w:val="none"/>
        </w:rPr>
        <w:tab/>
      </w:r>
      <w:r>
        <w:rPr>
          <w:color w:val="auto"/>
          <w:highlight w:val="none"/>
        </w:rPr>
        <w:fldChar w:fldCharType="begin"/>
      </w:r>
      <w:r>
        <w:rPr>
          <w:color w:val="auto"/>
          <w:highlight w:val="none"/>
        </w:rPr>
        <w:instrText xml:space="preserve"> PAGEREF _Toc28655 \h </w:instrText>
      </w:r>
      <w:r>
        <w:rPr>
          <w:color w:val="auto"/>
          <w:highlight w:val="none"/>
        </w:rPr>
        <w:fldChar w:fldCharType="separate"/>
      </w:r>
      <w:r>
        <w:rPr>
          <w:color w:val="auto"/>
          <w:highlight w:val="none"/>
        </w:rPr>
        <w:t>15</w:t>
      </w:r>
      <w:r>
        <w:rPr>
          <w:color w:val="auto"/>
          <w:highlight w:val="none"/>
        </w:rPr>
        <w:fldChar w:fldCharType="end"/>
      </w:r>
    </w:p>
    <w:p>
      <w:pPr>
        <w:pStyle w:val="16"/>
        <w:tabs>
          <w:tab w:val="right" w:leader="dot" w:pos="8730"/>
          <w:tab w:val="clear" w:pos="8720"/>
        </w:tabs>
        <w:ind w:left="0" w:leftChars="0" w:firstLine="418" w:firstLineChars="209"/>
        <w:rPr>
          <w:color w:val="auto"/>
          <w:highlight w:val="none"/>
        </w:rPr>
      </w:pPr>
      <w:r>
        <w:rPr>
          <w:rFonts w:hint="eastAsia" w:ascii="宋体" w:hAnsi="宋体" w:eastAsia="宋体" w:cs="宋体"/>
          <w:color w:val="auto"/>
          <w:szCs w:val="21"/>
          <w:highlight w:val="none"/>
        </w:rPr>
        <w:t>一、总则</w:t>
      </w:r>
      <w:r>
        <w:rPr>
          <w:color w:val="auto"/>
          <w:highlight w:val="none"/>
        </w:rPr>
        <w:tab/>
      </w:r>
      <w:r>
        <w:rPr>
          <w:color w:val="auto"/>
          <w:highlight w:val="none"/>
        </w:rPr>
        <w:fldChar w:fldCharType="begin"/>
      </w:r>
      <w:r>
        <w:rPr>
          <w:color w:val="auto"/>
          <w:highlight w:val="none"/>
        </w:rPr>
        <w:instrText xml:space="preserve"> PAGEREF _Toc22681 \h </w:instrText>
      </w:r>
      <w:r>
        <w:rPr>
          <w:color w:val="auto"/>
          <w:highlight w:val="none"/>
        </w:rPr>
        <w:fldChar w:fldCharType="separate"/>
      </w:r>
      <w:r>
        <w:rPr>
          <w:color w:val="auto"/>
          <w:highlight w:val="none"/>
        </w:rPr>
        <w:t>15</w:t>
      </w:r>
      <w:r>
        <w:rPr>
          <w:color w:val="auto"/>
          <w:highlight w:val="none"/>
        </w:rPr>
        <w:fldChar w:fldCharType="end"/>
      </w:r>
    </w:p>
    <w:p>
      <w:pPr>
        <w:pStyle w:val="16"/>
        <w:tabs>
          <w:tab w:val="right" w:leader="dot" w:pos="8730"/>
          <w:tab w:val="clear" w:pos="8720"/>
        </w:tabs>
        <w:ind w:left="0" w:leftChars="0" w:firstLine="418" w:firstLineChars="209"/>
        <w:rPr>
          <w:color w:val="auto"/>
          <w:highlight w:val="none"/>
        </w:rPr>
      </w:pPr>
      <w:r>
        <w:rPr>
          <w:rFonts w:hint="eastAsia" w:ascii="宋体" w:hAnsi="宋体" w:eastAsia="宋体" w:cs="宋体"/>
          <w:color w:val="auto"/>
          <w:szCs w:val="21"/>
          <w:highlight w:val="none"/>
        </w:rPr>
        <w:t>二、采购文件</w:t>
      </w:r>
      <w:r>
        <w:rPr>
          <w:color w:val="auto"/>
          <w:highlight w:val="none"/>
        </w:rPr>
        <w:tab/>
      </w:r>
      <w:r>
        <w:rPr>
          <w:color w:val="auto"/>
          <w:highlight w:val="none"/>
        </w:rPr>
        <w:fldChar w:fldCharType="begin"/>
      </w:r>
      <w:r>
        <w:rPr>
          <w:color w:val="auto"/>
          <w:highlight w:val="none"/>
        </w:rPr>
        <w:instrText xml:space="preserve"> PAGEREF _Toc5852 \h </w:instrText>
      </w:r>
      <w:r>
        <w:rPr>
          <w:color w:val="auto"/>
          <w:highlight w:val="none"/>
        </w:rPr>
        <w:fldChar w:fldCharType="separate"/>
      </w:r>
      <w:r>
        <w:rPr>
          <w:color w:val="auto"/>
          <w:highlight w:val="none"/>
        </w:rPr>
        <w:t>16</w:t>
      </w:r>
      <w:r>
        <w:rPr>
          <w:color w:val="auto"/>
          <w:highlight w:val="none"/>
        </w:rPr>
        <w:fldChar w:fldCharType="end"/>
      </w:r>
    </w:p>
    <w:p>
      <w:pPr>
        <w:pStyle w:val="16"/>
        <w:tabs>
          <w:tab w:val="right" w:leader="dot" w:pos="8730"/>
          <w:tab w:val="clear" w:pos="8720"/>
        </w:tabs>
        <w:ind w:left="0" w:leftChars="0" w:firstLine="418" w:firstLineChars="209"/>
        <w:rPr>
          <w:color w:val="auto"/>
          <w:highlight w:val="none"/>
        </w:rPr>
      </w:pPr>
      <w:r>
        <w:rPr>
          <w:rFonts w:hint="eastAsia" w:ascii="宋体" w:hAnsi="宋体" w:eastAsia="宋体" w:cs="宋体"/>
          <w:color w:val="auto"/>
          <w:szCs w:val="21"/>
          <w:highlight w:val="none"/>
        </w:rPr>
        <w:t>三、投标文件的编制</w:t>
      </w:r>
      <w:r>
        <w:rPr>
          <w:color w:val="auto"/>
          <w:highlight w:val="none"/>
        </w:rPr>
        <w:tab/>
      </w:r>
      <w:r>
        <w:rPr>
          <w:color w:val="auto"/>
          <w:highlight w:val="none"/>
        </w:rPr>
        <w:fldChar w:fldCharType="begin"/>
      </w:r>
      <w:r>
        <w:rPr>
          <w:color w:val="auto"/>
          <w:highlight w:val="none"/>
        </w:rPr>
        <w:instrText xml:space="preserve"> PAGEREF _Toc12860 \h </w:instrText>
      </w:r>
      <w:r>
        <w:rPr>
          <w:color w:val="auto"/>
          <w:highlight w:val="none"/>
        </w:rPr>
        <w:fldChar w:fldCharType="separate"/>
      </w:r>
      <w:r>
        <w:rPr>
          <w:color w:val="auto"/>
          <w:highlight w:val="none"/>
        </w:rPr>
        <w:t>17</w:t>
      </w:r>
      <w:r>
        <w:rPr>
          <w:color w:val="auto"/>
          <w:highlight w:val="none"/>
        </w:rPr>
        <w:fldChar w:fldCharType="end"/>
      </w:r>
    </w:p>
    <w:p>
      <w:pPr>
        <w:pStyle w:val="16"/>
        <w:tabs>
          <w:tab w:val="right" w:leader="dot" w:pos="8730"/>
          <w:tab w:val="clear" w:pos="8720"/>
        </w:tabs>
        <w:ind w:left="0" w:leftChars="0" w:firstLine="418" w:firstLineChars="209"/>
        <w:rPr>
          <w:color w:val="auto"/>
          <w:highlight w:val="none"/>
        </w:rPr>
      </w:pPr>
      <w:r>
        <w:rPr>
          <w:rFonts w:hint="eastAsia" w:ascii="宋体" w:hAnsi="宋体" w:eastAsia="宋体" w:cs="宋体"/>
          <w:color w:val="auto"/>
          <w:szCs w:val="21"/>
          <w:highlight w:val="none"/>
        </w:rPr>
        <w:t>四、投标文件的递交</w:t>
      </w:r>
      <w:r>
        <w:rPr>
          <w:color w:val="auto"/>
          <w:highlight w:val="none"/>
        </w:rPr>
        <w:tab/>
      </w:r>
      <w:r>
        <w:rPr>
          <w:color w:val="auto"/>
          <w:highlight w:val="none"/>
        </w:rPr>
        <w:fldChar w:fldCharType="begin"/>
      </w:r>
      <w:r>
        <w:rPr>
          <w:color w:val="auto"/>
          <w:highlight w:val="none"/>
        </w:rPr>
        <w:instrText xml:space="preserve"> PAGEREF _Toc24791 \h </w:instrText>
      </w:r>
      <w:r>
        <w:rPr>
          <w:color w:val="auto"/>
          <w:highlight w:val="none"/>
        </w:rPr>
        <w:fldChar w:fldCharType="separate"/>
      </w:r>
      <w:r>
        <w:rPr>
          <w:color w:val="auto"/>
          <w:highlight w:val="none"/>
        </w:rPr>
        <w:t>22</w:t>
      </w:r>
      <w:r>
        <w:rPr>
          <w:color w:val="auto"/>
          <w:highlight w:val="none"/>
        </w:rPr>
        <w:fldChar w:fldCharType="end"/>
      </w:r>
    </w:p>
    <w:p>
      <w:pPr>
        <w:pStyle w:val="16"/>
        <w:tabs>
          <w:tab w:val="right" w:leader="dot" w:pos="8730"/>
          <w:tab w:val="clear" w:pos="8720"/>
        </w:tabs>
        <w:ind w:left="0" w:leftChars="0" w:firstLine="418" w:firstLineChars="209"/>
        <w:rPr>
          <w:color w:val="auto"/>
          <w:highlight w:val="none"/>
        </w:rPr>
      </w:pPr>
      <w:r>
        <w:rPr>
          <w:rFonts w:hint="eastAsia" w:ascii="宋体" w:hAnsi="宋体" w:eastAsia="宋体" w:cs="宋体"/>
          <w:color w:val="auto"/>
          <w:szCs w:val="21"/>
          <w:highlight w:val="none"/>
        </w:rPr>
        <w:t>五、开标与评标</w:t>
      </w:r>
      <w:r>
        <w:rPr>
          <w:color w:val="auto"/>
          <w:highlight w:val="none"/>
        </w:rPr>
        <w:tab/>
      </w:r>
      <w:r>
        <w:rPr>
          <w:color w:val="auto"/>
          <w:highlight w:val="none"/>
        </w:rPr>
        <w:fldChar w:fldCharType="begin"/>
      </w:r>
      <w:r>
        <w:rPr>
          <w:color w:val="auto"/>
          <w:highlight w:val="none"/>
        </w:rPr>
        <w:instrText xml:space="preserve"> PAGEREF _Toc2372 \h </w:instrText>
      </w:r>
      <w:r>
        <w:rPr>
          <w:color w:val="auto"/>
          <w:highlight w:val="none"/>
        </w:rPr>
        <w:fldChar w:fldCharType="separate"/>
      </w:r>
      <w:r>
        <w:rPr>
          <w:color w:val="auto"/>
          <w:highlight w:val="none"/>
        </w:rPr>
        <w:t>23</w:t>
      </w:r>
      <w:r>
        <w:rPr>
          <w:color w:val="auto"/>
          <w:highlight w:val="none"/>
        </w:rPr>
        <w:fldChar w:fldCharType="end"/>
      </w:r>
    </w:p>
    <w:p>
      <w:pPr>
        <w:pStyle w:val="16"/>
        <w:tabs>
          <w:tab w:val="right" w:leader="dot" w:pos="8730"/>
          <w:tab w:val="clear" w:pos="8720"/>
        </w:tabs>
        <w:ind w:left="0" w:leftChars="0" w:firstLine="418" w:firstLineChars="209"/>
        <w:rPr>
          <w:color w:val="auto"/>
          <w:highlight w:val="none"/>
        </w:rPr>
      </w:pPr>
      <w:r>
        <w:rPr>
          <w:rFonts w:hint="eastAsia" w:ascii="宋体" w:hAnsi="宋体" w:eastAsia="宋体" w:cs="宋体"/>
          <w:color w:val="auto"/>
          <w:szCs w:val="21"/>
          <w:highlight w:val="none"/>
        </w:rPr>
        <w:t>六、确定中标人及授予合同</w:t>
      </w:r>
      <w:r>
        <w:rPr>
          <w:color w:val="auto"/>
          <w:highlight w:val="none"/>
        </w:rPr>
        <w:tab/>
      </w:r>
      <w:r>
        <w:rPr>
          <w:color w:val="auto"/>
          <w:highlight w:val="none"/>
        </w:rPr>
        <w:fldChar w:fldCharType="begin"/>
      </w:r>
      <w:r>
        <w:rPr>
          <w:color w:val="auto"/>
          <w:highlight w:val="none"/>
        </w:rPr>
        <w:instrText xml:space="preserve"> PAGEREF _Toc4078 \h </w:instrText>
      </w:r>
      <w:r>
        <w:rPr>
          <w:color w:val="auto"/>
          <w:highlight w:val="none"/>
        </w:rPr>
        <w:fldChar w:fldCharType="separate"/>
      </w:r>
      <w:r>
        <w:rPr>
          <w:color w:val="auto"/>
          <w:highlight w:val="none"/>
        </w:rPr>
        <w:t>24</w:t>
      </w:r>
      <w:r>
        <w:rPr>
          <w:color w:val="auto"/>
          <w:highlight w:val="none"/>
        </w:rPr>
        <w:fldChar w:fldCharType="end"/>
      </w:r>
    </w:p>
    <w:p>
      <w:pPr>
        <w:pStyle w:val="15"/>
        <w:tabs>
          <w:tab w:val="right" w:leader="dot" w:pos="8730"/>
          <w:tab w:val="clear" w:pos="8720"/>
        </w:tabs>
        <w:rPr>
          <w:color w:val="auto"/>
          <w:highlight w:val="none"/>
        </w:rPr>
      </w:pPr>
      <w:r>
        <w:rPr>
          <w:rFonts w:hint="eastAsia" w:ascii="宋体" w:hAnsi="宋体" w:cs="宋体"/>
          <w:color w:val="auto"/>
          <w:szCs w:val="30"/>
          <w:highlight w:val="none"/>
        </w:rPr>
        <w:t xml:space="preserve">第三部分 </w:t>
      </w:r>
      <w:r>
        <w:rPr>
          <w:rFonts w:hint="eastAsia" w:ascii="宋体" w:hAnsi="宋体" w:cs="宋体"/>
          <w:color w:val="auto"/>
          <w:szCs w:val="30"/>
          <w:highlight w:val="none"/>
          <w:lang w:eastAsia="zh-CN"/>
        </w:rPr>
        <w:t>采购</w:t>
      </w:r>
      <w:r>
        <w:rPr>
          <w:rFonts w:hint="eastAsia" w:ascii="宋体" w:hAnsi="宋体" w:cs="宋体"/>
          <w:color w:val="auto"/>
          <w:szCs w:val="30"/>
          <w:highlight w:val="none"/>
        </w:rPr>
        <w:t>需求</w:t>
      </w:r>
      <w:r>
        <w:rPr>
          <w:color w:val="auto"/>
          <w:highlight w:val="none"/>
        </w:rPr>
        <w:tab/>
      </w:r>
      <w:r>
        <w:rPr>
          <w:color w:val="auto"/>
          <w:highlight w:val="none"/>
        </w:rPr>
        <w:fldChar w:fldCharType="begin"/>
      </w:r>
      <w:r>
        <w:rPr>
          <w:color w:val="auto"/>
          <w:highlight w:val="none"/>
        </w:rPr>
        <w:instrText xml:space="preserve"> PAGEREF _Toc26125 \h </w:instrText>
      </w:r>
      <w:r>
        <w:rPr>
          <w:color w:val="auto"/>
          <w:highlight w:val="none"/>
        </w:rPr>
        <w:fldChar w:fldCharType="separate"/>
      </w:r>
      <w:r>
        <w:rPr>
          <w:color w:val="auto"/>
          <w:highlight w:val="none"/>
        </w:rPr>
        <w:t>27</w:t>
      </w:r>
      <w:r>
        <w:rPr>
          <w:color w:val="auto"/>
          <w:highlight w:val="none"/>
        </w:rPr>
        <w:fldChar w:fldCharType="end"/>
      </w:r>
    </w:p>
    <w:p>
      <w:pPr>
        <w:pStyle w:val="16"/>
        <w:tabs>
          <w:tab w:val="right" w:leader="dot" w:pos="8730"/>
          <w:tab w:val="clear" w:pos="8720"/>
        </w:tabs>
        <w:ind w:left="0" w:leftChars="0" w:firstLine="418" w:firstLineChars="209"/>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一、项目背景</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_Toc10128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27</w:t>
      </w:r>
      <w:r>
        <w:rPr>
          <w:rFonts w:hint="eastAsia" w:ascii="宋体" w:hAnsi="宋体" w:eastAsia="宋体" w:cs="宋体"/>
          <w:color w:val="auto"/>
          <w:szCs w:val="21"/>
          <w:highlight w:val="none"/>
        </w:rPr>
        <w:fldChar w:fldCharType="end"/>
      </w:r>
    </w:p>
    <w:p>
      <w:pPr>
        <w:pStyle w:val="16"/>
        <w:tabs>
          <w:tab w:val="right" w:leader="dot" w:pos="8730"/>
          <w:tab w:val="clear" w:pos="8720"/>
        </w:tabs>
        <w:ind w:left="0" w:leftChars="0" w:firstLine="418" w:firstLineChars="209"/>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二、建设目标</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_Toc20696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27</w:t>
      </w:r>
      <w:r>
        <w:rPr>
          <w:rFonts w:hint="eastAsia" w:ascii="宋体" w:hAnsi="宋体" w:eastAsia="宋体" w:cs="宋体"/>
          <w:color w:val="auto"/>
          <w:szCs w:val="21"/>
          <w:highlight w:val="none"/>
        </w:rPr>
        <w:fldChar w:fldCharType="end"/>
      </w:r>
    </w:p>
    <w:p>
      <w:pPr>
        <w:pStyle w:val="16"/>
        <w:tabs>
          <w:tab w:val="right" w:leader="dot" w:pos="8730"/>
          <w:tab w:val="clear" w:pos="8720"/>
        </w:tabs>
        <w:ind w:left="0" w:leftChars="0" w:firstLine="418" w:firstLineChars="209"/>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三</w:t>
      </w:r>
      <w:r>
        <w:rPr>
          <w:rFonts w:hint="eastAsia" w:ascii="宋体" w:hAnsi="宋体" w:eastAsia="宋体" w:cs="宋体"/>
          <w:color w:val="auto"/>
          <w:szCs w:val="21"/>
          <w:highlight w:val="none"/>
        </w:rPr>
        <w:t>、项目内容</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_Toc26529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27</w:t>
      </w:r>
      <w:r>
        <w:rPr>
          <w:rFonts w:hint="eastAsia" w:ascii="宋体" w:hAnsi="宋体" w:eastAsia="宋体" w:cs="宋体"/>
          <w:color w:val="auto"/>
          <w:szCs w:val="21"/>
          <w:highlight w:val="none"/>
        </w:rPr>
        <w:fldChar w:fldCharType="end"/>
      </w:r>
    </w:p>
    <w:p>
      <w:pPr>
        <w:pStyle w:val="16"/>
        <w:tabs>
          <w:tab w:val="right" w:leader="dot" w:pos="8730"/>
          <w:tab w:val="clear" w:pos="8720"/>
        </w:tabs>
        <w:ind w:left="0" w:leftChars="0" w:firstLine="418" w:firstLineChars="209"/>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四、预算管理一体化新增需求</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_Toc25485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28</w:t>
      </w:r>
      <w:r>
        <w:rPr>
          <w:rFonts w:hint="eastAsia" w:ascii="宋体" w:hAnsi="宋体" w:eastAsia="宋体" w:cs="宋体"/>
          <w:color w:val="auto"/>
          <w:szCs w:val="21"/>
          <w:highlight w:val="none"/>
        </w:rPr>
        <w:fldChar w:fldCharType="end"/>
      </w:r>
    </w:p>
    <w:p>
      <w:pPr>
        <w:pStyle w:val="16"/>
        <w:tabs>
          <w:tab w:val="right" w:leader="dot" w:pos="8730"/>
          <w:tab w:val="clear" w:pos="8720"/>
        </w:tabs>
        <w:ind w:left="0" w:leftChars="0" w:firstLine="418" w:firstLineChars="209"/>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五、技术需求</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_Toc3537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34</w:t>
      </w:r>
      <w:r>
        <w:rPr>
          <w:rFonts w:hint="eastAsia" w:ascii="宋体" w:hAnsi="宋体" w:eastAsia="宋体" w:cs="宋体"/>
          <w:color w:val="auto"/>
          <w:szCs w:val="21"/>
          <w:highlight w:val="none"/>
        </w:rPr>
        <w:fldChar w:fldCharType="end"/>
      </w:r>
    </w:p>
    <w:p>
      <w:pPr>
        <w:pStyle w:val="16"/>
        <w:tabs>
          <w:tab w:val="right" w:leader="dot" w:pos="8730"/>
          <w:tab w:val="clear" w:pos="8720"/>
        </w:tabs>
        <w:ind w:left="0" w:leftChars="0" w:firstLine="418" w:firstLineChars="209"/>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六、省级预算管理一体化系统服务需求</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_Toc910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36</w:t>
      </w:r>
      <w:r>
        <w:rPr>
          <w:rFonts w:hint="eastAsia" w:ascii="宋体" w:hAnsi="宋体" w:eastAsia="宋体" w:cs="宋体"/>
          <w:color w:val="auto"/>
          <w:szCs w:val="21"/>
          <w:highlight w:val="none"/>
        </w:rPr>
        <w:fldChar w:fldCharType="end"/>
      </w:r>
    </w:p>
    <w:p>
      <w:pPr>
        <w:pStyle w:val="16"/>
        <w:tabs>
          <w:tab w:val="right" w:leader="dot" w:pos="8730"/>
          <w:tab w:val="clear" w:pos="8720"/>
        </w:tabs>
        <w:ind w:left="0" w:leftChars="0" w:firstLine="418" w:firstLineChars="209"/>
        <w:rPr>
          <w:rFonts w:hint="eastAsia" w:ascii="宋体" w:hAnsi="宋体" w:eastAsia="宋体" w:cs="宋体"/>
          <w:color w:val="auto"/>
          <w:szCs w:val="21"/>
          <w:highlight w:val="none"/>
        </w:rPr>
      </w:pPr>
      <w:r>
        <w:rPr>
          <w:rFonts w:hint="eastAsia" w:ascii="宋体" w:hAnsi="宋体" w:eastAsia="宋体" w:cs="宋体"/>
          <w:color w:val="auto"/>
          <w:szCs w:val="21"/>
          <w:highlight w:val="none"/>
        </w:rPr>
        <w:t>七、市县预算管理一体化服务需求（费用标准）</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_Toc9437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39</w:t>
      </w:r>
      <w:r>
        <w:rPr>
          <w:rFonts w:hint="eastAsia" w:ascii="宋体" w:hAnsi="宋体" w:eastAsia="宋体" w:cs="宋体"/>
          <w:color w:val="auto"/>
          <w:szCs w:val="21"/>
          <w:highlight w:val="none"/>
        </w:rPr>
        <w:fldChar w:fldCharType="end"/>
      </w:r>
    </w:p>
    <w:p>
      <w:pPr>
        <w:pStyle w:val="16"/>
        <w:tabs>
          <w:tab w:val="right" w:leader="dot" w:pos="8730"/>
          <w:tab w:val="clear" w:pos="8720"/>
        </w:tabs>
        <w:ind w:left="0" w:leftChars="0" w:firstLine="418" w:firstLineChars="209"/>
        <w:rPr>
          <w:rFonts w:hint="eastAsia" w:ascii="宋体" w:hAnsi="宋体" w:eastAsia="宋体" w:cs="宋体"/>
          <w:color w:val="auto"/>
          <w:szCs w:val="21"/>
          <w:highlight w:val="none"/>
        </w:rPr>
      </w:pPr>
      <w:r>
        <w:rPr>
          <w:rFonts w:hint="eastAsia" w:ascii="宋体" w:hAnsi="宋体" w:eastAsia="宋体" w:cs="宋体"/>
          <w:color w:val="auto"/>
          <w:szCs w:val="21"/>
          <w:highlight w:val="none"/>
        </w:rPr>
        <w:t>八、系统演示要求</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_Toc20642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42</w:t>
      </w:r>
      <w:r>
        <w:rPr>
          <w:rFonts w:hint="eastAsia" w:ascii="宋体" w:hAnsi="宋体" w:eastAsia="宋体" w:cs="宋体"/>
          <w:color w:val="auto"/>
          <w:szCs w:val="21"/>
          <w:highlight w:val="none"/>
        </w:rPr>
        <w:fldChar w:fldCharType="end"/>
      </w:r>
    </w:p>
    <w:p>
      <w:pPr>
        <w:pStyle w:val="15"/>
        <w:tabs>
          <w:tab w:val="right" w:leader="dot" w:pos="8730"/>
          <w:tab w:val="clear" w:pos="8720"/>
        </w:tabs>
        <w:rPr>
          <w:color w:val="auto"/>
          <w:highlight w:val="none"/>
        </w:rPr>
      </w:pPr>
      <w:r>
        <w:rPr>
          <w:rFonts w:hint="eastAsia" w:ascii="宋体" w:hAnsi="宋体" w:cs="宋体"/>
          <w:color w:val="auto"/>
          <w:szCs w:val="30"/>
          <w:highlight w:val="none"/>
        </w:rPr>
        <w:t>第四部分  合同条款</w:t>
      </w:r>
      <w:r>
        <w:rPr>
          <w:color w:val="auto"/>
          <w:highlight w:val="none"/>
        </w:rPr>
        <w:tab/>
      </w:r>
      <w:r>
        <w:rPr>
          <w:color w:val="auto"/>
          <w:highlight w:val="none"/>
        </w:rPr>
        <w:fldChar w:fldCharType="begin"/>
      </w:r>
      <w:r>
        <w:rPr>
          <w:color w:val="auto"/>
          <w:highlight w:val="none"/>
        </w:rPr>
        <w:instrText xml:space="preserve"> PAGEREF _Toc17883 \h </w:instrText>
      </w:r>
      <w:r>
        <w:rPr>
          <w:color w:val="auto"/>
          <w:highlight w:val="none"/>
        </w:rPr>
        <w:fldChar w:fldCharType="separate"/>
      </w:r>
      <w:r>
        <w:rPr>
          <w:color w:val="auto"/>
          <w:highlight w:val="none"/>
        </w:rPr>
        <w:t>44</w:t>
      </w:r>
      <w:r>
        <w:rPr>
          <w:color w:val="auto"/>
          <w:highlight w:val="none"/>
        </w:rPr>
        <w:fldChar w:fldCharType="end"/>
      </w:r>
    </w:p>
    <w:p>
      <w:pPr>
        <w:pStyle w:val="15"/>
        <w:tabs>
          <w:tab w:val="right" w:leader="dot" w:pos="8730"/>
          <w:tab w:val="clear" w:pos="8720"/>
        </w:tabs>
        <w:rPr>
          <w:color w:val="auto"/>
          <w:highlight w:val="none"/>
        </w:rPr>
      </w:pPr>
      <w:r>
        <w:rPr>
          <w:rFonts w:hint="eastAsia" w:ascii="宋体" w:hAnsi="宋体" w:cs="宋体"/>
          <w:color w:val="auto"/>
          <w:szCs w:val="30"/>
          <w:highlight w:val="none"/>
        </w:rPr>
        <w:t>第五部分  评标办法（综合评分法）</w:t>
      </w:r>
      <w:r>
        <w:rPr>
          <w:color w:val="auto"/>
          <w:highlight w:val="none"/>
        </w:rPr>
        <w:tab/>
      </w:r>
      <w:r>
        <w:rPr>
          <w:color w:val="auto"/>
          <w:highlight w:val="none"/>
        </w:rPr>
        <w:fldChar w:fldCharType="begin"/>
      </w:r>
      <w:r>
        <w:rPr>
          <w:color w:val="auto"/>
          <w:highlight w:val="none"/>
        </w:rPr>
        <w:instrText xml:space="preserve"> PAGEREF _Toc30435 \h </w:instrText>
      </w:r>
      <w:r>
        <w:rPr>
          <w:color w:val="auto"/>
          <w:highlight w:val="none"/>
        </w:rPr>
        <w:fldChar w:fldCharType="separate"/>
      </w:r>
      <w:r>
        <w:rPr>
          <w:color w:val="auto"/>
          <w:highlight w:val="none"/>
        </w:rPr>
        <w:t>49</w:t>
      </w:r>
      <w:r>
        <w:rPr>
          <w:color w:val="auto"/>
          <w:highlight w:val="none"/>
        </w:rPr>
        <w:fldChar w:fldCharType="end"/>
      </w:r>
    </w:p>
    <w:p>
      <w:pPr>
        <w:pStyle w:val="16"/>
        <w:tabs>
          <w:tab w:val="right" w:leader="dot" w:pos="8730"/>
          <w:tab w:val="clear" w:pos="8720"/>
        </w:tabs>
        <w:ind w:left="0" w:leftChars="0" w:firstLine="418" w:firstLineChars="209"/>
        <w:rPr>
          <w:color w:val="auto"/>
          <w:highlight w:val="none"/>
        </w:rPr>
      </w:pPr>
      <w:r>
        <w:rPr>
          <w:rFonts w:hint="eastAsia" w:ascii="宋体" w:hAnsi="宋体" w:eastAsia="宋体" w:cs="宋体"/>
          <w:color w:val="auto"/>
          <w:szCs w:val="21"/>
          <w:highlight w:val="none"/>
        </w:rPr>
        <w:t>一、总则</w:t>
      </w:r>
      <w:r>
        <w:rPr>
          <w:color w:val="auto"/>
          <w:highlight w:val="none"/>
        </w:rPr>
        <w:tab/>
      </w:r>
      <w:r>
        <w:rPr>
          <w:color w:val="auto"/>
          <w:highlight w:val="none"/>
        </w:rPr>
        <w:fldChar w:fldCharType="begin"/>
      </w:r>
      <w:r>
        <w:rPr>
          <w:color w:val="auto"/>
          <w:highlight w:val="none"/>
        </w:rPr>
        <w:instrText xml:space="preserve"> PAGEREF _Toc6433 \h </w:instrText>
      </w:r>
      <w:r>
        <w:rPr>
          <w:color w:val="auto"/>
          <w:highlight w:val="none"/>
        </w:rPr>
        <w:fldChar w:fldCharType="separate"/>
      </w:r>
      <w:r>
        <w:rPr>
          <w:color w:val="auto"/>
          <w:highlight w:val="none"/>
        </w:rPr>
        <w:t>49</w:t>
      </w:r>
      <w:r>
        <w:rPr>
          <w:color w:val="auto"/>
          <w:highlight w:val="none"/>
        </w:rPr>
        <w:fldChar w:fldCharType="end"/>
      </w:r>
    </w:p>
    <w:p>
      <w:pPr>
        <w:pStyle w:val="16"/>
        <w:tabs>
          <w:tab w:val="right" w:leader="dot" w:pos="8730"/>
          <w:tab w:val="clear" w:pos="8720"/>
        </w:tabs>
        <w:ind w:left="0" w:leftChars="0" w:firstLine="418" w:firstLineChars="209"/>
        <w:rPr>
          <w:color w:val="auto"/>
          <w:highlight w:val="none"/>
        </w:rPr>
      </w:pPr>
      <w:r>
        <w:rPr>
          <w:rFonts w:hint="eastAsia" w:ascii="宋体" w:hAnsi="宋体" w:eastAsia="宋体" w:cs="宋体"/>
          <w:color w:val="auto"/>
          <w:szCs w:val="21"/>
          <w:highlight w:val="none"/>
        </w:rPr>
        <w:t>二、评标组织</w:t>
      </w:r>
      <w:r>
        <w:rPr>
          <w:color w:val="auto"/>
          <w:highlight w:val="none"/>
        </w:rPr>
        <w:tab/>
      </w:r>
      <w:r>
        <w:rPr>
          <w:color w:val="auto"/>
          <w:highlight w:val="none"/>
        </w:rPr>
        <w:fldChar w:fldCharType="begin"/>
      </w:r>
      <w:r>
        <w:rPr>
          <w:color w:val="auto"/>
          <w:highlight w:val="none"/>
        </w:rPr>
        <w:instrText xml:space="preserve"> PAGEREF _Toc7187 \h </w:instrText>
      </w:r>
      <w:r>
        <w:rPr>
          <w:color w:val="auto"/>
          <w:highlight w:val="none"/>
        </w:rPr>
        <w:fldChar w:fldCharType="separate"/>
      </w:r>
      <w:r>
        <w:rPr>
          <w:color w:val="auto"/>
          <w:highlight w:val="none"/>
        </w:rPr>
        <w:t>49</w:t>
      </w:r>
      <w:r>
        <w:rPr>
          <w:color w:val="auto"/>
          <w:highlight w:val="none"/>
        </w:rPr>
        <w:fldChar w:fldCharType="end"/>
      </w:r>
    </w:p>
    <w:p>
      <w:pPr>
        <w:pStyle w:val="16"/>
        <w:tabs>
          <w:tab w:val="right" w:leader="dot" w:pos="8730"/>
          <w:tab w:val="clear" w:pos="8720"/>
        </w:tabs>
        <w:ind w:left="0" w:leftChars="0" w:firstLine="418" w:firstLineChars="209"/>
        <w:rPr>
          <w:color w:val="auto"/>
          <w:highlight w:val="none"/>
        </w:rPr>
      </w:pPr>
      <w:r>
        <w:rPr>
          <w:rFonts w:hint="eastAsia" w:ascii="宋体" w:hAnsi="宋体" w:eastAsia="宋体" w:cs="宋体"/>
          <w:color w:val="auto"/>
          <w:szCs w:val="21"/>
          <w:highlight w:val="none"/>
        </w:rPr>
        <w:t>三、评标纪律</w:t>
      </w:r>
      <w:r>
        <w:rPr>
          <w:color w:val="auto"/>
          <w:highlight w:val="none"/>
        </w:rPr>
        <w:tab/>
      </w:r>
      <w:r>
        <w:rPr>
          <w:color w:val="auto"/>
          <w:highlight w:val="none"/>
        </w:rPr>
        <w:fldChar w:fldCharType="begin"/>
      </w:r>
      <w:r>
        <w:rPr>
          <w:color w:val="auto"/>
          <w:highlight w:val="none"/>
        </w:rPr>
        <w:instrText xml:space="preserve"> PAGEREF _Toc31018 \h </w:instrText>
      </w:r>
      <w:r>
        <w:rPr>
          <w:color w:val="auto"/>
          <w:highlight w:val="none"/>
        </w:rPr>
        <w:fldChar w:fldCharType="separate"/>
      </w:r>
      <w:r>
        <w:rPr>
          <w:color w:val="auto"/>
          <w:highlight w:val="none"/>
        </w:rPr>
        <w:t>49</w:t>
      </w:r>
      <w:r>
        <w:rPr>
          <w:color w:val="auto"/>
          <w:highlight w:val="none"/>
        </w:rPr>
        <w:fldChar w:fldCharType="end"/>
      </w:r>
    </w:p>
    <w:p>
      <w:pPr>
        <w:pStyle w:val="16"/>
        <w:tabs>
          <w:tab w:val="right" w:leader="dot" w:pos="8730"/>
          <w:tab w:val="clear" w:pos="8720"/>
        </w:tabs>
        <w:ind w:left="0" w:leftChars="0" w:firstLine="418" w:firstLineChars="209"/>
        <w:rPr>
          <w:color w:val="auto"/>
          <w:highlight w:val="none"/>
        </w:rPr>
      </w:pPr>
      <w:r>
        <w:rPr>
          <w:rFonts w:hint="eastAsia" w:ascii="宋体" w:hAnsi="宋体" w:eastAsia="宋体" w:cs="宋体"/>
          <w:color w:val="auto"/>
          <w:szCs w:val="21"/>
          <w:highlight w:val="none"/>
        </w:rPr>
        <w:t>四、评标程序</w:t>
      </w:r>
      <w:r>
        <w:rPr>
          <w:color w:val="auto"/>
          <w:highlight w:val="none"/>
        </w:rPr>
        <w:tab/>
      </w:r>
      <w:r>
        <w:rPr>
          <w:color w:val="auto"/>
          <w:highlight w:val="none"/>
        </w:rPr>
        <w:fldChar w:fldCharType="begin"/>
      </w:r>
      <w:r>
        <w:rPr>
          <w:color w:val="auto"/>
          <w:highlight w:val="none"/>
        </w:rPr>
        <w:instrText xml:space="preserve"> PAGEREF _Toc1872 \h </w:instrText>
      </w:r>
      <w:r>
        <w:rPr>
          <w:color w:val="auto"/>
          <w:highlight w:val="none"/>
        </w:rPr>
        <w:fldChar w:fldCharType="separate"/>
      </w:r>
      <w:r>
        <w:rPr>
          <w:color w:val="auto"/>
          <w:highlight w:val="none"/>
        </w:rPr>
        <w:t>50</w:t>
      </w:r>
      <w:r>
        <w:rPr>
          <w:color w:val="auto"/>
          <w:highlight w:val="none"/>
        </w:rPr>
        <w:fldChar w:fldCharType="end"/>
      </w:r>
    </w:p>
    <w:p>
      <w:pPr>
        <w:pStyle w:val="16"/>
        <w:tabs>
          <w:tab w:val="right" w:leader="dot" w:pos="8730"/>
          <w:tab w:val="clear" w:pos="8720"/>
        </w:tabs>
        <w:ind w:left="0" w:leftChars="0" w:firstLine="418" w:firstLineChars="209"/>
        <w:rPr>
          <w:color w:val="auto"/>
          <w:highlight w:val="none"/>
        </w:rPr>
      </w:pPr>
      <w:r>
        <w:rPr>
          <w:rFonts w:hint="eastAsia" w:ascii="宋体" w:hAnsi="宋体" w:eastAsia="宋体" w:cs="宋体"/>
          <w:color w:val="auto"/>
          <w:szCs w:val="21"/>
          <w:highlight w:val="none"/>
        </w:rPr>
        <w:t>五、评标细则及标准</w:t>
      </w:r>
      <w:r>
        <w:rPr>
          <w:color w:val="auto"/>
          <w:highlight w:val="none"/>
        </w:rPr>
        <w:tab/>
      </w:r>
      <w:r>
        <w:rPr>
          <w:color w:val="auto"/>
          <w:highlight w:val="none"/>
        </w:rPr>
        <w:fldChar w:fldCharType="begin"/>
      </w:r>
      <w:r>
        <w:rPr>
          <w:color w:val="auto"/>
          <w:highlight w:val="none"/>
        </w:rPr>
        <w:instrText xml:space="preserve"> PAGEREF _Toc9995 \h </w:instrText>
      </w:r>
      <w:r>
        <w:rPr>
          <w:color w:val="auto"/>
          <w:highlight w:val="none"/>
        </w:rPr>
        <w:fldChar w:fldCharType="separate"/>
      </w:r>
      <w:r>
        <w:rPr>
          <w:color w:val="auto"/>
          <w:highlight w:val="none"/>
        </w:rPr>
        <w:t>53</w:t>
      </w:r>
      <w:r>
        <w:rPr>
          <w:color w:val="auto"/>
          <w:highlight w:val="none"/>
        </w:rPr>
        <w:fldChar w:fldCharType="end"/>
      </w:r>
    </w:p>
    <w:p>
      <w:pPr>
        <w:pStyle w:val="15"/>
        <w:tabs>
          <w:tab w:val="right" w:leader="dot" w:pos="8730"/>
          <w:tab w:val="clear" w:pos="8720"/>
        </w:tabs>
        <w:rPr>
          <w:color w:val="auto"/>
          <w:highlight w:val="none"/>
        </w:rPr>
      </w:pPr>
      <w:r>
        <w:rPr>
          <w:rFonts w:hint="eastAsia" w:ascii="宋体" w:hAnsi="宋体" w:cs="宋体"/>
          <w:color w:val="auto"/>
          <w:szCs w:val="30"/>
          <w:highlight w:val="none"/>
        </w:rPr>
        <w:t>第六部分  投标文件格式</w:t>
      </w:r>
      <w:r>
        <w:rPr>
          <w:color w:val="auto"/>
          <w:highlight w:val="none"/>
        </w:rPr>
        <w:tab/>
      </w:r>
      <w:r>
        <w:rPr>
          <w:color w:val="auto"/>
          <w:highlight w:val="none"/>
        </w:rPr>
        <w:fldChar w:fldCharType="begin"/>
      </w:r>
      <w:r>
        <w:rPr>
          <w:color w:val="auto"/>
          <w:highlight w:val="none"/>
        </w:rPr>
        <w:instrText xml:space="preserve"> PAGEREF _Toc31237 \h </w:instrText>
      </w:r>
      <w:r>
        <w:rPr>
          <w:color w:val="auto"/>
          <w:highlight w:val="none"/>
        </w:rPr>
        <w:fldChar w:fldCharType="separate"/>
      </w:r>
      <w:r>
        <w:rPr>
          <w:color w:val="auto"/>
          <w:highlight w:val="none"/>
        </w:rPr>
        <w:t>59</w:t>
      </w:r>
      <w:r>
        <w:rPr>
          <w:color w:val="auto"/>
          <w:highlight w:val="none"/>
        </w:rPr>
        <w:fldChar w:fldCharType="end"/>
      </w:r>
    </w:p>
    <w:p>
      <w:pPr>
        <w:pStyle w:val="16"/>
        <w:tabs>
          <w:tab w:val="right" w:leader="dot" w:pos="8730"/>
          <w:tab w:val="clear" w:pos="8720"/>
        </w:tabs>
        <w:ind w:left="0" w:leftChars="0" w:firstLine="418" w:firstLineChars="209"/>
        <w:rPr>
          <w:color w:val="auto"/>
          <w:highlight w:val="none"/>
        </w:rPr>
      </w:pPr>
      <w:r>
        <w:rPr>
          <w:rFonts w:hint="eastAsia" w:ascii="宋体" w:hAnsi="宋体" w:cs="宋体"/>
          <w:bCs/>
          <w:snapToGrid w:val="0"/>
          <w:color w:val="auto"/>
          <w:kern w:val="0"/>
          <w:szCs w:val="21"/>
          <w:highlight w:val="none"/>
        </w:rPr>
        <w:t>一、投标文件封面（格式供参考）</w:t>
      </w:r>
      <w:r>
        <w:rPr>
          <w:color w:val="auto"/>
          <w:highlight w:val="none"/>
        </w:rPr>
        <w:tab/>
      </w:r>
      <w:r>
        <w:rPr>
          <w:color w:val="auto"/>
          <w:highlight w:val="none"/>
        </w:rPr>
        <w:fldChar w:fldCharType="begin"/>
      </w:r>
      <w:r>
        <w:rPr>
          <w:color w:val="auto"/>
          <w:highlight w:val="none"/>
        </w:rPr>
        <w:instrText xml:space="preserve"> PAGEREF _Toc30853 \h </w:instrText>
      </w:r>
      <w:r>
        <w:rPr>
          <w:color w:val="auto"/>
          <w:highlight w:val="none"/>
        </w:rPr>
        <w:fldChar w:fldCharType="separate"/>
      </w:r>
      <w:r>
        <w:rPr>
          <w:color w:val="auto"/>
          <w:highlight w:val="none"/>
        </w:rPr>
        <w:t>60</w:t>
      </w:r>
      <w:r>
        <w:rPr>
          <w:color w:val="auto"/>
          <w:highlight w:val="none"/>
        </w:rPr>
        <w:fldChar w:fldCharType="end"/>
      </w:r>
    </w:p>
    <w:p>
      <w:pPr>
        <w:pStyle w:val="16"/>
        <w:tabs>
          <w:tab w:val="right" w:leader="dot" w:pos="8730"/>
          <w:tab w:val="clear" w:pos="8720"/>
        </w:tabs>
        <w:ind w:left="0" w:leftChars="0" w:firstLine="418" w:firstLineChars="209"/>
        <w:rPr>
          <w:color w:val="auto"/>
          <w:highlight w:val="none"/>
        </w:rPr>
      </w:pPr>
      <w:r>
        <w:rPr>
          <w:rFonts w:hint="eastAsia" w:ascii="宋体" w:hAnsi="宋体" w:cs="宋体"/>
          <w:bCs/>
          <w:color w:val="auto"/>
          <w:highlight w:val="none"/>
          <w:lang w:val="en-US" w:eastAsia="zh-CN"/>
        </w:rPr>
        <w:t>二</w:t>
      </w:r>
      <w:r>
        <w:rPr>
          <w:rFonts w:hint="eastAsia" w:ascii="宋体" w:hAnsi="宋体" w:cs="宋体"/>
          <w:bCs/>
          <w:color w:val="auto"/>
          <w:highlight w:val="none"/>
        </w:rPr>
        <w:t>、</w:t>
      </w:r>
      <w:r>
        <w:rPr>
          <w:rFonts w:hint="eastAsia" w:ascii="宋体" w:hAnsi="宋体" w:cs="宋体"/>
          <w:bCs/>
          <w:color w:val="auto"/>
          <w:highlight w:val="none"/>
          <w:lang w:eastAsia="zh-CN"/>
        </w:rPr>
        <w:t>资格响应文件</w:t>
      </w:r>
      <w:r>
        <w:rPr>
          <w:color w:val="auto"/>
          <w:highlight w:val="none"/>
        </w:rPr>
        <w:tab/>
      </w:r>
      <w:r>
        <w:rPr>
          <w:color w:val="auto"/>
          <w:highlight w:val="none"/>
        </w:rPr>
        <w:fldChar w:fldCharType="begin"/>
      </w:r>
      <w:r>
        <w:rPr>
          <w:color w:val="auto"/>
          <w:highlight w:val="none"/>
        </w:rPr>
        <w:instrText xml:space="preserve"> PAGEREF _Toc11494 \h </w:instrText>
      </w:r>
      <w:r>
        <w:rPr>
          <w:color w:val="auto"/>
          <w:highlight w:val="none"/>
        </w:rPr>
        <w:fldChar w:fldCharType="separate"/>
      </w:r>
      <w:r>
        <w:rPr>
          <w:color w:val="auto"/>
          <w:highlight w:val="none"/>
        </w:rPr>
        <w:t>62</w:t>
      </w:r>
      <w:r>
        <w:rPr>
          <w:color w:val="auto"/>
          <w:highlight w:val="none"/>
        </w:rPr>
        <w:fldChar w:fldCharType="end"/>
      </w:r>
    </w:p>
    <w:p>
      <w:pPr>
        <w:pStyle w:val="16"/>
        <w:tabs>
          <w:tab w:val="right" w:leader="dot" w:pos="8730"/>
          <w:tab w:val="clear" w:pos="8720"/>
        </w:tabs>
        <w:ind w:left="0" w:leftChars="0" w:firstLine="418" w:firstLineChars="209"/>
        <w:rPr>
          <w:color w:val="auto"/>
          <w:highlight w:val="none"/>
        </w:rPr>
      </w:pPr>
      <w:r>
        <w:rPr>
          <w:rFonts w:hint="eastAsia" w:ascii="宋体" w:hAnsi="宋体" w:eastAsia="宋体" w:cs="宋体"/>
          <w:bCs/>
          <w:color w:val="auto"/>
          <w:highlight w:val="none"/>
          <w:lang w:val="en-US" w:eastAsia="zh-CN"/>
        </w:rPr>
        <w:t>三、商务技术响应文件部分格式</w:t>
      </w:r>
      <w:r>
        <w:rPr>
          <w:color w:val="auto"/>
          <w:highlight w:val="none"/>
        </w:rPr>
        <w:tab/>
      </w:r>
      <w:r>
        <w:rPr>
          <w:color w:val="auto"/>
          <w:highlight w:val="none"/>
        </w:rPr>
        <w:fldChar w:fldCharType="begin"/>
      </w:r>
      <w:r>
        <w:rPr>
          <w:color w:val="auto"/>
          <w:highlight w:val="none"/>
        </w:rPr>
        <w:instrText xml:space="preserve"> PAGEREF _Toc32146 \h </w:instrText>
      </w:r>
      <w:r>
        <w:rPr>
          <w:color w:val="auto"/>
          <w:highlight w:val="none"/>
        </w:rPr>
        <w:fldChar w:fldCharType="separate"/>
      </w:r>
      <w:r>
        <w:rPr>
          <w:color w:val="auto"/>
          <w:highlight w:val="none"/>
        </w:rPr>
        <w:t>68</w:t>
      </w:r>
      <w:r>
        <w:rPr>
          <w:color w:val="auto"/>
          <w:highlight w:val="none"/>
        </w:rPr>
        <w:fldChar w:fldCharType="end"/>
      </w:r>
    </w:p>
    <w:p>
      <w:pPr>
        <w:pStyle w:val="16"/>
        <w:tabs>
          <w:tab w:val="right" w:leader="dot" w:pos="8730"/>
          <w:tab w:val="clear" w:pos="8720"/>
        </w:tabs>
        <w:ind w:left="0" w:leftChars="0" w:firstLine="418" w:firstLineChars="209"/>
        <w:rPr>
          <w:color w:val="auto"/>
          <w:highlight w:val="none"/>
        </w:rPr>
      </w:pPr>
      <w:r>
        <w:rPr>
          <w:rFonts w:hint="eastAsia" w:ascii="宋体" w:hAnsi="宋体" w:eastAsia="宋体" w:cs="宋体"/>
          <w:bCs/>
          <w:color w:val="auto"/>
          <w:highlight w:val="none"/>
          <w:lang w:val="en-US" w:eastAsia="zh-CN"/>
        </w:rPr>
        <w:t>四、报价响应文件部分格式</w:t>
      </w:r>
      <w:r>
        <w:rPr>
          <w:color w:val="auto"/>
          <w:highlight w:val="none"/>
        </w:rPr>
        <w:tab/>
      </w:r>
      <w:r>
        <w:rPr>
          <w:color w:val="auto"/>
          <w:highlight w:val="none"/>
        </w:rPr>
        <w:fldChar w:fldCharType="begin"/>
      </w:r>
      <w:r>
        <w:rPr>
          <w:color w:val="auto"/>
          <w:highlight w:val="none"/>
        </w:rPr>
        <w:instrText xml:space="preserve"> PAGEREF _Toc2517 \h </w:instrText>
      </w:r>
      <w:r>
        <w:rPr>
          <w:color w:val="auto"/>
          <w:highlight w:val="none"/>
        </w:rPr>
        <w:fldChar w:fldCharType="separate"/>
      </w:r>
      <w:r>
        <w:rPr>
          <w:color w:val="auto"/>
          <w:highlight w:val="none"/>
        </w:rPr>
        <w:t>80</w:t>
      </w:r>
      <w:r>
        <w:rPr>
          <w:color w:val="auto"/>
          <w:highlight w:val="none"/>
        </w:rPr>
        <w:fldChar w:fldCharType="end"/>
      </w:r>
    </w:p>
    <w:p>
      <w:pPr>
        <w:pStyle w:val="15"/>
        <w:tabs>
          <w:tab w:val="right" w:leader="dot" w:pos="8730"/>
          <w:tab w:val="clear" w:pos="8720"/>
        </w:tabs>
        <w:rPr>
          <w:color w:val="auto"/>
          <w:highlight w:val="none"/>
        </w:rPr>
      </w:pPr>
      <w:r>
        <w:rPr>
          <w:rFonts w:hint="eastAsia" w:ascii="宋体" w:hAnsi="宋体" w:cs="宋体"/>
          <w:color w:val="auto"/>
          <w:szCs w:val="30"/>
          <w:highlight w:val="none"/>
        </w:rPr>
        <w:t>第七部分   其它</w:t>
      </w:r>
      <w:r>
        <w:rPr>
          <w:color w:val="auto"/>
          <w:highlight w:val="none"/>
        </w:rPr>
        <w:tab/>
      </w:r>
      <w:r>
        <w:rPr>
          <w:color w:val="auto"/>
          <w:highlight w:val="none"/>
        </w:rPr>
        <w:fldChar w:fldCharType="begin"/>
      </w:r>
      <w:r>
        <w:rPr>
          <w:color w:val="auto"/>
          <w:highlight w:val="none"/>
        </w:rPr>
        <w:instrText xml:space="preserve"> PAGEREF _Toc21291 \h </w:instrText>
      </w:r>
      <w:r>
        <w:rPr>
          <w:color w:val="auto"/>
          <w:highlight w:val="none"/>
        </w:rPr>
        <w:fldChar w:fldCharType="separate"/>
      </w:r>
      <w:r>
        <w:rPr>
          <w:color w:val="auto"/>
          <w:highlight w:val="none"/>
        </w:rPr>
        <w:t>89</w:t>
      </w:r>
      <w:r>
        <w:rPr>
          <w:color w:val="auto"/>
          <w:highlight w:val="none"/>
        </w:rPr>
        <w:fldChar w:fldCharType="end"/>
      </w:r>
    </w:p>
    <w:p>
      <w:pPr>
        <w:keepNext w:val="0"/>
        <w:keepLines w:val="0"/>
        <w:pageBreakBefore w:val="0"/>
        <w:widowControl w:val="0"/>
        <w:kinsoku/>
        <w:wordWrap/>
        <w:overflowPunct/>
        <w:topLinePunct w:val="0"/>
        <w:autoSpaceDE/>
        <w:autoSpaceDN/>
        <w:bidi w:val="0"/>
        <w:spacing w:line="360" w:lineRule="auto"/>
        <w:jc w:val="both"/>
        <w:textAlignment w:val="auto"/>
        <w:rPr>
          <w:rFonts w:hint="eastAsia"/>
          <w:color w:val="auto"/>
          <w:sz w:val="21"/>
          <w:szCs w:val="21"/>
          <w:highlight w:val="none"/>
          <w:lang w:val="en-US" w:eastAsia="zh-CN"/>
        </w:rPr>
        <w:sectPr>
          <w:headerReference r:id="rId3" w:type="default"/>
          <w:footerReference r:id="rId4" w:type="default"/>
          <w:pgSz w:w="11906" w:h="16838"/>
          <w:pgMar w:top="1418" w:right="1588" w:bottom="1418" w:left="1588" w:header="851" w:footer="992" w:gutter="0"/>
          <w:pgBorders>
            <w:top w:val="none" w:sz="0" w:space="0"/>
            <w:left w:val="none" w:sz="0" w:space="0"/>
            <w:bottom w:val="none" w:sz="0" w:space="0"/>
            <w:right w:val="none" w:sz="0" w:space="0"/>
          </w:pgBorders>
          <w:pgNumType w:start="0"/>
          <w:cols w:space="720" w:num="1"/>
          <w:titlePg/>
          <w:docGrid w:type="lines" w:linePitch="312" w:charSpace="0"/>
        </w:sectPr>
      </w:pPr>
      <w:r>
        <w:rPr>
          <w:rFonts w:hint="eastAsia" w:ascii="宋体" w:hAnsi="宋体" w:eastAsia="宋体" w:cs="宋体"/>
          <w:color w:val="auto"/>
          <w:szCs w:val="24"/>
          <w:highlight w:val="none"/>
        </w:rPr>
        <w:fldChar w:fldCharType="end"/>
      </w:r>
    </w:p>
    <w:p>
      <w:pPr>
        <w:adjustRightInd w:val="0"/>
        <w:snapToGrid w:val="0"/>
        <w:spacing w:before="120" w:beforeLines="50" w:after="120" w:afterLines="50" w:line="360" w:lineRule="auto"/>
        <w:jc w:val="center"/>
        <w:outlineLvl w:val="0"/>
        <w:rPr>
          <w:rFonts w:hint="eastAsia" w:ascii="宋体" w:hAnsi="宋体" w:eastAsia="宋体" w:cs="宋体"/>
          <w:b/>
          <w:color w:val="auto"/>
          <w:sz w:val="30"/>
          <w:szCs w:val="30"/>
          <w:highlight w:val="none"/>
        </w:rPr>
      </w:pPr>
      <w:bookmarkStart w:id="0" w:name="_Toc21665"/>
      <w:bookmarkStart w:id="1" w:name="_Toc29840"/>
      <w:bookmarkStart w:id="2" w:name="_Toc27647"/>
      <w:bookmarkStart w:id="3" w:name="_Toc13674"/>
      <w:r>
        <w:rPr>
          <w:rFonts w:hint="eastAsia" w:ascii="宋体" w:hAnsi="宋体" w:eastAsia="宋体" w:cs="宋体"/>
          <w:b/>
          <w:color w:val="auto"/>
          <w:sz w:val="30"/>
          <w:szCs w:val="30"/>
          <w:highlight w:val="none"/>
        </w:rPr>
        <w:t>第一部分  采购公告</w:t>
      </w:r>
      <w:bookmarkEnd w:id="0"/>
      <w:bookmarkEnd w:id="1"/>
      <w:bookmarkEnd w:id="2"/>
      <w:bookmarkEnd w:id="3"/>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8942"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both"/>
              <w:textAlignment w:val="auto"/>
              <w:rPr>
                <w:rFonts w:ascii="宋体" w:hAnsi="宋体" w:eastAsia="宋体" w:cs="Arial"/>
                <w:b w:val="0"/>
                <w:bCs w:val="0"/>
                <w:color w:val="auto"/>
                <w:sz w:val="21"/>
                <w:szCs w:val="21"/>
                <w:highlight w:val="none"/>
              </w:rPr>
            </w:pPr>
            <w:r>
              <w:rPr>
                <w:rFonts w:hint="eastAsia" w:ascii="宋体" w:hAnsi="宋体" w:eastAsia="宋体" w:cs="Arial"/>
                <w:b w:val="0"/>
                <w:bCs w:val="0"/>
                <w:color w:val="auto"/>
                <w:sz w:val="21"/>
                <w:szCs w:val="21"/>
                <w:highlight w:val="none"/>
              </w:rPr>
              <w:t>项目概况</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eastAsia="宋体" w:cs="Arial"/>
                <w:color w:val="auto"/>
                <w:szCs w:val="21"/>
                <w:highlight w:val="none"/>
                <w:vertAlign w:val="baseline"/>
              </w:rPr>
            </w:pPr>
            <w:r>
              <w:rPr>
                <w:rFonts w:hint="eastAsia" w:ascii="宋体" w:hAnsi="宋体" w:eastAsia="宋体" w:cs="Arial"/>
                <w:b w:val="0"/>
                <w:bCs w:val="0"/>
                <w:color w:val="auto"/>
                <w:sz w:val="21"/>
                <w:szCs w:val="21"/>
                <w:highlight w:val="none"/>
              </w:rPr>
              <w:t>   </w:t>
            </w:r>
            <w:r>
              <w:rPr>
                <w:rFonts w:hint="eastAsia" w:ascii="宋体" w:hAnsi="宋体" w:eastAsia="宋体" w:cs="Arial"/>
                <w:b w:val="0"/>
                <w:bCs w:val="0"/>
                <w:color w:val="auto"/>
                <w:sz w:val="21"/>
                <w:szCs w:val="21"/>
                <w:highlight w:val="none"/>
                <w:u w:val="single"/>
              </w:rPr>
              <w:t> </w:t>
            </w:r>
            <w:r>
              <w:rPr>
                <w:rFonts w:hint="eastAsia" w:ascii="宋体" w:hAnsi="宋体" w:cs="Arial"/>
                <w:b w:val="0"/>
                <w:bCs w:val="0"/>
                <w:color w:val="auto"/>
                <w:sz w:val="21"/>
                <w:szCs w:val="21"/>
                <w:highlight w:val="none"/>
                <w:u w:val="single"/>
                <w:lang w:eastAsia="zh-CN"/>
              </w:rPr>
              <w:t>浙江省预算管理一体化项目</w:t>
            </w:r>
            <w:r>
              <w:rPr>
                <w:rFonts w:hint="eastAsia" w:ascii="宋体" w:hAnsi="宋体" w:eastAsia="宋体" w:cs="Arial"/>
                <w:b w:val="0"/>
                <w:bCs w:val="0"/>
                <w:color w:val="auto"/>
                <w:sz w:val="21"/>
                <w:szCs w:val="21"/>
                <w:highlight w:val="none"/>
                <w:u w:val="single"/>
                <w:lang w:val="en-US" w:eastAsia="zh-CN"/>
              </w:rPr>
              <w:t xml:space="preserve">  </w:t>
            </w:r>
            <w:r>
              <w:rPr>
                <w:rFonts w:hint="eastAsia" w:ascii="宋体" w:hAnsi="宋体" w:eastAsia="宋体" w:cs="Arial"/>
                <w:b w:val="0"/>
                <w:bCs w:val="0"/>
                <w:color w:val="auto"/>
                <w:sz w:val="21"/>
                <w:szCs w:val="21"/>
                <w:highlight w:val="none"/>
              </w:rPr>
              <w:t>招标项目的潜在投标人应在</w:t>
            </w:r>
            <w:r>
              <w:rPr>
                <w:rFonts w:hint="eastAsia" w:ascii="宋体" w:hAnsi="宋体" w:eastAsia="宋体" w:cs="Arial"/>
                <w:b w:val="0"/>
                <w:bCs w:val="0"/>
                <w:color w:val="auto"/>
                <w:sz w:val="21"/>
                <w:szCs w:val="21"/>
                <w:highlight w:val="none"/>
                <w:u w:val="single"/>
                <w:lang w:eastAsia="zh-CN"/>
              </w:rPr>
              <w:t>政采云平台（https://www.zcygov.cn）</w:t>
            </w:r>
            <w:r>
              <w:rPr>
                <w:rFonts w:hint="eastAsia" w:ascii="宋体" w:hAnsi="宋体" w:eastAsia="宋体" w:cs="Arial"/>
                <w:b w:val="0"/>
                <w:bCs w:val="0"/>
                <w:color w:val="auto"/>
                <w:sz w:val="21"/>
                <w:szCs w:val="21"/>
                <w:highlight w:val="none"/>
              </w:rPr>
              <w:t>获取（下载）</w:t>
            </w:r>
            <w:r>
              <w:rPr>
                <w:rFonts w:hint="eastAsia" w:ascii="宋体" w:hAnsi="宋体" w:cs="Arial"/>
                <w:b w:val="0"/>
                <w:bCs w:val="0"/>
                <w:color w:val="auto"/>
                <w:sz w:val="21"/>
                <w:szCs w:val="21"/>
                <w:highlight w:val="none"/>
                <w:lang w:eastAsia="zh-CN"/>
              </w:rPr>
              <w:t>招标</w:t>
            </w:r>
            <w:r>
              <w:rPr>
                <w:rFonts w:hint="eastAsia" w:ascii="宋体" w:hAnsi="宋体" w:eastAsia="宋体" w:cs="Arial"/>
                <w:b w:val="0"/>
                <w:bCs w:val="0"/>
                <w:color w:val="auto"/>
                <w:sz w:val="21"/>
                <w:szCs w:val="21"/>
                <w:highlight w:val="none"/>
              </w:rPr>
              <w:t>文件，并于 </w:t>
            </w:r>
            <w:r>
              <w:rPr>
                <w:rFonts w:hint="eastAsia" w:ascii="宋体" w:hAnsi="宋体" w:eastAsia="宋体" w:cs="Arial"/>
                <w:b w:val="0"/>
                <w:bCs w:val="0"/>
                <w:color w:val="auto"/>
                <w:sz w:val="21"/>
                <w:szCs w:val="21"/>
                <w:highlight w:val="none"/>
                <w:u w:val="single"/>
                <w:lang w:val="en-US" w:eastAsia="zh-CN"/>
              </w:rPr>
              <w:t xml:space="preserve"> 2022</w:t>
            </w:r>
            <w:r>
              <w:rPr>
                <w:rFonts w:hint="eastAsia" w:ascii="宋体" w:hAnsi="宋体" w:eastAsia="宋体" w:cs="Arial"/>
                <w:b w:val="0"/>
                <w:bCs w:val="0"/>
                <w:color w:val="auto"/>
                <w:sz w:val="21"/>
                <w:szCs w:val="21"/>
                <w:highlight w:val="none"/>
                <w:u w:val="single"/>
              </w:rPr>
              <w:t>年</w:t>
            </w:r>
            <w:r>
              <w:rPr>
                <w:rFonts w:hint="eastAsia" w:ascii="宋体" w:hAnsi="宋体" w:cs="Arial"/>
                <w:b w:val="0"/>
                <w:bCs w:val="0"/>
                <w:color w:val="auto"/>
                <w:sz w:val="21"/>
                <w:szCs w:val="21"/>
                <w:highlight w:val="none"/>
                <w:u w:val="single"/>
                <w:lang w:val="en-US" w:eastAsia="zh-CN"/>
              </w:rPr>
              <w:t xml:space="preserve"> 11 月 22  日</w:t>
            </w:r>
            <w:r>
              <w:rPr>
                <w:rFonts w:hint="eastAsia" w:ascii="宋体" w:hAnsi="宋体" w:eastAsia="宋体" w:cs="Arial"/>
                <w:b w:val="0"/>
                <w:bCs w:val="0"/>
                <w:color w:val="auto"/>
                <w:sz w:val="21"/>
                <w:szCs w:val="21"/>
                <w:highlight w:val="none"/>
                <w:u w:val="single"/>
              </w:rPr>
              <w:t xml:space="preserve"> </w:t>
            </w:r>
            <w:r>
              <w:rPr>
                <w:rFonts w:hint="eastAsia" w:ascii="宋体" w:hAnsi="宋体" w:cs="Arial"/>
                <w:b w:val="0"/>
                <w:bCs w:val="0"/>
                <w:color w:val="auto"/>
                <w:sz w:val="21"/>
                <w:szCs w:val="21"/>
                <w:highlight w:val="none"/>
                <w:u w:val="single"/>
                <w:lang w:val="en-US" w:eastAsia="zh-CN"/>
              </w:rPr>
              <w:t>14</w:t>
            </w:r>
            <w:r>
              <w:rPr>
                <w:rFonts w:hint="eastAsia" w:ascii="宋体" w:hAnsi="宋体" w:eastAsia="宋体" w:cs="Arial"/>
                <w:b w:val="0"/>
                <w:bCs w:val="0"/>
                <w:color w:val="auto"/>
                <w:sz w:val="21"/>
                <w:szCs w:val="21"/>
                <w:highlight w:val="none"/>
                <w:u w:val="single"/>
              </w:rPr>
              <w:t>:</w:t>
            </w:r>
            <w:r>
              <w:rPr>
                <w:rFonts w:hint="eastAsia" w:ascii="宋体" w:hAnsi="宋体" w:eastAsia="宋体" w:cs="Arial"/>
                <w:b w:val="0"/>
                <w:bCs w:val="0"/>
                <w:color w:val="auto"/>
                <w:sz w:val="21"/>
                <w:szCs w:val="21"/>
                <w:highlight w:val="none"/>
                <w:u w:val="single"/>
                <w:lang w:val="en-US" w:eastAsia="zh-CN"/>
              </w:rPr>
              <w:t>30</w:t>
            </w:r>
            <w:r>
              <w:rPr>
                <w:rFonts w:hint="eastAsia" w:ascii="宋体" w:hAnsi="宋体" w:eastAsia="宋体" w:cs="Arial"/>
                <w:b w:val="0"/>
                <w:bCs w:val="0"/>
                <w:color w:val="auto"/>
                <w:sz w:val="21"/>
                <w:szCs w:val="21"/>
                <w:highlight w:val="none"/>
                <w:u w:val="single"/>
              </w:rPr>
              <w:t> </w:t>
            </w:r>
            <w:r>
              <w:rPr>
                <w:rFonts w:hint="eastAsia" w:ascii="宋体" w:hAnsi="宋体" w:eastAsia="宋体" w:cs="Arial"/>
                <w:b w:val="0"/>
                <w:bCs w:val="0"/>
                <w:color w:val="auto"/>
                <w:sz w:val="21"/>
                <w:szCs w:val="21"/>
                <w:highlight w:val="none"/>
              </w:rPr>
              <w:t>（北京时间）前提交（上传）</w:t>
            </w:r>
            <w:r>
              <w:rPr>
                <w:rFonts w:hint="eastAsia" w:ascii="宋体" w:hAnsi="宋体" w:cs="Arial"/>
                <w:b w:val="0"/>
                <w:bCs w:val="0"/>
                <w:color w:val="auto"/>
                <w:sz w:val="21"/>
                <w:szCs w:val="21"/>
                <w:highlight w:val="none"/>
                <w:lang w:eastAsia="zh-CN"/>
              </w:rPr>
              <w:t>投标</w:t>
            </w:r>
            <w:r>
              <w:rPr>
                <w:rFonts w:hint="eastAsia" w:ascii="宋体" w:hAnsi="宋体" w:eastAsia="宋体" w:cs="Arial"/>
                <w:b w:val="0"/>
                <w:bCs w:val="0"/>
                <w:color w:val="auto"/>
                <w:sz w:val="21"/>
                <w:szCs w:val="21"/>
                <w:highlight w:val="none"/>
              </w:rPr>
              <w:t>文件。</w:t>
            </w:r>
          </w:p>
        </w:tc>
      </w:tr>
    </w:tbl>
    <w:p>
      <w:pPr>
        <w:widowControl/>
        <w:spacing w:line="360" w:lineRule="auto"/>
        <w:jc w:val="left"/>
        <w:rPr>
          <w:rFonts w:ascii="宋体" w:hAnsi="宋体" w:cs="Arial"/>
          <w:color w:val="auto"/>
          <w:kern w:val="0"/>
          <w:szCs w:val="21"/>
          <w:highlight w:val="none"/>
        </w:rPr>
      </w:pPr>
    </w:p>
    <w:p>
      <w:pPr>
        <w:widowControl/>
        <w:spacing w:line="360" w:lineRule="auto"/>
        <w:rPr>
          <w:rFonts w:ascii="宋体" w:hAnsi="宋体" w:cs="Arial"/>
          <w:color w:val="auto"/>
          <w:kern w:val="0"/>
          <w:szCs w:val="21"/>
          <w:highlight w:val="none"/>
        </w:rPr>
      </w:pPr>
      <w:r>
        <w:rPr>
          <w:rFonts w:ascii="宋体" w:hAnsi="宋体" w:cs="Arial"/>
          <w:b/>
          <w:bCs/>
          <w:color w:val="auto"/>
          <w:kern w:val="0"/>
          <w:szCs w:val="21"/>
          <w:highlight w:val="none"/>
        </w:rPr>
        <w:t>一、项目基本情况</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Arial"/>
          <w:color w:val="auto"/>
          <w:kern w:val="0"/>
          <w:szCs w:val="21"/>
          <w:highlight w:val="none"/>
          <w:lang w:val="en-US" w:eastAsia="zh-CN"/>
        </w:rPr>
      </w:pPr>
      <w:r>
        <w:rPr>
          <w:rFonts w:ascii="宋体" w:hAnsi="宋体" w:cs="Arial"/>
          <w:color w:val="auto"/>
          <w:kern w:val="0"/>
          <w:szCs w:val="21"/>
          <w:highlight w:val="none"/>
        </w:rPr>
        <w:t>项目编号：</w:t>
      </w:r>
      <w:r>
        <w:rPr>
          <w:rFonts w:hint="eastAsia" w:ascii="宋体" w:hAnsi="宋体" w:cs="Arial"/>
          <w:color w:val="auto"/>
          <w:kern w:val="0"/>
          <w:szCs w:val="21"/>
          <w:highlight w:val="none"/>
          <w:lang w:val="en-US" w:eastAsia="zh-CN"/>
        </w:rPr>
        <w:t>ZJ-2272868</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Arial"/>
          <w:color w:val="auto"/>
          <w:kern w:val="0"/>
          <w:szCs w:val="21"/>
          <w:highlight w:val="none"/>
          <w:lang w:eastAsia="zh-CN"/>
        </w:rPr>
      </w:pPr>
      <w:r>
        <w:rPr>
          <w:rFonts w:ascii="宋体" w:hAnsi="宋体" w:cs="Arial"/>
          <w:color w:val="auto"/>
          <w:kern w:val="0"/>
          <w:szCs w:val="21"/>
          <w:highlight w:val="none"/>
        </w:rPr>
        <w:t>项目名称：</w:t>
      </w:r>
      <w:r>
        <w:rPr>
          <w:rFonts w:hint="eastAsia" w:ascii="宋体" w:hAnsi="宋体" w:cs="Arial"/>
          <w:b w:val="0"/>
          <w:bCs w:val="0"/>
          <w:color w:val="auto"/>
          <w:sz w:val="21"/>
          <w:szCs w:val="21"/>
          <w:highlight w:val="none"/>
          <w:u w:val="none"/>
          <w:lang w:eastAsia="zh-CN"/>
        </w:rPr>
        <w:t>浙江省预算管理一体化项目</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Arial"/>
          <w:color w:val="auto"/>
          <w:kern w:val="0"/>
          <w:szCs w:val="21"/>
          <w:highlight w:val="none"/>
          <w:lang w:val="en-US" w:eastAsia="zh-CN"/>
        </w:rPr>
      </w:pPr>
      <w:r>
        <w:rPr>
          <w:rFonts w:ascii="宋体" w:hAnsi="宋体" w:cs="Arial"/>
          <w:color w:val="auto"/>
          <w:kern w:val="0"/>
          <w:szCs w:val="21"/>
          <w:highlight w:val="none"/>
        </w:rPr>
        <w:t>预算金额（元）：</w:t>
      </w:r>
      <w:r>
        <w:rPr>
          <w:rFonts w:hint="eastAsia" w:ascii="宋体" w:hAnsi="宋体" w:cs="Arial"/>
          <w:color w:val="auto"/>
          <w:kern w:val="0"/>
          <w:szCs w:val="21"/>
          <w:highlight w:val="none"/>
          <w:lang w:val="en-US" w:eastAsia="zh-CN"/>
        </w:rPr>
        <w:t>43400000.00</w:t>
      </w:r>
    </w:p>
    <w:p>
      <w:pPr>
        <w:keepNext w:val="0"/>
        <w:keepLines w:val="0"/>
        <w:pageBreakBefore w:val="0"/>
        <w:kinsoku/>
        <w:wordWrap/>
        <w:overflowPunct/>
        <w:topLinePunct w:val="0"/>
        <w:autoSpaceDE/>
        <w:autoSpaceDN/>
        <w:bidi w:val="0"/>
        <w:snapToGrid w:val="0"/>
        <w:spacing w:line="360" w:lineRule="auto"/>
        <w:ind w:firstLine="420" w:firstLineChars="200"/>
        <w:textAlignment w:val="auto"/>
        <w:rPr>
          <w:rFonts w:hint="eastAsia" w:ascii="宋体" w:hAnsi="宋体" w:cs="宋体"/>
          <w:b/>
          <w:color w:val="auto"/>
          <w:kern w:val="0"/>
          <w:szCs w:val="21"/>
          <w:highlight w:val="none"/>
          <w:lang w:val="en-US" w:eastAsia="zh-CN"/>
        </w:rPr>
      </w:pPr>
      <w:r>
        <w:rPr>
          <w:rFonts w:ascii="宋体" w:hAnsi="宋体" w:cs="Arial"/>
          <w:color w:val="auto"/>
          <w:kern w:val="0"/>
          <w:szCs w:val="21"/>
          <w:highlight w:val="none"/>
        </w:rPr>
        <w:t>最高限价（元）：</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1</w:t>
      </w:r>
      <w:r>
        <w:rPr>
          <w:rFonts w:hint="eastAsia" w:ascii="宋体" w:hAnsi="宋体" w:cs="宋体"/>
          <w:b/>
          <w:color w:val="auto"/>
          <w:kern w:val="0"/>
          <w:szCs w:val="21"/>
          <w:highlight w:val="none"/>
          <w:lang w:eastAsia="zh-CN"/>
        </w:rPr>
        <w:t>）省本级项目费用（总价包干）最高限价：</w:t>
      </w:r>
      <w:r>
        <w:rPr>
          <w:rFonts w:hint="eastAsia" w:ascii="宋体" w:hAnsi="宋体" w:cs="宋体"/>
          <w:b/>
          <w:color w:val="auto"/>
          <w:kern w:val="0"/>
          <w:szCs w:val="21"/>
          <w:highlight w:val="none"/>
          <w:u w:val="single"/>
          <w:lang w:val="en-US" w:eastAsia="zh-CN"/>
        </w:rPr>
        <w:t xml:space="preserve"> 300 </w:t>
      </w:r>
      <w:r>
        <w:rPr>
          <w:rFonts w:hint="eastAsia" w:ascii="宋体" w:hAnsi="宋体" w:cs="宋体"/>
          <w:b/>
          <w:color w:val="auto"/>
          <w:kern w:val="0"/>
          <w:szCs w:val="21"/>
          <w:highlight w:val="none"/>
          <w:lang w:val="en-US" w:eastAsia="zh-CN"/>
        </w:rPr>
        <w:t>万元；</w:t>
      </w:r>
    </w:p>
    <w:p>
      <w:pPr>
        <w:pStyle w:val="2"/>
        <w:numPr>
          <w:ilvl w:val="0"/>
          <w:numId w:val="2"/>
        </w:numPr>
        <w:ind w:left="0" w:leftChars="0" w:firstLine="2108" w:firstLineChars="1000"/>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地市级年度服务最高限价为：</w:t>
      </w:r>
      <w:r>
        <w:rPr>
          <w:rFonts w:hint="eastAsia" w:ascii="宋体" w:hAnsi="宋体" w:eastAsia="宋体" w:cs="宋体"/>
          <w:b/>
          <w:color w:val="auto"/>
          <w:kern w:val="0"/>
          <w:sz w:val="21"/>
          <w:szCs w:val="21"/>
          <w:highlight w:val="none"/>
          <w:u w:val="single"/>
          <w:lang w:val="en-US" w:eastAsia="zh-CN" w:bidi="ar-SA"/>
        </w:rPr>
        <w:t xml:space="preserve"> 60 </w:t>
      </w:r>
      <w:r>
        <w:rPr>
          <w:rFonts w:hint="eastAsia" w:ascii="宋体" w:hAnsi="宋体" w:eastAsia="宋体" w:cs="宋体"/>
          <w:b/>
          <w:color w:val="auto"/>
          <w:kern w:val="0"/>
          <w:sz w:val="21"/>
          <w:szCs w:val="21"/>
          <w:highlight w:val="none"/>
          <w:lang w:val="en-US" w:eastAsia="zh-CN" w:bidi="ar-SA"/>
        </w:rPr>
        <w:t>万元/年/地市；</w:t>
      </w:r>
    </w:p>
    <w:p>
      <w:pPr>
        <w:pStyle w:val="2"/>
        <w:numPr>
          <w:ilvl w:val="0"/>
          <w:numId w:val="2"/>
        </w:numPr>
        <w:ind w:left="0" w:leftChars="0" w:firstLine="2108" w:firstLineChars="1000"/>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区县级年度服务最高限价为：</w:t>
      </w:r>
      <w:r>
        <w:rPr>
          <w:rFonts w:hint="eastAsia" w:ascii="宋体" w:hAnsi="宋体" w:eastAsia="宋体" w:cs="宋体"/>
          <w:b/>
          <w:color w:val="auto"/>
          <w:kern w:val="0"/>
          <w:sz w:val="21"/>
          <w:szCs w:val="21"/>
          <w:highlight w:val="none"/>
          <w:u w:val="single"/>
          <w:lang w:val="en-US" w:eastAsia="zh-CN" w:bidi="ar-SA"/>
        </w:rPr>
        <w:t xml:space="preserve"> 40 </w:t>
      </w:r>
      <w:r>
        <w:rPr>
          <w:rFonts w:hint="eastAsia" w:ascii="宋体" w:hAnsi="宋体" w:eastAsia="宋体" w:cs="宋体"/>
          <w:b/>
          <w:color w:val="auto"/>
          <w:kern w:val="0"/>
          <w:sz w:val="21"/>
          <w:szCs w:val="21"/>
          <w:highlight w:val="none"/>
          <w:lang w:val="en-US" w:eastAsia="zh-CN" w:bidi="ar-SA"/>
        </w:rPr>
        <w:t>万元/年/区县。</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Arial"/>
          <w:color w:val="auto"/>
          <w:szCs w:val="21"/>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cs="Arial"/>
          <w:color w:val="auto"/>
          <w:kern w:val="0"/>
          <w:szCs w:val="21"/>
          <w:highlight w:val="none"/>
        </w:rPr>
      </w:pPr>
      <w:r>
        <w:rPr>
          <w:rFonts w:hint="eastAsia" w:ascii="宋体" w:hAnsi="宋体" w:cs="Arial"/>
          <w:color w:val="auto"/>
          <w:kern w:val="0"/>
          <w:szCs w:val="21"/>
          <w:highlight w:val="none"/>
        </w:rPr>
        <w:t>采购需求：</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cs="Arial"/>
          <w:color w:val="auto"/>
          <w:kern w:val="0"/>
          <w:szCs w:val="21"/>
          <w:highlight w:val="none"/>
        </w:rPr>
      </w:pPr>
      <w:r>
        <w:rPr>
          <w:rFonts w:hint="eastAsia" w:ascii="宋体" w:hAnsi="宋体" w:cs="Arial"/>
          <w:color w:val="auto"/>
          <w:kern w:val="0"/>
          <w:szCs w:val="21"/>
          <w:highlight w:val="none"/>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840" w:firstLineChars="400"/>
        <w:jc w:val="left"/>
        <w:textAlignment w:val="auto"/>
        <w:rPr>
          <w:rFonts w:hint="eastAsia" w:ascii="宋体" w:hAnsi="宋体" w:eastAsia="宋体" w:cs="Arial"/>
          <w:color w:val="auto"/>
          <w:kern w:val="0"/>
          <w:szCs w:val="21"/>
          <w:highlight w:val="none"/>
          <w:lang w:eastAsia="zh-CN"/>
        </w:rPr>
      </w:pPr>
      <w:r>
        <w:rPr>
          <w:rFonts w:hint="eastAsia" w:ascii="宋体" w:hAnsi="宋体" w:cs="Arial"/>
          <w:color w:val="auto"/>
          <w:kern w:val="0"/>
          <w:szCs w:val="21"/>
          <w:highlight w:val="none"/>
        </w:rPr>
        <w:t>标项名称:</w:t>
      </w:r>
      <w:r>
        <w:rPr>
          <w:rFonts w:hint="eastAsia" w:ascii="宋体" w:hAnsi="宋体" w:cs="Arial"/>
          <w:b w:val="0"/>
          <w:bCs w:val="0"/>
          <w:color w:val="auto"/>
          <w:sz w:val="21"/>
          <w:szCs w:val="21"/>
          <w:highlight w:val="none"/>
          <w:u w:val="none"/>
          <w:lang w:eastAsia="zh-CN"/>
        </w:rPr>
        <w:t>浙江省预算管理一体化项目</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Arial"/>
          <w:color w:val="auto"/>
          <w:kern w:val="0"/>
          <w:szCs w:val="21"/>
          <w:highlight w:val="none"/>
          <w:lang w:val="en-US" w:eastAsia="zh-CN"/>
        </w:rPr>
      </w:pPr>
      <w:r>
        <w:rPr>
          <w:rFonts w:hint="eastAsia" w:ascii="宋体" w:hAnsi="宋体" w:cs="Arial"/>
          <w:color w:val="auto"/>
          <w:kern w:val="0"/>
          <w:szCs w:val="21"/>
          <w:highlight w:val="none"/>
        </w:rPr>
        <w:t xml:space="preserve">    数量:</w:t>
      </w:r>
      <w:r>
        <w:rPr>
          <w:rFonts w:hint="eastAsia" w:ascii="宋体" w:hAnsi="宋体" w:cs="Arial"/>
          <w:color w:val="auto"/>
          <w:kern w:val="0"/>
          <w:szCs w:val="21"/>
          <w:highlight w:val="none"/>
          <w:lang w:val="en-US" w:eastAsia="zh-CN"/>
        </w:rPr>
        <w:t>1项</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Arial"/>
          <w:color w:val="auto"/>
          <w:kern w:val="0"/>
          <w:szCs w:val="21"/>
          <w:highlight w:val="none"/>
          <w:lang w:val="en-US" w:eastAsia="zh-CN"/>
        </w:rPr>
      </w:pPr>
      <w:r>
        <w:rPr>
          <w:rFonts w:hint="eastAsia" w:ascii="宋体" w:hAnsi="宋体" w:cs="Arial"/>
          <w:color w:val="auto"/>
          <w:kern w:val="0"/>
          <w:szCs w:val="21"/>
          <w:highlight w:val="none"/>
        </w:rPr>
        <w:t xml:space="preserve">    预算金额（元）: </w:t>
      </w:r>
      <w:r>
        <w:rPr>
          <w:rFonts w:hint="eastAsia" w:ascii="宋体" w:hAnsi="宋体" w:cs="Arial"/>
          <w:color w:val="auto"/>
          <w:kern w:val="0"/>
          <w:szCs w:val="21"/>
          <w:highlight w:val="none"/>
          <w:lang w:val="en-US" w:eastAsia="zh-CN"/>
        </w:rPr>
        <w:t>43400000.00</w:t>
      </w:r>
    </w:p>
    <w:p>
      <w:pPr>
        <w:pageBreakBefore w:val="0"/>
        <w:widowControl w:val="0"/>
        <w:kinsoku/>
        <w:wordWrap/>
        <w:topLinePunct w:val="0"/>
        <w:bidi w:val="0"/>
        <w:spacing w:line="360" w:lineRule="auto"/>
        <w:ind w:firstLine="420" w:firstLineChars="200"/>
        <w:jc w:val="left"/>
        <w:textAlignment w:val="auto"/>
        <w:rPr>
          <w:rFonts w:hint="eastAsia" w:ascii="宋体" w:hAnsi="宋体" w:cs="Arial"/>
          <w:color w:val="auto"/>
          <w:kern w:val="0"/>
          <w:szCs w:val="21"/>
          <w:highlight w:val="none"/>
          <w:lang w:eastAsia="zh-CN"/>
        </w:rPr>
      </w:pPr>
      <w:r>
        <w:rPr>
          <w:rFonts w:hint="eastAsia" w:ascii="宋体" w:hAnsi="宋体" w:cs="Arial"/>
          <w:color w:val="auto"/>
          <w:kern w:val="0"/>
          <w:szCs w:val="21"/>
          <w:highlight w:val="none"/>
          <w:lang w:eastAsia="zh-CN"/>
        </w:rPr>
        <w:t>简要规格描述或项目基本概况介绍、用途：</w:t>
      </w:r>
      <w:r>
        <w:rPr>
          <w:rFonts w:hint="eastAsia" w:ascii="宋体" w:hAnsi="宋体" w:cs="Arial"/>
          <w:color w:val="auto"/>
          <w:kern w:val="0"/>
          <w:szCs w:val="21"/>
          <w:highlight w:val="none"/>
          <w:lang w:val="en-US" w:eastAsia="zh-CN"/>
        </w:rPr>
        <w:t>本项目建设内容为</w:t>
      </w:r>
      <w:r>
        <w:rPr>
          <w:rFonts w:hint="eastAsia" w:ascii="宋体" w:hAnsi="宋体" w:eastAsia="宋体" w:cs="Arial"/>
          <w:color w:val="auto"/>
          <w:kern w:val="0"/>
          <w:sz w:val="21"/>
          <w:szCs w:val="21"/>
          <w:highlight w:val="none"/>
        </w:rPr>
        <w:t>在预算管理一体化系统现有版本的基础上，开展系统升级和2023年</w:t>
      </w:r>
      <w:r>
        <w:rPr>
          <w:rFonts w:hint="eastAsia" w:ascii="宋体" w:hAnsi="宋体" w:eastAsia="宋体" w:cs="Arial"/>
          <w:color w:val="auto"/>
          <w:kern w:val="0"/>
          <w:sz w:val="21"/>
          <w:szCs w:val="21"/>
          <w:highlight w:val="none"/>
          <w:lang w:val="en-US" w:eastAsia="zh-CN"/>
        </w:rPr>
        <w:t>预算管理业务</w:t>
      </w:r>
      <w:r>
        <w:rPr>
          <w:rFonts w:hint="eastAsia" w:ascii="宋体" w:hAnsi="宋体" w:eastAsia="宋体" w:cs="Arial"/>
          <w:color w:val="auto"/>
          <w:kern w:val="0"/>
          <w:sz w:val="21"/>
          <w:szCs w:val="21"/>
          <w:highlight w:val="none"/>
        </w:rPr>
        <w:t>运维工作</w:t>
      </w:r>
      <w:r>
        <w:rPr>
          <w:rFonts w:hint="eastAsia" w:ascii="宋体" w:hAnsi="宋体" w:cs="Arial"/>
          <w:color w:val="auto"/>
          <w:kern w:val="0"/>
          <w:sz w:val="21"/>
          <w:szCs w:val="21"/>
          <w:highlight w:val="none"/>
          <w:lang w:eastAsia="zh-CN"/>
        </w:rPr>
        <w:t>，</w:t>
      </w:r>
      <w:r>
        <w:rPr>
          <w:rFonts w:hint="eastAsia" w:ascii="宋体" w:hAnsi="宋体" w:cs="Arial"/>
          <w:color w:val="auto"/>
          <w:kern w:val="0"/>
          <w:szCs w:val="21"/>
          <w:highlight w:val="none"/>
          <w:lang w:val="en-US" w:eastAsia="zh-CN"/>
        </w:rPr>
        <w:t>主要</w:t>
      </w:r>
      <w:r>
        <w:rPr>
          <w:rFonts w:hint="eastAsia" w:ascii="宋体" w:hAnsi="宋体" w:cs="Arial"/>
          <w:color w:val="auto"/>
          <w:kern w:val="0"/>
          <w:sz w:val="21"/>
          <w:szCs w:val="21"/>
          <w:highlight w:val="none"/>
          <w:lang w:eastAsia="zh-CN"/>
        </w:rPr>
        <w:t>包括：</w:t>
      </w:r>
      <w:r>
        <w:rPr>
          <w:rFonts w:hint="eastAsia" w:ascii="宋体" w:hAnsi="宋体" w:eastAsia="宋体" w:cs="Arial"/>
          <w:b w:val="0"/>
          <w:color w:val="auto"/>
          <w:kern w:val="0"/>
          <w:sz w:val="21"/>
          <w:szCs w:val="21"/>
          <w:highlight w:val="none"/>
        </w:rPr>
        <w:t>实现预算管理一体化新增需求</w:t>
      </w:r>
      <w:r>
        <w:rPr>
          <w:rFonts w:hint="eastAsia" w:ascii="宋体" w:hAnsi="宋体" w:eastAsia="宋体" w:cs="Arial"/>
          <w:b w:val="0"/>
          <w:color w:val="auto"/>
          <w:kern w:val="0"/>
          <w:sz w:val="21"/>
          <w:szCs w:val="21"/>
          <w:highlight w:val="none"/>
          <w:lang w:eastAsia="zh-CN"/>
        </w:rPr>
        <w:t>、</w:t>
      </w:r>
      <w:r>
        <w:rPr>
          <w:rFonts w:hint="eastAsia" w:ascii="宋体" w:hAnsi="宋体" w:eastAsia="宋体" w:cs="Arial"/>
          <w:b w:val="0"/>
          <w:color w:val="auto"/>
          <w:kern w:val="0"/>
          <w:sz w:val="21"/>
          <w:szCs w:val="21"/>
          <w:highlight w:val="none"/>
        </w:rPr>
        <w:t>完成预算管理一体化系统全省新年度服务</w:t>
      </w:r>
      <w:r>
        <w:rPr>
          <w:rFonts w:hint="eastAsia" w:ascii="宋体" w:hAnsi="宋体" w:eastAsia="宋体" w:cs="Arial"/>
          <w:b w:val="0"/>
          <w:color w:val="auto"/>
          <w:kern w:val="0"/>
          <w:sz w:val="21"/>
          <w:szCs w:val="21"/>
          <w:highlight w:val="none"/>
          <w:lang w:eastAsia="zh-CN"/>
        </w:rPr>
        <w:t>（包括省本级和全省各市县服务）等。</w:t>
      </w:r>
      <w:r>
        <w:rPr>
          <w:rFonts w:hint="eastAsia" w:ascii="宋体" w:hAnsi="宋体" w:cs="Arial"/>
          <w:color w:val="auto"/>
          <w:kern w:val="0"/>
          <w:szCs w:val="21"/>
          <w:highlight w:val="none"/>
          <w:lang w:eastAsia="zh-CN"/>
        </w:rPr>
        <w:t>具体详见采购需求。</w:t>
      </w:r>
    </w:p>
    <w:p>
      <w:pPr>
        <w:keepNext w:val="0"/>
        <w:keepLines w:val="0"/>
        <w:pageBreakBefore w:val="0"/>
        <w:widowControl/>
        <w:kinsoku/>
        <w:wordWrap/>
        <w:overflowPunct/>
        <w:topLinePunct w:val="0"/>
        <w:autoSpaceDE/>
        <w:autoSpaceDN/>
        <w:bidi w:val="0"/>
        <w:adjustRightInd w:val="0"/>
        <w:snapToGrid w:val="0"/>
        <w:spacing w:line="360" w:lineRule="auto"/>
        <w:ind w:firstLine="840" w:firstLineChars="400"/>
        <w:jc w:val="left"/>
        <w:textAlignment w:val="auto"/>
        <w:rPr>
          <w:rFonts w:hint="eastAsia" w:ascii="宋体" w:hAnsi="宋体" w:eastAsia="宋体" w:cs="Arial"/>
          <w:color w:val="auto"/>
          <w:kern w:val="0"/>
          <w:szCs w:val="21"/>
          <w:highlight w:val="none"/>
          <w:lang w:eastAsia="zh-CN"/>
        </w:rPr>
      </w:pPr>
    </w:p>
    <w:p>
      <w:pPr>
        <w:widowControl/>
        <w:spacing w:line="360" w:lineRule="auto"/>
        <w:ind w:firstLine="840" w:firstLineChars="400"/>
        <w:jc w:val="left"/>
        <w:rPr>
          <w:rFonts w:ascii="宋体" w:hAnsi="宋体" w:cs="Arial"/>
          <w:color w:val="auto"/>
          <w:kern w:val="0"/>
          <w:szCs w:val="21"/>
          <w:highlight w:val="none"/>
        </w:rPr>
      </w:pPr>
      <w:r>
        <w:rPr>
          <w:rFonts w:hint="eastAsia" w:ascii="宋体" w:hAnsi="宋体" w:cs="Arial"/>
          <w:color w:val="auto"/>
          <w:kern w:val="0"/>
          <w:szCs w:val="21"/>
          <w:highlight w:val="none"/>
        </w:rPr>
        <w:t>备注：</w:t>
      </w:r>
    </w:p>
    <w:p>
      <w:pPr>
        <w:widowControl/>
        <w:spacing w:line="360" w:lineRule="auto"/>
        <w:ind w:firstLine="840" w:firstLineChars="400"/>
        <w:jc w:val="left"/>
        <w:rPr>
          <w:rFonts w:hint="eastAsia" w:ascii="宋体" w:hAnsi="宋体" w:cs="Arial"/>
          <w:color w:val="auto"/>
          <w:kern w:val="0"/>
          <w:szCs w:val="21"/>
          <w:highlight w:val="none"/>
          <w:lang w:val="en-US" w:eastAsia="zh-CN"/>
        </w:rPr>
      </w:pPr>
      <w:r>
        <w:rPr>
          <w:rFonts w:ascii="宋体" w:hAnsi="宋体" w:cs="Arial"/>
          <w:color w:val="auto"/>
          <w:kern w:val="0"/>
          <w:szCs w:val="21"/>
          <w:highlight w:val="none"/>
        </w:rPr>
        <w:t>合同履行期限</w:t>
      </w:r>
      <w:r>
        <w:rPr>
          <w:rFonts w:hint="eastAsia" w:ascii="宋体" w:hAnsi="宋体" w:cs="Arial"/>
          <w:color w:val="auto"/>
          <w:kern w:val="0"/>
          <w:szCs w:val="21"/>
          <w:highlight w:val="none"/>
          <w:lang w:eastAsia="zh-CN"/>
        </w:rPr>
        <w:t>：详见采购需求。</w:t>
      </w:r>
    </w:p>
    <w:p>
      <w:pPr>
        <w:widowControl/>
        <w:spacing w:line="360" w:lineRule="auto"/>
        <w:ind w:firstLine="840" w:firstLineChars="400"/>
        <w:jc w:val="left"/>
        <w:rPr>
          <w:rFonts w:ascii="宋体" w:hAnsi="宋体" w:cs="Arial"/>
          <w:color w:val="auto"/>
          <w:kern w:val="0"/>
          <w:szCs w:val="21"/>
          <w:highlight w:val="none"/>
        </w:rPr>
      </w:pPr>
      <w:r>
        <w:rPr>
          <w:rFonts w:hint="eastAsia" w:ascii="宋体" w:hAnsi="宋体" w:eastAsia="宋体" w:cs="Arial"/>
          <w:color w:val="auto"/>
          <w:szCs w:val="21"/>
          <w:highlight w:val="none"/>
        </w:rPr>
        <w:t>本项目</w:t>
      </w:r>
      <w:r>
        <w:rPr>
          <w:rFonts w:hint="eastAsia" w:ascii="宋体" w:hAnsi="宋体" w:eastAsia="宋体" w:cs="Arial"/>
          <w:i/>
          <w:iCs/>
          <w:color w:val="auto"/>
          <w:szCs w:val="21"/>
          <w:highlight w:val="none"/>
          <w:lang w:eastAsia="zh-CN"/>
        </w:rPr>
        <w:t>（是）</w:t>
      </w:r>
      <w:r>
        <w:rPr>
          <w:rFonts w:hint="eastAsia" w:ascii="宋体" w:hAnsi="宋体" w:eastAsia="宋体" w:cs="Arial"/>
          <w:color w:val="auto"/>
          <w:szCs w:val="21"/>
          <w:highlight w:val="none"/>
        </w:rPr>
        <w:t>接受联合体</w:t>
      </w:r>
      <w:r>
        <w:rPr>
          <w:rFonts w:ascii="宋体" w:hAnsi="宋体" w:cs="Arial"/>
          <w:color w:val="auto"/>
          <w:kern w:val="0"/>
          <w:szCs w:val="21"/>
          <w:highlight w:val="none"/>
        </w:rPr>
        <w:t>投标。</w:t>
      </w:r>
    </w:p>
    <w:p>
      <w:pPr>
        <w:pStyle w:val="9"/>
        <w:rPr>
          <w:color w:val="auto"/>
          <w:highlight w:val="none"/>
        </w:rPr>
      </w:pPr>
    </w:p>
    <w:p>
      <w:pPr>
        <w:widowControl/>
        <w:spacing w:line="360" w:lineRule="auto"/>
        <w:rPr>
          <w:rFonts w:ascii="宋体" w:hAnsi="宋体" w:cs="Arial"/>
          <w:color w:val="auto"/>
          <w:kern w:val="0"/>
          <w:szCs w:val="21"/>
          <w:highlight w:val="none"/>
        </w:rPr>
      </w:pPr>
      <w:r>
        <w:rPr>
          <w:rFonts w:ascii="宋体" w:hAnsi="宋体" w:cs="Arial"/>
          <w:b/>
          <w:bCs/>
          <w:color w:val="auto"/>
          <w:kern w:val="0"/>
          <w:szCs w:val="21"/>
          <w:highlight w:val="none"/>
        </w:rPr>
        <w:t>二、申请人的资格要求：</w:t>
      </w:r>
    </w:p>
    <w:p>
      <w:pPr>
        <w:widowControl/>
        <w:spacing w:line="360" w:lineRule="auto"/>
        <w:ind w:firstLine="420" w:firstLineChars="200"/>
        <w:jc w:val="left"/>
        <w:rPr>
          <w:rFonts w:hint="eastAsia" w:ascii="宋体" w:hAnsi="宋体" w:eastAsia="Calibri" w:cs="Arial"/>
          <w:color w:val="auto"/>
          <w:kern w:val="0"/>
          <w:szCs w:val="21"/>
          <w:highlight w:val="none"/>
          <w:lang w:eastAsia="zh-CN"/>
        </w:rPr>
      </w:pPr>
      <w:r>
        <w:rPr>
          <w:rFonts w:ascii="宋体" w:hAnsi="宋体" w:cs="Arial"/>
          <w:color w:val="auto"/>
          <w:kern w:val="0"/>
          <w:szCs w:val="21"/>
          <w:highlight w:val="none"/>
        </w:rPr>
        <w:t>1.满足《中华人民共和国政府采购法》第二十二条规定；</w:t>
      </w:r>
      <w:r>
        <w:rPr>
          <w:rFonts w:hint="eastAsia" w:ascii="宋体" w:hAnsi="宋体" w:cs="Arial"/>
          <w:color w:val="auto"/>
          <w:kern w:val="0"/>
          <w:szCs w:val="21"/>
          <w:highlight w:val="none"/>
        </w:rPr>
        <w:t>未被“信用中国”（www.creditchina.gov.cn)、中国政府采购网（www.ccgp.gov.cn）列入失信被执行人、重大税收违法案件当事人名单、政府采购严重违法失信行为记录名单</w:t>
      </w:r>
      <w:r>
        <w:rPr>
          <w:rFonts w:hint="eastAsia" w:ascii="宋体" w:hAnsi="宋体" w:cs="Arial"/>
          <w:color w:val="auto"/>
          <w:kern w:val="0"/>
          <w:szCs w:val="21"/>
          <w:highlight w:val="none"/>
          <w:lang w:eastAsia="zh-CN"/>
        </w:rPr>
        <w:t>。</w:t>
      </w:r>
    </w:p>
    <w:p>
      <w:pPr>
        <w:widowControl/>
        <w:spacing w:line="360" w:lineRule="auto"/>
        <w:ind w:firstLine="420" w:firstLineChars="200"/>
        <w:jc w:val="left"/>
        <w:rPr>
          <w:rFonts w:ascii="宋体" w:hAnsi="宋体" w:cs="Arial"/>
          <w:color w:val="auto"/>
          <w:kern w:val="0"/>
          <w:szCs w:val="21"/>
          <w:highlight w:val="none"/>
        </w:rPr>
      </w:pPr>
      <w:r>
        <w:rPr>
          <w:rFonts w:ascii="宋体" w:hAnsi="宋体" w:cs="Arial"/>
          <w:color w:val="auto"/>
          <w:kern w:val="0"/>
          <w:szCs w:val="21"/>
          <w:highlight w:val="none"/>
        </w:rPr>
        <w:t>2.落实政府采购政策需满足的资格要求：</w:t>
      </w:r>
      <w:r>
        <w:rPr>
          <w:rFonts w:hint="eastAsia" w:ascii="宋体" w:hAnsi="宋体" w:eastAsia="宋体" w:cs="Arial"/>
          <w:i/>
          <w:iCs/>
          <w:color w:val="auto"/>
          <w:szCs w:val="21"/>
          <w:highlight w:val="none"/>
          <w:lang w:eastAsia="zh-CN"/>
        </w:rPr>
        <w:t>无</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Arial"/>
          <w:i/>
          <w:iCs/>
          <w:color w:val="auto"/>
          <w:szCs w:val="21"/>
          <w:highlight w:val="none"/>
        </w:rPr>
      </w:pPr>
      <w:r>
        <w:rPr>
          <w:rFonts w:ascii="宋体" w:hAnsi="宋体" w:cs="Arial"/>
          <w:color w:val="auto"/>
          <w:kern w:val="0"/>
          <w:szCs w:val="21"/>
          <w:highlight w:val="none"/>
        </w:rPr>
        <w:t>3.本项目的特定资格要求：</w:t>
      </w:r>
      <w:r>
        <w:rPr>
          <w:rFonts w:hint="eastAsia" w:ascii="宋体" w:hAnsi="宋体" w:cs="Arial"/>
          <w:color w:val="auto"/>
          <w:kern w:val="0"/>
          <w:szCs w:val="21"/>
          <w:highlight w:val="none"/>
          <w:lang w:val="en-US" w:eastAsia="zh-CN"/>
        </w:rPr>
        <w:t>无</w:t>
      </w:r>
    </w:p>
    <w:p>
      <w:pPr>
        <w:widowControl/>
        <w:spacing w:line="360" w:lineRule="auto"/>
        <w:ind w:firstLine="420" w:firstLineChars="200"/>
        <w:jc w:val="left"/>
        <w:rPr>
          <w:rFonts w:ascii="宋体" w:hAnsi="宋体" w:cs="Arial"/>
          <w:i/>
          <w:iCs/>
          <w:color w:val="auto"/>
          <w:kern w:val="0"/>
          <w:szCs w:val="21"/>
          <w:highlight w:val="none"/>
        </w:rPr>
      </w:pPr>
      <w:r>
        <w:rPr>
          <w:rFonts w:ascii="宋体" w:hAnsi="宋体" w:cs="Arial"/>
          <w:i/>
          <w:iCs/>
          <w:color w:val="auto"/>
          <w:kern w:val="0"/>
          <w:szCs w:val="21"/>
          <w:highlight w:val="none"/>
        </w:rPr>
        <w:t> </w:t>
      </w:r>
      <w:r>
        <w:rPr>
          <w:rFonts w:hint="eastAsia" w:ascii="宋体" w:hAnsi="宋体" w:cs="Arial"/>
          <w:i/>
          <w:iCs/>
          <w:color w:val="auto"/>
          <w:kern w:val="0"/>
          <w:szCs w:val="21"/>
          <w:highlight w:val="none"/>
          <w:lang w:val="en-US" w:eastAsia="zh-CN"/>
        </w:rPr>
        <w:t xml:space="preserve">   </w:t>
      </w:r>
    </w:p>
    <w:p>
      <w:pPr>
        <w:widowControl/>
        <w:spacing w:line="360" w:lineRule="auto"/>
        <w:rPr>
          <w:rFonts w:ascii="宋体" w:hAnsi="宋体" w:cs="Arial"/>
          <w:color w:val="auto"/>
          <w:kern w:val="0"/>
          <w:szCs w:val="21"/>
          <w:highlight w:val="none"/>
        </w:rPr>
      </w:pPr>
      <w:r>
        <w:rPr>
          <w:rFonts w:ascii="宋体" w:hAnsi="宋体" w:cs="Arial"/>
          <w:b/>
          <w:bCs/>
          <w:color w:val="auto"/>
          <w:kern w:val="0"/>
          <w:szCs w:val="21"/>
          <w:highlight w:val="none"/>
        </w:rPr>
        <w:t>三、获取招标文件</w:t>
      </w:r>
    </w:p>
    <w:p>
      <w:pPr>
        <w:widowControl/>
        <w:spacing w:line="360" w:lineRule="auto"/>
        <w:jc w:val="left"/>
        <w:rPr>
          <w:rFonts w:ascii="宋体" w:hAnsi="宋体" w:cs="Arial"/>
          <w:color w:val="auto"/>
          <w:kern w:val="0"/>
          <w:szCs w:val="21"/>
          <w:highlight w:val="none"/>
        </w:rPr>
      </w:pPr>
      <w:r>
        <w:rPr>
          <w:rFonts w:ascii="宋体" w:hAnsi="宋体" w:cs="Arial"/>
          <w:color w:val="auto"/>
          <w:kern w:val="0"/>
          <w:szCs w:val="21"/>
          <w:highlight w:val="none"/>
        </w:rPr>
        <w:t>    时间：</w:t>
      </w:r>
      <w:r>
        <w:rPr>
          <w:rFonts w:ascii="宋体" w:hAnsi="宋体" w:cs="Arial"/>
          <w:color w:val="auto"/>
          <w:kern w:val="0"/>
          <w:szCs w:val="21"/>
          <w:highlight w:val="none"/>
          <w:u w:val="single"/>
        </w:rPr>
        <w:t> </w:t>
      </w:r>
      <w:r>
        <w:rPr>
          <w:rFonts w:hint="eastAsia" w:ascii="宋体" w:hAnsi="宋体" w:eastAsia="宋体" w:cs="Arial"/>
          <w:i/>
          <w:iCs/>
          <w:color w:val="auto"/>
          <w:szCs w:val="21"/>
          <w:highlight w:val="none"/>
          <w:u w:val="single"/>
          <w:lang w:val="en-US" w:eastAsia="zh-CN"/>
        </w:rPr>
        <w:t>/</w:t>
      </w:r>
      <w:r>
        <w:rPr>
          <w:rFonts w:ascii="宋体" w:hAnsi="宋体" w:cs="Arial"/>
          <w:color w:val="auto"/>
          <w:kern w:val="0"/>
          <w:szCs w:val="21"/>
          <w:highlight w:val="none"/>
          <w:u w:val="single"/>
        </w:rPr>
        <w:t> </w:t>
      </w:r>
      <w:r>
        <w:rPr>
          <w:rFonts w:ascii="宋体" w:hAnsi="宋体" w:cs="Arial"/>
          <w:color w:val="auto"/>
          <w:kern w:val="0"/>
          <w:szCs w:val="21"/>
          <w:highlight w:val="none"/>
        </w:rPr>
        <w:t>至 </w:t>
      </w:r>
      <w:r>
        <w:rPr>
          <w:rFonts w:ascii="宋体" w:hAnsi="宋体" w:cs="Arial"/>
          <w:color w:val="auto"/>
          <w:kern w:val="0"/>
          <w:szCs w:val="21"/>
          <w:highlight w:val="none"/>
          <w:u w:val="single"/>
        </w:rPr>
        <w:t> </w:t>
      </w:r>
      <w:r>
        <w:rPr>
          <w:rFonts w:hint="eastAsia" w:ascii="宋体" w:hAnsi="宋体" w:cs="Arial"/>
          <w:color w:val="auto"/>
          <w:kern w:val="0"/>
          <w:szCs w:val="21"/>
          <w:highlight w:val="none"/>
          <w:u w:val="single"/>
          <w:lang w:eastAsia="zh-CN"/>
        </w:rPr>
        <w:t>2022</w:t>
      </w:r>
      <w:r>
        <w:rPr>
          <w:rFonts w:hint="eastAsia" w:ascii="宋体" w:hAnsi="宋体" w:cs="Arial"/>
          <w:color w:val="auto"/>
          <w:kern w:val="0"/>
          <w:szCs w:val="21"/>
          <w:highlight w:val="none"/>
          <w:u w:val="single"/>
        </w:rPr>
        <w:t>年</w:t>
      </w:r>
      <w:r>
        <w:rPr>
          <w:rFonts w:hint="eastAsia" w:ascii="宋体" w:hAnsi="宋体" w:cs="Arial"/>
          <w:color w:val="auto"/>
          <w:kern w:val="0"/>
          <w:szCs w:val="21"/>
          <w:highlight w:val="none"/>
          <w:u w:val="single"/>
          <w:lang w:val="en-US" w:eastAsia="zh-CN"/>
        </w:rPr>
        <w:t xml:space="preserve"> 11 月 22  日</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u w:val="single"/>
          <w:lang w:val="en-US" w:eastAsia="zh-CN"/>
        </w:rPr>
        <w:t>14</w:t>
      </w:r>
      <w:r>
        <w:rPr>
          <w:rFonts w:hint="eastAsia" w:ascii="宋体" w:hAnsi="宋体" w:cs="Arial"/>
          <w:color w:val="auto"/>
          <w:kern w:val="0"/>
          <w:szCs w:val="21"/>
          <w:highlight w:val="none"/>
          <w:u w:val="single"/>
        </w:rPr>
        <w:t>: 30</w:t>
      </w:r>
      <w:r>
        <w:rPr>
          <w:rFonts w:hint="eastAsia" w:ascii="宋体" w:hAnsi="宋体" w:eastAsia="宋体" w:cs="Arial"/>
          <w:i/>
          <w:iCs/>
          <w:color w:val="auto"/>
          <w:szCs w:val="21"/>
          <w:highlight w:val="none"/>
          <w:u w:val="single"/>
          <w:lang w:val="en-US" w:eastAsia="zh-CN"/>
        </w:rPr>
        <w:t xml:space="preserve"> </w:t>
      </w:r>
      <w:r>
        <w:rPr>
          <w:rFonts w:ascii="宋体" w:hAnsi="宋体" w:cs="Arial"/>
          <w:color w:val="auto"/>
          <w:kern w:val="0"/>
          <w:szCs w:val="21"/>
          <w:highlight w:val="none"/>
          <w:u w:val="single"/>
        </w:rPr>
        <w:t> </w:t>
      </w:r>
      <w:r>
        <w:rPr>
          <w:rFonts w:ascii="宋体" w:hAnsi="宋体" w:cs="Arial"/>
          <w:color w:val="auto"/>
          <w:kern w:val="0"/>
          <w:szCs w:val="21"/>
          <w:highlight w:val="none"/>
        </w:rPr>
        <w:t>，每天上午</w:t>
      </w:r>
      <w:r>
        <w:rPr>
          <w:rFonts w:ascii="宋体" w:hAnsi="宋体" w:cs="Arial"/>
          <w:color w:val="auto"/>
          <w:kern w:val="0"/>
          <w:szCs w:val="21"/>
          <w:highlight w:val="none"/>
          <w:u w:val="single"/>
        </w:rPr>
        <w:t> 00:00至12:00</w:t>
      </w:r>
      <w:r>
        <w:rPr>
          <w:rFonts w:ascii="宋体" w:hAnsi="宋体" w:cs="Arial"/>
          <w:color w:val="auto"/>
          <w:kern w:val="0"/>
          <w:szCs w:val="21"/>
          <w:highlight w:val="none"/>
        </w:rPr>
        <w:t> ，下午</w:t>
      </w:r>
      <w:r>
        <w:rPr>
          <w:rFonts w:ascii="宋体" w:hAnsi="宋体" w:cs="Arial"/>
          <w:color w:val="auto"/>
          <w:kern w:val="0"/>
          <w:szCs w:val="21"/>
          <w:highlight w:val="none"/>
          <w:u w:val="single"/>
        </w:rPr>
        <w:t> 12:00至23:59 </w:t>
      </w:r>
      <w:r>
        <w:rPr>
          <w:rFonts w:ascii="宋体" w:hAnsi="宋体" w:cs="Arial"/>
          <w:color w:val="auto"/>
          <w:kern w:val="0"/>
          <w:szCs w:val="21"/>
          <w:highlight w:val="none"/>
        </w:rPr>
        <w:t>（北京时间，线上获取法定节假日均可，线下获取文件法定节假日除外）</w:t>
      </w:r>
    </w:p>
    <w:p>
      <w:pPr>
        <w:widowControl/>
        <w:spacing w:line="360" w:lineRule="auto"/>
        <w:ind w:firstLine="630"/>
        <w:jc w:val="left"/>
        <w:rPr>
          <w:rFonts w:ascii="宋体" w:hAnsi="宋体" w:cs="Arial"/>
          <w:color w:val="auto"/>
          <w:kern w:val="0"/>
          <w:szCs w:val="21"/>
          <w:highlight w:val="none"/>
        </w:rPr>
      </w:pPr>
      <w:r>
        <w:rPr>
          <w:rFonts w:ascii="宋体" w:hAnsi="宋体" w:cs="Arial"/>
          <w:color w:val="auto"/>
          <w:kern w:val="0"/>
          <w:szCs w:val="21"/>
          <w:highlight w:val="none"/>
        </w:rPr>
        <w:t>地点（网址）：</w:t>
      </w:r>
      <w:r>
        <w:rPr>
          <w:rFonts w:hint="eastAsia" w:ascii="宋体" w:hAnsi="宋体" w:cs="Arial"/>
          <w:color w:val="auto"/>
          <w:kern w:val="0"/>
          <w:szCs w:val="21"/>
          <w:highlight w:val="none"/>
        </w:rPr>
        <w:t>浙江政府采购网（https://zfcg.czt.zj.gov.cn）</w:t>
      </w:r>
      <w:r>
        <w:rPr>
          <w:rFonts w:ascii="宋体" w:hAnsi="宋体" w:cs="Arial"/>
          <w:color w:val="auto"/>
          <w:kern w:val="0"/>
          <w:szCs w:val="21"/>
          <w:highlight w:val="none"/>
        </w:rPr>
        <w:t> </w:t>
      </w:r>
    </w:p>
    <w:p>
      <w:pPr>
        <w:widowControl/>
        <w:spacing w:line="360" w:lineRule="auto"/>
        <w:jc w:val="left"/>
        <w:rPr>
          <w:rFonts w:ascii="宋体" w:hAnsi="宋体" w:cs="Arial"/>
          <w:color w:val="auto"/>
          <w:kern w:val="0"/>
          <w:szCs w:val="21"/>
          <w:highlight w:val="none"/>
        </w:rPr>
      </w:pPr>
      <w:r>
        <w:rPr>
          <w:rFonts w:ascii="宋体" w:hAnsi="宋体" w:cs="Arial"/>
          <w:color w:val="auto"/>
          <w:kern w:val="0"/>
          <w:szCs w:val="21"/>
          <w:highlight w:val="none"/>
        </w:rPr>
        <w:t>    方式：</w:t>
      </w:r>
      <w:r>
        <w:rPr>
          <w:rFonts w:hint="eastAsia" w:ascii="宋体" w:hAnsi="宋体" w:cs="Arial"/>
          <w:color w:val="auto"/>
          <w:kern w:val="0"/>
          <w:szCs w:val="21"/>
          <w:highlight w:val="none"/>
          <w:lang w:eastAsia="zh-CN"/>
        </w:rPr>
        <w:t>供应商登录政采云平台（https://www.zcygov.cn/）在线申请获取采购文件</w:t>
      </w:r>
    </w:p>
    <w:p>
      <w:pPr>
        <w:widowControl/>
        <w:spacing w:line="360" w:lineRule="auto"/>
        <w:jc w:val="left"/>
        <w:rPr>
          <w:rFonts w:ascii="宋体" w:hAnsi="宋体" w:cs="Arial"/>
          <w:color w:val="auto"/>
          <w:kern w:val="0"/>
          <w:szCs w:val="21"/>
          <w:highlight w:val="none"/>
        </w:rPr>
      </w:pPr>
      <w:r>
        <w:rPr>
          <w:rFonts w:ascii="宋体" w:hAnsi="宋体" w:cs="Arial"/>
          <w:color w:val="auto"/>
          <w:kern w:val="0"/>
          <w:szCs w:val="21"/>
          <w:highlight w:val="none"/>
        </w:rPr>
        <w:t>    售价（元）：0 </w:t>
      </w:r>
    </w:p>
    <w:p>
      <w:pPr>
        <w:widowControl/>
        <w:spacing w:line="360" w:lineRule="auto"/>
        <w:rPr>
          <w:rFonts w:ascii="宋体" w:hAnsi="宋体" w:cs="Arial"/>
          <w:color w:val="auto"/>
          <w:kern w:val="0"/>
          <w:szCs w:val="21"/>
          <w:highlight w:val="none"/>
        </w:rPr>
      </w:pPr>
      <w:r>
        <w:rPr>
          <w:rFonts w:ascii="宋体" w:hAnsi="宋体" w:cs="Arial"/>
          <w:b/>
          <w:bCs/>
          <w:color w:val="auto"/>
          <w:kern w:val="0"/>
          <w:szCs w:val="21"/>
          <w:highlight w:val="none"/>
        </w:rPr>
        <w:t>四、提交投标文件截止时间、开标时间和地点</w:t>
      </w:r>
    </w:p>
    <w:p>
      <w:pPr>
        <w:widowControl/>
        <w:spacing w:line="360" w:lineRule="auto"/>
        <w:ind w:firstLine="420" w:firstLineChars="200"/>
        <w:jc w:val="left"/>
        <w:rPr>
          <w:rFonts w:ascii="宋体" w:hAnsi="宋体" w:cs="Arial"/>
          <w:color w:val="auto"/>
          <w:kern w:val="0"/>
          <w:szCs w:val="21"/>
          <w:highlight w:val="none"/>
        </w:rPr>
      </w:pPr>
      <w:r>
        <w:rPr>
          <w:rFonts w:ascii="宋体" w:hAnsi="宋体" w:cs="Arial"/>
          <w:color w:val="auto"/>
          <w:kern w:val="0"/>
          <w:szCs w:val="21"/>
          <w:highlight w:val="none"/>
        </w:rPr>
        <w:t>提交投标文件截止时间：</w:t>
      </w:r>
      <w:r>
        <w:rPr>
          <w:rFonts w:ascii="宋体" w:hAnsi="宋体" w:cs="Arial"/>
          <w:color w:val="auto"/>
          <w:kern w:val="0"/>
          <w:szCs w:val="21"/>
          <w:highlight w:val="none"/>
          <w:u w:val="single"/>
        </w:rPr>
        <w:t> </w:t>
      </w:r>
      <w:r>
        <w:rPr>
          <w:rFonts w:hint="eastAsia" w:ascii="宋体" w:hAnsi="宋体" w:cs="Arial"/>
          <w:color w:val="auto"/>
          <w:kern w:val="0"/>
          <w:szCs w:val="21"/>
          <w:highlight w:val="none"/>
          <w:u w:val="single"/>
          <w:lang w:val="en-US" w:eastAsia="zh-CN"/>
        </w:rPr>
        <w:t>2022年  11 月 22  日</w:t>
      </w:r>
      <w:r>
        <w:rPr>
          <w:rFonts w:ascii="宋体" w:hAnsi="宋体" w:cs="Arial"/>
          <w:color w:val="auto"/>
          <w:kern w:val="0"/>
          <w:szCs w:val="21"/>
          <w:highlight w:val="none"/>
          <w:u w:val="single"/>
        </w:rPr>
        <w:t xml:space="preserve"> </w:t>
      </w:r>
      <w:r>
        <w:rPr>
          <w:rFonts w:hint="eastAsia" w:ascii="宋体" w:hAnsi="宋体" w:cs="Arial"/>
          <w:color w:val="auto"/>
          <w:kern w:val="0"/>
          <w:szCs w:val="21"/>
          <w:highlight w:val="none"/>
          <w:u w:val="single"/>
          <w:lang w:val="en-US" w:eastAsia="zh-CN"/>
        </w:rPr>
        <w:t>14</w:t>
      </w:r>
      <w:r>
        <w:rPr>
          <w:rFonts w:ascii="宋体" w:hAnsi="宋体" w:cs="Arial"/>
          <w:color w:val="auto"/>
          <w:kern w:val="0"/>
          <w:szCs w:val="21"/>
          <w:highlight w:val="none"/>
          <w:u w:val="single"/>
        </w:rPr>
        <w:t>:</w:t>
      </w:r>
      <w:r>
        <w:rPr>
          <w:rFonts w:hint="eastAsia" w:ascii="宋体" w:hAnsi="宋体" w:cs="Arial"/>
          <w:color w:val="auto"/>
          <w:kern w:val="0"/>
          <w:szCs w:val="21"/>
          <w:highlight w:val="none"/>
          <w:u w:val="single"/>
          <w:lang w:val="en-US" w:eastAsia="zh-CN"/>
        </w:rPr>
        <w:t xml:space="preserve"> 30</w:t>
      </w:r>
      <w:r>
        <w:rPr>
          <w:rFonts w:ascii="宋体" w:hAnsi="宋体" w:cs="Arial"/>
          <w:color w:val="auto"/>
          <w:kern w:val="0"/>
          <w:szCs w:val="21"/>
          <w:highlight w:val="none"/>
          <w:u w:val="single"/>
        </w:rPr>
        <w:t>  </w:t>
      </w:r>
      <w:r>
        <w:rPr>
          <w:rFonts w:ascii="宋体" w:hAnsi="宋体" w:cs="Arial"/>
          <w:color w:val="auto"/>
          <w:kern w:val="0"/>
          <w:szCs w:val="21"/>
          <w:highlight w:val="none"/>
        </w:rPr>
        <w:t>（北京时间）</w:t>
      </w:r>
    </w:p>
    <w:p>
      <w:pPr>
        <w:widowControl/>
        <w:spacing w:line="360" w:lineRule="auto"/>
        <w:ind w:firstLine="420" w:firstLineChars="200"/>
        <w:jc w:val="left"/>
        <w:rPr>
          <w:rFonts w:ascii="宋体" w:hAnsi="宋体" w:cs="Arial"/>
          <w:color w:val="auto"/>
          <w:kern w:val="0"/>
          <w:szCs w:val="21"/>
          <w:highlight w:val="none"/>
        </w:rPr>
      </w:pPr>
      <w:r>
        <w:rPr>
          <w:rFonts w:ascii="宋体" w:hAnsi="宋体" w:cs="Arial"/>
          <w:color w:val="auto"/>
          <w:kern w:val="0"/>
          <w:szCs w:val="21"/>
          <w:highlight w:val="none"/>
        </w:rPr>
        <w:t>投标地点（网址）：</w:t>
      </w:r>
      <w:r>
        <w:rPr>
          <w:rFonts w:ascii="宋体" w:hAnsi="宋体" w:cs="Arial"/>
          <w:color w:val="auto"/>
          <w:kern w:val="0"/>
          <w:szCs w:val="21"/>
          <w:highlight w:val="none"/>
          <w:u w:val="single"/>
        </w:rPr>
        <w:t>线上</w:t>
      </w:r>
      <w:r>
        <w:rPr>
          <w:rFonts w:hint="eastAsia" w:ascii="宋体" w:hAnsi="宋体" w:cs="Arial"/>
          <w:color w:val="auto"/>
          <w:kern w:val="0"/>
          <w:szCs w:val="21"/>
          <w:highlight w:val="none"/>
          <w:u w:val="single"/>
          <w:lang w:eastAsia="zh-CN"/>
        </w:rPr>
        <w:t>（请登录政采云平台上传投标文件）</w:t>
      </w:r>
    </w:p>
    <w:p>
      <w:pPr>
        <w:widowControl/>
        <w:spacing w:line="360" w:lineRule="auto"/>
        <w:ind w:firstLine="420" w:firstLineChars="200"/>
        <w:jc w:val="left"/>
        <w:rPr>
          <w:rFonts w:ascii="宋体" w:hAnsi="宋体" w:cs="Arial"/>
          <w:color w:val="auto"/>
          <w:kern w:val="0"/>
          <w:szCs w:val="21"/>
          <w:highlight w:val="none"/>
        </w:rPr>
      </w:pPr>
      <w:r>
        <w:rPr>
          <w:rFonts w:ascii="宋体" w:hAnsi="宋体" w:cs="Arial"/>
          <w:color w:val="auto"/>
          <w:kern w:val="0"/>
          <w:szCs w:val="21"/>
          <w:highlight w:val="none"/>
        </w:rPr>
        <w:t>开标时间：</w:t>
      </w:r>
      <w:r>
        <w:rPr>
          <w:rFonts w:hint="eastAsia" w:ascii="宋体" w:hAnsi="宋体" w:cs="Arial"/>
          <w:color w:val="auto"/>
          <w:kern w:val="0"/>
          <w:szCs w:val="21"/>
          <w:highlight w:val="none"/>
          <w:u w:val="single"/>
          <w:lang w:val="en-US" w:eastAsia="zh-CN"/>
        </w:rPr>
        <w:t>2022年  11  月  22  日14</w:t>
      </w:r>
      <w:r>
        <w:rPr>
          <w:rFonts w:ascii="宋体" w:hAnsi="宋体" w:cs="Arial"/>
          <w:color w:val="auto"/>
          <w:kern w:val="0"/>
          <w:szCs w:val="21"/>
          <w:highlight w:val="none"/>
          <w:u w:val="single"/>
        </w:rPr>
        <w:t>:</w:t>
      </w:r>
      <w:r>
        <w:rPr>
          <w:rFonts w:hint="eastAsia" w:ascii="宋体" w:hAnsi="宋体" w:cs="Arial"/>
          <w:color w:val="auto"/>
          <w:kern w:val="0"/>
          <w:szCs w:val="21"/>
          <w:highlight w:val="none"/>
          <w:u w:val="single"/>
          <w:lang w:val="en-US" w:eastAsia="zh-CN"/>
        </w:rPr>
        <w:t xml:space="preserve"> 30</w:t>
      </w:r>
      <w:r>
        <w:rPr>
          <w:rFonts w:ascii="宋体" w:hAnsi="宋体" w:cs="Arial"/>
          <w:color w:val="auto"/>
          <w:kern w:val="0"/>
          <w:szCs w:val="21"/>
          <w:highlight w:val="none"/>
          <w:u w:val="single"/>
        </w:rPr>
        <w:t> </w:t>
      </w:r>
    </w:p>
    <w:p>
      <w:pPr>
        <w:widowControl/>
        <w:spacing w:line="360" w:lineRule="auto"/>
        <w:ind w:firstLine="420" w:firstLineChars="200"/>
        <w:jc w:val="left"/>
        <w:rPr>
          <w:rFonts w:ascii="宋体" w:hAnsi="宋体" w:cs="Arial"/>
          <w:color w:val="auto"/>
          <w:kern w:val="0"/>
          <w:szCs w:val="21"/>
          <w:highlight w:val="none"/>
        </w:rPr>
      </w:pPr>
      <w:r>
        <w:rPr>
          <w:rFonts w:ascii="宋体" w:hAnsi="宋体" w:cs="Arial"/>
          <w:color w:val="auto"/>
          <w:kern w:val="0"/>
          <w:szCs w:val="21"/>
          <w:highlight w:val="none"/>
        </w:rPr>
        <w:t>开标地点（网址）：</w:t>
      </w:r>
      <w:r>
        <w:rPr>
          <w:rFonts w:ascii="宋体" w:hAnsi="宋体" w:cs="Arial"/>
          <w:color w:val="auto"/>
          <w:kern w:val="0"/>
          <w:szCs w:val="21"/>
          <w:highlight w:val="none"/>
          <w:u w:val="single"/>
        </w:rPr>
        <w:t>线上（</w:t>
      </w:r>
      <w:r>
        <w:rPr>
          <w:rFonts w:hint="eastAsia" w:ascii="宋体" w:hAnsi="宋体" w:cs="Arial"/>
          <w:color w:val="auto"/>
          <w:kern w:val="0"/>
          <w:szCs w:val="21"/>
          <w:highlight w:val="none"/>
          <w:u w:val="single"/>
          <w:lang w:eastAsia="zh-CN"/>
        </w:rPr>
        <w:t>请登录政采云投标客户端开标大厅</w:t>
      </w:r>
      <w:r>
        <w:rPr>
          <w:rFonts w:ascii="宋体" w:hAnsi="宋体" w:cs="Arial"/>
          <w:color w:val="auto"/>
          <w:kern w:val="0"/>
          <w:szCs w:val="21"/>
          <w:highlight w:val="none"/>
          <w:u w:val="single"/>
        </w:rPr>
        <w:t>） </w:t>
      </w:r>
    </w:p>
    <w:p>
      <w:pPr>
        <w:widowControl/>
        <w:spacing w:line="360" w:lineRule="auto"/>
        <w:rPr>
          <w:rFonts w:ascii="宋体" w:hAnsi="宋体" w:cs="Arial"/>
          <w:color w:val="auto"/>
          <w:kern w:val="0"/>
          <w:szCs w:val="21"/>
          <w:highlight w:val="none"/>
        </w:rPr>
      </w:pPr>
      <w:r>
        <w:rPr>
          <w:rFonts w:ascii="宋体" w:hAnsi="宋体" w:cs="Arial"/>
          <w:b/>
          <w:bCs/>
          <w:color w:val="auto"/>
          <w:kern w:val="0"/>
          <w:szCs w:val="21"/>
          <w:highlight w:val="none"/>
        </w:rPr>
        <w:t>五、公告期限</w:t>
      </w:r>
    </w:p>
    <w:p>
      <w:pPr>
        <w:widowControl/>
        <w:spacing w:line="360" w:lineRule="auto"/>
        <w:ind w:firstLine="420" w:firstLineChars="200"/>
        <w:jc w:val="left"/>
        <w:rPr>
          <w:rFonts w:ascii="宋体" w:hAnsi="宋体" w:cs="Arial"/>
          <w:color w:val="auto"/>
          <w:kern w:val="0"/>
          <w:szCs w:val="21"/>
          <w:highlight w:val="none"/>
        </w:rPr>
      </w:pPr>
      <w:r>
        <w:rPr>
          <w:rFonts w:ascii="宋体" w:hAnsi="宋体" w:cs="Arial"/>
          <w:color w:val="auto"/>
          <w:kern w:val="0"/>
          <w:szCs w:val="21"/>
          <w:highlight w:val="none"/>
        </w:rPr>
        <w:t>自本公告发布之日起5个工作日。</w:t>
      </w:r>
    </w:p>
    <w:p>
      <w:pPr>
        <w:widowControl/>
        <w:spacing w:line="360" w:lineRule="auto"/>
        <w:rPr>
          <w:rFonts w:hint="eastAsia" w:eastAsia="宋体"/>
          <w:color w:val="auto"/>
          <w:highlight w:val="none"/>
          <w:lang w:val="en-US" w:eastAsia="zh-CN"/>
        </w:rPr>
      </w:pPr>
      <w:r>
        <w:rPr>
          <w:rFonts w:ascii="宋体" w:hAnsi="宋体" w:cs="Arial"/>
          <w:b/>
          <w:bCs/>
          <w:color w:val="auto"/>
          <w:kern w:val="0"/>
          <w:szCs w:val="21"/>
          <w:highlight w:val="none"/>
        </w:rPr>
        <w:t>六、其他补充事</w:t>
      </w:r>
      <w:r>
        <w:rPr>
          <w:rFonts w:hint="eastAsia" w:ascii="宋体" w:hAnsi="宋体" w:cs="Arial"/>
          <w:b/>
          <w:bCs/>
          <w:color w:val="auto"/>
          <w:kern w:val="0"/>
          <w:szCs w:val="21"/>
          <w:highlight w:val="none"/>
          <w:lang w:val="en-US" w:eastAsia="zh-CN"/>
        </w:rPr>
        <w:t>项</w:t>
      </w:r>
    </w:p>
    <w:p>
      <w:pPr>
        <w:widowControl/>
        <w:spacing w:line="360" w:lineRule="auto"/>
        <w:ind w:firstLine="420" w:firstLineChars="200"/>
        <w:jc w:val="left"/>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ascii="宋体" w:hAnsi="宋体" w:cs="Arial"/>
          <w:color w:val="auto"/>
          <w:kern w:val="0"/>
          <w:szCs w:val="21"/>
          <w:highlight w:val="none"/>
        </w:rPr>
        <w:t>。</w:t>
      </w:r>
    </w:p>
    <w:p>
      <w:pPr>
        <w:widowControl/>
        <w:spacing w:line="360" w:lineRule="auto"/>
        <w:ind w:firstLine="420" w:firstLineChars="200"/>
        <w:jc w:val="left"/>
        <w:rPr>
          <w:rFonts w:hint="eastAsia" w:ascii="宋体" w:hAnsi="宋体" w:cs="Arial"/>
          <w:color w:val="auto"/>
          <w:kern w:val="0"/>
          <w:szCs w:val="21"/>
          <w:highlight w:val="none"/>
          <w:lang w:eastAsia="zh-CN"/>
        </w:rPr>
      </w:pPr>
      <w:r>
        <w:rPr>
          <w:rFonts w:hint="eastAsia" w:ascii="宋体" w:hAnsi="宋体" w:cs="Arial"/>
          <w:color w:val="auto"/>
          <w:kern w:val="0"/>
          <w:szCs w:val="21"/>
          <w:highlight w:val="none"/>
          <w:lang w:val="en-US" w:eastAsia="zh-CN"/>
        </w:rPr>
        <w:t>2</w:t>
      </w:r>
      <w:r>
        <w:rPr>
          <w:rFonts w:ascii="宋体" w:hAnsi="宋体" w:cs="Arial"/>
          <w:color w:val="auto"/>
          <w:kern w:val="0"/>
          <w:szCs w:val="21"/>
          <w:highlight w:val="none"/>
        </w:rPr>
        <w:t>、</w:t>
      </w:r>
      <w:r>
        <w:rPr>
          <w:rFonts w:hint="eastAsia" w:ascii="宋体" w:hAnsi="宋体" w:cs="Arial"/>
          <w:color w:val="auto"/>
          <w:kern w:val="0"/>
          <w:szCs w:val="21"/>
          <w:highlight w:val="none"/>
          <w:lang w:eastAsia="zh-CN"/>
        </w:rPr>
        <w:t>其他事项</w:t>
      </w:r>
    </w:p>
    <w:p>
      <w:pPr>
        <w:widowControl/>
        <w:spacing w:line="360" w:lineRule="auto"/>
        <w:ind w:firstLine="420" w:firstLineChars="200"/>
        <w:jc w:val="left"/>
        <w:rPr>
          <w:rFonts w:hint="eastAsia" w:ascii="宋体" w:hAnsi="宋体" w:eastAsia="宋体" w:cs="宋体"/>
          <w:i/>
          <w:iCs/>
          <w:color w:val="auto"/>
          <w:kern w:val="0"/>
          <w:szCs w:val="21"/>
          <w:highlight w:val="none"/>
          <w:lang w:val="en-US" w:eastAsia="zh-CN"/>
        </w:rPr>
      </w:pPr>
      <w:r>
        <w:rPr>
          <w:rFonts w:ascii="宋体" w:hAnsi="宋体" w:cs="Arial"/>
          <w:color w:val="auto"/>
          <w:kern w:val="0"/>
          <w:szCs w:val="21"/>
          <w:highlight w:val="none"/>
        </w:rPr>
        <w:t>（1）采购项目需要落实的政府采购政策：</w:t>
      </w:r>
      <w:r>
        <w:rPr>
          <w:rFonts w:hint="eastAsia" w:ascii="宋体" w:hAnsi="宋体" w:cs="Arial"/>
          <w:color w:val="auto"/>
          <w:kern w:val="0"/>
          <w:szCs w:val="21"/>
          <w:highlight w:val="none"/>
        </w:rPr>
        <w:t>《政府采购促进中小企业发展管理办法》</w:t>
      </w:r>
      <w:r>
        <w:rPr>
          <w:rFonts w:ascii="宋体" w:hAnsi="宋体" w:cs="Arial"/>
          <w:color w:val="auto"/>
          <w:kern w:val="0"/>
          <w:szCs w:val="21"/>
          <w:highlight w:val="none"/>
        </w:rPr>
        <w:t>、《关于促进残疾人就业政府采购政策的通知》（财库〔2017〕141号）、《关于政府采购支持监狱企业发展有关问题的通知》（财库[2014]68号）、《关于调整优化节能产品环境标志产品政府采购执行机制的通知》（财库[2019]9号）。</w:t>
      </w:r>
    </w:p>
    <w:p>
      <w:pPr>
        <w:widowControl/>
        <w:spacing w:line="360" w:lineRule="auto"/>
        <w:ind w:firstLine="384"/>
        <w:jc w:val="left"/>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（2）</w:t>
      </w:r>
      <w:r>
        <w:rPr>
          <w:rFonts w:ascii="宋体" w:hAnsi="宋体" w:cs="Arial"/>
          <w:color w:val="auto"/>
          <w:kern w:val="0"/>
          <w:szCs w:val="21"/>
          <w:highlight w:val="none"/>
        </w:rPr>
        <w:t>本项目采取电子招投标，电子招投标有关事项说明：</w:t>
      </w:r>
    </w:p>
    <w:p>
      <w:pPr>
        <w:widowControl/>
        <w:spacing w:line="360" w:lineRule="auto"/>
        <w:ind w:firstLine="384"/>
        <w:jc w:val="left"/>
        <w:rPr>
          <w:rFonts w:ascii="宋体" w:hAnsi="宋体" w:cs="Arial"/>
          <w:color w:val="auto"/>
          <w:kern w:val="0"/>
          <w:szCs w:val="21"/>
          <w:highlight w:val="none"/>
        </w:rPr>
      </w:pPr>
      <w:r>
        <w:rPr>
          <w:rFonts w:ascii="宋体" w:hAnsi="宋体" w:cs="Arial"/>
          <w:color w:val="auto"/>
          <w:kern w:val="0"/>
          <w:szCs w:val="21"/>
          <w:highlight w:val="none"/>
        </w:rPr>
        <w:t>A.本项目通过“浙江政府采购网（http://zfcg.czt.zj.gov.cn）”实行电子投标，供应商须安装客户端软件，并按照采购文件和电子交易平台的要求制作投标文件。</w:t>
      </w:r>
    </w:p>
    <w:p>
      <w:pPr>
        <w:widowControl/>
        <w:spacing w:line="360" w:lineRule="auto"/>
        <w:ind w:firstLine="384"/>
        <w:jc w:val="left"/>
        <w:rPr>
          <w:rFonts w:ascii="宋体" w:hAnsi="宋体" w:cs="Arial"/>
          <w:color w:val="auto"/>
          <w:kern w:val="0"/>
          <w:szCs w:val="21"/>
          <w:highlight w:val="none"/>
        </w:rPr>
      </w:pPr>
      <w:r>
        <w:rPr>
          <w:rFonts w:ascii="宋体" w:hAnsi="宋体" w:cs="Arial"/>
          <w:color w:val="auto"/>
          <w:kern w:val="0"/>
          <w:szCs w:val="21"/>
          <w:highlight w:val="none"/>
        </w:rPr>
        <w:t>客户端软件下载方式：供应商可通过“浙江政府采购网-下载专区-电子交易客户端”进行下载。</w:t>
      </w:r>
    </w:p>
    <w:p>
      <w:pPr>
        <w:widowControl/>
        <w:spacing w:line="360" w:lineRule="auto"/>
        <w:ind w:firstLine="384"/>
        <w:jc w:val="left"/>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B.</w:t>
      </w:r>
      <w:r>
        <w:rPr>
          <w:rFonts w:ascii="宋体" w:hAnsi="宋体" w:cs="Arial"/>
          <w:color w:val="auto"/>
          <w:kern w:val="0"/>
          <w:szCs w:val="21"/>
          <w:highlight w:val="none"/>
        </w:rPr>
        <w:t>供应商须申领CA，并在浙江政府采购网完成绑定方可进行投标文件的编制，CA相关操作可参考“浙江政府采购网-下载专区-电子交易客户端-CA驱动和申领流程”。</w:t>
      </w:r>
    </w:p>
    <w:p>
      <w:pPr>
        <w:widowControl/>
        <w:spacing w:line="360" w:lineRule="auto"/>
        <w:ind w:firstLine="384"/>
        <w:jc w:val="left"/>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C.供应商登录浙江政府采购网（http://zfcg.czt.zj.gov.cn/）进入政采云系统“项目采购”模块“获取采购文件”菜单，进行网上获取采购文件。通过本公告下方“游客，浏览采购文件”下载的采购文件仅供浏览。</w:t>
      </w:r>
    </w:p>
    <w:p>
      <w:pPr>
        <w:widowControl/>
        <w:spacing w:line="360" w:lineRule="auto"/>
        <w:ind w:firstLine="384"/>
        <w:jc w:val="left"/>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（3）说明：</w:t>
      </w:r>
    </w:p>
    <w:p>
      <w:pPr>
        <w:widowControl/>
        <w:numPr>
          <w:ilvl w:val="0"/>
          <w:numId w:val="0"/>
        </w:numPr>
        <w:spacing w:line="360" w:lineRule="auto"/>
        <w:ind w:left="0" w:leftChars="0" w:firstLine="420" w:firstLineChars="200"/>
        <w:jc w:val="left"/>
        <w:rPr>
          <w:rFonts w:hint="eastAsia" w:ascii="宋体" w:hAnsi="宋体" w:cs="Arial"/>
          <w:i/>
          <w:iCs/>
          <w:color w:val="auto"/>
          <w:kern w:val="0"/>
          <w:szCs w:val="21"/>
          <w:highlight w:val="none"/>
        </w:rPr>
      </w:pPr>
      <w:r>
        <w:rPr>
          <w:rFonts w:hint="eastAsia" w:ascii="宋体" w:hAnsi="宋体" w:cs="Arial"/>
          <w:i/>
          <w:iCs/>
          <w:color w:val="auto"/>
          <w:kern w:val="0"/>
          <w:szCs w:val="21"/>
          <w:highlight w:val="none"/>
          <w:lang w:val="en-US" w:eastAsia="zh-CN"/>
        </w:rPr>
        <w:t>A.</w:t>
      </w:r>
      <w:r>
        <w:rPr>
          <w:rFonts w:hint="eastAsia" w:ascii="宋体" w:hAnsi="宋体" w:cs="Arial"/>
          <w:i/>
          <w:iCs/>
          <w:color w:val="auto"/>
          <w:kern w:val="0"/>
          <w:szCs w:val="21"/>
          <w:highlight w:val="none"/>
        </w:rPr>
        <w:t>根据《浙江省财政厅关于规范政府采购供应商资格设定及资格审查的通知》（浙财采监[2013]24号）第6条规定接受金融、保险、通讯等特定行业的全国性企业所设立的区域性分支机构，以及个体工商户、个人独资企业、合伙企业，且已经依法办理了工商、税务和社保登记手续，并且获得总机构授权或能够提供房产权证或其他有效财产证明材料，证明其具备实际承担责任的能力和法定的缔结合同能力； 　　</w:t>
      </w:r>
    </w:p>
    <w:p>
      <w:pPr>
        <w:widowControl/>
        <w:numPr>
          <w:ilvl w:val="0"/>
          <w:numId w:val="0"/>
        </w:numPr>
        <w:spacing w:line="360" w:lineRule="auto"/>
        <w:ind w:left="0" w:leftChars="0" w:firstLine="420" w:firstLineChars="200"/>
        <w:jc w:val="left"/>
        <w:rPr>
          <w:rFonts w:hint="eastAsia" w:ascii="宋体" w:hAnsi="宋体" w:cs="Arial"/>
          <w:i/>
          <w:iCs/>
          <w:color w:val="auto"/>
          <w:kern w:val="0"/>
          <w:szCs w:val="21"/>
          <w:highlight w:val="none"/>
        </w:rPr>
      </w:pPr>
      <w:r>
        <w:rPr>
          <w:rFonts w:hint="eastAsia" w:ascii="宋体" w:hAnsi="宋体" w:cs="Arial"/>
          <w:i/>
          <w:iCs/>
          <w:color w:val="auto"/>
          <w:kern w:val="0"/>
          <w:szCs w:val="21"/>
          <w:highlight w:val="none"/>
          <w:lang w:val="en-US" w:eastAsia="zh-CN"/>
        </w:rPr>
        <w:t>B.</w:t>
      </w:r>
      <w:r>
        <w:rPr>
          <w:rFonts w:hint="eastAsia" w:ascii="宋体" w:hAnsi="宋体" w:cs="Arial"/>
          <w:i/>
          <w:iCs/>
          <w:color w:val="auto"/>
          <w:kern w:val="0"/>
          <w:szCs w:val="21"/>
          <w:highlight w:val="none"/>
        </w:rPr>
        <w:t>供应商未被列入失信被执行人名单、重大税收违法案件当事人名单、政府采购严重违法失信行为记录名单，信用信息以信用中国网站（www.creditchina.gov.cn）、中国政府采购网（www.ccgp.gov.cn）公布为准； 　　</w:t>
      </w:r>
    </w:p>
    <w:p>
      <w:pPr>
        <w:widowControl/>
        <w:numPr>
          <w:ilvl w:val="0"/>
          <w:numId w:val="0"/>
        </w:numPr>
        <w:spacing w:line="360" w:lineRule="auto"/>
        <w:ind w:left="0" w:leftChars="0" w:firstLine="420" w:firstLineChars="200"/>
        <w:jc w:val="left"/>
        <w:rPr>
          <w:rFonts w:ascii="宋体" w:hAnsi="宋体" w:cs="Arial"/>
          <w:i/>
          <w:iCs/>
          <w:color w:val="auto"/>
          <w:kern w:val="0"/>
          <w:szCs w:val="21"/>
          <w:highlight w:val="none"/>
        </w:rPr>
      </w:pPr>
      <w:r>
        <w:rPr>
          <w:rFonts w:hint="eastAsia" w:ascii="宋体" w:hAnsi="宋体" w:cs="Arial"/>
          <w:i/>
          <w:iCs/>
          <w:color w:val="auto"/>
          <w:kern w:val="0"/>
          <w:szCs w:val="21"/>
          <w:highlight w:val="none"/>
          <w:lang w:val="en-US" w:eastAsia="zh-CN"/>
        </w:rPr>
        <w:t>C.</w:t>
      </w:r>
      <w:r>
        <w:rPr>
          <w:rFonts w:hint="eastAsia" w:ascii="宋体" w:hAnsi="宋体" w:cs="Arial"/>
          <w:i/>
          <w:iCs/>
          <w:color w:val="auto"/>
          <w:kern w:val="0"/>
          <w:szCs w:val="21"/>
          <w:highlight w:val="none"/>
        </w:rPr>
        <w:t>单位负责人为同一人或者存在直接控股、管理关系的不同供应商，不得同时参加同一合同项下的投标</w:t>
      </w:r>
      <w:r>
        <w:rPr>
          <w:rFonts w:hint="eastAsia" w:ascii="宋体" w:hAnsi="宋体" w:cs="Arial"/>
          <w:i/>
          <w:iCs/>
          <w:color w:val="auto"/>
          <w:kern w:val="0"/>
          <w:szCs w:val="21"/>
          <w:highlight w:val="none"/>
          <w:lang w:eastAsia="zh-CN"/>
        </w:rPr>
        <w:t>。</w:t>
      </w:r>
      <w:r>
        <w:rPr>
          <w:rFonts w:hint="eastAsia" w:ascii="宋体" w:hAnsi="宋体" w:cs="Arial"/>
          <w:i/>
          <w:iCs/>
          <w:color w:val="auto"/>
          <w:kern w:val="0"/>
          <w:szCs w:val="21"/>
          <w:highlight w:val="none"/>
        </w:rPr>
        <w:t> </w:t>
      </w:r>
    </w:p>
    <w:p>
      <w:pPr>
        <w:pStyle w:val="15"/>
        <w:rPr>
          <w:color w:val="auto"/>
          <w:highlight w:val="none"/>
        </w:rPr>
      </w:pPr>
    </w:p>
    <w:p>
      <w:pPr>
        <w:widowControl/>
        <w:spacing w:line="360" w:lineRule="auto"/>
        <w:rPr>
          <w:rFonts w:ascii="宋体" w:hAnsi="宋体" w:cs="Arial"/>
          <w:color w:val="auto"/>
          <w:kern w:val="0"/>
          <w:szCs w:val="21"/>
          <w:highlight w:val="none"/>
        </w:rPr>
      </w:pPr>
      <w:r>
        <w:rPr>
          <w:rFonts w:ascii="宋体" w:hAnsi="宋体" w:cs="Arial"/>
          <w:b/>
          <w:bCs/>
          <w:color w:val="auto"/>
          <w:kern w:val="0"/>
          <w:szCs w:val="21"/>
          <w:highlight w:val="none"/>
        </w:rPr>
        <w:t>七、</w:t>
      </w:r>
      <w:r>
        <w:rPr>
          <w:rFonts w:hint="eastAsia" w:ascii="宋体" w:hAnsi="宋体" w:cs="Arial"/>
          <w:b/>
          <w:bCs/>
          <w:color w:val="auto"/>
          <w:kern w:val="0"/>
          <w:szCs w:val="21"/>
          <w:highlight w:val="none"/>
        </w:rPr>
        <w:t>对本次采购提出询问、质疑、投诉，请按以下方式联系</w:t>
      </w:r>
      <w:r>
        <w:rPr>
          <w:rFonts w:ascii="宋体" w:hAnsi="宋体" w:cs="Arial"/>
          <w:color w:val="auto"/>
          <w:kern w:val="0"/>
          <w:szCs w:val="21"/>
          <w:highlight w:val="none"/>
        </w:rPr>
        <w:t>　　　　　　　　　　　　</w:t>
      </w:r>
    </w:p>
    <w:p>
      <w:pPr>
        <w:keepNext w:val="0"/>
        <w:keepLines w:val="0"/>
        <w:pageBreakBefore w:val="0"/>
        <w:widowControl/>
        <w:kinsoku/>
        <w:wordWrap/>
        <w:overflowPunct/>
        <w:topLinePunct w:val="0"/>
        <w:autoSpaceDE/>
        <w:autoSpaceDN/>
        <w:bidi w:val="0"/>
        <w:adjustRightInd w:val="0"/>
        <w:snapToGrid w:val="0"/>
        <w:spacing w:line="360" w:lineRule="auto"/>
        <w:ind w:firstLine="422" w:firstLineChars="200"/>
        <w:jc w:val="left"/>
        <w:textAlignment w:val="auto"/>
        <w:rPr>
          <w:rFonts w:hint="eastAsia" w:ascii="宋体" w:hAnsi="宋体" w:eastAsia="宋体" w:cs="Arial"/>
          <w:b/>
          <w:bCs/>
          <w:color w:val="auto"/>
          <w:szCs w:val="21"/>
          <w:highlight w:val="none"/>
        </w:rPr>
      </w:pPr>
      <w:r>
        <w:rPr>
          <w:rFonts w:hint="eastAsia" w:ascii="宋体" w:hAnsi="宋体" w:eastAsia="宋体" w:cs="Arial"/>
          <w:b/>
          <w:bCs/>
          <w:color w:val="auto"/>
          <w:szCs w:val="21"/>
          <w:highlight w:val="none"/>
        </w:rPr>
        <w:t>1.采购人信息</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Arial"/>
          <w:color w:val="auto"/>
          <w:szCs w:val="21"/>
          <w:highlight w:val="none"/>
        </w:rPr>
      </w:pPr>
      <w:r>
        <w:rPr>
          <w:rFonts w:hint="eastAsia" w:ascii="宋体" w:hAnsi="宋体" w:eastAsia="宋体" w:cs="Arial"/>
          <w:color w:val="auto"/>
          <w:szCs w:val="21"/>
          <w:highlight w:val="none"/>
        </w:rPr>
        <w:t>名    称：</w:t>
      </w:r>
      <w:r>
        <w:rPr>
          <w:rFonts w:hint="eastAsia" w:ascii="宋体" w:hAnsi="宋体" w:eastAsia="宋体" w:cs="Arial"/>
          <w:color w:val="auto"/>
          <w:szCs w:val="21"/>
          <w:highlight w:val="none"/>
          <w:u w:val="single"/>
          <w:lang w:eastAsia="zh-CN"/>
        </w:rPr>
        <w:t>浙江省数字财政管理中心</w:t>
      </w:r>
      <w:r>
        <w:rPr>
          <w:rFonts w:hint="eastAsia" w:ascii="宋体" w:hAnsi="宋体" w:eastAsia="宋体" w:cs="Arial"/>
          <w:color w:val="auto"/>
          <w:szCs w:val="21"/>
          <w:highlight w:val="none"/>
          <w:u w:val="single"/>
          <w:lang w:val="en-US" w:eastAsia="zh-CN"/>
        </w:rPr>
        <w:t xml:space="preserve"> </w:t>
      </w:r>
      <w:r>
        <w:rPr>
          <w:rFonts w:hint="eastAsia" w:ascii="宋体" w:hAnsi="宋体" w:eastAsia="宋体" w:cs="Arial"/>
          <w:color w:val="auto"/>
          <w:szCs w:val="21"/>
          <w:highlight w:val="none"/>
        </w:rPr>
        <w:t>　　　　　　　　　</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Arial"/>
          <w:color w:val="auto"/>
          <w:szCs w:val="21"/>
          <w:highlight w:val="none"/>
          <w:lang w:val="en-US" w:eastAsia="zh-CN"/>
        </w:rPr>
      </w:pPr>
      <w:r>
        <w:rPr>
          <w:rFonts w:hint="eastAsia" w:ascii="宋体" w:hAnsi="宋体" w:eastAsia="宋体" w:cs="Arial"/>
          <w:color w:val="auto"/>
          <w:szCs w:val="21"/>
          <w:highlight w:val="none"/>
        </w:rPr>
        <w:t>地    址：</w:t>
      </w:r>
      <w:r>
        <w:rPr>
          <w:rFonts w:hint="eastAsia" w:ascii="宋体" w:hAnsi="宋体" w:eastAsia="宋体" w:cs="Arial"/>
          <w:color w:val="auto"/>
          <w:szCs w:val="21"/>
          <w:highlight w:val="none"/>
          <w:u w:val="single"/>
          <w:lang w:eastAsia="zh-CN"/>
        </w:rPr>
        <w:t>杭州市环城西路</w:t>
      </w:r>
      <w:r>
        <w:rPr>
          <w:rFonts w:hint="eastAsia" w:ascii="宋体" w:hAnsi="宋体" w:eastAsia="宋体" w:cs="Arial"/>
          <w:color w:val="auto"/>
          <w:szCs w:val="21"/>
          <w:highlight w:val="none"/>
          <w:u w:val="single"/>
          <w:lang w:val="en-US" w:eastAsia="zh-CN"/>
        </w:rPr>
        <w:t xml:space="preserve">37号 </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Arial"/>
          <w:color w:val="auto"/>
          <w:szCs w:val="21"/>
          <w:highlight w:val="none"/>
          <w:u w:val="single"/>
          <w:lang w:val="en-US" w:eastAsia="zh-CN"/>
        </w:rPr>
      </w:pPr>
      <w:r>
        <w:rPr>
          <w:rFonts w:hint="eastAsia" w:ascii="宋体" w:hAnsi="宋体" w:eastAsia="宋体" w:cs="Arial"/>
          <w:color w:val="auto"/>
          <w:szCs w:val="21"/>
          <w:highlight w:val="none"/>
        </w:rPr>
        <w:t>传    真：</w:t>
      </w:r>
      <w:r>
        <w:rPr>
          <w:rFonts w:hint="eastAsia" w:ascii="宋体" w:hAnsi="宋体" w:eastAsia="宋体" w:cs="Arial"/>
          <w:color w:val="auto"/>
          <w:szCs w:val="21"/>
          <w:highlight w:val="none"/>
          <w:u w:val="single"/>
        </w:rPr>
        <w:t> </w:t>
      </w:r>
      <w:r>
        <w:rPr>
          <w:rFonts w:hint="eastAsia" w:ascii="宋体" w:hAnsi="宋体" w:eastAsia="宋体" w:cs="Arial"/>
          <w:color w:val="auto"/>
          <w:szCs w:val="21"/>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Arial"/>
          <w:color w:val="auto"/>
          <w:szCs w:val="21"/>
          <w:highlight w:val="none"/>
        </w:rPr>
      </w:pPr>
      <w:r>
        <w:rPr>
          <w:rFonts w:hint="eastAsia" w:ascii="宋体" w:hAnsi="宋体" w:eastAsia="宋体" w:cs="Arial"/>
          <w:color w:val="auto"/>
          <w:szCs w:val="21"/>
          <w:highlight w:val="none"/>
        </w:rPr>
        <w:t>项目联系人（询问）：</w:t>
      </w:r>
      <w:r>
        <w:rPr>
          <w:rFonts w:hint="eastAsia" w:ascii="宋体" w:hAnsi="宋体" w:eastAsia="宋体" w:cs="Arial"/>
          <w:color w:val="auto"/>
          <w:szCs w:val="21"/>
          <w:highlight w:val="none"/>
          <w:u w:val="single"/>
          <w:lang w:val="en-US" w:eastAsia="zh-CN"/>
        </w:rPr>
        <w:t xml:space="preserve">   </w:t>
      </w:r>
      <w:r>
        <w:rPr>
          <w:rFonts w:hint="eastAsia" w:ascii="宋体" w:hAnsi="宋体" w:cs="Arial"/>
          <w:color w:val="auto"/>
          <w:szCs w:val="21"/>
          <w:highlight w:val="none"/>
          <w:u w:val="single"/>
          <w:lang w:val="en-US" w:eastAsia="zh-CN"/>
        </w:rPr>
        <w:t>金雪姣</w:t>
      </w:r>
      <w:r>
        <w:rPr>
          <w:rFonts w:hint="eastAsia" w:ascii="宋体" w:hAnsi="宋体" w:eastAsia="宋体" w:cs="Arial"/>
          <w:color w:val="auto"/>
          <w:szCs w:val="21"/>
          <w:highlight w:val="none"/>
          <w:u w:val="single"/>
        </w:rPr>
        <w:t>　　</w:t>
      </w:r>
      <w:r>
        <w:rPr>
          <w:rFonts w:hint="eastAsia" w:ascii="宋体" w:hAnsi="宋体" w:eastAsia="宋体" w:cs="Arial"/>
          <w:color w:val="auto"/>
          <w:szCs w:val="21"/>
          <w:highlight w:val="none"/>
        </w:rPr>
        <w:t>　　　　　　　　</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Arial"/>
          <w:color w:val="auto"/>
          <w:szCs w:val="21"/>
          <w:highlight w:val="none"/>
          <w:u w:val="single"/>
          <w:lang w:val="en-US" w:eastAsia="zh-CN"/>
        </w:rPr>
      </w:pPr>
      <w:r>
        <w:rPr>
          <w:rFonts w:hint="eastAsia" w:ascii="宋体" w:hAnsi="宋体" w:eastAsia="宋体" w:cs="Arial"/>
          <w:color w:val="auto"/>
          <w:szCs w:val="21"/>
          <w:highlight w:val="none"/>
        </w:rPr>
        <w:t>项目联系方式（询问）：</w:t>
      </w:r>
      <w:r>
        <w:rPr>
          <w:rFonts w:hint="eastAsia" w:ascii="宋体" w:hAnsi="宋体" w:cs="Arial"/>
          <w:color w:val="auto"/>
          <w:szCs w:val="21"/>
          <w:highlight w:val="none"/>
          <w:u w:val="single"/>
          <w:lang w:val="en-US" w:eastAsia="zh-CN"/>
        </w:rPr>
        <w:t>0571-87055732</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Arial"/>
          <w:color w:val="auto"/>
          <w:szCs w:val="21"/>
          <w:highlight w:val="none"/>
          <w:u w:val="single"/>
        </w:rPr>
      </w:pPr>
      <w:r>
        <w:rPr>
          <w:rFonts w:hint="eastAsia" w:ascii="宋体" w:hAnsi="宋体" w:eastAsia="宋体" w:cs="Arial"/>
          <w:color w:val="auto"/>
          <w:szCs w:val="21"/>
          <w:highlight w:val="none"/>
        </w:rPr>
        <w:t> </w:t>
      </w:r>
      <w:r>
        <w:rPr>
          <w:rFonts w:hint="eastAsia" w:ascii="宋体" w:hAnsi="宋体" w:eastAsia="宋体" w:cs="Arial"/>
          <w:color w:val="auto"/>
          <w:szCs w:val="21"/>
          <w:highlight w:val="none"/>
          <w:lang w:val="en-US" w:eastAsia="zh-CN"/>
        </w:rPr>
        <w:t xml:space="preserve">  </w:t>
      </w:r>
      <w:r>
        <w:rPr>
          <w:rFonts w:hint="eastAsia" w:ascii="宋体" w:hAnsi="宋体" w:eastAsia="宋体" w:cs="Arial"/>
          <w:color w:val="auto"/>
          <w:szCs w:val="21"/>
          <w:highlight w:val="none"/>
        </w:rPr>
        <w:t>质疑联系人： </w:t>
      </w:r>
      <w:r>
        <w:rPr>
          <w:rFonts w:hint="eastAsia" w:ascii="宋体" w:hAnsi="宋体" w:eastAsia="宋体" w:cs="Arial"/>
          <w:color w:val="auto"/>
          <w:szCs w:val="21"/>
          <w:highlight w:val="none"/>
          <w:u w:val="single"/>
          <w:lang w:val="en-US" w:eastAsia="zh-CN"/>
        </w:rPr>
        <w:t xml:space="preserve"> </w:t>
      </w:r>
      <w:r>
        <w:rPr>
          <w:rFonts w:hint="eastAsia" w:ascii="宋体" w:hAnsi="宋体" w:eastAsia="宋体" w:cs="Arial"/>
          <w:color w:val="auto"/>
          <w:szCs w:val="21"/>
          <w:highlight w:val="none"/>
          <w:u w:val="single"/>
        </w:rPr>
        <w:t>王洪俊</w:t>
      </w:r>
      <w:r>
        <w:rPr>
          <w:rFonts w:hint="eastAsia" w:ascii="宋体" w:hAnsi="宋体" w:eastAsia="宋体" w:cs="Arial"/>
          <w:color w:val="auto"/>
          <w:szCs w:val="21"/>
          <w:highlight w:val="none"/>
          <w:u w:val="single"/>
          <w:lang w:val="en-US" w:eastAsia="zh-CN"/>
        </w:rPr>
        <w:t xml:space="preserve"> </w:t>
      </w:r>
      <w:r>
        <w:rPr>
          <w:rFonts w:hint="eastAsia" w:ascii="宋体" w:hAnsi="宋体" w:eastAsia="宋体" w:cs="Arial"/>
          <w:color w:val="auto"/>
          <w:szCs w:val="21"/>
          <w:highlight w:val="none"/>
          <w:u w:val="single"/>
        </w:rPr>
        <w:t> </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Arial"/>
          <w:color w:val="auto"/>
          <w:szCs w:val="21"/>
          <w:highlight w:val="none"/>
        </w:rPr>
      </w:pPr>
      <w:r>
        <w:rPr>
          <w:rFonts w:hint="eastAsia" w:ascii="宋体" w:hAnsi="宋体" w:eastAsia="宋体" w:cs="Arial"/>
          <w:color w:val="auto"/>
          <w:szCs w:val="21"/>
          <w:highlight w:val="none"/>
        </w:rPr>
        <w:t>质疑联系方式：</w:t>
      </w:r>
      <w:r>
        <w:rPr>
          <w:rFonts w:hint="eastAsia" w:ascii="宋体" w:hAnsi="宋体" w:eastAsia="宋体" w:cs="Arial"/>
          <w:color w:val="auto"/>
          <w:szCs w:val="21"/>
          <w:highlight w:val="none"/>
          <w:u w:val="single"/>
          <w:lang w:val="en-US" w:eastAsia="zh-CN"/>
        </w:rPr>
        <w:t xml:space="preserve"> </w:t>
      </w:r>
      <w:r>
        <w:rPr>
          <w:rFonts w:hint="eastAsia" w:ascii="宋体" w:hAnsi="宋体" w:eastAsia="宋体" w:cs="Arial"/>
          <w:color w:val="auto"/>
          <w:szCs w:val="21"/>
          <w:highlight w:val="none"/>
          <w:u w:val="single"/>
        </w:rPr>
        <w:t>13588886501</w:t>
      </w:r>
      <w:r>
        <w:rPr>
          <w:rFonts w:hint="eastAsia" w:ascii="宋体" w:hAnsi="宋体" w:eastAsia="宋体" w:cs="Arial"/>
          <w:color w:val="auto"/>
          <w:szCs w:val="21"/>
          <w:highlight w:val="none"/>
          <w:u w:val="single"/>
          <w:lang w:val="en-US" w:eastAsia="zh-CN"/>
        </w:rPr>
        <w:t xml:space="preserve"> </w:t>
      </w:r>
      <w:r>
        <w:rPr>
          <w:rFonts w:hint="eastAsia" w:ascii="宋体" w:hAnsi="宋体" w:eastAsia="宋体" w:cs="Arial"/>
          <w:color w:val="auto"/>
          <w:szCs w:val="21"/>
          <w:highlight w:val="none"/>
        </w:rPr>
        <w:t>　　　　　　　　　　</w:t>
      </w:r>
    </w:p>
    <w:p>
      <w:pPr>
        <w:keepNext w:val="0"/>
        <w:keepLines w:val="0"/>
        <w:pageBreakBefore w:val="0"/>
        <w:widowControl/>
        <w:kinsoku/>
        <w:wordWrap/>
        <w:overflowPunct/>
        <w:topLinePunct w:val="0"/>
        <w:autoSpaceDE/>
        <w:autoSpaceDN/>
        <w:bidi w:val="0"/>
        <w:adjustRightInd w:val="0"/>
        <w:snapToGrid w:val="0"/>
        <w:spacing w:line="360" w:lineRule="auto"/>
        <w:ind w:left="420" w:hanging="420" w:hangingChars="200"/>
        <w:jc w:val="left"/>
        <w:textAlignment w:val="auto"/>
        <w:rPr>
          <w:rFonts w:hint="eastAsia" w:ascii="宋体" w:hAnsi="宋体" w:eastAsia="宋体" w:cs="Arial"/>
          <w:color w:val="auto"/>
          <w:szCs w:val="21"/>
          <w:highlight w:val="none"/>
          <w:lang w:eastAsia="zh-CN"/>
        </w:rPr>
      </w:pPr>
      <w:r>
        <w:rPr>
          <w:rFonts w:hint="eastAsia" w:ascii="宋体" w:hAnsi="宋体" w:eastAsia="宋体" w:cs="Arial"/>
          <w:color w:val="auto"/>
          <w:szCs w:val="21"/>
          <w:highlight w:val="none"/>
        </w:rPr>
        <w:t> </w:t>
      </w:r>
    </w:p>
    <w:p>
      <w:pPr>
        <w:keepNext w:val="0"/>
        <w:keepLines w:val="0"/>
        <w:pageBreakBefore w:val="0"/>
        <w:widowControl/>
        <w:kinsoku/>
        <w:wordWrap/>
        <w:overflowPunct/>
        <w:topLinePunct w:val="0"/>
        <w:autoSpaceDE/>
        <w:autoSpaceDN/>
        <w:bidi w:val="0"/>
        <w:adjustRightInd w:val="0"/>
        <w:snapToGrid w:val="0"/>
        <w:spacing w:line="360" w:lineRule="auto"/>
        <w:ind w:left="420" w:hanging="422" w:hangingChars="200"/>
        <w:jc w:val="left"/>
        <w:textAlignment w:val="auto"/>
        <w:rPr>
          <w:rFonts w:hint="eastAsia" w:ascii="宋体" w:hAnsi="宋体" w:eastAsia="宋体" w:cs="Arial"/>
          <w:b/>
          <w:bCs/>
          <w:color w:val="auto"/>
          <w:szCs w:val="21"/>
          <w:highlight w:val="none"/>
        </w:rPr>
      </w:pPr>
      <w:r>
        <w:rPr>
          <w:rFonts w:hint="eastAsia" w:ascii="宋体" w:hAnsi="宋体" w:eastAsia="宋体" w:cs="Arial"/>
          <w:b/>
          <w:bCs/>
          <w:color w:val="auto"/>
          <w:szCs w:val="21"/>
          <w:highlight w:val="none"/>
        </w:rPr>
        <w:t>2.采购代理机构信息</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Arial"/>
          <w:color w:val="auto"/>
          <w:szCs w:val="21"/>
          <w:highlight w:val="none"/>
        </w:rPr>
      </w:pPr>
      <w:r>
        <w:rPr>
          <w:rFonts w:hint="eastAsia" w:ascii="宋体" w:hAnsi="宋体" w:eastAsia="宋体" w:cs="Arial"/>
          <w:color w:val="auto"/>
          <w:szCs w:val="21"/>
          <w:highlight w:val="none"/>
        </w:rPr>
        <w:t>名    称： </w:t>
      </w:r>
      <w:r>
        <w:rPr>
          <w:rFonts w:hint="eastAsia" w:ascii="宋体" w:hAnsi="宋体" w:eastAsia="宋体" w:cs="Arial"/>
          <w:color w:val="auto"/>
          <w:szCs w:val="21"/>
          <w:highlight w:val="none"/>
          <w:u w:val="single"/>
          <w:lang w:eastAsia="zh-CN"/>
        </w:rPr>
        <w:t>浙江国际招投标有限公司</w:t>
      </w:r>
      <w:r>
        <w:rPr>
          <w:rFonts w:hint="eastAsia" w:ascii="宋体" w:hAnsi="宋体" w:eastAsia="宋体" w:cs="Arial"/>
          <w:color w:val="auto"/>
          <w:szCs w:val="21"/>
          <w:highlight w:val="none"/>
          <w:u w:val="single"/>
        </w:rPr>
        <w:t> </w:t>
      </w:r>
      <w:r>
        <w:rPr>
          <w:rFonts w:hint="eastAsia" w:ascii="宋体" w:hAnsi="宋体" w:eastAsia="宋体" w:cs="Arial"/>
          <w:color w:val="auto"/>
          <w:szCs w:val="21"/>
          <w:highlight w:val="none"/>
        </w:rPr>
        <w:t>　　　　　　　　　　　</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Arial"/>
          <w:color w:val="auto"/>
          <w:szCs w:val="21"/>
          <w:highlight w:val="none"/>
        </w:rPr>
      </w:pPr>
      <w:r>
        <w:rPr>
          <w:rFonts w:hint="eastAsia" w:ascii="宋体" w:hAnsi="宋体" w:eastAsia="宋体" w:cs="Arial"/>
          <w:color w:val="auto"/>
          <w:szCs w:val="21"/>
          <w:highlight w:val="none"/>
        </w:rPr>
        <w:t>地    址： </w:t>
      </w:r>
      <w:r>
        <w:rPr>
          <w:rFonts w:hint="eastAsia" w:ascii="宋体" w:hAnsi="宋体" w:eastAsia="宋体" w:cs="Arial"/>
          <w:color w:val="auto"/>
          <w:szCs w:val="21"/>
          <w:highlight w:val="none"/>
          <w:u w:val="single"/>
          <w:lang w:eastAsia="zh-CN"/>
        </w:rPr>
        <w:t>杭州市</w:t>
      </w:r>
      <w:r>
        <w:rPr>
          <w:rFonts w:hint="eastAsia" w:ascii="宋体" w:hAnsi="宋体" w:eastAsia="宋体" w:cs="Arial"/>
          <w:color w:val="auto"/>
          <w:szCs w:val="21"/>
          <w:highlight w:val="none"/>
          <w:u w:val="single"/>
        </w:rPr>
        <w:t>文三路90号东部软件园</w:t>
      </w:r>
      <w:r>
        <w:rPr>
          <w:rFonts w:hint="eastAsia" w:ascii="宋体" w:hAnsi="宋体" w:eastAsia="宋体" w:cs="Arial"/>
          <w:color w:val="auto"/>
          <w:szCs w:val="21"/>
          <w:highlight w:val="none"/>
          <w:u w:val="single"/>
          <w:lang w:val="en-US" w:eastAsia="zh-CN"/>
        </w:rPr>
        <w:t>1</w:t>
      </w:r>
      <w:r>
        <w:rPr>
          <w:rFonts w:hint="eastAsia" w:ascii="宋体" w:hAnsi="宋体" w:eastAsia="宋体" w:cs="Arial"/>
          <w:color w:val="auto"/>
          <w:szCs w:val="21"/>
          <w:highlight w:val="none"/>
          <w:u w:val="single"/>
        </w:rPr>
        <w:t>号楼</w:t>
      </w:r>
      <w:r>
        <w:rPr>
          <w:rFonts w:hint="eastAsia" w:ascii="宋体" w:hAnsi="宋体" w:eastAsia="宋体" w:cs="Arial"/>
          <w:color w:val="auto"/>
          <w:szCs w:val="21"/>
          <w:highlight w:val="none"/>
          <w:u w:val="single"/>
          <w:lang w:val="en-US" w:eastAsia="zh-CN"/>
        </w:rPr>
        <w:t>3</w:t>
      </w:r>
      <w:r>
        <w:rPr>
          <w:rFonts w:hint="eastAsia" w:ascii="宋体" w:hAnsi="宋体" w:eastAsia="宋体" w:cs="Arial"/>
          <w:color w:val="auto"/>
          <w:szCs w:val="21"/>
          <w:highlight w:val="none"/>
          <w:u w:val="single"/>
        </w:rPr>
        <w:t>楼 </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Arial"/>
          <w:color w:val="auto"/>
          <w:szCs w:val="21"/>
          <w:highlight w:val="none"/>
        </w:rPr>
      </w:pPr>
      <w:r>
        <w:rPr>
          <w:rFonts w:hint="eastAsia" w:ascii="宋体" w:hAnsi="宋体" w:eastAsia="宋体" w:cs="Arial"/>
          <w:color w:val="auto"/>
          <w:szCs w:val="21"/>
          <w:highlight w:val="none"/>
        </w:rPr>
        <w:t>传    真：</w:t>
      </w:r>
      <w:r>
        <w:rPr>
          <w:rFonts w:hint="eastAsia" w:ascii="宋体" w:hAnsi="宋体" w:eastAsia="宋体" w:cs="Arial"/>
          <w:color w:val="auto"/>
          <w:szCs w:val="21"/>
          <w:highlight w:val="none"/>
          <w:u w:val="single"/>
        </w:rPr>
        <w:t> </w:t>
      </w:r>
      <w:r>
        <w:rPr>
          <w:rFonts w:hint="eastAsia" w:ascii="宋体" w:hAnsi="宋体" w:eastAsia="宋体" w:cs="Arial"/>
          <w:color w:val="auto"/>
          <w:szCs w:val="21"/>
          <w:highlight w:val="none"/>
          <w:u w:val="single"/>
          <w:lang w:val="en-US" w:eastAsia="zh-CN"/>
        </w:rPr>
        <w:t>0571-88473430</w:t>
      </w:r>
      <w:r>
        <w:rPr>
          <w:rFonts w:hint="eastAsia" w:ascii="宋体" w:hAnsi="宋体" w:eastAsia="宋体" w:cs="Arial"/>
          <w:color w:val="auto"/>
          <w:szCs w:val="21"/>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Arial"/>
          <w:color w:val="auto"/>
          <w:szCs w:val="21"/>
          <w:highlight w:val="none"/>
        </w:rPr>
      </w:pPr>
      <w:r>
        <w:rPr>
          <w:rFonts w:hint="eastAsia" w:ascii="宋体" w:hAnsi="宋体" w:eastAsia="宋体" w:cs="Arial"/>
          <w:color w:val="auto"/>
          <w:szCs w:val="21"/>
          <w:highlight w:val="none"/>
        </w:rPr>
        <w:t>项目联系人（询问）：</w:t>
      </w:r>
      <w:r>
        <w:rPr>
          <w:rFonts w:hint="eastAsia" w:ascii="宋体" w:hAnsi="宋体" w:eastAsia="宋体" w:cs="Arial"/>
          <w:color w:val="auto"/>
          <w:szCs w:val="21"/>
          <w:highlight w:val="none"/>
          <w:u w:val="single"/>
          <w:lang w:val="en-US" w:eastAsia="zh-CN"/>
        </w:rPr>
        <w:t xml:space="preserve"> 周卉</w:t>
      </w:r>
      <w:r>
        <w:rPr>
          <w:rFonts w:hint="eastAsia" w:ascii="宋体" w:hAnsi="宋体" w:eastAsia="宋体" w:cs="Arial"/>
          <w:color w:val="auto"/>
          <w:szCs w:val="21"/>
          <w:highlight w:val="none"/>
          <w:u w:val="single"/>
          <w:lang w:eastAsia="zh-CN"/>
        </w:rPr>
        <w:t>、郑珊珊</w:t>
      </w:r>
      <w:r>
        <w:rPr>
          <w:rFonts w:hint="eastAsia" w:ascii="宋体" w:hAnsi="宋体" w:eastAsia="宋体" w:cs="Arial"/>
          <w:color w:val="auto"/>
          <w:szCs w:val="21"/>
          <w:highlight w:val="none"/>
          <w:u w:val="single"/>
        </w:rPr>
        <w:t> </w:t>
      </w:r>
      <w:r>
        <w:rPr>
          <w:rFonts w:hint="eastAsia" w:ascii="宋体" w:hAnsi="宋体" w:eastAsia="宋体" w:cs="Arial"/>
          <w:color w:val="auto"/>
          <w:szCs w:val="21"/>
          <w:highlight w:val="none"/>
        </w:rPr>
        <w:t>  　　　　　　　　　　　</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Arial"/>
          <w:color w:val="auto"/>
          <w:szCs w:val="21"/>
          <w:highlight w:val="none"/>
          <w:lang w:val="en-US"/>
        </w:rPr>
      </w:pPr>
      <w:r>
        <w:rPr>
          <w:rFonts w:hint="eastAsia" w:ascii="宋体" w:hAnsi="宋体" w:eastAsia="宋体" w:cs="Arial"/>
          <w:color w:val="auto"/>
          <w:szCs w:val="21"/>
          <w:highlight w:val="none"/>
        </w:rPr>
        <w:t>项目联系方式（询问）：</w:t>
      </w:r>
      <w:r>
        <w:rPr>
          <w:rFonts w:hint="eastAsia" w:ascii="宋体" w:hAnsi="宋体" w:eastAsia="宋体" w:cs="Arial"/>
          <w:color w:val="auto"/>
          <w:szCs w:val="21"/>
          <w:highlight w:val="none"/>
          <w:u w:val="single"/>
        </w:rPr>
        <w:t> </w:t>
      </w:r>
      <w:r>
        <w:rPr>
          <w:rFonts w:hint="eastAsia" w:ascii="宋体" w:hAnsi="宋体" w:eastAsia="宋体" w:cs="Arial"/>
          <w:color w:val="auto"/>
          <w:szCs w:val="21"/>
          <w:highlight w:val="none"/>
          <w:u w:val="single"/>
          <w:lang w:val="en-US" w:eastAsia="zh-CN"/>
        </w:rPr>
        <w:t xml:space="preserve">0571-81061843  </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Arial"/>
          <w:color w:val="auto"/>
          <w:szCs w:val="21"/>
          <w:highlight w:val="none"/>
        </w:rPr>
      </w:pPr>
      <w:r>
        <w:rPr>
          <w:rFonts w:hint="eastAsia" w:ascii="宋体" w:hAnsi="宋体" w:eastAsia="宋体" w:cs="Arial"/>
          <w:color w:val="auto"/>
          <w:szCs w:val="21"/>
          <w:highlight w:val="none"/>
        </w:rPr>
        <w:t>质疑联系人：</w:t>
      </w:r>
      <w:r>
        <w:rPr>
          <w:rFonts w:hint="eastAsia" w:ascii="宋体" w:hAnsi="宋体" w:eastAsia="宋体" w:cs="Arial"/>
          <w:color w:val="auto"/>
          <w:szCs w:val="21"/>
          <w:highlight w:val="none"/>
          <w:u w:val="single"/>
        </w:rPr>
        <w:t> </w:t>
      </w:r>
      <w:r>
        <w:rPr>
          <w:rFonts w:hint="eastAsia" w:ascii="宋体" w:hAnsi="宋体" w:eastAsia="宋体" w:cs="Arial"/>
          <w:color w:val="auto"/>
          <w:szCs w:val="21"/>
          <w:highlight w:val="none"/>
          <w:u w:val="single"/>
          <w:lang w:val="en-US" w:eastAsia="zh-CN"/>
        </w:rPr>
        <w:t>周群峰</w:t>
      </w:r>
      <w:r>
        <w:rPr>
          <w:rFonts w:hint="eastAsia" w:ascii="宋体" w:hAnsi="宋体" w:eastAsia="宋体" w:cs="Arial"/>
          <w:color w:val="auto"/>
          <w:szCs w:val="21"/>
          <w:highlight w:val="none"/>
          <w:u w:val="single"/>
        </w:rPr>
        <w:t> </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Arial"/>
          <w:color w:val="auto"/>
          <w:szCs w:val="21"/>
          <w:highlight w:val="none"/>
        </w:rPr>
      </w:pPr>
      <w:r>
        <w:rPr>
          <w:rFonts w:hint="eastAsia" w:ascii="宋体" w:hAnsi="宋体" w:eastAsia="宋体" w:cs="Arial"/>
          <w:color w:val="auto"/>
          <w:szCs w:val="21"/>
          <w:highlight w:val="none"/>
        </w:rPr>
        <w:t>质疑联系方式：</w:t>
      </w:r>
      <w:r>
        <w:rPr>
          <w:rFonts w:hint="eastAsia" w:ascii="宋体" w:hAnsi="宋体" w:eastAsia="宋体" w:cs="Arial"/>
          <w:color w:val="auto"/>
          <w:szCs w:val="21"/>
          <w:highlight w:val="none"/>
          <w:u w:val="single"/>
        </w:rPr>
        <w:t> </w:t>
      </w:r>
      <w:r>
        <w:rPr>
          <w:rFonts w:hint="eastAsia" w:ascii="宋体" w:hAnsi="宋体" w:eastAsia="宋体" w:cs="Arial"/>
          <w:color w:val="auto"/>
          <w:szCs w:val="21"/>
          <w:highlight w:val="none"/>
          <w:u w:val="single"/>
          <w:lang w:val="en-US" w:eastAsia="zh-CN"/>
        </w:rPr>
        <w:t xml:space="preserve">0571-81061821   </w:t>
      </w:r>
      <w:r>
        <w:rPr>
          <w:rFonts w:hint="eastAsia" w:ascii="宋体" w:hAnsi="宋体" w:eastAsia="宋体" w:cs="Arial"/>
          <w:color w:val="auto"/>
          <w:szCs w:val="21"/>
          <w:highlight w:val="none"/>
        </w:rPr>
        <w:t>　　　　　　　　　　　　　　　　　　　　</w:t>
      </w:r>
    </w:p>
    <w:p>
      <w:pPr>
        <w:keepNext w:val="0"/>
        <w:keepLines w:val="0"/>
        <w:pageBreakBefore w:val="0"/>
        <w:widowControl/>
        <w:kinsoku/>
        <w:wordWrap/>
        <w:overflowPunct/>
        <w:topLinePunct w:val="0"/>
        <w:autoSpaceDE/>
        <w:autoSpaceDN/>
        <w:bidi w:val="0"/>
        <w:adjustRightInd w:val="0"/>
        <w:snapToGrid w:val="0"/>
        <w:spacing w:line="360" w:lineRule="auto"/>
        <w:ind w:left="420" w:hanging="420" w:hangingChars="200"/>
        <w:jc w:val="left"/>
        <w:textAlignment w:val="auto"/>
        <w:rPr>
          <w:rFonts w:hint="eastAsia" w:ascii="宋体" w:hAnsi="宋体" w:eastAsia="宋体" w:cs="Arial"/>
          <w:color w:val="auto"/>
          <w:szCs w:val="21"/>
          <w:highlight w:val="none"/>
          <w:lang w:eastAsia="zh-CN"/>
        </w:rPr>
      </w:pPr>
      <w:r>
        <w:rPr>
          <w:rFonts w:hint="eastAsia" w:ascii="宋体" w:hAnsi="宋体" w:eastAsia="宋体" w:cs="Arial"/>
          <w:color w:val="auto"/>
          <w:szCs w:val="21"/>
          <w:highlight w:val="none"/>
        </w:rPr>
        <w:t> </w:t>
      </w:r>
    </w:p>
    <w:p>
      <w:pPr>
        <w:keepNext w:val="0"/>
        <w:keepLines w:val="0"/>
        <w:pageBreakBefore w:val="0"/>
        <w:widowControl/>
        <w:kinsoku/>
        <w:wordWrap/>
        <w:overflowPunct/>
        <w:topLinePunct w:val="0"/>
        <w:autoSpaceDE/>
        <w:autoSpaceDN/>
        <w:bidi w:val="0"/>
        <w:adjustRightInd w:val="0"/>
        <w:snapToGrid w:val="0"/>
        <w:spacing w:line="360" w:lineRule="auto"/>
        <w:ind w:left="420" w:hanging="422" w:hangingChars="200"/>
        <w:jc w:val="left"/>
        <w:textAlignment w:val="auto"/>
        <w:rPr>
          <w:rFonts w:hint="eastAsia" w:ascii="宋体" w:hAnsi="宋体" w:eastAsia="宋体" w:cs="Arial"/>
          <w:b/>
          <w:bCs/>
          <w:color w:val="auto"/>
          <w:szCs w:val="21"/>
          <w:highlight w:val="none"/>
        </w:rPr>
      </w:pPr>
      <w:r>
        <w:rPr>
          <w:rFonts w:hint="eastAsia" w:ascii="宋体" w:hAnsi="宋体" w:eastAsia="宋体" w:cs="Arial"/>
          <w:b/>
          <w:bCs/>
          <w:color w:val="auto"/>
          <w:szCs w:val="21"/>
          <w:highlight w:val="none"/>
        </w:rPr>
        <w:t>3.同级政府采购监督管理部门</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Arial"/>
          <w:color w:val="auto"/>
          <w:szCs w:val="21"/>
          <w:highlight w:val="none"/>
        </w:rPr>
      </w:pPr>
      <w:r>
        <w:rPr>
          <w:rFonts w:hint="eastAsia" w:ascii="宋体" w:hAnsi="宋体" w:eastAsia="宋体" w:cs="Arial"/>
          <w:color w:val="auto"/>
          <w:szCs w:val="21"/>
          <w:highlight w:val="none"/>
        </w:rPr>
        <w:t>名    称： </w:t>
      </w:r>
      <w:r>
        <w:rPr>
          <w:rFonts w:hint="eastAsia" w:ascii="宋体" w:hAnsi="宋体" w:eastAsia="宋体" w:cs="Arial"/>
          <w:color w:val="auto"/>
          <w:szCs w:val="21"/>
          <w:highlight w:val="none"/>
          <w:u w:val="single"/>
          <w:lang w:val="en-US" w:eastAsia="zh-CN"/>
        </w:rPr>
        <w:t xml:space="preserve">  浙江省财政厅政府采购监管处</w:t>
      </w:r>
      <w:r>
        <w:rPr>
          <w:rFonts w:hint="eastAsia" w:ascii="宋体" w:hAnsi="宋体" w:eastAsia="宋体" w:cs="Arial"/>
          <w:color w:val="auto"/>
          <w:szCs w:val="21"/>
          <w:highlight w:val="none"/>
          <w:u w:val="single"/>
        </w:rPr>
        <w:t>　</w:t>
      </w:r>
      <w:r>
        <w:rPr>
          <w:rFonts w:hint="eastAsia" w:ascii="宋体" w:hAnsi="宋体" w:eastAsia="宋体" w:cs="Arial"/>
          <w:color w:val="auto"/>
          <w:szCs w:val="21"/>
          <w:highlight w:val="none"/>
        </w:rPr>
        <w:t>　　　　　　　　　</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Arial"/>
          <w:color w:val="auto"/>
          <w:szCs w:val="21"/>
          <w:highlight w:val="none"/>
        </w:rPr>
      </w:pPr>
      <w:r>
        <w:rPr>
          <w:rFonts w:hint="eastAsia" w:ascii="宋体" w:hAnsi="宋体" w:eastAsia="宋体" w:cs="Arial"/>
          <w:color w:val="auto"/>
          <w:szCs w:val="21"/>
          <w:highlight w:val="none"/>
        </w:rPr>
        <w:t>地    址： </w:t>
      </w:r>
      <w:r>
        <w:rPr>
          <w:rFonts w:hint="eastAsia" w:ascii="宋体" w:hAnsi="宋体" w:eastAsia="宋体" w:cs="Arial"/>
          <w:color w:val="auto"/>
          <w:szCs w:val="21"/>
          <w:highlight w:val="none"/>
          <w:u w:val="single"/>
          <w:lang w:val="en-US" w:eastAsia="zh-CN"/>
        </w:rPr>
        <w:t xml:space="preserve">   </w:t>
      </w:r>
      <w:r>
        <w:rPr>
          <w:rFonts w:hint="eastAsia" w:ascii="宋体" w:hAnsi="宋体" w:eastAsia="宋体" w:cs="Arial"/>
          <w:color w:val="auto"/>
          <w:szCs w:val="21"/>
          <w:highlight w:val="none"/>
          <w:u w:val="single"/>
          <w:lang w:eastAsia="zh-CN"/>
        </w:rPr>
        <w:t>杭州市环城西路</w:t>
      </w:r>
      <w:r>
        <w:rPr>
          <w:rFonts w:hint="eastAsia" w:ascii="宋体" w:hAnsi="宋体" w:eastAsia="宋体" w:cs="Arial"/>
          <w:color w:val="auto"/>
          <w:szCs w:val="21"/>
          <w:highlight w:val="none"/>
          <w:u w:val="single"/>
          <w:lang w:val="en-US" w:eastAsia="zh-CN"/>
        </w:rPr>
        <w:t>37号</w:t>
      </w:r>
      <w:r>
        <w:rPr>
          <w:rFonts w:hint="eastAsia" w:ascii="宋体" w:hAnsi="宋体" w:eastAsia="宋体" w:cs="Arial"/>
          <w:color w:val="auto"/>
          <w:szCs w:val="21"/>
          <w:highlight w:val="none"/>
          <w:u w:val="single"/>
        </w:rPr>
        <w:t>　</w:t>
      </w:r>
      <w:r>
        <w:rPr>
          <w:rFonts w:hint="eastAsia" w:ascii="宋体" w:hAnsi="宋体" w:eastAsia="宋体" w:cs="Arial"/>
          <w:color w:val="auto"/>
          <w:szCs w:val="21"/>
          <w:highlight w:val="none"/>
        </w:rPr>
        <w:t>　　　　　　　　　</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Arial"/>
          <w:color w:val="auto"/>
          <w:szCs w:val="21"/>
          <w:highlight w:val="none"/>
          <w:lang w:val="en-US" w:eastAsia="zh-CN"/>
        </w:rPr>
      </w:pPr>
      <w:r>
        <w:rPr>
          <w:rFonts w:hint="eastAsia" w:ascii="宋体" w:hAnsi="宋体" w:eastAsia="宋体" w:cs="Arial"/>
          <w:color w:val="auto"/>
          <w:szCs w:val="21"/>
          <w:highlight w:val="none"/>
        </w:rPr>
        <w:t>传    真： </w:t>
      </w:r>
      <w:r>
        <w:rPr>
          <w:rFonts w:hint="eastAsia" w:ascii="宋体" w:hAnsi="宋体" w:eastAsia="宋体" w:cs="Arial"/>
          <w:color w:val="auto"/>
          <w:szCs w:val="21"/>
          <w:highlight w:val="none"/>
          <w:u w:val="single"/>
          <w:lang w:val="en-US" w:eastAsia="zh-CN"/>
        </w:rPr>
        <w:t xml:space="preserve">    </w:t>
      </w:r>
      <w:r>
        <w:rPr>
          <w:rFonts w:hint="default" w:ascii="宋体" w:hAnsi="宋体" w:eastAsia="宋体" w:cs="Arial"/>
          <w:color w:val="auto"/>
          <w:szCs w:val="21"/>
          <w:highlight w:val="none"/>
          <w:u w:val="single"/>
          <w:lang w:val="en-US" w:eastAsia="zh-CN"/>
        </w:rPr>
        <w:t>0571-87057615</w:t>
      </w:r>
      <w:r>
        <w:rPr>
          <w:rFonts w:hint="eastAsia" w:ascii="宋体" w:hAnsi="宋体" w:eastAsia="宋体" w:cs="Arial"/>
          <w:color w:val="auto"/>
          <w:szCs w:val="21"/>
          <w:highlight w:val="none"/>
          <w:u w:val="single"/>
        </w:rPr>
        <w:t xml:space="preserve"> </w:t>
      </w:r>
      <w:r>
        <w:rPr>
          <w:rFonts w:hint="eastAsia" w:ascii="宋体" w:hAnsi="宋体" w:eastAsia="宋体" w:cs="Arial"/>
          <w:color w:val="auto"/>
          <w:szCs w:val="21"/>
          <w:highlight w:val="none"/>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Arial"/>
          <w:color w:val="auto"/>
          <w:szCs w:val="21"/>
          <w:highlight w:val="none"/>
        </w:rPr>
      </w:pPr>
      <w:r>
        <w:rPr>
          <w:rFonts w:hint="eastAsia" w:ascii="宋体" w:hAnsi="宋体" w:eastAsia="宋体" w:cs="Arial"/>
          <w:color w:val="auto"/>
          <w:szCs w:val="21"/>
          <w:highlight w:val="none"/>
        </w:rPr>
        <w:t>联系人 ： </w:t>
      </w:r>
      <w:r>
        <w:rPr>
          <w:rFonts w:hint="eastAsia" w:ascii="宋体" w:hAnsi="宋体" w:eastAsia="宋体" w:cs="Arial"/>
          <w:color w:val="auto"/>
          <w:szCs w:val="21"/>
          <w:highlight w:val="none"/>
          <w:u w:val="single"/>
          <w:lang w:val="en-US" w:eastAsia="zh-CN"/>
        </w:rPr>
        <w:t xml:space="preserve">   齐鲁、吴聪瑜  　</w:t>
      </w:r>
      <w:r>
        <w:rPr>
          <w:rFonts w:hint="eastAsia" w:ascii="宋体" w:hAnsi="宋体" w:eastAsia="宋体" w:cs="Arial"/>
          <w:color w:val="auto"/>
          <w:szCs w:val="21"/>
          <w:highlight w:val="none"/>
        </w:rPr>
        <w:t>　　　　　　　　　　</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Arial"/>
          <w:color w:val="auto"/>
          <w:szCs w:val="21"/>
          <w:highlight w:val="none"/>
        </w:rPr>
      </w:pPr>
      <w:r>
        <w:rPr>
          <w:rFonts w:hint="eastAsia" w:ascii="宋体" w:hAnsi="宋体" w:eastAsia="宋体" w:cs="Arial"/>
          <w:color w:val="auto"/>
          <w:szCs w:val="21"/>
          <w:highlight w:val="none"/>
        </w:rPr>
        <w:t>监督投诉电话：</w:t>
      </w:r>
      <w:r>
        <w:rPr>
          <w:rFonts w:hint="eastAsia" w:ascii="宋体" w:hAnsi="宋体" w:eastAsia="宋体" w:cs="Arial"/>
          <w:color w:val="auto"/>
          <w:szCs w:val="21"/>
          <w:highlight w:val="none"/>
          <w:u w:val="single"/>
          <w:lang w:val="en-US" w:eastAsia="zh-CN"/>
        </w:rPr>
        <w:t xml:space="preserve"> 0571-87057612、87058489 　</w:t>
      </w:r>
      <w:r>
        <w:rPr>
          <w:rFonts w:hint="eastAsia" w:ascii="宋体" w:hAnsi="宋体" w:eastAsia="宋体" w:cs="Arial"/>
          <w:color w:val="auto"/>
          <w:szCs w:val="21"/>
          <w:highlight w:val="none"/>
        </w:rPr>
        <w:t>　</w:t>
      </w:r>
    </w:p>
    <w:p>
      <w:pPr>
        <w:pStyle w:val="2"/>
        <w:ind w:left="0" w:leftChars="0" w:firstLine="420" w:firstLineChars="200"/>
        <w:rPr>
          <w:rFonts w:hint="eastAsia" w:ascii="宋体" w:hAnsi="宋体" w:eastAsia="宋体" w:cs="Arial"/>
          <w:color w:val="auto"/>
          <w:kern w:val="2"/>
          <w:sz w:val="21"/>
          <w:szCs w:val="21"/>
          <w:highlight w:val="none"/>
          <w:lang w:val="en-US" w:eastAsia="zh-CN" w:bidi="ar-SA"/>
        </w:rPr>
      </w:pPr>
      <w:r>
        <w:rPr>
          <w:rFonts w:hint="eastAsia" w:ascii="宋体" w:hAnsi="宋体" w:eastAsia="宋体" w:cs="Arial"/>
          <w:color w:val="auto"/>
          <w:kern w:val="2"/>
          <w:sz w:val="21"/>
          <w:szCs w:val="21"/>
          <w:highlight w:val="none"/>
          <w:lang w:val="en-US" w:eastAsia="zh-CN" w:bidi="ar-SA"/>
        </w:rPr>
        <w:t>政策咨询：何一平、冯华，0571-87058424、87055741</w:t>
      </w:r>
    </w:p>
    <w:p>
      <w:pPr>
        <w:pStyle w:val="2"/>
        <w:ind w:left="0" w:leftChars="0" w:firstLine="0" w:firstLineChars="0"/>
        <w:rPr>
          <w:rFonts w:hint="eastAsia"/>
          <w:color w:val="auto"/>
          <w:highlight w:val="none"/>
          <w:lang w:eastAsia="zh-CN"/>
        </w:rPr>
      </w:pPr>
    </w:p>
    <w:p>
      <w:pPr>
        <w:widowControl/>
        <w:spacing w:line="360" w:lineRule="auto"/>
        <w:jc w:val="left"/>
        <w:rPr>
          <w:rFonts w:hint="eastAsia" w:ascii="宋体" w:hAnsi="宋体" w:eastAsia="宋体" w:cs="Arial"/>
          <w:color w:val="auto"/>
          <w:kern w:val="0"/>
          <w:szCs w:val="21"/>
          <w:highlight w:val="none"/>
          <w:lang w:eastAsia="zh-CN"/>
        </w:rPr>
      </w:pPr>
      <w:r>
        <w:rPr>
          <w:rFonts w:hint="eastAsia" w:ascii="宋体" w:hAnsi="宋体" w:cs="Arial"/>
          <w:color w:val="auto"/>
          <w:kern w:val="0"/>
          <w:szCs w:val="21"/>
          <w:highlight w:val="none"/>
          <w:lang w:val="en-US" w:eastAsia="zh-CN"/>
        </w:rPr>
        <w:t xml:space="preserve">    </w:t>
      </w:r>
      <w:r>
        <w:rPr>
          <w:rFonts w:ascii="宋体" w:hAnsi="宋体" w:cs="Arial"/>
          <w:color w:val="auto"/>
          <w:kern w:val="0"/>
          <w:szCs w:val="21"/>
          <w:highlight w:val="none"/>
        </w:rPr>
        <w:t>若对项目采购电子交易系统操作有疑问，可登录政采云（https://www.zcygov.cn/），点击右侧咨询小采，获取采小蜜智能服务管家帮助，或拨打政采云服务热线400-881-7190获取热线服务帮助。</w:t>
      </w:r>
    </w:p>
    <w:p>
      <w:pPr>
        <w:widowControl/>
        <w:spacing w:line="360" w:lineRule="auto"/>
        <w:jc w:val="left"/>
        <w:rPr>
          <w:rFonts w:hint="eastAsia" w:ascii="宋体" w:hAnsi="宋体" w:cs="宋体"/>
          <w:color w:val="auto"/>
          <w:kern w:val="0"/>
          <w:szCs w:val="21"/>
          <w:highlight w:val="none"/>
        </w:rPr>
      </w:pPr>
      <w:r>
        <w:rPr>
          <w:rFonts w:hint="eastAsia" w:ascii="宋体" w:hAnsi="宋体" w:cs="Arial"/>
          <w:color w:val="auto"/>
          <w:kern w:val="0"/>
          <w:szCs w:val="21"/>
          <w:highlight w:val="none"/>
          <w:lang w:val="en-US" w:eastAsia="zh-CN"/>
        </w:rPr>
        <w:t xml:space="preserve">    </w:t>
      </w:r>
      <w:r>
        <w:rPr>
          <w:rFonts w:ascii="宋体" w:hAnsi="宋体" w:cs="Arial"/>
          <w:color w:val="auto"/>
          <w:kern w:val="0"/>
          <w:szCs w:val="21"/>
          <w:highlight w:val="none"/>
        </w:rPr>
        <w:t>CA问题联系电话（人工）：汇信CA 400-888-4636；天谷CA 400-087-8198。</w:t>
      </w:r>
    </w:p>
    <w:p>
      <w:pPr>
        <w:widowControl/>
        <w:tabs>
          <w:tab w:val="left" w:pos="8647"/>
        </w:tabs>
        <w:adjustRightInd w:val="0"/>
        <w:snapToGrid w:val="0"/>
        <w:spacing w:line="360" w:lineRule="auto"/>
        <w:ind w:right="-59" w:firstLine="420" w:firstLineChars="200"/>
        <w:jc w:val="right"/>
        <w:rPr>
          <w:rFonts w:hint="eastAsia" w:ascii="宋体" w:hAnsi="宋体" w:cs="宋体"/>
          <w:color w:val="auto"/>
          <w:kern w:val="0"/>
          <w:szCs w:val="21"/>
          <w:highlight w:val="none"/>
        </w:rPr>
      </w:pPr>
    </w:p>
    <w:p>
      <w:pPr>
        <w:widowControl/>
        <w:tabs>
          <w:tab w:val="left" w:pos="8647"/>
        </w:tabs>
        <w:adjustRightInd w:val="0"/>
        <w:snapToGrid w:val="0"/>
        <w:spacing w:line="360" w:lineRule="auto"/>
        <w:ind w:right="-59"/>
        <w:jc w:val="center"/>
        <w:rPr>
          <w:rFonts w:hint="eastAsia" w:ascii="宋体" w:hAnsi="宋体" w:cs="宋体"/>
          <w:b/>
          <w:color w:val="auto"/>
          <w:sz w:val="30"/>
          <w:szCs w:val="30"/>
          <w:highlight w:val="none"/>
        </w:rPr>
      </w:pPr>
      <w:r>
        <w:rPr>
          <w:rFonts w:hint="eastAsia" w:ascii="宋体" w:hAnsi="宋体" w:cs="宋体"/>
          <w:b/>
          <w:bCs/>
          <w:color w:val="auto"/>
          <w:sz w:val="28"/>
          <w:szCs w:val="21"/>
          <w:highlight w:val="none"/>
        </w:rPr>
        <w:br w:type="page"/>
      </w:r>
      <w:r>
        <w:rPr>
          <w:rFonts w:hint="eastAsia" w:ascii="宋体" w:hAnsi="宋体" w:cs="宋体"/>
          <w:b/>
          <w:color w:val="auto"/>
          <w:sz w:val="30"/>
          <w:szCs w:val="30"/>
          <w:highlight w:val="none"/>
        </w:rPr>
        <w:t>前 附 表</w:t>
      </w:r>
    </w:p>
    <w:tbl>
      <w:tblPr>
        <w:tblStyle w:val="19"/>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00"/>
        <w:gridCol w:w="638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7" w:hRule="atLeast"/>
          <w:tblHeader/>
          <w:jc w:val="center"/>
        </w:trPr>
        <w:tc>
          <w:tcPr>
            <w:tcW w:w="648" w:type="dxa"/>
            <w:noWrap w:val="0"/>
            <w:vAlign w:val="center"/>
          </w:tcPr>
          <w:p>
            <w:pPr>
              <w:adjustRightInd w:val="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1800" w:type="dxa"/>
            <w:noWrap w:val="0"/>
            <w:vAlign w:val="center"/>
          </w:tcPr>
          <w:p>
            <w:pPr>
              <w:adjustRightInd w:val="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项   目</w:t>
            </w:r>
          </w:p>
        </w:tc>
        <w:tc>
          <w:tcPr>
            <w:tcW w:w="6383" w:type="dxa"/>
            <w:noWrap w:val="0"/>
            <w:vAlign w:val="center"/>
          </w:tcPr>
          <w:p>
            <w:pPr>
              <w:adjustRightInd w:val="0"/>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648" w:type="dxa"/>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800"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6383" w:type="dxa"/>
            <w:noWrap w:val="0"/>
            <w:vAlign w:val="center"/>
          </w:tcPr>
          <w:p>
            <w:pPr>
              <w:snapToGrid w:val="0"/>
              <w:spacing w:line="320" w:lineRule="exact"/>
              <w:rPr>
                <w:rFonts w:hint="eastAsia" w:ascii="宋体" w:hAnsi="宋体" w:eastAsia="宋体" w:cs="宋体"/>
                <w:color w:val="auto"/>
                <w:szCs w:val="21"/>
                <w:highlight w:val="none"/>
                <w:lang w:eastAsia="zh-CN"/>
              </w:rPr>
            </w:pPr>
            <w:r>
              <w:rPr>
                <w:rFonts w:hint="eastAsia" w:ascii="宋体" w:hAnsi="宋体" w:cs="Arial"/>
                <w:b w:val="0"/>
                <w:bCs w:val="0"/>
                <w:color w:val="auto"/>
                <w:sz w:val="21"/>
                <w:szCs w:val="21"/>
                <w:highlight w:val="none"/>
                <w:u w:val="none"/>
                <w:lang w:eastAsia="zh-CN"/>
              </w:rPr>
              <w:t>浙江省预算管理一体化项目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648" w:type="dxa"/>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800" w:type="dxa"/>
            <w:noWrap w:val="0"/>
            <w:vAlign w:val="center"/>
          </w:tcPr>
          <w:p>
            <w:pPr>
              <w:adjustRightInd w:val="0"/>
              <w:snapToGrid w:val="0"/>
              <w:spacing w:line="360" w:lineRule="exact"/>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服务地点</w:t>
            </w:r>
          </w:p>
        </w:tc>
        <w:tc>
          <w:tcPr>
            <w:tcW w:w="6383" w:type="dxa"/>
            <w:noWrap w:val="0"/>
            <w:vAlign w:val="center"/>
          </w:tcPr>
          <w:p>
            <w:pPr>
              <w:adjustRightInd w:val="0"/>
              <w:snapToGrid w:val="0"/>
              <w:spacing w:line="320" w:lineRule="exact"/>
              <w:rPr>
                <w:rFonts w:hint="default" w:ascii="宋体" w:hAnsi="宋体" w:eastAsia="宋体" w:cs="宋体"/>
                <w:strike w:val="0"/>
                <w:snapToGrid w:val="0"/>
                <w:color w:val="auto"/>
                <w:kern w:val="0"/>
                <w:szCs w:val="21"/>
                <w:highlight w:val="none"/>
                <w:lang w:val="en-US" w:eastAsia="zh-CN"/>
              </w:rPr>
            </w:pPr>
            <w:r>
              <w:rPr>
                <w:rFonts w:hint="eastAsia" w:ascii="宋体" w:hAnsi="宋体" w:eastAsia="宋体" w:cs="宋体"/>
                <w:strike w:val="0"/>
                <w:snapToGrid w:val="0"/>
                <w:color w:val="auto"/>
                <w:kern w:val="0"/>
                <w:szCs w:val="21"/>
                <w:highlight w:val="none"/>
                <w:lang w:val="en-US" w:eastAsia="zh-CN"/>
              </w:rPr>
              <w:t>浙江省财政厅（杭州市环城西路37号）</w:t>
            </w:r>
            <w:r>
              <w:rPr>
                <w:rFonts w:hint="eastAsia" w:ascii="宋体" w:hAnsi="宋体" w:cs="宋体"/>
                <w:strike w:val="0"/>
                <w:snapToGrid w:val="0"/>
                <w:color w:val="auto"/>
                <w:kern w:val="0"/>
                <w:szCs w:val="21"/>
                <w:highlight w:val="none"/>
                <w:lang w:val="en-US" w:eastAsia="zh-CN"/>
              </w:rPr>
              <w:t>及全省各市县</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648" w:type="dxa"/>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800"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采购编号</w:t>
            </w:r>
          </w:p>
        </w:tc>
        <w:tc>
          <w:tcPr>
            <w:tcW w:w="6383" w:type="dxa"/>
            <w:noWrap w:val="0"/>
            <w:vAlign w:val="center"/>
          </w:tcPr>
          <w:p>
            <w:pPr>
              <w:snapToGrid w:val="0"/>
              <w:spacing w:line="320" w:lineRule="exact"/>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ZJ-2272868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648" w:type="dxa"/>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800"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采购方式</w:t>
            </w:r>
          </w:p>
        </w:tc>
        <w:tc>
          <w:tcPr>
            <w:tcW w:w="6383" w:type="dxa"/>
            <w:noWrap w:val="0"/>
            <w:vAlign w:val="center"/>
          </w:tcPr>
          <w:p>
            <w:pPr>
              <w:snapToGrid w:val="0"/>
              <w:spacing w:line="320" w:lineRule="exact"/>
              <w:rPr>
                <w:rFonts w:hint="eastAsia" w:ascii="宋体" w:hAnsi="宋体" w:eastAsia="宋体" w:cs="宋体"/>
                <w:bCs/>
                <w:color w:val="auto"/>
                <w:szCs w:val="21"/>
                <w:highlight w:val="none"/>
              </w:rPr>
            </w:pPr>
            <w:r>
              <w:rPr>
                <w:rFonts w:hint="eastAsia" w:ascii="宋体" w:hAnsi="宋体" w:cs="宋体"/>
                <w:bCs/>
                <w:color w:val="auto"/>
                <w:szCs w:val="21"/>
                <w:highlight w:val="none"/>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54" w:hRule="atLeast"/>
          <w:jc w:val="center"/>
        </w:trPr>
        <w:tc>
          <w:tcPr>
            <w:tcW w:w="648" w:type="dxa"/>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800"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采购内容</w:t>
            </w:r>
          </w:p>
        </w:tc>
        <w:tc>
          <w:tcPr>
            <w:tcW w:w="6383" w:type="dxa"/>
            <w:noWrap w:val="0"/>
            <w:vAlign w:val="center"/>
          </w:tcPr>
          <w:p>
            <w:pPr>
              <w:pageBreakBefore w:val="0"/>
              <w:widowControl w:val="0"/>
              <w:kinsoku/>
              <w:wordWrap/>
              <w:topLinePunct w:val="0"/>
              <w:bidi w:val="0"/>
              <w:spacing w:line="360" w:lineRule="auto"/>
              <w:jc w:val="left"/>
              <w:textAlignment w:val="auto"/>
              <w:rPr>
                <w:rFonts w:hint="eastAsia" w:ascii="宋体" w:hAnsi="宋体" w:eastAsia="宋体" w:cs="宋体"/>
                <w:color w:val="auto"/>
                <w:szCs w:val="21"/>
                <w:highlight w:val="none"/>
              </w:rPr>
            </w:pPr>
            <w:r>
              <w:rPr>
                <w:rFonts w:hint="eastAsia" w:ascii="宋体" w:hAnsi="宋体" w:cs="Arial"/>
                <w:color w:val="auto"/>
                <w:kern w:val="0"/>
                <w:szCs w:val="21"/>
                <w:highlight w:val="none"/>
                <w:lang w:val="en-US" w:eastAsia="zh-CN"/>
              </w:rPr>
              <w:t>本项目建设内容为</w:t>
            </w:r>
            <w:r>
              <w:rPr>
                <w:rFonts w:hint="eastAsia" w:ascii="宋体" w:hAnsi="宋体" w:eastAsia="宋体" w:cs="Arial"/>
                <w:color w:val="auto"/>
                <w:kern w:val="0"/>
                <w:sz w:val="21"/>
                <w:szCs w:val="21"/>
                <w:highlight w:val="none"/>
              </w:rPr>
              <w:t>在预算管理一体化系统现有版本的基础上，开展系统升级和2023年</w:t>
            </w:r>
            <w:r>
              <w:rPr>
                <w:rFonts w:hint="eastAsia" w:ascii="宋体" w:hAnsi="宋体" w:eastAsia="宋体" w:cs="Arial"/>
                <w:color w:val="auto"/>
                <w:kern w:val="0"/>
                <w:sz w:val="21"/>
                <w:szCs w:val="21"/>
                <w:highlight w:val="none"/>
                <w:lang w:val="en-US" w:eastAsia="zh-CN"/>
              </w:rPr>
              <w:t>预算管理业务</w:t>
            </w:r>
            <w:r>
              <w:rPr>
                <w:rFonts w:hint="eastAsia" w:ascii="宋体" w:hAnsi="宋体" w:eastAsia="宋体" w:cs="Arial"/>
                <w:color w:val="auto"/>
                <w:kern w:val="0"/>
                <w:sz w:val="21"/>
                <w:szCs w:val="21"/>
                <w:highlight w:val="none"/>
              </w:rPr>
              <w:t>运维工作</w:t>
            </w:r>
            <w:r>
              <w:rPr>
                <w:rFonts w:hint="eastAsia" w:ascii="宋体" w:hAnsi="宋体" w:cs="Arial"/>
                <w:color w:val="auto"/>
                <w:kern w:val="0"/>
                <w:sz w:val="21"/>
                <w:szCs w:val="21"/>
                <w:highlight w:val="none"/>
                <w:lang w:eastAsia="zh-CN"/>
              </w:rPr>
              <w:t>，</w:t>
            </w:r>
            <w:r>
              <w:rPr>
                <w:rFonts w:hint="eastAsia" w:ascii="宋体" w:hAnsi="宋体" w:cs="Arial"/>
                <w:color w:val="auto"/>
                <w:kern w:val="0"/>
                <w:szCs w:val="21"/>
                <w:highlight w:val="none"/>
                <w:lang w:val="en-US" w:eastAsia="zh-CN"/>
              </w:rPr>
              <w:t>主要</w:t>
            </w:r>
            <w:r>
              <w:rPr>
                <w:rFonts w:hint="eastAsia" w:ascii="宋体" w:hAnsi="宋体" w:cs="Arial"/>
                <w:color w:val="auto"/>
                <w:kern w:val="0"/>
                <w:sz w:val="21"/>
                <w:szCs w:val="21"/>
                <w:highlight w:val="none"/>
                <w:lang w:eastAsia="zh-CN"/>
              </w:rPr>
              <w:t>包括：</w:t>
            </w:r>
            <w:r>
              <w:rPr>
                <w:rFonts w:hint="eastAsia" w:ascii="宋体" w:hAnsi="宋体" w:eastAsia="宋体" w:cs="Arial"/>
                <w:b w:val="0"/>
                <w:color w:val="auto"/>
                <w:kern w:val="0"/>
                <w:sz w:val="21"/>
                <w:szCs w:val="21"/>
                <w:highlight w:val="none"/>
              </w:rPr>
              <w:t>实现预算管理一体化新增需求</w:t>
            </w:r>
            <w:r>
              <w:rPr>
                <w:rFonts w:hint="eastAsia" w:ascii="宋体" w:hAnsi="宋体" w:eastAsia="宋体" w:cs="Arial"/>
                <w:b w:val="0"/>
                <w:color w:val="auto"/>
                <w:kern w:val="0"/>
                <w:sz w:val="21"/>
                <w:szCs w:val="21"/>
                <w:highlight w:val="none"/>
                <w:lang w:eastAsia="zh-CN"/>
              </w:rPr>
              <w:t>、</w:t>
            </w:r>
            <w:r>
              <w:rPr>
                <w:rFonts w:hint="eastAsia" w:ascii="宋体" w:hAnsi="宋体" w:eastAsia="宋体" w:cs="Arial"/>
                <w:b w:val="0"/>
                <w:color w:val="auto"/>
                <w:kern w:val="0"/>
                <w:sz w:val="21"/>
                <w:szCs w:val="21"/>
                <w:highlight w:val="none"/>
              </w:rPr>
              <w:t>完成预算管理一体化系统全省新年度服务</w:t>
            </w:r>
            <w:r>
              <w:rPr>
                <w:rFonts w:hint="eastAsia" w:ascii="宋体" w:hAnsi="宋体" w:eastAsia="宋体" w:cs="Arial"/>
                <w:b w:val="0"/>
                <w:color w:val="auto"/>
                <w:kern w:val="0"/>
                <w:sz w:val="21"/>
                <w:szCs w:val="21"/>
                <w:highlight w:val="none"/>
                <w:lang w:eastAsia="zh-CN"/>
              </w:rPr>
              <w:t>（包括省本级和全省各市县服务）等。</w:t>
            </w:r>
            <w:r>
              <w:rPr>
                <w:rFonts w:hint="eastAsia" w:ascii="宋体" w:hAnsi="宋体" w:cs="Arial"/>
                <w:color w:val="auto"/>
                <w:kern w:val="0"/>
                <w:szCs w:val="21"/>
                <w:highlight w:val="none"/>
                <w:lang w:eastAsia="zh-CN"/>
              </w:rPr>
              <w:t>具体详见采购需求。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648" w:type="dxa"/>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800" w:type="dxa"/>
            <w:noWrap w:val="0"/>
            <w:vAlign w:val="center"/>
          </w:tcPr>
          <w:p>
            <w:pPr>
              <w:adjustRightInd w:val="0"/>
              <w:snapToGrid w:val="0"/>
              <w:spacing w:line="360" w:lineRule="exact"/>
              <w:jc w:val="center"/>
              <w:rPr>
                <w:rFonts w:hint="default" w:ascii="宋体" w:hAnsi="宋体" w:eastAsia="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lang w:eastAsia="zh-CN"/>
              </w:rPr>
              <w:t>工期及</w:t>
            </w:r>
            <w:r>
              <w:rPr>
                <w:rFonts w:hint="eastAsia" w:ascii="宋体" w:hAnsi="宋体" w:eastAsia="宋体" w:cs="宋体"/>
                <w:snapToGrid w:val="0"/>
                <w:color w:val="auto"/>
                <w:kern w:val="0"/>
                <w:szCs w:val="21"/>
                <w:highlight w:val="none"/>
              </w:rPr>
              <w:t>服务期</w:t>
            </w:r>
          </w:p>
        </w:tc>
        <w:tc>
          <w:tcPr>
            <w:tcW w:w="6383" w:type="dxa"/>
            <w:noWrap w:val="0"/>
            <w:vAlign w:val="center"/>
          </w:tcPr>
          <w:p>
            <w:pPr>
              <w:spacing w:line="360" w:lineRule="auto"/>
              <w:jc w:val="left"/>
              <w:rPr>
                <w:rFonts w:hint="eastAsia" w:ascii="宋体" w:hAnsi="宋体" w:eastAsia="宋体" w:cs="宋体"/>
                <w:bCs/>
                <w:snapToGrid w:val="0"/>
                <w:color w:val="auto"/>
                <w:kern w:val="0"/>
                <w:szCs w:val="21"/>
                <w:highlight w:val="none"/>
                <w:lang w:eastAsia="zh-CN"/>
              </w:rPr>
            </w:pPr>
            <w:r>
              <w:rPr>
                <w:rFonts w:hint="eastAsia" w:ascii="宋体" w:hAnsi="宋体" w:eastAsia="宋体" w:cs="Arial"/>
                <w:color w:val="auto"/>
                <w:kern w:val="0"/>
                <w:sz w:val="21"/>
                <w:szCs w:val="21"/>
                <w:highlight w:val="none"/>
              </w:rPr>
              <w:t>在合同签订2个月内按采购文件要求完成系统升级</w:t>
            </w:r>
            <w:r>
              <w:rPr>
                <w:rFonts w:hint="eastAsia" w:ascii="宋体" w:hAnsi="宋体" w:cs="Arial"/>
                <w:color w:val="auto"/>
                <w:kern w:val="0"/>
                <w:sz w:val="21"/>
                <w:szCs w:val="21"/>
                <w:highlight w:val="none"/>
                <w:lang w:eastAsia="zh-CN"/>
              </w:rPr>
              <w:t>，</w:t>
            </w:r>
            <w:r>
              <w:rPr>
                <w:rFonts w:hint="eastAsia" w:ascii="宋体" w:hAnsi="宋体" w:eastAsia="宋体" w:cs="Arial"/>
                <w:color w:val="auto"/>
                <w:kern w:val="0"/>
                <w:szCs w:val="21"/>
                <w:highlight w:val="none"/>
                <w:lang w:val="en-US" w:eastAsia="zh-CN"/>
              </w:rPr>
              <w:t>同时对省级及各实施市县提供一年的服务。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13" w:hRule="atLeast"/>
          <w:jc w:val="center"/>
        </w:trPr>
        <w:tc>
          <w:tcPr>
            <w:tcW w:w="648" w:type="dxa"/>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800"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资金来源</w:t>
            </w:r>
          </w:p>
        </w:tc>
        <w:tc>
          <w:tcPr>
            <w:tcW w:w="6383" w:type="dxa"/>
            <w:noWrap w:val="0"/>
            <w:vAlign w:val="center"/>
          </w:tcPr>
          <w:p>
            <w:pPr>
              <w:snapToGrid w:val="0"/>
              <w:spacing w:line="320" w:lineRule="exact"/>
              <w:rPr>
                <w:rFonts w:hint="eastAsia"/>
                <w:color w:val="auto"/>
                <w:highlight w:val="none"/>
                <w:lang w:eastAsia="zh-CN"/>
              </w:rPr>
            </w:pPr>
            <w:r>
              <w:rPr>
                <w:rFonts w:hint="eastAsia"/>
                <w:color w:val="auto"/>
                <w:highlight w:val="none"/>
              </w:rPr>
              <w:t>财政资金</w:t>
            </w:r>
            <w:r>
              <w:rPr>
                <w:rFonts w:hint="eastAsia"/>
                <w:color w:val="auto"/>
                <w:highlight w:val="none"/>
                <w:lang w:eastAsia="zh-CN"/>
              </w:rPr>
              <w:t>。</w:t>
            </w:r>
          </w:p>
          <w:p>
            <w:pPr>
              <w:snapToGrid w:val="0"/>
              <w:spacing w:line="320" w:lineRule="exact"/>
              <w:rPr>
                <w:rFonts w:hint="eastAsia"/>
                <w:color w:val="auto"/>
                <w:highlight w:val="none"/>
                <w:lang w:val="en-US" w:eastAsia="zh-CN"/>
              </w:rPr>
            </w:pPr>
            <w:r>
              <w:rPr>
                <w:rFonts w:hint="eastAsia"/>
                <w:color w:val="auto"/>
                <w:highlight w:val="none"/>
                <w:lang w:val="en-US" w:eastAsia="zh-CN"/>
              </w:rPr>
              <w:t>采购计划文号：临[2022]57545号 （省本级）</w:t>
            </w:r>
          </w:p>
          <w:p>
            <w:pPr>
              <w:snapToGrid w:val="0"/>
              <w:spacing w:line="320" w:lineRule="exact"/>
              <w:ind w:firstLine="1470" w:firstLineChars="700"/>
              <w:rPr>
                <w:rFonts w:hint="default"/>
                <w:color w:val="auto"/>
                <w:highlight w:val="none"/>
                <w:lang w:val="en-US" w:eastAsia="zh-CN"/>
              </w:rPr>
            </w:pPr>
            <w:r>
              <w:rPr>
                <w:rFonts w:hint="eastAsia"/>
                <w:color w:val="auto"/>
                <w:highlight w:val="none"/>
                <w:lang w:val="en-US" w:eastAsia="zh-CN"/>
              </w:rPr>
              <w:t>临[2022]58158号 （各市县）</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15" w:hRule="atLeast"/>
          <w:jc w:val="center"/>
        </w:trPr>
        <w:tc>
          <w:tcPr>
            <w:tcW w:w="648" w:type="dxa"/>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800" w:type="dxa"/>
            <w:noWrap w:val="0"/>
            <w:vAlign w:val="center"/>
          </w:tcPr>
          <w:p>
            <w:pPr>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▲采购预算</w:t>
            </w:r>
          </w:p>
        </w:tc>
        <w:tc>
          <w:tcPr>
            <w:tcW w:w="6383" w:type="dxa"/>
            <w:noWrap w:val="0"/>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cs="宋体"/>
                <w:b/>
                <w:color w:val="auto"/>
                <w:kern w:val="0"/>
                <w:szCs w:val="21"/>
                <w:highlight w:val="none"/>
              </w:rPr>
            </w:pPr>
            <w:r>
              <w:rPr>
                <w:rFonts w:hint="eastAsia" w:ascii="宋体" w:hAnsi="宋体" w:cs="宋体"/>
                <w:b/>
                <w:color w:val="auto"/>
                <w:kern w:val="0"/>
                <w:szCs w:val="21"/>
                <w:highlight w:val="none"/>
              </w:rPr>
              <w:t>本项目采购预算为人民币</w:t>
            </w:r>
            <w:r>
              <w:rPr>
                <w:rFonts w:hint="eastAsia" w:ascii="宋体" w:hAnsi="宋体" w:cs="宋体"/>
                <w:b/>
                <w:color w:val="auto"/>
                <w:kern w:val="0"/>
                <w:szCs w:val="21"/>
                <w:highlight w:val="none"/>
                <w:u w:val="single"/>
                <w:lang w:val="en-US" w:eastAsia="zh-CN"/>
              </w:rPr>
              <w:t xml:space="preserve"> 4340 </w:t>
            </w:r>
            <w:r>
              <w:rPr>
                <w:rFonts w:hint="eastAsia" w:ascii="宋体" w:hAnsi="宋体" w:cs="宋体"/>
                <w:b/>
                <w:color w:val="auto"/>
                <w:kern w:val="0"/>
                <w:szCs w:val="21"/>
                <w:highlight w:val="none"/>
              </w:rPr>
              <w:t>万元</w:t>
            </w:r>
            <w:r>
              <w:rPr>
                <w:rFonts w:hint="eastAsia" w:ascii="宋体" w:hAnsi="宋体" w:cs="宋体"/>
                <w:b/>
                <w:color w:val="auto"/>
                <w:kern w:val="0"/>
                <w:szCs w:val="21"/>
                <w:highlight w:val="none"/>
                <w:lang w:eastAsia="zh-CN"/>
              </w:rPr>
              <w:t>，其中报价</w:t>
            </w:r>
            <w:r>
              <w:rPr>
                <w:rFonts w:hint="eastAsia" w:ascii="宋体" w:hAnsi="宋体" w:cs="宋体"/>
                <w:b/>
                <w:color w:val="auto"/>
                <w:kern w:val="0"/>
                <w:szCs w:val="21"/>
                <w:highlight w:val="none"/>
                <w:lang w:val="en-US" w:eastAsia="zh-CN"/>
              </w:rPr>
              <w:t>包含</w:t>
            </w:r>
            <w:r>
              <w:rPr>
                <w:rFonts w:hint="eastAsia" w:ascii="宋体" w:hAnsi="宋体" w:cs="宋体"/>
                <w:b/>
                <w:color w:val="auto"/>
                <w:kern w:val="0"/>
                <w:szCs w:val="21"/>
                <w:highlight w:val="none"/>
                <w:lang w:eastAsia="zh-CN"/>
              </w:rPr>
              <w:t>以下两部分：</w:t>
            </w:r>
          </w:p>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cs="宋体"/>
                <w:b/>
                <w:color w:val="auto"/>
                <w:kern w:val="0"/>
                <w:szCs w:val="21"/>
                <w:highlight w:val="none"/>
                <w:lang w:val="en-US" w:eastAsia="zh-CN"/>
              </w:rPr>
            </w:pP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1</w:t>
            </w:r>
            <w:r>
              <w:rPr>
                <w:rFonts w:hint="eastAsia" w:ascii="宋体" w:hAnsi="宋体" w:cs="宋体"/>
                <w:b/>
                <w:color w:val="auto"/>
                <w:kern w:val="0"/>
                <w:szCs w:val="21"/>
                <w:highlight w:val="none"/>
                <w:lang w:eastAsia="zh-CN"/>
              </w:rPr>
              <w:t>）省本级项目费用（总价包干）最高限价：</w:t>
            </w:r>
            <w:r>
              <w:rPr>
                <w:rFonts w:hint="eastAsia" w:ascii="宋体" w:hAnsi="宋体" w:cs="宋体"/>
                <w:b/>
                <w:color w:val="auto"/>
                <w:kern w:val="0"/>
                <w:szCs w:val="21"/>
                <w:highlight w:val="none"/>
                <w:u w:val="single"/>
                <w:lang w:val="en-US" w:eastAsia="zh-CN"/>
              </w:rPr>
              <w:t xml:space="preserve"> 300 </w:t>
            </w:r>
            <w:r>
              <w:rPr>
                <w:rFonts w:hint="eastAsia" w:ascii="宋体" w:hAnsi="宋体" w:cs="宋体"/>
                <w:b/>
                <w:color w:val="auto"/>
                <w:kern w:val="0"/>
                <w:szCs w:val="21"/>
                <w:highlight w:val="none"/>
                <w:lang w:val="en-US" w:eastAsia="zh-CN"/>
              </w:rPr>
              <w:t>万元；</w:t>
            </w:r>
          </w:p>
          <w:p>
            <w:pPr>
              <w:pStyle w:val="2"/>
              <w:ind w:left="0" w:leftChars="0" w:firstLine="0" w:firstLineChars="0"/>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（2）市县标准年度服务费用：包括</w:t>
            </w:r>
            <w:r>
              <w:rPr>
                <w:rFonts w:hint="eastAsia" w:ascii="宋体" w:hAnsi="宋体" w:eastAsia="宋体" w:cs="宋体"/>
                <w:b/>
                <w:color w:val="auto"/>
                <w:kern w:val="0"/>
                <w:sz w:val="21"/>
                <w:szCs w:val="21"/>
                <w:highlight w:val="none"/>
              </w:rPr>
              <w:t>新年度初始化设置、培训和日常运维服务费用</w:t>
            </w:r>
            <w:r>
              <w:rPr>
                <w:rFonts w:hint="eastAsia" w:ascii="宋体" w:hAnsi="宋体" w:eastAsia="宋体" w:cs="宋体"/>
                <w:b/>
                <w:color w:val="auto"/>
                <w:kern w:val="0"/>
                <w:sz w:val="21"/>
                <w:szCs w:val="21"/>
                <w:highlight w:val="none"/>
                <w:lang w:eastAsia="zh-CN"/>
              </w:rPr>
              <w:t>等全部实施费用，其中</w:t>
            </w:r>
            <w:r>
              <w:rPr>
                <w:rFonts w:hint="eastAsia" w:ascii="宋体" w:hAnsi="宋体" w:eastAsia="宋体" w:cs="宋体"/>
                <w:b/>
                <w:color w:val="auto"/>
                <w:kern w:val="0"/>
                <w:sz w:val="21"/>
                <w:szCs w:val="21"/>
                <w:highlight w:val="none"/>
                <w:lang w:val="en-US" w:eastAsia="zh-CN" w:bidi="ar-SA"/>
              </w:rPr>
              <w:t>地市级年度服务最高限价为：</w:t>
            </w:r>
            <w:r>
              <w:rPr>
                <w:rFonts w:hint="eastAsia" w:ascii="宋体" w:hAnsi="宋体" w:eastAsia="宋体" w:cs="宋体"/>
                <w:b/>
                <w:color w:val="auto"/>
                <w:kern w:val="0"/>
                <w:sz w:val="21"/>
                <w:szCs w:val="21"/>
                <w:highlight w:val="none"/>
                <w:u w:val="single"/>
                <w:lang w:val="en-US" w:eastAsia="zh-CN" w:bidi="ar-SA"/>
              </w:rPr>
              <w:t xml:space="preserve"> 60 </w:t>
            </w:r>
            <w:r>
              <w:rPr>
                <w:rFonts w:hint="eastAsia" w:ascii="宋体" w:hAnsi="宋体" w:eastAsia="宋体" w:cs="宋体"/>
                <w:b/>
                <w:color w:val="auto"/>
                <w:kern w:val="0"/>
                <w:sz w:val="21"/>
                <w:szCs w:val="21"/>
                <w:highlight w:val="none"/>
                <w:lang w:val="en-US" w:eastAsia="zh-CN" w:bidi="ar-SA"/>
              </w:rPr>
              <w:t>万元/年/地市，区县级年度服务最高限价为：</w:t>
            </w:r>
            <w:r>
              <w:rPr>
                <w:rFonts w:hint="eastAsia" w:ascii="宋体" w:hAnsi="宋体" w:eastAsia="宋体" w:cs="宋体"/>
                <w:b/>
                <w:color w:val="auto"/>
                <w:kern w:val="0"/>
                <w:sz w:val="21"/>
                <w:szCs w:val="21"/>
                <w:highlight w:val="none"/>
                <w:u w:val="single"/>
                <w:lang w:val="en-US" w:eastAsia="zh-CN" w:bidi="ar-SA"/>
              </w:rPr>
              <w:t xml:space="preserve"> 40 </w:t>
            </w:r>
            <w:r>
              <w:rPr>
                <w:rFonts w:hint="eastAsia" w:ascii="宋体" w:hAnsi="宋体" w:eastAsia="宋体" w:cs="宋体"/>
                <w:b/>
                <w:color w:val="auto"/>
                <w:kern w:val="0"/>
                <w:sz w:val="21"/>
                <w:szCs w:val="21"/>
                <w:highlight w:val="none"/>
                <w:lang w:val="en-US" w:eastAsia="zh-CN" w:bidi="ar-SA"/>
              </w:rPr>
              <w:t>万元/年/区县。</w:t>
            </w:r>
          </w:p>
          <w:p>
            <w:pPr>
              <w:snapToGrid w:val="0"/>
              <w:spacing w:line="320" w:lineRule="exact"/>
              <w:rPr>
                <w:rFonts w:hint="eastAsia" w:ascii="宋体" w:hAnsi="宋体" w:eastAsia="宋体" w:cs="宋体"/>
                <w:b/>
                <w:color w:val="auto"/>
                <w:szCs w:val="21"/>
                <w:highlight w:val="none"/>
                <w:lang w:eastAsia="zh-CN"/>
              </w:rPr>
            </w:pPr>
            <w:r>
              <w:rPr>
                <w:rFonts w:hint="eastAsia" w:ascii="宋体" w:hAnsi="宋体" w:cs="宋体"/>
                <w:b/>
                <w:color w:val="auto"/>
                <w:kern w:val="0"/>
                <w:szCs w:val="21"/>
                <w:highlight w:val="none"/>
              </w:rPr>
              <w:t>超过</w:t>
            </w:r>
            <w:r>
              <w:rPr>
                <w:rFonts w:hint="eastAsia" w:ascii="宋体" w:hAnsi="宋体" w:cs="宋体"/>
                <w:b/>
                <w:color w:val="auto"/>
                <w:kern w:val="0"/>
                <w:szCs w:val="21"/>
                <w:highlight w:val="none"/>
                <w:lang w:eastAsia="zh-CN"/>
              </w:rPr>
              <w:t>以上任一最高限价规定</w:t>
            </w:r>
            <w:r>
              <w:rPr>
                <w:rFonts w:hint="eastAsia" w:ascii="宋体" w:hAnsi="宋体" w:cs="宋体"/>
                <w:b/>
                <w:color w:val="auto"/>
                <w:kern w:val="0"/>
                <w:szCs w:val="21"/>
                <w:highlight w:val="none"/>
              </w:rPr>
              <w:t>的报价</w:t>
            </w:r>
            <w:r>
              <w:rPr>
                <w:rFonts w:hint="eastAsia" w:ascii="宋体" w:hAnsi="宋体" w:cs="宋体"/>
                <w:b/>
                <w:color w:val="auto"/>
                <w:kern w:val="0"/>
                <w:szCs w:val="21"/>
                <w:highlight w:val="none"/>
                <w:lang w:eastAsia="zh-CN"/>
              </w:rPr>
              <w:t>，均</w:t>
            </w:r>
            <w:r>
              <w:rPr>
                <w:rFonts w:hint="eastAsia" w:ascii="宋体" w:hAnsi="宋体" w:cs="宋体"/>
                <w:b/>
                <w:color w:val="auto"/>
                <w:kern w:val="0"/>
                <w:szCs w:val="21"/>
                <w:highlight w:val="none"/>
              </w:rPr>
              <w:t>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37" w:hRule="atLeast"/>
          <w:jc w:val="center"/>
        </w:trPr>
        <w:tc>
          <w:tcPr>
            <w:tcW w:w="648" w:type="dxa"/>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800"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资格审查方式</w:t>
            </w:r>
          </w:p>
        </w:tc>
        <w:tc>
          <w:tcPr>
            <w:tcW w:w="6383" w:type="dxa"/>
            <w:noWrap w:val="0"/>
            <w:vAlign w:val="center"/>
          </w:tcPr>
          <w:p>
            <w:pPr>
              <w:snapToGrid w:val="0"/>
              <w:spacing w:line="320" w:lineRule="exact"/>
              <w:rPr>
                <w:rFonts w:hint="eastAsia" w:ascii="宋体" w:hAnsi="宋体" w:cs="宋体"/>
                <w:color w:val="auto"/>
                <w:szCs w:val="21"/>
                <w:highlight w:val="none"/>
              </w:rPr>
            </w:pPr>
            <w:r>
              <w:rPr>
                <w:rFonts w:hint="eastAsia" w:ascii="宋体" w:hAnsi="宋体" w:cs="宋体"/>
                <w:color w:val="auto"/>
                <w:szCs w:val="21"/>
                <w:highlight w:val="none"/>
              </w:rPr>
              <w:t>资格后审。</w:t>
            </w:r>
          </w:p>
          <w:p>
            <w:pPr>
              <w:snapToGrid w:val="0"/>
              <w:spacing w:line="320" w:lineRule="exact"/>
              <w:rPr>
                <w:rFonts w:hint="eastAsia" w:ascii="宋体" w:hAnsi="宋体" w:eastAsia="宋体" w:cs="宋体"/>
                <w:color w:val="auto"/>
                <w:szCs w:val="21"/>
                <w:highlight w:val="none"/>
              </w:rPr>
            </w:pPr>
            <w:r>
              <w:rPr>
                <w:rFonts w:hint="eastAsia" w:ascii="宋体" w:hAnsi="宋体" w:cs="宋体"/>
                <w:color w:val="auto"/>
                <w:szCs w:val="21"/>
                <w:highlight w:val="none"/>
              </w:rPr>
              <w:t>资格后审是指在开标后由采购人或采购代理机构代表根据采购文件的规定对投标人进行的资格审查，资格后审不合格的投标人，其投标作无效标处理。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45" w:hRule="atLeast"/>
          <w:jc w:val="center"/>
        </w:trPr>
        <w:tc>
          <w:tcPr>
            <w:tcW w:w="648" w:type="dxa"/>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1800"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投标保证金</w:t>
            </w:r>
          </w:p>
        </w:tc>
        <w:tc>
          <w:tcPr>
            <w:tcW w:w="6383" w:type="dxa"/>
            <w:noWrap w:val="0"/>
            <w:vAlign w:val="center"/>
          </w:tcPr>
          <w:p>
            <w:pPr>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本项目不收取投标保证金。但违反政府采购相关规定给采购人造成损失的投标人应当承担赔偿责任。赔偿金额为项目预算金额的2%，如实际损失超过前述金额的，投标人需赔偿超过前述金额部分的实际损失。</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648" w:type="dxa"/>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1800"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踏勘现场</w:t>
            </w:r>
          </w:p>
        </w:tc>
        <w:tc>
          <w:tcPr>
            <w:tcW w:w="6383" w:type="dxa"/>
            <w:noWrap w:val="0"/>
            <w:vAlign w:val="center"/>
          </w:tcPr>
          <w:p>
            <w:pPr>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82" w:hRule="atLeast"/>
          <w:jc w:val="center"/>
        </w:trPr>
        <w:tc>
          <w:tcPr>
            <w:tcW w:w="648" w:type="dxa"/>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1800" w:type="dxa"/>
            <w:noWrap w:val="0"/>
            <w:vAlign w:val="center"/>
          </w:tcPr>
          <w:p>
            <w:pPr>
              <w:snapToGrid w:val="0"/>
              <w:spacing w:line="360" w:lineRule="exact"/>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招标答疑</w:t>
            </w:r>
          </w:p>
        </w:tc>
        <w:tc>
          <w:tcPr>
            <w:tcW w:w="6383" w:type="dxa"/>
            <w:noWrap w:val="0"/>
            <w:vAlign w:val="center"/>
          </w:tcPr>
          <w:p>
            <w:pPr>
              <w:snapToGrid w:val="0"/>
              <w:spacing w:line="320" w:lineRule="exact"/>
              <w:rPr>
                <w:rFonts w:hint="eastAsia" w:ascii="宋体" w:hAnsi="宋体" w:eastAsia="宋体" w:cs="宋体"/>
                <w:snapToGrid w:val="0"/>
                <w:color w:val="auto"/>
                <w:kern w:val="0"/>
                <w:szCs w:val="21"/>
                <w:highlight w:val="none"/>
              </w:rPr>
            </w:pPr>
            <w:r>
              <w:rPr>
                <w:rFonts w:hint="eastAsia" w:ascii="宋体" w:hAnsi="宋体" w:eastAsia="宋体" w:cs="宋体"/>
                <w:color w:val="auto"/>
                <w:szCs w:val="21"/>
                <w:highlight w:val="none"/>
              </w:rPr>
              <w:t>投标人如认为采购文件表述不清晰的，必须在</w:t>
            </w:r>
            <w:r>
              <w:rPr>
                <w:rFonts w:hint="eastAsia" w:ascii="宋体" w:hAnsi="宋体" w:eastAsia="宋体" w:cs="宋体"/>
                <w:color w:val="auto"/>
                <w:szCs w:val="21"/>
                <w:highlight w:val="none"/>
                <w:lang w:eastAsia="zh-CN"/>
              </w:rPr>
              <w:t>2022</w:t>
            </w:r>
            <w:r>
              <w:rPr>
                <w:rFonts w:hint="eastAsia" w:ascii="宋体" w:hAnsi="宋体" w:eastAsia="宋体" w:cs="宋体"/>
                <w:color w:val="auto"/>
                <w:szCs w:val="21"/>
                <w:highlight w:val="none"/>
              </w:rPr>
              <w:t>年</w:t>
            </w:r>
            <w:r>
              <w:rPr>
                <w:rFonts w:hint="eastAsia" w:ascii="宋体" w:hAnsi="宋体" w:cs="宋体"/>
                <w:color w:val="auto"/>
                <w:szCs w:val="21"/>
                <w:highlight w:val="none"/>
                <w:lang w:val="en-US" w:eastAsia="zh-CN"/>
              </w:rPr>
              <w:t xml:space="preserve">  11 </w:t>
            </w:r>
            <w:r>
              <w:rPr>
                <w:rFonts w:hint="eastAsia" w:ascii="宋体" w:hAnsi="宋体" w:eastAsia="宋体" w:cs="宋体"/>
                <w:color w:val="auto"/>
                <w:szCs w:val="21"/>
                <w:highlight w:val="none"/>
                <w:lang w:val="en-US" w:eastAsia="zh-CN"/>
              </w:rPr>
              <w:t>月</w:t>
            </w:r>
            <w:r>
              <w:rPr>
                <w:rFonts w:hint="eastAsia" w:ascii="宋体" w:hAnsi="宋体" w:cs="宋体"/>
                <w:color w:val="auto"/>
                <w:szCs w:val="21"/>
                <w:highlight w:val="none"/>
                <w:lang w:val="en-US" w:eastAsia="zh-CN"/>
              </w:rPr>
              <w:t xml:space="preserve"> 9 </w:t>
            </w:r>
            <w:r>
              <w:rPr>
                <w:rFonts w:hint="eastAsia" w:ascii="宋体" w:hAnsi="宋体" w:eastAsia="宋体" w:cs="宋体"/>
                <w:color w:val="auto"/>
                <w:szCs w:val="21"/>
                <w:highlight w:val="none"/>
              </w:rPr>
              <w:t>日</w:t>
            </w:r>
            <w:r>
              <w:rPr>
                <w:rFonts w:hint="eastAsia" w:ascii="宋体" w:hAnsi="宋体" w:eastAsia="宋体" w:cs="宋体"/>
                <w:snapToGrid w:val="0"/>
                <w:color w:val="auto"/>
                <w:kern w:val="0"/>
                <w:szCs w:val="21"/>
                <w:highlight w:val="none"/>
                <w:lang w:val="en-US" w:eastAsia="zh-CN"/>
              </w:rPr>
              <w:t xml:space="preserve">  12</w:t>
            </w:r>
            <w:r>
              <w:rPr>
                <w:rFonts w:hint="eastAsia" w:ascii="宋体" w:hAnsi="宋体" w:eastAsia="宋体" w:cs="宋体"/>
                <w:snapToGrid w:val="0"/>
                <w:color w:val="auto"/>
                <w:kern w:val="0"/>
                <w:szCs w:val="21"/>
                <w:highlight w:val="none"/>
              </w:rPr>
              <w:t>时之前、将要求答疑的问题传真</w:t>
            </w:r>
            <w:r>
              <w:rPr>
                <w:rFonts w:hint="eastAsia" w:ascii="宋体" w:hAnsi="宋体" w:eastAsia="宋体" w:cs="宋体"/>
                <w:snapToGrid w:val="0"/>
                <w:color w:val="auto"/>
                <w:kern w:val="0"/>
                <w:szCs w:val="21"/>
                <w:highlight w:val="none"/>
                <w:lang w:eastAsia="zh-CN"/>
              </w:rPr>
              <w:t>至</w:t>
            </w:r>
            <w:r>
              <w:rPr>
                <w:rFonts w:hint="eastAsia" w:ascii="宋体" w:hAnsi="宋体" w:eastAsia="宋体" w:cs="宋体"/>
                <w:bCs/>
                <w:snapToGrid w:val="0"/>
                <w:color w:val="auto"/>
                <w:kern w:val="0"/>
                <w:szCs w:val="21"/>
                <w:highlight w:val="none"/>
                <w:u w:val="single"/>
              </w:rPr>
              <w:t>0571－</w:t>
            </w:r>
            <w:r>
              <w:rPr>
                <w:rFonts w:hint="eastAsia" w:ascii="宋体" w:hAnsi="宋体" w:eastAsia="宋体" w:cs="宋体"/>
                <w:bCs/>
                <w:snapToGrid w:val="0"/>
                <w:color w:val="auto"/>
                <w:kern w:val="0"/>
                <w:szCs w:val="21"/>
                <w:highlight w:val="none"/>
                <w:u w:val="single"/>
                <w:lang w:val="en-US" w:eastAsia="zh-CN"/>
              </w:rPr>
              <w:t xml:space="preserve">88473430 </w:t>
            </w:r>
            <w:r>
              <w:rPr>
                <w:rFonts w:hint="eastAsia" w:ascii="宋体" w:hAnsi="宋体" w:eastAsia="宋体" w:cs="宋体"/>
                <w:b/>
                <w:bCs/>
                <w:snapToGrid w:val="0"/>
                <w:color w:val="auto"/>
                <w:kern w:val="0"/>
                <w:szCs w:val="21"/>
                <w:highlight w:val="none"/>
              </w:rPr>
              <w:t>,</w:t>
            </w:r>
            <w:r>
              <w:rPr>
                <w:rFonts w:hint="eastAsia" w:ascii="宋体" w:hAnsi="宋体" w:eastAsia="宋体" w:cs="宋体"/>
                <w:snapToGrid w:val="0"/>
                <w:color w:val="auto"/>
                <w:kern w:val="0"/>
                <w:szCs w:val="21"/>
                <w:highlight w:val="none"/>
              </w:rPr>
              <w:t>并发电子邮件至</w:t>
            </w:r>
            <w:r>
              <w:rPr>
                <w:rFonts w:hint="eastAsia" w:ascii="宋体" w:hAnsi="宋体" w:eastAsia="宋体" w:cs="宋体"/>
                <w:snapToGrid w:val="0"/>
                <w:color w:val="auto"/>
                <w:kern w:val="0"/>
                <w:szCs w:val="21"/>
                <w:highlight w:val="none"/>
                <w:u w:val="single"/>
                <w:lang w:val="en-US" w:eastAsia="zh-CN"/>
              </w:rPr>
              <w:t xml:space="preserve">22553113@qq.com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zh-CN"/>
              </w:rPr>
              <w:t>电子邮件与书面文件有不一致的</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zh-CN"/>
              </w:rPr>
              <w:t>一律以书面文件为准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zh-CN"/>
              </w:rPr>
              <w:t>。截止期后的疑问将不予受理、答复。</w:t>
            </w:r>
            <w:r>
              <w:rPr>
                <w:rFonts w:hint="eastAsia" w:ascii="宋体" w:hAnsi="宋体" w:eastAsia="宋体" w:cs="宋体"/>
                <w:color w:val="auto"/>
                <w:szCs w:val="21"/>
                <w:highlight w:val="none"/>
              </w:rPr>
              <w:t>答疑回复内容是采购文件的组成部份，并将以更正（澄清）公告形式告知所有</w:t>
            </w:r>
            <w:r>
              <w:rPr>
                <w:rFonts w:hint="eastAsia" w:ascii="宋体" w:hAnsi="宋体" w:eastAsia="宋体" w:cs="宋体"/>
                <w:color w:val="auto"/>
                <w:szCs w:val="21"/>
                <w:highlight w:val="none"/>
                <w:lang w:eastAsia="zh-CN"/>
              </w:rPr>
              <w:t>获取</w:t>
            </w:r>
            <w:r>
              <w:rPr>
                <w:rFonts w:hint="eastAsia" w:ascii="宋体" w:hAnsi="宋体" w:eastAsia="宋体" w:cs="宋体"/>
                <w:color w:val="auto"/>
                <w:szCs w:val="21"/>
                <w:highlight w:val="none"/>
              </w:rPr>
              <w:t>采购文件的投标人。请</w:t>
            </w: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密切关注公告</w:t>
            </w:r>
            <w:r>
              <w:rPr>
                <w:rFonts w:hint="eastAsia" w:ascii="宋体" w:hAnsi="宋体" w:eastAsia="宋体" w:cs="宋体"/>
                <w:color w:val="auto"/>
                <w:szCs w:val="21"/>
                <w:highlight w:val="none"/>
                <w:lang w:eastAsia="zh-CN"/>
              </w:rPr>
              <w:t>信息</w:t>
            </w:r>
            <w:r>
              <w:rPr>
                <w:rFonts w:hint="eastAsia" w:ascii="宋体" w:hAnsi="宋体" w:eastAsia="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90" w:hRule="atLeast"/>
          <w:jc w:val="center"/>
        </w:trPr>
        <w:tc>
          <w:tcPr>
            <w:tcW w:w="648" w:type="dxa"/>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w:t>
            </w:r>
          </w:p>
        </w:tc>
        <w:tc>
          <w:tcPr>
            <w:tcW w:w="1800"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采购文件的澄清与修改</w:t>
            </w:r>
          </w:p>
        </w:tc>
        <w:tc>
          <w:tcPr>
            <w:tcW w:w="6383" w:type="dxa"/>
            <w:noWrap w:val="0"/>
            <w:vAlign w:val="center"/>
          </w:tcPr>
          <w:p>
            <w:pPr>
              <w:snapToGrid w:val="0"/>
              <w:spacing w:line="320" w:lineRule="exact"/>
              <w:ind w:right="105" w:rightChars="50"/>
              <w:rPr>
                <w:rFonts w:hint="eastAsia" w:ascii="宋体" w:hAnsi="宋体" w:eastAsia="宋体" w:cs="宋体"/>
                <w:color w:val="auto"/>
                <w:szCs w:val="21"/>
                <w:highlight w:val="none"/>
              </w:rPr>
            </w:pPr>
            <w:r>
              <w:rPr>
                <w:rFonts w:hint="eastAsia" w:ascii="宋体" w:hAnsi="宋体" w:eastAsia="宋体" w:cs="宋体"/>
                <w:snapToGrid w:val="0"/>
                <w:color w:val="auto"/>
                <w:kern w:val="0"/>
                <w:szCs w:val="21"/>
                <w:highlight w:val="none"/>
              </w:rPr>
              <w:t>在投标截止时间15天前，采购人有权澄清和修改采购文件，并以</w:t>
            </w:r>
            <w:r>
              <w:rPr>
                <w:rFonts w:hint="eastAsia" w:ascii="宋体" w:hAnsi="宋体" w:eastAsia="宋体" w:cs="宋体"/>
                <w:snapToGrid w:val="0"/>
                <w:color w:val="auto"/>
                <w:kern w:val="0"/>
                <w:szCs w:val="21"/>
                <w:highlight w:val="none"/>
                <w:lang w:val="en-US" w:eastAsia="zh-CN"/>
              </w:rPr>
              <w:t>更正（澄清）公告</w:t>
            </w:r>
            <w:r>
              <w:rPr>
                <w:rFonts w:hint="eastAsia" w:ascii="宋体" w:hAnsi="宋体" w:eastAsia="宋体" w:cs="宋体"/>
                <w:snapToGrid w:val="0"/>
                <w:color w:val="auto"/>
                <w:kern w:val="0"/>
                <w:szCs w:val="21"/>
                <w:highlight w:val="none"/>
              </w:rPr>
              <w:t>形式通知所有已</w:t>
            </w:r>
            <w:r>
              <w:rPr>
                <w:rFonts w:hint="eastAsia" w:ascii="宋体" w:hAnsi="宋体" w:eastAsia="宋体" w:cs="宋体"/>
                <w:snapToGrid w:val="0"/>
                <w:color w:val="auto"/>
                <w:kern w:val="0"/>
                <w:szCs w:val="21"/>
                <w:highlight w:val="none"/>
                <w:lang w:eastAsia="zh-CN"/>
              </w:rPr>
              <w:t>获取</w:t>
            </w:r>
            <w:r>
              <w:rPr>
                <w:rFonts w:hint="eastAsia" w:ascii="宋体" w:hAnsi="宋体" w:eastAsia="宋体" w:cs="宋体"/>
                <w:snapToGrid w:val="0"/>
                <w:color w:val="auto"/>
                <w:kern w:val="0"/>
                <w:szCs w:val="21"/>
                <w:highlight w:val="none"/>
              </w:rPr>
              <w:t>采购文件的投标人。修改和澄清（答疑）答复的</w:t>
            </w:r>
            <w:r>
              <w:rPr>
                <w:rFonts w:hint="eastAsia" w:ascii="宋体" w:hAnsi="宋体" w:eastAsia="宋体" w:cs="宋体"/>
                <w:snapToGrid w:val="0"/>
                <w:color w:val="auto"/>
                <w:kern w:val="0"/>
                <w:szCs w:val="21"/>
                <w:highlight w:val="none"/>
                <w:lang w:val="en-US" w:eastAsia="zh-CN"/>
              </w:rPr>
              <w:t>内容</w:t>
            </w:r>
            <w:r>
              <w:rPr>
                <w:rFonts w:hint="eastAsia" w:ascii="宋体" w:hAnsi="宋体" w:eastAsia="宋体" w:cs="宋体"/>
                <w:snapToGrid w:val="0"/>
                <w:color w:val="auto"/>
                <w:kern w:val="0"/>
                <w:szCs w:val="21"/>
                <w:highlight w:val="none"/>
              </w:rPr>
              <w:t>作为采购文件的补充和组成部分，对所有投标人均有约束力。</w:t>
            </w:r>
            <w:r>
              <w:rPr>
                <w:rFonts w:hint="eastAsia" w:ascii="宋体" w:hAnsi="宋体" w:eastAsia="宋体" w:cs="宋体"/>
                <w:color w:val="auto"/>
                <w:szCs w:val="21"/>
                <w:highlight w:val="none"/>
              </w:rPr>
              <w:t>请</w:t>
            </w: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密切关注公告</w:t>
            </w:r>
            <w:r>
              <w:rPr>
                <w:rFonts w:hint="eastAsia" w:ascii="宋体" w:hAnsi="宋体" w:eastAsia="宋体" w:cs="宋体"/>
                <w:color w:val="auto"/>
                <w:szCs w:val="21"/>
                <w:highlight w:val="none"/>
                <w:lang w:eastAsia="zh-CN"/>
              </w:rPr>
              <w:t>信息</w:t>
            </w:r>
            <w:r>
              <w:rPr>
                <w:rFonts w:hint="eastAsia" w:ascii="宋体" w:hAnsi="宋体" w:eastAsia="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40" w:hRule="atLeast"/>
          <w:jc w:val="center"/>
        </w:trPr>
        <w:tc>
          <w:tcPr>
            <w:tcW w:w="648" w:type="dxa"/>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1800"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w:t>
            </w:r>
            <w:r>
              <w:rPr>
                <w:rFonts w:hint="eastAsia" w:ascii="宋体" w:hAnsi="宋体" w:eastAsia="宋体" w:cs="宋体"/>
                <w:color w:val="auto"/>
                <w:szCs w:val="21"/>
                <w:highlight w:val="none"/>
                <w:lang w:val="en-US" w:eastAsia="zh-CN"/>
              </w:rPr>
              <w:t>形式</w:t>
            </w:r>
          </w:p>
        </w:tc>
        <w:tc>
          <w:tcPr>
            <w:tcW w:w="6383" w:type="dxa"/>
            <w:noWrap w:val="0"/>
            <w:vAlign w:val="center"/>
          </w:tcPr>
          <w:p>
            <w:pPr>
              <w:snapToGrid w:val="0"/>
              <w:spacing w:line="320" w:lineRule="exact"/>
              <w:ind w:right="105" w:rightChars="50"/>
              <w:rPr>
                <w:rFonts w:hint="default" w:ascii="宋体" w:hAnsi="宋体" w:eastAsia="宋体"/>
                <w:color w:val="auto"/>
                <w:szCs w:val="21"/>
                <w:highlight w:val="none"/>
                <w:lang w:val="en-US" w:eastAsia="zh-CN"/>
              </w:rPr>
            </w:pPr>
            <w:r>
              <w:rPr>
                <w:rFonts w:hint="default" w:ascii="宋体" w:hAnsi="宋体" w:eastAsia="宋体"/>
                <w:color w:val="auto"/>
                <w:szCs w:val="21"/>
                <w:highlight w:val="none"/>
                <w:lang w:val="en-US" w:eastAsia="zh-CN"/>
              </w:rPr>
              <w:t>电子投标文</w:t>
            </w:r>
            <w:r>
              <w:rPr>
                <w:rFonts w:hint="eastAsia" w:ascii="宋体" w:hAnsi="宋体" w:eastAsia="宋体"/>
                <w:color w:val="auto"/>
                <w:szCs w:val="21"/>
                <w:highlight w:val="none"/>
                <w:lang w:val="en-US" w:eastAsia="zh-CN"/>
              </w:rPr>
              <w:t>件</w:t>
            </w:r>
            <w:r>
              <w:rPr>
                <w:rFonts w:hint="default" w:ascii="宋体" w:hAnsi="宋体" w:eastAsia="宋体"/>
                <w:color w:val="auto"/>
                <w:szCs w:val="21"/>
                <w:highlight w:val="none"/>
                <w:lang w:val="en-US" w:eastAsia="zh-CN"/>
              </w:rPr>
              <w:t>包括“电子加密投标文件”和“备份投标文件”，在投标文件编制完成后同时生成</w:t>
            </w:r>
            <w:r>
              <w:rPr>
                <w:rFonts w:hint="eastAsia" w:ascii="宋体" w:hAnsi="宋体" w:eastAsia="宋体"/>
                <w:color w:val="auto"/>
                <w:szCs w:val="21"/>
                <w:highlight w:val="none"/>
                <w:lang w:val="en-US" w:eastAsia="zh-CN"/>
              </w:rPr>
              <w:t>。</w:t>
            </w:r>
          </w:p>
          <w:p>
            <w:pPr>
              <w:numPr>
                <w:ilvl w:val="0"/>
                <w:numId w:val="3"/>
              </w:numPr>
              <w:snapToGrid w:val="0"/>
              <w:spacing w:line="320" w:lineRule="exact"/>
              <w:ind w:right="105" w:rightChars="50"/>
              <w:rPr>
                <w:rFonts w:hint="default" w:ascii="宋体" w:hAnsi="宋体" w:eastAsia="宋体"/>
                <w:color w:val="auto"/>
                <w:szCs w:val="21"/>
                <w:highlight w:val="none"/>
                <w:lang w:val="en-US" w:eastAsia="zh-CN"/>
              </w:rPr>
            </w:pPr>
            <w:r>
              <w:rPr>
                <w:rFonts w:hint="default" w:ascii="宋体" w:hAnsi="宋体" w:eastAsia="宋体"/>
                <w:color w:val="auto"/>
                <w:szCs w:val="21"/>
                <w:highlight w:val="none"/>
                <w:lang w:val="en-US" w:eastAsia="zh-CN"/>
              </w:rPr>
              <w:t>“电子加密投标文件”是指通过“政采云电子交易客户端”完成投标文件编制后生成并加密的数据电文形式的投标文件。</w:t>
            </w:r>
          </w:p>
          <w:p>
            <w:pPr>
              <w:numPr>
                <w:ilvl w:val="0"/>
                <w:numId w:val="3"/>
              </w:numPr>
              <w:snapToGrid w:val="0"/>
              <w:spacing w:line="320" w:lineRule="exact"/>
              <w:ind w:left="0" w:leftChars="0" w:firstLine="0" w:firstLineChars="0"/>
              <w:rPr>
                <w:rFonts w:hint="eastAsia" w:ascii="宋体" w:hAnsi="宋体" w:eastAsia="宋体" w:cs="宋体"/>
                <w:color w:val="auto"/>
                <w:szCs w:val="21"/>
                <w:highlight w:val="none"/>
              </w:rPr>
            </w:pPr>
            <w:r>
              <w:rPr>
                <w:rFonts w:hint="default" w:ascii="宋体" w:hAnsi="宋体" w:eastAsia="宋体"/>
                <w:color w:val="auto"/>
                <w:szCs w:val="21"/>
                <w:highlight w:val="none"/>
                <w:lang w:val="en-US" w:eastAsia="zh-CN"/>
              </w:rPr>
              <w:t>“备份投标文件”是指与“电子加密投标文件”同时生成的数据电文形式的电子文件（备份标书</w:t>
            </w:r>
            <w:r>
              <w:rPr>
                <w:rFonts w:hint="eastAsia" w:ascii="宋体" w:hAnsi="宋体"/>
                <w:color w:val="auto"/>
                <w:szCs w:val="21"/>
                <w:highlight w:val="none"/>
                <w:lang w:val="en-US" w:eastAsia="zh-CN"/>
              </w:rPr>
              <w:t>，用于供应商标书解密异常时应急使用</w:t>
            </w:r>
            <w:r>
              <w:rPr>
                <w:rFonts w:hint="default" w:ascii="宋体" w:hAnsi="宋体" w:eastAsia="宋体"/>
                <w:color w:val="auto"/>
                <w:szCs w:val="21"/>
                <w:highlight w:val="none"/>
                <w:lang w:val="en-US" w:eastAsia="zh-CN"/>
              </w:rPr>
              <w:t>），其他方式编制的备份投标文件视为无效备份投标文件</w:t>
            </w:r>
            <w:r>
              <w:rPr>
                <w:rFonts w:hint="eastAsia" w:ascii="宋体" w:hAnsi="宋体"/>
                <w:color w:val="auto"/>
                <w:szCs w:val="21"/>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648" w:type="dxa"/>
            <w:noWrap w:val="0"/>
            <w:vAlign w:val="center"/>
          </w:tcPr>
          <w:p>
            <w:pPr>
              <w:adjustRightInd w:val="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15</w:t>
            </w:r>
          </w:p>
        </w:tc>
        <w:tc>
          <w:tcPr>
            <w:tcW w:w="1800"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color w:val="auto"/>
                <w:szCs w:val="21"/>
                <w:highlight w:val="none"/>
              </w:rPr>
              <w:t>投标文件份数</w:t>
            </w:r>
          </w:p>
        </w:tc>
        <w:tc>
          <w:tcPr>
            <w:tcW w:w="6383" w:type="dxa"/>
            <w:noWrap w:val="0"/>
            <w:vAlign w:val="center"/>
          </w:tcPr>
          <w:p>
            <w:pPr>
              <w:numPr>
                <w:ilvl w:val="0"/>
                <w:numId w:val="4"/>
              </w:numPr>
              <w:snapToGrid w:val="0"/>
              <w:spacing w:line="320" w:lineRule="exact"/>
              <w:rPr>
                <w:rFonts w:hint="eastAsia"/>
                <w:color w:val="auto"/>
                <w:highlight w:val="none"/>
                <w:lang w:eastAsia="zh-CN"/>
              </w:rPr>
            </w:pPr>
            <w:r>
              <w:rPr>
                <w:rFonts w:hint="eastAsia"/>
                <w:color w:val="auto"/>
                <w:highlight w:val="none"/>
                <w:lang w:eastAsia="zh-CN"/>
              </w:rPr>
              <w:t>一份电子加密标书（后缀格式为.jmbs），一份备份标书文件（后缀格式为.bfbs）。</w:t>
            </w:r>
          </w:p>
          <w:p>
            <w:pPr>
              <w:snapToGrid w:val="0"/>
              <w:spacing w:line="320" w:lineRule="exact"/>
              <w:rPr>
                <w:rFonts w:hint="eastAsia"/>
                <w:color w:val="auto"/>
                <w:highlight w:val="none"/>
                <w:lang w:val="en-US" w:eastAsia="zh-CN"/>
              </w:rPr>
            </w:pPr>
            <w:r>
              <w:rPr>
                <w:rFonts w:hint="eastAsia"/>
                <w:color w:val="auto"/>
                <w:highlight w:val="none"/>
                <w:lang w:val="en-US" w:eastAsia="zh-CN"/>
              </w:rPr>
              <w:t>每份电子投标文件应包括资格响应文件、商务技术响应文件及报价响应文件三部分内容。</w:t>
            </w:r>
          </w:p>
          <w:p>
            <w:pPr>
              <w:pStyle w:val="8"/>
              <w:numPr>
                <w:ilvl w:val="0"/>
                <w:numId w:val="4"/>
              </w:numPr>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如中标，中标人需根据招标人要求提供纸质投标文件至少</w:t>
            </w:r>
            <w:r>
              <w:rPr>
                <w:rFonts w:hint="eastAsia" w:ascii="宋体" w:hAnsi="宋体"/>
                <w:color w:val="auto"/>
                <w:szCs w:val="21"/>
                <w:highlight w:val="none"/>
                <w:u w:val="single"/>
                <w:lang w:val="en-US" w:eastAsia="zh-CN"/>
              </w:rPr>
              <w:t xml:space="preserve"> 2 </w:t>
            </w:r>
            <w:r>
              <w:rPr>
                <w:rFonts w:hint="eastAsia" w:ascii="宋体" w:hAnsi="宋体"/>
                <w:color w:val="auto"/>
                <w:szCs w:val="21"/>
                <w:highlight w:val="none"/>
                <w:lang w:val="en-US" w:eastAsia="zh-CN"/>
              </w:rPr>
              <w:t>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5" w:hRule="atLeast"/>
          <w:jc w:val="center"/>
        </w:trPr>
        <w:tc>
          <w:tcPr>
            <w:tcW w:w="648" w:type="dxa"/>
            <w:vMerge w:val="restart"/>
            <w:noWrap w:val="0"/>
            <w:vAlign w:val="center"/>
          </w:tcPr>
          <w:p>
            <w:pPr>
              <w:adjustRightInd w:val="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16</w:t>
            </w:r>
          </w:p>
        </w:tc>
        <w:tc>
          <w:tcPr>
            <w:tcW w:w="1800" w:type="dxa"/>
            <w:vMerge w:val="restart"/>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color w:val="auto"/>
                <w:szCs w:val="21"/>
                <w:highlight w:val="none"/>
              </w:rPr>
              <w:t>投标文件</w:t>
            </w:r>
            <w:r>
              <w:rPr>
                <w:rFonts w:hint="eastAsia" w:ascii="宋体" w:hAnsi="宋体"/>
                <w:color w:val="auto"/>
                <w:szCs w:val="21"/>
                <w:highlight w:val="none"/>
                <w:lang w:eastAsia="zh-CN"/>
              </w:rPr>
              <w:t>的上传和递交</w:t>
            </w:r>
          </w:p>
        </w:tc>
        <w:tc>
          <w:tcPr>
            <w:tcW w:w="6383" w:type="dxa"/>
            <w:noWrap w:val="0"/>
            <w:vAlign w:val="center"/>
          </w:tcPr>
          <w:p>
            <w:pPr>
              <w:numPr>
                <w:ilvl w:val="0"/>
                <w:numId w:val="0"/>
              </w:numPr>
              <w:snapToGrid w:val="0"/>
              <w:spacing w:line="320" w:lineRule="exact"/>
              <w:rPr>
                <w:rFonts w:hint="eastAsia" w:ascii="宋体" w:hAnsi="宋体" w:cs="Courier New"/>
                <w:color w:val="auto"/>
                <w:szCs w:val="21"/>
                <w:highlight w:val="none"/>
                <w:lang w:eastAsia="zh-CN"/>
              </w:rPr>
            </w:pPr>
            <w:r>
              <w:rPr>
                <w:rFonts w:hint="eastAsia" w:ascii="宋体" w:hAnsi="宋体" w:cs="Courier New"/>
                <w:color w:val="auto"/>
                <w:szCs w:val="21"/>
                <w:highlight w:val="none"/>
                <w:lang w:val="en-US" w:eastAsia="zh-CN"/>
              </w:rPr>
              <w:t>1.电子加密投标文件：</w:t>
            </w:r>
            <w:r>
              <w:rPr>
                <w:rFonts w:hint="eastAsia" w:ascii="宋体" w:hAnsi="宋体" w:cs="Courier New"/>
                <w:color w:val="auto"/>
                <w:szCs w:val="21"/>
                <w:highlight w:val="none"/>
              </w:rPr>
              <w:t>投标文件制作完成并生成加密标书，</w:t>
            </w:r>
            <w:r>
              <w:rPr>
                <w:rFonts w:hint="eastAsia" w:ascii="宋体" w:hAnsi="宋体" w:cs="Courier New"/>
                <w:color w:val="auto"/>
                <w:szCs w:val="21"/>
                <w:highlight w:val="none"/>
                <w:lang w:eastAsia="zh-CN"/>
              </w:rPr>
              <w:t>在投标截止时间</w:t>
            </w:r>
            <w:r>
              <w:rPr>
                <w:rFonts w:hint="eastAsia" w:ascii="宋体" w:hAnsi="宋体" w:cs="Courier New"/>
                <w:color w:val="auto"/>
                <w:szCs w:val="21"/>
                <w:highlight w:val="none"/>
              </w:rPr>
              <w:t>前，供应商需将加密的投标文件上传至政采云平台，在开标时间开始后</w:t>
            </w:r>
            <w:r>
              <w:rPr>
                <w:rFonts w:hint="eastAsia" w:ascii="宋体" w:hAnsi="宋体" w:cs="Courier New"/>
                <w:color w:val="auto"/>
                <w:szCs w:val="21"/>
                <w:highlight w:val="none"/>
                <w:u w:val="single"/>
                <w:lang w:val="en-US" w:eastAsia="zh-CN"/>
              </w:rPr>
              <w:t xml:space="preserve"> 30 </w:t>
            </w:r>
            <w:r>
              <w:rPr>
                <w:rFonts w:hint="eastAsia" w:ascii="宋体" w:hAnsi="宋体" w:cs="Courier New"/>
                <w:color w:val="auto"/>
                <w:szCs w:val="21"/>
                <w:highlight w:val="none"/>
              </w:rPr>
              <w:t>分钟内，解密投标文件</w:t>
            </w:r>
            <w:r>
              <w:rPr>
                <w:rFonts w:hint="eastAsia" w:ascii="宋体" w:hAnsi="宋体" w:cs="Courier New"/>
                <w:color w:val="auto"/>
                <w:szCs w:val="21"/>
                <w:highlight w:val="none"/>
                <w:lang w:eastAsia="zh-CN"/>
              </w:rPr>
              <w:t>。</w:t>
            </w:r>
          </w:p>
          <w:p>
            <w:pPr>
              <w:widowControl w:val="0"/>
              <w:numPr>
                <w:ilvl w:val="0"/>
                <w:numId w:val="0"/>
              </w:numPr>
              <w:snapToGrid w:val="0"/>
              <w:spacing w:line="320" w:lineRule="exact"/>
              <w:jc w:val="both"/>
              <w:rPr>
                <w:rFonts w:hint="eastAsia" w:ascii="宋体" w:hAnsi="宋体" w:cs="Courier New"/>
                <w:b/>
                <w:bCs/>
                <w:color w:val="auto"/>
                <w:szCs w:val="21"/>
                <w:highlight w:val="none"/>
                <w:lang w:eastAsia="zh-CN"/>
              </w:rPr>
            </w:pPr>
            <w:r>
              <w:rPr>
                <w:rFonts w:hint="eastAsia" w:ascii="宋体" w:hAnsi="宋体" w:cs="Courier New"/>
                <w:b/>
                <w:bCs/>
                <w:color w:val="auto"/>
                <w:szCs w:val="21"/>
                <w:highlight w:val="none"/>
                <w:lang w:eastAsia="zh-CN"/>
              </w:rPr>
              <w:t>a.供应商未能在投标截止时间前成功上传电子加密投标文件的投标无效。</w:t>
            </w:r>
          </w:p>
          <w:p>
            <w:pPr>
              <w:widowControl w:val="0"/>
              <w:numPr>
                <w:ilvl w:val="0"/>
                <w:numId w:val="0"/>
              </w:numPr>
              <w:snapToGrid w:val="0"/>
              <w:spacing w:line="320" w:lineRule="exact"/>
              <w:ind w:left="0" w:leftChars="0" w:firstLine="0" w:firstLineChars="0"/>
              <w:jc w:val="both"/>
              <w:rPr>
                <w:rFonts w:hint="default" w:ascii="宋体" w:hAnsi="宋体" w:eastAsia="宋体"/>
                <w:color w:val="auto"/>
                <w:szCs w:val="21"/>
                <w:highlight w:val="none"/>
                <w:lang w:val="en-US" w:eastAsia="zh-CN"/>
              </w:rPr>
            </w:pPr>
            <w:r>
              <w:rPr>
                <w:rFonts w:hint="eastAsia" w:ascii="宋体" w:hAnsi="宋体" w:cs="Courier New"/>
                <w:color w:val="auto"/>
                <w:szCs w:val="21"/>
                <w:highlight w:val="none"/>
                <w:lang w:eastAsia="zh-CN"/>
              </w:rPr>
              <w:t>b.供应商成功上传电子加密投标文件后，可自行打印投标文件接收回执。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60" w:hRule="atLeast"/>
          <w:jc w:val="center"/>
        </w:trPr>
        <w:tc>
          <w:tcPr>
            <w:tcW w:w="648" w:type="dxa"/>
            <w:vMerge w:val="continue"/>
            <w:noWrap w:val="0"/>
            <w:vAlign w:val="center"/>
          </w:tcPr>
          <w:p>
            <w:pPr>
              <w:adjustRightInd w:val="0"/>
              <w:jc w:val="center"/>
              <w:rPr>
                <w:rFonts w:hint="eastAsia" w:ascii="宋体" w:hAnsi="宋体" w:eastAsia="宋体" w:cs="宋体"/>
                <w:color w:val="auto"/>
                <w:szCs w:val="21"/>
                <w:highlight w:val="none"/>
                <w:lang w:val="en-US" w:eastAsia="zh-CN"/>
              </w:rPr>
            </w:pPr>
          </w:p>
        </w:tc>
        <w:tc>
          <w:tcPr>
            <w:tcW w:w="1800" w:type="dxa"/>
            <w:vMerge w:val="continue"/>
            <w:noWrap w:val="0"/>
            <w:vAlign w:val="center"/>
          </w:tcPr>
          <w:p>
            <w:pPr>
              <w:snapToGrid w:val="0"/>
              <w:spacing w:line="360" w:lineRule="exact"/>
              <w:jc w:val="center"/>
              <w:rPr>
                <w:rFonts w:hint="eastAsia" w:ascii="宋体" w:hAnsi="宋体" w:eastAsia="宋体" w:cs="宋体"/>
                <w:color w:val="auto"/>
                <w:szCs w:val="21"/>
                <w:highlight w:val="none"/>
              </w:rPr>
            </w:pPr>
          </w:p>
        </w:tc>
        <w:tc>
          <w:tcPr>
            <w:tcW w:w="6383" w:type="dxa"/>
            <w:noWrap w:val="0"/>
            <w:vAlign w:val="center"/>
          </w:tcPr>
          <w:p>
            <w:pPr>
              <w:snapToGrid w:val="0"/>
              <w:spacing w:line="320" w:lineRule="exact"/>
              <w:rPr>
                <w:rFonts w:hint="eastAsia" w:ascii="宋体" w:hAnsi="宋体" w:cs="Courier New"/>
                <w:color w:val="auto"/>
                <w:szCs w:val="21"/>
                <w:highlight w:val="none"/>
                <w:lang w:eastAsia="zh-CN"/>
              </w:rPr>
            </w:pPr>
            <w:r>
              <w:rPr>
                <w:rFonts w:hint="eastAsia" w:ascii="宋体" w:hAnsi="宋体" w:cs="Courier New"/>
                <w:color w:val="auto"/>
                <w:szCs w:val="21"/>
                <w:highlight w:val="none"/>
                <w:lang w:val="en-US" w:eastAsia="zh-CN"/>
              </w:rPr>
              <w:t>2.</w:t>
            </w:r>
            <w:r>
              <w:rPr>
                <w:rFonts w:hint="eastAsia" w:ascii="宋体" w:hAnsi="宋体" w:cs="Courier New"/>
                <w:color w:val="auto"/>
                <w:szCs w:val="21"/>
                <w:highlight w:val="none"/>
                <w:lang w:eastAsia="zh-CN"/>
              </w:rPr>
              <w:t>备份投标文件：供应商</w:t>
            </w:r>
            <w:r>
              <w:rPr>
                <w:rFonts w:hint="eastAsia" w:ascii="宋体" w:hAnsi="宋体" w:cs="Courier New"/>
                <w:color w:val="auto"/>
                <w:szCs w:val="21"/>
                <w:highlight w:val="none"/>
                <w:lang w:val="en-US" w:eastAsia="zh-CN"/>
              </w:rPr>
              <w:t>确保在投标截止时间前，</w:t>
            </w:r>
            <w:r>
              <w:rPr>
                <w:rFonts w:hint="eastAsia" w:ascii="宋体" w:hAnsi="宋体" w:cs="Courier New"/>
                <w:color w:val="auto"/>
                <w:szCs w:val="21"/>
                <w:highlight w:val="none"/>
                <w:lang w:eastAsia="zh-CN"/>
              </w:rPr>
              <w:t>将备份投标文件通过快递形式</w:t>
            </w:r>
            <w:r>
              <w:rPr>
                <w:rFonts w:hint="eastAsia" w:ascii="宋体" w:hAnsi="宋体" w:cs="Courier New"/>
                <w:color w:val="auto"/>
                <w:szCs w:val="21"/>
                <w:highlight w:val="none"/>
                <w:lang w:val="en-US" w:eastAsia="zh-CN"/>
              </w:rPr>
              <w:t>寄达</w:t>
            </w:r>
            <w:r>
              <w:rPr>
                <w:rFonts w:hint="eastAsia" w:ascii="宋体" w:hAnsi="宋体" w:cs="Courier New"/>
                <w:color w:val="auto"/>
                <w:szCs w:val="21"/>
                <w:highlight w:val="none"/>
                <w:lang w:eastAsia="zh-CN"/>
              </w:rPr>
              <w:t>采购代理机构</w:t>
            </w:r>
            <w:r>
              <w:rPr>
                <w:rFonts w:hint="eastAsia" w:ascii="宋体" w:hAnsi="宋体" w:cs="Courier New"/>
                <w:color w:val="auto"/>
                <w:szCs w:val="21"/>
                <w:highlight w:val="none"/>
                <w:lang w:val="en-US" w:eastAsia="zh-CN"/>
              </w:rPr>
              <w:t>处</w:t>
            </w:r>
            <w:r>
              <w:rPr>
                <w:rFonts w:hint="eastAsia" w:ascii="宋体" w:hAnsi="宋体" w:cs="Courier New"/>
                <w:color w:val="auto"/>
                <w:szCs w:val="21"/>
                <w:highlight w:val="none"/>
                <w:lang w:eastAsia="zh-CN"/>
              </w:rPr>
              <w:t>，以便</w:t>
            </w:r>
            <w:r>
              <w:rPr>
                <w:rFonts w:hint="eastAsia" w:ascii="宋体" w:hAnsi="宋体"/>
                <w:color w:val="auto"/>
                <w:szCs w:val="21"/>
                <w:highlight w:val="none"/>
                <w:lang w:val="en-US" w:eastAsia="zh-CN"/>
              </w:rPr>
              <w:t>标书解密异常时应急使用</w:t>
            </w:r>
            <w:r>
              <w:rPr>
                <w:rFonts w:hint="eastAsia" w:ascii="宋体" w:hAnsi="宋体" w:cs="Courier New"/>
                <w:color w:val="auto"/>
                <w:szCs w:val="21"/>
                <w:highlight w:val="none"/>
                <w:lang w:eastAsia="zh-CN"/>
              </w:rPr>
              <w:t>（邮寄地址：</w:t>
            </w:r>
            <w:r>
              <w:rPr>
                <w:rFonts w:hint="eastAsia" w:ascii="宋体" w:hAnsi="宋体" w:cs="Courier New"/>
                <w:color w:val="auto"/>
                <w:szCs w:val="21"/>
                <w:highlight w:val="none"/>
                <w:lang w:val="en-US" w:eastAsia="zh-CN"/>
              </w:rPr>
              <w:t>杭州市文三路90号东部软件园1号楼3楼305室， 接收人：陈秋阳，电话：0571-81061841</w:t>
            </w:r>
            <w:r>
              <w:rPr>
                <w:rFonts w:hint="eastAsia" w:ascii="宋体" w:hAnsi="宋体" w:cs="Courier New"/>
                <w:color w:val="auto"/>
                <w:szCs w:val="21"/>
                <w:highlight w:val="none"/>
                <w:lang w:eastAsia="zh-CN"/>
              </w:rPr>
              <w:t>）。</w:t>
            </w:r>
          </w:p>
          <w:p>
            <w:pPr>
              <w:widowControl w:val="0"/>
              <w:numPr>
                <w:ilvl w:val="0"/>
                <w:numId w:val="0"/>
              </w:numPr>
              <w:snapToGrid w:val="0"/>
              <w:spacing w:line="320" w:lineRule="exact"/>
              <w:jc w:val="both"/>
              <w:rPr>
                <w:rFonts w:hint="eastAsia" w:ascii="宋体" w:hAnsi="宋体" w:cs="Courier New"/>
                <w:color w:val="auto"/>
                <w:szCs w:val="21"/>
                <w:highlight w:val="none"/>
                <w:lang w:eastAsia="zh-CN"/>
              </w:rPr>
            </w:pPr>
            <w:r>
              <w:rPr>
                <w:rFonts w:hint="eastAsia" w:ascii="宋体" w:hAnsi="宋体" w:cs="Courier New"/>
                <w:color w:val="auto"/>
                <w:szCs w:val="21"/>
                <w:highlight w:val="none"/>
                <w:lang w:eastAsia="zh-CN"/>
              </w:rPr>
              <w:t>a.备份投标文件递交要求：供应商须将备份投标文件以光盘或</w:t>
            </w:r>
            <w:r>
              <w:rPr>
                <w:rFonts w:hint="eastAsia" w:ascii="宋体" w:hAnsi="宋体" w:cs="Courier New"/>
                <w:color w:val="auto"/>
                <w:szCs w:val="21"/>
                <w:highlight w:val="none"/>
                <w:lang w:val="en-US" w:eastAsia="zh-CN"/>
              </w:rPr>
              <w:t>U盘形式放在密</w:t>
            </w:r>
            <w:r>
              <w:rPr>
                <w:rFonts w:hint="eastAsia" w:ascii="宋体" w:hAnsi="宋体" w:eastAsia="宋体" w:cs="Courier New"/>
                <w:color w:val="auto"/>
                <w:szCs w:val="21"/>
                <w:highlight w:val="none"/>
                <w:lang w:val="en-US" w:eastAsia="zh-CN"/>
              </w:rPr>
              <w:t>封袋中，密封后并</w:t>
            </w:r>
            <w:r>
              <w:rPr>
                <w:rFonts w:hint="eastAsia" w:ascii="宋体" w:hAnsi="宋体" w:eastAsia="宋体" w:cs="Courier New"/>
                <w:color w:val="auto"/>
                <w:szCs w:val="21"/>
                <w:highlight w:val="none"/>
                <w:lang w:eastAsia="zh-CN"/>
              </w:rPr>
              <w:t>在密封袋上注明投标项目名称、投标单位名称并加盖公章</w:t>
            </w:r>
            <w:r>
              <w:rPr>
                <w:rFonts w:hint="eastAsia" w:ascii="宋体" w:hAnsi="宋体" w:eastAsia="宋体" w:cs="Courier New"/>
                <w:b w:val="0"/>
                <w:bCs w:val="0"/>
                <w:color w:val="auto"/>
                <w:sz w:val="21"/>
                <w:szCs w:val="21"/>
                <w:highlight w:val="none"/>
              </w:rPr>
              <w:t>(联合体投标的，包装物封面需注明联合体投标，并注明联合体成员各方的名称和联合协议中约定的牵头人的名称)</w:t>
            </w:r>
            <w:r>
              <w:rPr>
                <w:rFonts w:hint="eastAsia" w:ascii="宋体" w:hAnsi="宋体" w:eastAsia="宋体" w:cs="Courier New"/>
                <w:b w:val="0"/>
                <w:bCs w:val="0"/>
                <w:color w:val="auto"/>
                <w:sz w:val="21"/>
                <w:szCs w:val="21"/>
                <w:highlight w:val="none"/>
                <w:lang w:eastAsia="zh-CN"/>
              </w:rPr>
              <w:t>。</w:t>
            </w:r>
            <w:r>
              <w:rPr>
                <w:rFonts w:hint="eastAsia" w:ascii="宋体" w:hAnsi="宋体" w:eastAsia="宋体" w:cs="Courier New"/>
                <w:color w:val="auto"/>
                <w:szCs w:val="21"/>
                <w:highlight w:val="none"/>
                <w:lang w:eastAsia="zh-CN"/>
              </w:rPr>
              <w:t>未</w:t>
            </w:r>
            <w:r>
              <w:rPr>
                <w:rFonts w:hint="eastAsia" w:ascii="宋体" w:hAnsi="宋体" w:cs="Courier New"/>
                <w:color w:val="auto"/>
                <w:szCs w:val="21"/>
                <w:highlight w:val="none"/>
                <w:lang w:eastAsia="zh-CN"/>
              </w:rPr>
              <w:t>密封包装或者逾期邮寄送达的“备份投标文件”将不予接收。</w:t>
            </w:r>
          </w:p>
          <w:p>
            <w:pPr>
              <w:snapToGrid w:val="0"/>
              <w:spacing w:line="320" w:lineRule="exact"/>
              <w:rPr>
                <w:rFonts w:hint="default" w:ascii="宋体" w:hAnsi="宋体" w:eastAsia="宋体"/>
                <w:color w:val="auto"/>
                <w:szCs w:val="21"/>
                <w:highlight w:val="none"/>
                <w:lang w:val="en-US" w:eastAsia="zh-CN"/>
              </w:rPr>
            </w:pPr>
            <w:r>
              <w:rPr>
                <w:rFonts w:hint="eastAsia" w:ascii="宋体" w:hAnsi="宋体" w:cs="Courier New"/>
                <w:color w:val="auto"/>
                <w:szCs w:val="21"/>
                <w:highlight w:val="none"/>
                <w:lang w:val="en-US" w:eastAsia="zh-CN"/>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65" w:hRule="atLeast"/>
          <w:jc w:val="center"/>
        </w:trPr>
        <w:tc>
          <w:tcPr>
            <w:tcW w:w="648" w:type="dxa"/>
            <w:vMerge w:val="continue"/>
            <w:noWrap w:val="0"/>
            <w:vAlign w:val="center"/>
          </w:tcPr>
          <w:p>
            <w:pPr>
              <w:adjustRightInd w:val="0"/>
              <w:jc w:val="center"/>
              <w:rPr>
                <w:rFonts w:hint="eastAsia" w:ascii="宋体" w:hAnsi="宋体" w:eastAsia="宋体" w:cs="宋体"/>
                <w:color w:val="auto"/>
                <w:szCs w:val="21"/>
                <w:highlight w:val="none"/>
                <w:lang w:val="en-US" w:eastAsia="zh-CN"/>
              </w:rPr>
            </w:pPr>
          </w:p>
        </w:tc>
        <w:tc>
          <w:tcPr>
            <w:tcW w:w="1800" w:type="dxa"/>
            <w:vMerge w:val="continue"/>
            <w:noWrap w:val="0"/>
            <w:vAlign w:val="center"/>
          </w:tcPr>
          <w:p>
            <w:pPr>
              <w:snapToGrid w:val="0"/>
              <w:spacing w:line="360" w:lineRule="exact"/>
              <w:jc w:val="center"/>
              <w:rPr>
                <w:rFonts w:hint="eastAsia" w:ascii="宋体" w:hAnsi="宋体" w:eastAsia="宋体" w:cs="宋体"/>
                <w:color w:val="auto"/>
                <w:szCs w:val="21"/>
                <w:highlight w:val="none"/>
              </w:rPr>
            </w:pPr>
          </w:p>
        </w:tc>
        <w:tc>
          <w:tcPr>
            <w:tcW w:w="6383" w:type="dxa"/>
            <w:noWrap w:val="0"/>
            <w:vAlign w:val="center"/>
          </w:tcPr>
          <w:p>
            <w:pPr>
              <w:snapToGrid w:val="0"/>
              <w:spacing w:line="320" w:lineRule="exact"/>
              <w:rPr>
                <w:rFonts w:hint="eastAsia" w:ascii="宋体" w:hAnsi="宋体" w:cs="Courier New"/>
                <w:color w:val="auto"/>
                <w:szCs w:val="21"/>
                <w:highlight w:val="none"/>
                <w:lang w:val="en-US" w:eastAsia="zh-CN"/>
              </w:rPr>
            </w:pPr>
            <w:r>
              <w:rPr>
                <w:rFonts w:hint="eastAsia" w:ascii="宋体" w:hAnsi="宋体" w:cs="Courier New"/>
                <w:color w:val="auto"/>
                <w:szCs w:val="21"/>
                <w:highlight w:val="none"/>
                <w:lang w:val="en-US" w:eastAsia="zh-CN"/>
              </w:rPr>
              <w:t>3.电子加密投标文件的解密和异常情况处理：</w:t>
            </w:r>
          </w:p>
          <w:p>
            <w:pPr>
              <w:snapToGrid w:val="0"/>
              <w:spacing w:line="320" w:lineRule="exact"/>
              <w:rPr>
                <w:rFonts w:hint="eastAsia" w:ascii="宋体" w:hAnsi="宋体" w:cs="Courier New"/>
                <w:color w:val="auto"/>
                <w:szCs w:val="21"/>
                <w:highlight w:val="none"/>
                <w:lang w:val="en-US" w:eastAsia="zh-CN"/>
              </w:rPr>
            </w:pPr>
            <w:r>
              <w:rPr>
                <w:rFonts w:hint="eastAsia" w:ascii="宋体" w:hAnsi="宋体" w:cs="Courier New"/>
                <w:color w:val="auto"/>
                <w:szCs w:val="21"/>
                <w:highlight w:val="none"/>
                <w:lang w:val="en-US" w:eastAsia="zh-CN"/>
              </w:rPr>
              <w:t>a.开标后，各投标供应商代表应当在限定时间内自行完成“电子加密投标文件”的在线解密。</w:t>
            </w:r>
          </w:p>
          <w:p>
            <w:pPr>
              <w:snapToGrid w:val="0"/>
              <w:spacing w:line="320" w:lineRule="exact"/>
              <w:rPr>
                <w:rFonts w:hint="eastAsia" w:ascii="宋体" w:hAnsi="宋体" w:cs="Courier New"/>
                <w:color w:val="auto"/>
                <w:szCs w:val="21"/>
                <w:highlight w:val="none"/>
                <w:lang w:val="en-US" w:eastAsia="zh-CN"/>
              </w:rPr>
            </w:pPr>
            <w:r>
              <w:rPr>
                <w:rFonts w:hint="eastAsia" w:ascii="宋体" w:hAnsi="宋体" w:cs="Courier New"/>
                <w:color w:val="auto"/>
                <w:szCs w:val="21"/>
                <w:highlight w:val="none"/>
                <w:lang w:val="en-US" w:eastAsia="zh-CN"/>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spacing w:line="320" w:lineRule="exact"/>
              <w:rPr>
                <w:rFonts w:hint="eastAsia" w:ascii="宋体" w:hAnsi="宋体" w:cs="Courier New"/>
                <w:color w:val="auto"/>
                <w:szCs w:val="21"/>
                <w:highlight w:val="none"/>
                <w:lang w:val="en-US" w:eastAsia="zh-CN"/>
              </w:rPr>
            </w:pPr>
            <w:r>
              <w:rPr>
                <w:rFonts w:hint="eastAsia" w:ascii="宋体" w:hAnsi="宋体" w:cs="Courier New"/>
                <w:color w:val="auto"/>
                <w:szCs w:val="21"/>
                <w:highlight w:val="none"/>
                <w:lang w:val="en-US" w:eastAsia="zh-CN"/>
              </w:rPr>
              <w:t>c.投标截止时间前，投标供应商仅递交了“备份投标文件”而未将电子加密投标文件上传至“政府采购云平台”的，投标无效。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648" w:type="dxa"/>
            <w:noWrap w:val="0"/>
            <w:vAlign w:val="center"/>
          </w:tcPr>
          <w:p>
            <w:pPr>
              <w:adjustRightInd w:val="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17</w:t>
            </w:r>
          </w:p>
        </w:tc>
        <w:tc>
          <w:tcPr>
            <w:tcW w:w="1800" w:type="dxa"/>
            <w:noWrap w:val="0"/>
            <w:vAlign w:val="center"/>
          </w:tcPr>
          <w:p>
            <w:pPr>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投标文件、流程文件签章</w:t>
            </w:r>
          </w:p>
        </w:tc>
        <w:tc>
          <w:tcPr>
            <w:tcW w:w="6383" w:type="dxa"/>
            <w:noWrap w:val="0"/>
            <w:vAlign w:val="center"/>
          </w:tcPr>
          <w:p>
            <w:pPr>
              <w:numPr>
                <w:ilvl w:val="0"/>
                <w:numId w:val="5"/>
              </w:numPr>
              <w:snapToGrid w:val="0"/>
              <w:spacing w:line="320" w:lineRule="exact"/>
              <w:jc w:val="both"/>
              <w:rPr>
                <w:rFonts w:hint="eastAsia"/>
                <w:color w:val="auto"/>
                <w:highlight w:val="none"/>
                <w:lang w:val="en-US" w:eastAsia="zh-CN"/>
              </w:rPr>
            </w:pPr>
            <w:r>
              <w:rPr>
                <w:rFonts w:hint="default"/>
                <w:color w:val="auto"/>
                <w:highlight w:val="none"/>
                <w:lang w:val="en-US" w:eastAsia="zh-CN"/>
              </w:rPr>
              <w:t>电子投标文件</w:t>
            </w:r>
            <w:r>
              <w:rPr>
                <w:rFonts w:hint="eastAsia"/>
                <w:color w:val="auto"/>
                <w:highlight w:val="none"/>
                <w:lang w:val="en-US" w:eastAsia="zh-CN"/>
              </w:rPr>
              <w:t>必须有电子签章；</w:t>
            </w:r>
          </w:p>
          <w:p>
            <w:pPr>
              <w:numPr>
                <w:ilvl w:val="0"/>
                <w:numId w:val="5"/>
              </w:numPr>
              <w:snapToGrid w:val="0"/>
              <w:spacing w:line="320" w:lineRule="exact"/>
              <w:ind w:left="0" w:leftChars="0" w:firstLine="0" w:firstLineChars="0"/>
              <w:jc w:val="both"/>
              <w:rPr>
                <w:rFonts w:hint="eastAsia"/>
                <w:color w:val="auto"/>
                <w:highlight w:val="none"/>
                <w:lang w:val="en-US" w:eastAsia="zh-CN"/>
              </w:rPr>
            </w:pPr>
            <w:r>
              <w:rPr>
                <w:rFonts w:hint="eastAsia"/>
                <w:color w:val="auto"/>
                <w:highlight w:val="none"/>
                <w:lang w:val="en-US" w:eastAsia="zh-CN"/>
              </w:rPr>
              <w:t>开标后，相关信息记录确认、澄清说明、回复等内容，电子签章、或者签章后上传相关文件，均认可；</w:t>
            </w:r>
          </w:p>
          <w:p>
            <w:pPr>
              <w:pStyle w:val="2"/>
              <w:numPr>
                <w:ilvl w:val="0"/>
                <w:numId w:val="5"/>
              </w:numPr>
              <w:ind w:left="0" w:leftChars="0" w:firstLine="0" w:firstLineChars="0"/>
              <w:rPr>
                <w:rFonts w:hint="eastAsia"/>
                <w:color w:val="auto"/>
                <w:highlight w:val="none"/>
                <w:lang w:val="en-US" w:eastAsia="zh-CN"/>
              </w:rPr>
            </w:pPr>
            <w:r>
              <w:rPr>
                <w:rFonts w:hint="eastAsia" w:ascii="Calibri" w:hAnsi="Calibri" w:eastAsia="宋体"/>
                <w:color w:val="auto"/>
                <w:kern w:val="2"/>
                <w:sz w:val="21"/>
                <w:szCs w:val="24"/>
                <w:highlight w:val="none"/>
                <w:lang w:val="en-US" w:eastAsia="zh-CN" w:bidi="ar-SA"/>
              </w:rPr>
              <w:t>政采云系统平台有新的操作流程的，按其规定。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8</w:t>
            </w:r>
          </w:p>
        </w:tc>
        <w:tc>
          <w:tcPr>
            <w:tcW w:w="1800"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评标办法</w:t>
            </w:r>
          </w:p>
        </w:tc>
        <w:tc>
          <w:tcPr>
            <w:tcW w:w="6383" w:type="dxa"/>
            <w:noWrap w:val="0"/>
            <w:vAlign w:val="center"/>
          </w:tcPr>
          <w:p>
            <w:pPr>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3" w:hRule="atLeast"/>
          <w:jc w:val="center"/>
        </w:trPr>
        <w:tc>
          <w:tcPr>
            <w:tcW w:w="648" w:type="dxa"/>
            <w:noWrap w:val="0"/>
            <w:vAlign w:val="center"/>
          </w:tcPr>
          <w:p>
            <w:pPr>
              <w:adjustRightInd w:val="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9</w:t>
            </w:r>
          </w:p>
        </w:tc>
        <w:tc>
          <w:tcPr>
            <w:tcW w:w="1800"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投标文件上传截止时间及</w:t>
            </w:r>
            <w:r>
              <w:rPr>
                <w:rFonts w:hint="eastAsia" w:ascii="宋体" w:hAnsi="宋体" w:eastAsia="宋体" w:cs="宋体"/>
                <w:color w:val="auto"/>
                <w:szCs w:val="21"/>
                <w:highlight w:val="none"/>
              </w:rPr>
              <w:t>开标时间</w:t>
            </w:r>
          </w:p>
        </w:tc>
        <w:tc>
          <w:tcPr>
            <w:tcW w:w="6383" w:type="dxa"/>
            <w:noWrap w:val="0"/>
            <w:vAlign w:val="center"/>
          </w:tcPr>
          <w:p>
            <w:pPr>
              <w:adjustRightInd w:val="0"/>
              <w:snapToGrid w:val="0"/>
              <w:spacing w:line="320" w:lineRule="exact"/>
              <w:ind w:left="15" w:hanging="14" w:hangingChars="7"/>
              <w:rPr>
                <w:rFonts w:hint="eastAsia" w:ascii="宋体" w:hAnsi="宋体" w:eastAsia="宋体" w:cs="宋体"/>
                <w:b w:val="0"/>
                <w:bCs w:val="0"/>
                <w:color w:val="auto"/>
                <w:szCs w:val="21"/>
                <w:highlight w:val="none"/>
                <w:lang w:eastAsia="zh-CN"/>
              </w:rPr>
            </w:pPr>
            <w:r>
              <w:rPr>
                <w:rFonts w:hint="eastAsia" w:ascii="宋体" w:hAnsi="宋体" w:eastAsia="宋体" w:cs="宋体"/>
                <w:b w:val="0"/>
                <w:bCs w:val="0"/>
                <w:color w:val="auto"/>
                <w:kern w:val="0"/>
                <w:szCs w:val="21"/>
                <w:highlight w:val="none"/>
                <w:lang w:eastAsia="zh-CN"/>
              </w:rPr>
              <w:t>2022</w:t>
            </w:r>
            <w:r>
              <w:rPr>
                <w:rFonts w:hint="eastAsia" w:ascii="宋体" w:hAnsi="宋体" w:eastAsia="宋体" w:cs="宋体"/>
                <w:b w:val="0"/>
                <w:bCs w:val="0"/>
                <w:color w:val="auto"/>
                <w:kern w:val="0"/>
                <w:szCs w:val="21"/>
                <w:highlight w:val="none"/>
              </w:rPr>
              <w:t>年</w:t>
            </w:r>
            <w:r>
              <w:rPr>
                <w:rFonts w:hint="eastAsia" w:ascii="宋体" w:hAnsi="宋体" w:cs="宋体"/>
                <w:b w:val="0"/>
                <w:bCs w:val="0"/>
                <w:color w:val="auto"/>
                <w:kern w:val="0"/>
                <w:szCs w:val="21"/>
                <w:highlight w:val="none"/>
                <w:lang w:val="en-US" w:eastAsia="zh-CN"/>
              </w:rPr>
              <w:t xml:space="preserve"> 11  月 22  日14</w:t>
            </w:r>
            <w:bookmarkStart w:id="411" w:name="_GoBack"/>
            <w:bookmarkEnd w:id="411"/>
            <w:r>
              <w:rPr>
                <w:rFonts w:hint="eastAsia" w:ascii="宋体" w:hAnsi="宋体" w:eastAsia="宋体" w:cs="宋体"/>
                <w:b w:val="0"/>
                <w:bCs w:val="0"/>
                <w:color w:val="auto"/>
                <w:kern w:val="0"/>
                <w:szCs w:val="21"/>
                <w:highlight w:val="none"/>
                <w:lang w:val="en-US" w:eastAsia="zh-CN"/>
              </w:rPr>
              <w:t xml:space="preserve">时30分00秒（北京时间）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8" w:hRule="atLeast"/>
          <w:jc w:val="center"/>
        </w:trPr>
        <w:tc>
          <w:tcPr>
            <w:tcW w:w="648" w:type="dxa"/>
            <w:noWrap w:val="0"/>
            <w:vAlign w:val="center"/>
          </w:tcPr>
          <w:p>
            <w:pPr>
              <w:adjustRightInd w:val="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20</w:t>
            </w:r>
          </w:p>
        </w:tc>
        <w:tc>
          <w:tcPr>
            <w:tcW w:w="1800"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color w:val="auto"/>
                <w:szCs w:val="21"/>
                <w:highlight w:val="none"/>
                <w:lang w:eastAsia="zh-CN"/>
              </w:rPr>
              <w:t>开标程序</w:t>
            </w:r>
          </w:p>
        </w:tc>
        <w:tc>
          <w:tcPr>
            <w:tcW w:w="6383" w:type="dxa"/>
            <w:noWrap w:val="0"/>
            <w:vAlign w:val="center"/>
          </w:tcPr>
          <w:p>
            <w:pPr>
              <w:adjustRightInd w:val="0"/>
              <w:snapToGrid w:val="0"/>
              <w:spacing w:line="320" w:lineRule="exact"/>
              <w:ind w:left="15" w:hanging="14" w:hangingChars="7"/>
              <w:rPr>
                <w:rFonts w:hint="eastAsia"/>
                <w:color w:val="auto"/>
                <w:highlight w:val="none"/>
                <w:lang w:val="en-US" w:eastAsia="zh-CN"/>
              </w:rPr>
            </w:pPr>
            <w:r>
              <w:rPr>
                <w:rFonts w:hint="eastAsia"/>
                <w:color w:val="auto"/>
                <w:highlight w:val="none"/>
                <w:lang w:val="en-US" w:eastAsia="zh-CN"/>
              </w:rPr>
              <w:t>1.采购代理机构按照招标文件规定的时间通过电子交易平台组织开标，所有投标人均应当准时在线参加。投标人不足3家的，不得开标。</w:t>
            </w:r>
          </w:p>
          <w:p>
            <w:pPr>
              <w:adjustRightInd w:val="0"/>
              <w:snapToGrid w:val="0"/>
              <w:spacing w:line="320" w:lineRule="exact"/>
              <w:ind w:left="15" w:hanging="14" w:hangingChars="7"/>
              <w:rPr>
                <w:rFonts w:hint="eastAsia"/>
                <w:color w:val="auto"/>
                <w:highlight w:val="none"/>
              </w:rPr>
            </w:pPr>
            <w:r>
              <w:rPr>
                <w:rFonts w:hint="eastAsia"/>
                <w:color w:val="auto"/>
                <w:highlight w:val="none"/>
                <w:lang w:val="en-US" w:eastAsia="zh-CN"/>
              </w:rPr>
              <w:t>2.</w:t>
            </w:r>
            <w:r>
              <w:rPr>
                <w:rFonts w:hint="eastAsia"/>
                <w:color w:val="auto"/>
                <w:highlight w:val="none"/>
                <w:lang w:eastAsia="zh-CN"/>
              </w:rPr>
              <w:t>开标时，</w:t>
            </w:r>
            <w:r>
              <w:rPr>
                <w:rFonts w:hint="eastAsia"/>
                <w:color w:val="auto"/>
                <w:highlight w:val="none"/>
              </w:rPr>
              <w:t>采购代理机构点击【开始解密】，供应商</w:t>
            </w:r>
            <w:r>
              <w:rPr>
                <w:rFonts w:hint="eastAsia"/>
                <w:color w:val="auto"/>
                <w:highlight w:val="none"/>
                <w:lang w:eastAsia="zh-CN"/>
              </w:rPr>
              <w:t>应</w:t>
            </w:r>
            <w:r>
              <w:rPr>
                <w:rFonts w:hint="eastAsia"/>
                <w:color w:val="auto"/>
                <w:highlight w:val="none"/>
              </w:rPr>
              <w:t>在</w:t>
            </w:r>
            <w:r>
              <w:rPr>
                <w:rFonts w:hint="eastAsia"/>
                <w:color w:val="auto"/>
                <w:highlight w:val="none"/>
                <w:u w:val="single"/>
                <w:lang w:val="en-US" w:eastAsia="zh-CN"/>
              </w:rPr>
              <w:t xml:space="preserve"> 30 </w:t>
            </w:r>
            <w:r>
              <w:rPr>
                <w:rFonts w:hint="eastAsia"/>
                <w:color w:val="auto"/>
                <w:highlight w:val="none"/>
                <w:lang w:val="en-US" w:eastAsia="zh-CN"/>
              </w:rPr>
              <w:t>分钟</w:t>
            </w:r>
            <w:r>
              <w:rPr>
                <w:rFonts w:hint="eastAsia"/>
                <w:color w:val="auto"/>
                <w:highlight w:val="none"/>
              </w:rPr>
              <w:t>内完成解密</w:t>
            </w:r>
            <w:r>
              <w:rPr>
                <w:rFonts w:hint="eastAsia"/>
                <w:color w:val="auto"/>
                <w:highlight w:val="none"/>
                <w:lang w:eastAsia="zh-CN"/>
              </w:rPr>
              <w:t>。</w:t>
            </w:r>
            <w:r>
              <w:rPr>
                <w:rFonts w:hint="eastAsia"/>
                <w:color w:val="auto"/>
                <w:highlight w:val="none"/>
              </w:rPr>
              <w:t>供应商在规定的时间内都已完成解密</w:t>
            </w:r>
            <w:r>
              <w:rPr>
                <w:rFonts w:hint="eastAsia"/>
                <w:color w:val="auto"/>
                <w:highlight w:val="none"/>
                <w:lang w:eastAsia="zh-CN"/>
              </w:rPr>
              <w:t>，</w:t>
            </w:r>
            <w:r>
              <w:rPr>
                <w:rFonts w:hint="eastAsia"/>
                <w:color w:val="auto"/>
                <w:highlight w:val="none"/>
              </w:rPr>
              <w:t>则系统自动结束解密；供应商超过解密时限，默认自动放弃；</w:t>
            </w:r>
          </w:p>
          <w:p>
            <w:pPr>
              <w:adjustRightInd w:val="0"/>
              <w:snapToGrid w:val="0"/>
              <w:spacing w:line="320" w:lineRule="exact"/>
              <w:ind w:left="15" w:hanging="14" w:hangingChars="7"/>
              <w:rPr>
                <w:rFonts w:hint="eastAsia"/>
                <w:color w:val="auto"/>
                <w:highlight w:val="none"/>
              </w:rPr>
            </w:pPr>
            <w:r>
              <w:rPr>
                <w:rFonts w:hint="eastAsia"/>
                <w:color w:val="auto"/>
                <w:highlight w:val="none"/>
                <w:lang w:val="en-US" w:eastAsia="zh-CN"/>
              </w:rPr>
              <w:t>异常处理：如供应商在开标时因遗失CA或其他原因导致</w:t>
            </w:r>
            <w:r>
              <w:rPr>
                <w:rFonts w:hint="eastAsia"/>
                <w:color w:val="auto"/>
                <w:highlight w:val="none"/>
                <w:lang w:eastAsia="zh-CN"/>
              </w:rPr>
              <w:t>解密不成功时</w:t>
            </w:r>
            <w:r>
              <w:rPr>
                <w:rFonts w:hint="eastAsia"/>
                <w:color w:val="auto"/>
                <w:highlight w:val="none"/>
              </w:rPr>
              <w:t>，如供应商</w:t>
            </w:r>
            <w:r>
              <w:rPr>
                <w:rFonts w:hint="eastAsia"/>
                <w:color w:val="auto"/>
                <w:highlight w:val="none"/>
                <w:lang w:eastAsia="zh-CN"/>
              </w:rPr>
              <w:t>已</w:t>
            </w:r>
            <w:r>
              <w:rPr>
                <w:rFonts w:hint="eastAsia"/>
                <w:color w:val="auto"/>
                <w:highlight w:val="none"/>
              </w:rPr>
              <w:t>按规定递交了“备份投标文件”的，采购代理机构通过【异常处理】端</w:t>
            </w:r>
            <w:r>
              <w:rPr>
                <w:rFonts w:hint="eastAsia"/>
                <w:color w:val="auto"/>
                <w:highlight w:val="none"/>
                <w:lang w:eastAsia="zh-CN"/>
              </w:rPr>
              <w:t>口对备份投标文件</w:t>
            </w:r>
            <w:r>
              <w:rPr>
                <w:rFonts w:hint="eastAsia"/>
                <w:color w:val="auto"/>
                <w:highlight w:val="none"/>
              </w:rPr>
              <w:t>上传、解密</w:t>
            </w:r>
            <w:r>
              <w:rPr>
                <w:rFonts w:hint="eastAsia"/>
                <w:color w:val="auto"/>
                <w:highlight w:val="none"/>
                <w:lang w:eastAsia="zh-CN"/>
              </w:rPr>
              <w:t>；</w:t>
            </w:r>
          </w:p>
          <w:p>
            <w:pPr>
              <w:adjustRightInd w:val="0"/>
              <w:snapToGrid w:val="0"/>
              <w:spacing w:line="320" w:lineRule="exact"/>
              <w:ind w:left="15" w:hanging="14" w:hangingChars="7"/>
              <w:rPr>
                <w:rFonts w:hint="eastAsia"/>
                <w:color w:val="auto"/>
                <w:highlight w:val="none"/>
                <w:lang w:val="en-US" w:eastAsia="zh-CN"/>
              </w:rPr>
            </w:pPr>
            <w:r>
              <w:rPr>
                <w:rFonts w:hint="eastAsia"/>
                <w:color w:val="auto"/>
                <w:highlight w:val="none"/>
                <w:lang w:val="en-US" w:eastAsia="zh-CN"/>
              </w:rPr>
              <w:t>3.</w:t>
            </w:r>
            <w:r>
              <w:rPr>
                <w:rFonts w:hint="eastAsia"/>
                <w:color w:val="auto"/>
                <w:highlight w:val="none"/>
                <w:lang w:eastAsia="zh-CN"/>
              </w:rPr>
              <w:t>商务技术文件开启</w:t>
            </w:r>
            <w:r>
              <w:rPr>
                <w:rFonts w:hint="eastAsia"/>
                <w:color w:val="auto"/>
                <w:highlight w:val="none"/>
              </w:rPr>
              <w:t>后</w:t>
            </w:r>
            <w:r>
              <w:rPr>
                <w:rFonts w:hint="eastAsia"/>
                <w:color w:val="auto"/>
                <w:highlight w:val="none"/>
                <w:lang w:val="en-US" w:eastAsia="zh-CN"/>
              </w:rPr>
              <w:t>30分钟内</w:t>
            </w:r>
            <w:r>
              <w:rPr>
                <w:rFonts w:hint="eastAsia"/>
                <w:color w:val="auto"/>
                <w:highlight w:val="none"/>
              </w:rPr>
              <w:t>，</w:t>
            </w:r>
            <w:r>
              <w:rPr>
                <w:rFonts w:hint="eastAsia"/>
                <w:color w:val="auto"/>
                <w:highlight w:val="none"/>
                <w:lang w:val="en-US" w:eastAsia="zh-CN"/>
              </w:rPr>
              <w:t>供应商通过邮件形式将经授权代表签署的《政府采购活动现场确认声明书》（格式见采购文件第七部分）扫描件发至代理机构经办人邮箱（邮箱地址：654017693@qq.com， 联系人：陈秋阳， 电话：0571-81061841）；</w:t>
            </w:r>
          </w:p>
          <w:p>
            <w:pPr>
              <w:adjustRightInd w:val="0"/>
              <w:snapToGrid w:val="0"/>
              <w:spacing w:line="320" w:lineRule="exact"/>
              <w:ind w:left="15" w:hanging="15" w:hangingChars="7"/>
              <w:rPr>
                <w:rFonts w:hint="eastAsia"/>
                <w:b/>
                <w:bCs/>
                <w:color w:val="auto"/>
                <w:highlight w:val="none"/>
                <w:lang w:val="en-US" w:eastAsia="zh-CN"/>
              </w:rPr>
            </w:pPr>
            <w:r>
              <w:rPr>
                <w:rFonts w:hint="eastAsia"/>
                <w:b/>
                <w:bCs/>
                <w:color w:val="auto"/>
                <w:highlight w:val="none"/>
                <w:lang w:val="en-US" w:eastAsia="zh-CN"/>
              </w:rPr>
              <w:t>说明：不填写或未按规定发出邮件的，视同默认不存在确认声明书中的相关违规情形。</w:t>
            </w:r>
          </w:p>
          <w:p>
            <w:pPr>
              <w:adjustRightInd w:val="0"/>
              <w:snapToGrid w:val="0"/>
              <w:spacing w:line="320" w:lineRule="exact"/>
              <w:ind w:left="14" w:leftChars="0" w:hanging="14" w:hangingChars="7"/>
              <w:rPr>
                <w:rFonts w:hint="eastAsia"/>
                <w:color w:val="auto"/>
                <w:highlight w:val="none"/>
                <w:lang w:eastAsia="zh-CN"/>
              </w:rPr>
            </w:pPr>
            <w:r>
              <w:rPr>
                <w:rFonts w:hint="eastAsia"/>
                <w:color w:val="auto"/>
                <w:highlight w:val="none"/>
                <w:lang w:val="en-US" w:eastAsia="zh-CN"/>
              </w:rPr>
              <w:t>4.</w:t>
            </w:r>
            <w:r>
              <w:rPr>
                <w:rFonts w:hint="eastAsia"/>
                <w:color w:val="auto"/>
                <w:highlight w:val="none"/>
              </w:rPr>
              <w:t>采购组织机构点击【开启标书信息】，开启标书成功</w:t>
            </w:r>
            <w:r>
              <w:rPr>
                <w:rFonts w:hint="eastAsia"/>
                <w:color w:val="auto"/>
                <w:highlight w:val="none"/>
                <w:lang w:eastAsia="zh-CN"/>
              </w:rPr>
              <w:t>后</w:t>
            </w:r>
            <w:r>
              <w:rPr>
                <w:rFonts w:hint="eastAsia"/>
                <w:color w:val="auto"/>
                <w:highlight w:val="none"/>
              </w:rPr>
              <w:t>进入开标流程</w:t>
            </w:r>
            <w:r>
              <w:rPr>
                <w:rFonts w:hint="eastAsia"/>
                <w:color w:val="auto"/>
                <w:highlight w:val="none"/>
                <w:lang w:eastAsia="zh-CN"/>
              </w:rPr>
              <w:t>。</w:t>
            </w:r>
          </w:p>
          <w:p>
            <w:pPr>
              <w:pStyle w:val="2"/>
              <w:ind w:left="0" w:leftChars="0" w:firstLine="0" w:firstLineChars="0"/>
              <w:rPr>
                <w:rFonts w:hint="eastAsia"/>
                <w:color w:val="auto"/>
                <w:highlight w:val="none"/>
                <w:lang w:val="en-US"/>
              </w:rPr>
            </w:pPr>
            <w:r>
              <w:rPr>
                <w:rFonts w:hint="eastAsia" w:ascii="Calibri" w:hAnsi="Calibri" w:eastAsia="宋体"/>
                <w:color w:val="auto"/>
                <w:kern w:val="2"/>
                <w:sz w:val="21"/>
                <w:szCs w:val="24"/>
                <w:highlight w:val="none"/>
                <w:lang w:val="en-US" w:eastAsia="zh-CN" w:bidi="ar-SA"/>
              </w:rPr>
              <w:t>5.政采云系统平台有新的操作流程的，按其规定。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8" w:hRule="atLeast"/>
          <w:jc w:val="center"/>
        </w:trPr>
        <w:tc>
          <w:tcPr>
            <w:tcW w:w="648" w:type="dxa"/>
            <w:noWrap w:val="0"/>
            <w:vAlign w:val="center"/>
          </w:tcPr>
          <w:p>
            <w:pPr>
              <w:adjustRightInd w:val="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21</w:t>
            </w:r>
          </w:p>
        </w:tc>
        <w:tc>
          <w:tcPr>
            <w:tcW w:w="1800" w:type="dxa"/>
            <w:noWrap w:val="0"/>
            <w:vAlign w:val="center"/>
          </w:tcPr>
          <w:p>
            <w:pPr>
              <w:snapToGrid w:val="0"/>
              <w:spacing w:line="360" w:lineRule="exact"/>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资格审查</w:t>
            </w:r>
          </w:p>
        </w:tc>
        <w:tc>
          <w:tcPr>
            <w:tcW w:w="6383" w:type="dxa"/>
            <w:noWrap w:val="0"/>
            <w:vAlign w:val="center"/>
          </w:tcPr>
          <w:p>
            <w:pPr>
              <w:adjustRightInd w:val="0"/>
              <w:snapToGrid w:val="0"/>
              <w:spacing w:line="320" w:lineRule="exact"/>
              <w:ind w:left="15" w:hanging="14" w:hangingChars="7"/>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1.开标后，由采购人或采购代理机构代表根据采购文件的规定对投标人的基本资格条件、落实政府采购政策需满足的资格要求及特定资格条件进行审。</w:t>
            </w:r>
          </w:p>
          <w:p>
            <w:pPr>
              <w:adjustRightInd w:val="0"/>
              <w:snapToGrid w:val="0"/>
              <w:spacing w:line="320" w:lineRule="exact"/>
              <w:ind w:left="15" w:hanging="14" w:hangingChars="7"/>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2.投标人未按照招标文件要求提供与基本资格条件、特定资格条件相应的有效资格证明材料的，视为投标人不具备招标文件中规定的资格要求，其投标无效。</w:t>
            </w:r>
          </w:p>
          <w:p>
            <w:pPr>
              <w:adjustRightInd w:val="0"/>
              <w:snapToGrid w:val="0"/>
              <w:spacing w:line="320" w:lineRule="exact"/>
              <w:ind w:left="15" w:hanging="14" w:hangingChars="7"/>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3.对未通过资格审查的投标人，采购人或采购机构告知其未通过的原因。</w:t>
            </w:r>
          </w:p>
          <w:p>
            <w:pPr>
              <w:adjustRightInd w:val="0"/>
              <w:snapToGrid w:val="0"/>
              <w:spacing w:line="320" w:lineRule="exact"/>
              <w:ind w:left="15" w:hanging="14" w:hangingChars="7"/>
              <w:rPr>
                <w:rFonts w:hint="eastAsia"/>
                <w:color w:val="auto"/>
                <w:highlight w:val="none"/>
                <w:lang w:val="en-US" w:eastAsia="zh-CN"/>
              </w:rPr>
            </w:pPr>
            <w:r>
              <w:rPr>
                <w:rFonts w:hint="eastAsia" w:ascii="宋体" w:hAnsi="宋体" w:eastAsia="宋体" w:cs="宋体"/>
                <w:color w:val="auto"/>
                <w:highlight w:val="none"/>
                <w:lang w:val="en-US" w:eastAsia="zh-CN"/>
              </w:rPr>
              <w:t>4.合格投标人不足3家的，不再评标。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8" w:hRule="atLeast"/>
          <w:jc w:val="center"/>
        </w:trPr>
        <w:tc>
          <w:tcPr>
            <w:tcW w:w="648" w:type="dxa"/>
            <w:noWrap w:val="0"/>
            <w:vAlign w:val="center"/>
          </w:tcPr>
          <w:p>
            <w:pPr>
              <w:adjustRightInd w:val="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w:t>
            </w:r>
          </w:p>
        </w:tc>
        <w:tc>
          <w:tcPr>
            <w:tcW w:w="1800" w:type="dxa"/>
            <w:noWrap w:val="0"/>
            <w:vAlign w:val="center"/>
          </w:tcPr>
          <w:p>
            <w:pPr>
              <w:snapToGrid w:val="0"/>
              <w:spacing w:line="360" w:lineRule="exact"/>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评标程序</w:t>
            </w:r>
          </w:p>
        </w:tc>
        <w:tc>
          <w:tcPr>
            <w:tcW w:w="6383" w:type="dxa"/>
            <w:noWrap w:val="0"/>
            <w:vAlign w:val="center"/>
          </w:tcPr>
          <w:p>
            <w:pPr>
              <w:pStyle w:val="11"/>
              <w:numPr>
                <w:ilvl w:val="0"/>
                <w:numId w:val="6"/>
              </w:numPr>
              <w:snapToGrid w:val="0"/>
              <w:spacing w:line="320" w:lineRule="exact"/>
              <w:rPr>
                <w:rFonts w:hint="default" w:ascii="宋体" w:hAnsi="宋体" w:eastAsia="宋体"/>
                <w:color w:val="auto"/>
                <w:highlight w:val="none"/>
                <w:lang w:val="en-US" w:eastAsia="zh-CN"/>
              </w:rPr>
            </w:pPr>
            <w:r>
              <w:rPr>
                <w:rFonts w:hint="default" w:ascii="宋体" w:hAnsi="宋体" w:eastAsia="宋体"/>
                <w:color w:val="auto"/>
                <w:highlight w:val="none"/>
                <w:lang w:val="en-US" w:eastAsia="zh-CN"/>
              </w:rPr>
              <w:t>符合性评审</w:t>
            </w:r>
            <w:r>
              <w:rPr>
                <w:rFonts w:hint="eastAsia" w:ascii="宋体" w:hAnsi="宋体" w:eastAsia="宋体"/>
                <w:color w:val="auto"/>
                <w:highlight w:val="none"/>
                <w:lang w:val="en-US" w:eastAsia="zh-CN"/>
              </w:rPr>
              <w:t>：依据采购文件的规定，对商务技术文件的有效性、完整性和对采购文件的响应程度进行审查，以确定是否对采购文件的实质性要求作出响应。具体审查内容见评标办法“无效投标的认定”。</w:t>
            </w:r>
          </w:p>
          <w:p>
            <w:pPr>
              <w:pStyle w:val="11"/>
              <w:numPr>
                <w:ilvl w:val="0"/>
                <w:numId w:val="6"/>
              </w:numPr>
              <w:snapToGrid w:val="0"/>
              <w:spacing w:line="320" w:lineRule="exact"/>
              <w:rPr>
                <w:rFonts w:hint="default" w:ascii="宋体" w:hAnsi="宋体" w:eastAsia="宋体"/>
                <w:color w:val="auto"/>
                <w:highlight w:val="none"/>
                <w:lang w:val="en-US" w:eastAsia="zh-CN"/>
              </w:rPr>
            </w:pPr>
            <w:r>
              <w:rPr>
                <w:rFonts w:hint="default" w:ascii="宋体" w:hAnsi="宋体" w:eastAsia="宋体"/>
                <w:color w:val="auto"/>
                <w:highlight w:val="none"/>
                <w:lang w:val="en-US" w:eastAsia="zh-CN"/>
              </w:rPr>
              <w:t>商务技术评分</w:t>
            </w:r>
            <w:r>
              <w:rPr>
                <w:rFonts w:hint="eastAsia" w:ascii="宋体" w:hAnsi="宋体" w:eastAsia="宋体"/>
                <w:color w:val="auto"/>
                <w:highlight w:val="none"/>
                <w:lang w:val="en-US" w:eastAsia="zh-CN"/>
              </w:rPr>
              <w:t>：由评标委员会对各投标人的技术商务文件充分审核、讨论及评议后，独立评分。</w:t>
            </w:r>
          </w:p>
          <w:p>
            <w:pPr>
              <w:pStyle w:val="11"/>
              <w:numPr>
                <w:ilvl w:val="0"/>
                <w:numId w:val="6"/>
              </w:numPr>
              <w:snapToGrid w:val="0"/>
              <w:spacing w:line="320" w:lineRule="exact"/>
              <w:rPr>
                <w:rFonts w:hint="default" w:ascii="宋体" w:hAnsi="宋体" w:eastAsia="宋体"/>
                <w:color w:val="auto"/>
                <w:highlight w:val="none"/>
                <w:lang w:val="en-US" w:eastAsia="zh-CN"/>
              </w:rPr>
            </w:pPr>
            <w:r>
              <w:rPr>
                <w:rFonts w:hint="default" w:ascii="宋体" w:hAnsi="宋体" w:eastAsia="宋体"/>
                <w:color w:val="auto"/>
                <w:highlight w:val="none"/>
                <w:lang w:val="en-US" w:eastAsia="zh-CN"/>
              </w:rPr>
              <w:t>商务技术评分汇总</w:t>
            </w:r>
            <w:r>
              <w:rPr>
                <w:rFonts w:hint="eastAsia" w:ascii="宋体" w:hAnsi="宋体" w:eastAsia="宋体"/>
                <w:color w:val="auto"/>
                <w:highlight w:val="none"/>
                <w:lang w:val="en-US" w:eastAsia="zh-CN"/>
              </w:rPr>
              <w:t>。</w:t>
            </w:r>
          </w:p>
          <w:p>
            <w:pPr>
              <w:pStyle w:val="11"/>
              <w:numPr>
                <w:ilvl w:val="0"/>
                <w:numId w:val="6"/>
              </w:numPr>
              <w:snapToGrid w:val="0"/>
              <w:spacing w:line="320" w:lineRule="exact"/>
              <w:rPr>
                <w:rFonts w:hint="default" w:ascii="宋体" w:hAnsi="宋体" w:eastAsia="宋体"/>
                <w:color w:val="auto"/>
                <w:highlight w:val="none"/>
                <w:lang w:val="en-US" w:eastAsia="zh-CN"/>
              </w:rPr>
            </w:pPr>
            <w:r>
              <w:rPr>
                <w:rFonts w:hint="default" w:ascii="宋体" w:hAnsi="宋体" w:eastAsia="宋体"/>
                <w:color w:val="auto"/>
                <w:highlight w:val="none"/>
                <w:lang w:val="en-US" w:eastAsia="zh-CN"/>
              </w:rPr>
              <w:t>商务技术结果公布</w:t>
            </w:r>
            <w:r>
              <w:rPr>
                <w:rFonts w:hint="eastAsia" w:ascii="宋体" w:hAnsi="宋体" w:eastAsia="宋体"/>
                <w:color w:val="auto"/>
                <w:highlight w:val="none"/>
                <w:lang w:val="en-US" w:eastAsia="zh-CN"/>
              </w:rPr>
              <w:t>：代理机构</w:t>
            </w:r>
            <w:r>
              <w:rPr>
                <w:rFonts w:hint="eastAsia" w:ascii="宋体" w:hAnsi="宋体" w:eastAsia="宋体" w:cs="宋体"/>
                <w:color w:val="auto"/>
                <w:szCs w:val="21"/>
                <w:highlight w:val="none"/>
              </w:rPr>
              <w:t>在线公布经商务技术评审后有效投标人的名单，同时公布其商务技术部分得分情况</w:t>
            </w:r>
            <w:r>
              <w:rPr>
                <w:rFonts w:hint="eastAsia" w:ascii="宋体" w:hAnsi="宋体" w:eastAsia="宋体"/>
                <w:color w:val="auto"/>
                <w:highlight w:val="none"/>
                <w:lang w:val="en-US" w:eastAsia="zh-CN"/>
              </w:rPr>
              <w:t>。</w:t>
            </w:r>
          </w:p>
          <w:p>
            <w:pPr>
              <w:pStyle w:val="11"/>
              <w:numPr>
                <w:ilvl w:val="0"/>
                <w:numId w:val="6"/>
              </w:numPr>
              <w:snapToGrid w:val="0"/>
              <w:spacing w:line="320" w:lineRule="exact"/>
              <w:rPr>
                <w:rFonts w:hint="default" w:ascii="宋体" w:hAnsi="宋体" w:eastAsia="宋体"/>
                <w:color w:val="auto"/>
                <w:highlight w:val="none"/>
                <w:lang w:val="en-US" w:eastAsia="zh-CN"/>
              </w:rPr>
            </w:pPr>
            <w:r>
              <w:rPr>
                <w:rFonts w:hint="default" w:ascii="宋体" w:hAnsi="宋体" w:eastAsia="宋体"/>
                <w:color w:val="auto"/>
                <w:highlight w:val="none"/>
                <w:lang w:val="en-US" w:eastAsia="zh-CN"/>
              </w:rPr>
              <w:t>开启</w:t>
            </w:r>
            <w:r>
              <w:rPr>
                <w:rFonts w:hint="eastAsia" w:ascii="宋体" w:hAnsi="宋体" w:eastAsia="宋体"/>
                <w:color w:val="auto"/>
                <w:highlight w:val="none"/>
                <w:lang w:val="en-US" w:eastAsia="zh-CN"/>
              </w:rPr>
              <w:t>报价响应文件：采购代理机构成功开启报价响应文件后，方可查看各供应商报价情况。</w:t>
            </w:r>
          </w:p>
          <w:p>
            <w:pPr>
              <w:pStyle w:val="11"/>
              <w:numPr>
                <w:ilvl w:val="0"/>
                <w:numId w:val="0"/>
              </w:numPr>
              <w:snapToGrid w:val="0"/>
              <w:spacing w:line="320" w:lineRule="exact"/>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代理机构点击“开启签字时段”，供应商对开标纪录进行在线签字确认（不予确认的应说明理由，否则视为无异议）。</w:t>
            </w:r>
          </w:p>
          <w:p>
            <w:pPr>
              <w:pStyle w:val="11"/>
              <w:numPr>
                <w:ilvl w:val="0"/>
                <w:numId w:val="6"/>
              </w:numPr>
              <w:snapToGrid w:val="0"/>
              <w:spacing w:line="320" w:lineRule="exact"/>
              <w:rPr>
                <w:rFonts w:hint="default" w:ascii="宋体" w:hAnsi="宋体" w:eastAsia="宋体"/>
                <w:color w:val="auto"/>
                <w:highlight w:val="none"/>
                <w:lang w:val="en-US" w:eastAsia="zh-CN"/>
              </w:rPr>
            </w:pPr>
            <w:r>
              <w:rPr>
                <w:rFonts w:hint="default" w:ascii="宋体" w:hAnsi="宋体" w:eastAsia="宋体"/>
                <w:color w:val="auto"/>
                <w:highlight w:val="none"/>
                <w:lang w:val="en-US" w:eastAsia="zh-CN"/>
              </w:rPr>
              <w:t>报价评审</w:t>
            </w:r>
            <w:r>
              <w:rPr>
                <w:rFonts w:hint="eastAsia" w:ascii="宋体" w:hAnsi="宋体" w:eastAsia="宋体"/>
                <w:color w:val="auto"/>
                <w:highlight w:val="none"/>
                <w:lang w:val="en-US" w:eastAsia="zh-CN"/>
              </w:rPr>
              <w:t>：由评标委员会对报价文件的有效性及报价的合理性、准确性等进行审查核实。</w:t>
            </w:r>
          </w:p>
          <w:p>
            <w:pPr>
              <w:pStyle w:val="11"/>
              <w:numPr>
                <w:ilvl w:val="0"/>
                <w:numId w:val="6"/>
              </w:numPr>
              <w:snapToGrid w:val="0"/>
              <w:spacing w:line="320" w:lineRule="exact"/>
              <w:rPr>
                <w:rFonts w:hint="default" w:ascii="宋体" w:hAnsi="宋体" w:eastAsia="宋体"/>
                <w:color w:val="auto"/>
                <w:highlight w:val="none"/>
                <w:lang w:val="en-US" w:eastAsia="zh-CN"/>
              </w:rPr>
            </w:pPr>
            <w:r>
              <w:rPr>
                <w:rFonts w:hint="default" w:ascii="宋体" w:hAnsi="宋体" w:eastAsia="宋体"/>
                <w:color w:val="auto"/>
                <w:highlight w:val="none"/>
                <w:lang w:val="en-US" w:eastAsia="zh-CN"/>
              </w:rPr>
              <w:t>得分汇总</w:t>
            </w:r>
          </w:p>
          <w:p>
            <w:pPr>
              <w:pStyle w:val="11"/>
              <w:numPr>
                <w:ilvl w:val="0"/>
                <w:numId w:val="6"/>
              </w:numPr>
              <w:snapToGrid w:val="0"/>
              <w:spacing w:line="320" w:lineRule="exact"/>
              <w:rPr>
                <w:rFonts w:hint="eastAsia" w:ascii="宋体" w:hAnsi="宋体" w:eastAsia="宋体" w:cs="宋体"/>
                <w:color w:val="auto"/>
                <w:highlight w:val="none"/>
              </w:rPr>
            </w:pPr>
            <w:r>
              <w:rPr>
                <w:rFonts w:hint="default" w:ascii="宋体" w:hAnsi="宋体" w:eastAsia="宋体"/>
                <w:color w:val="auto"/>
                <w:highlight w:val="none"/>
                <w:lang w:val="en-US" w:eastAsia="zh-CN"/>
              </w:rPr>
              <w:t>结果公布</w:t>
            </w:r>
            <w:r>
              <w:rPr>
                <w:rFonts w:hint="eastAsia" w:ascii="宋体" w:hAnsi="宋体" w:eastAsia="宋体"/>
                <w:color w:val="auto"/>
                <w:highlight w:val="none"/>
                <w:lang w:val="en-US" w:eastAsia="zh-CN"/>
              </w:rPr>
              <w:t>：供应商可通过在线平台查看评审结果。</w:t>
            </w:r>
          </w:p>
          <w:p>
            <w:pPr>
              <w:pStyle w:val="11"/>
              <w:numPr>
                <w:ilvl w:val="0"/>
                <w:numId w:val="0"/>
              </w:numPr>
              <w:snapToGrid w:val="0"/>
              <w:spacing w:line="320" w:lineRule="exact"/>
              <w:ind w:left="0" w:leftChars="0" w:firstLine="0" w:firstLineChars="0"/>
              <w:rPr>
                <w:rFonts w:hint="eastAsia" w:ascii="宋体" w:hAnsi="宋体"/>
                <w:b w:val="0"/>
                <w:bCs w:val="0"/>
                <w:snapToGrid w:val="0"/>
                <w:color w:val="auto"/>
                <w:kern w:val="0"/>
                <w:szCs w:val="21"/>
                <w:highlight w:val="none"/>
                <w:lang w:val="en-US" w:eastAsia="zh-CN"/>
              </w:rPr>
            </w:pPr>
            <w:r>
              <w:rPr>
                <w:rFonts w:hint="eastAsia" w:ascii="宋体" w:hAnsi="宋体" w:eastAsia="宋体"/>
                <w:color w:val="auto"/>
                <w:highlight w:val="none"/>
                <w:lang w:val="en-US" w:eastAsia="zh-CN"/>
              </w:rPr>
              <w:t>注：除邮件交互外，如政采云平台提供信息发布、澄清说明、数据交换等操作方式的，或者</w:t>
            </w:r>
            <w:r>
              <w:rPr>
                <w:rFonts w:hint="eastAsia" w:ascii="Calibri" w:hAnsi="Calibri" w:eastAsia="Calibri"/>
                <w:color w:val="auto"/>
                <w:kern w:val="2"/>
                <w:sz w:val="21"/>
                <w:szCs w:val="24"/>
                <w:highlight w:val="none"/>
                <w:lang w:val="en-US" w:eastAsia="zh-CN" w:bidi="ar-SA"/>
              </w:rPr>
              <w:t>政采云系统平台有新的操作流程的，按其规定</w:t>
            </w:r>
            <w:r>
              <w:rPr>
                <w:rFonts w:hint="eastAsia" w:ascii="宋体" w:hAnsi="宋体" w:eastAsia="宋体"/>
                <w:color w:val="auto"/>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8" w:hRule="atLeast"/>
          <w:jc w:val="center"/>
        </w:trPr>
        <w:tc>
          <w:tcPr>
            <w:tcW w:w="648" w:type="dxa"/>
            <w:noWrap w:val="0"/>
            <w:vAlign w:val="center"/>
          </w:tcPr>
          <w:p>
            <w:pPr>
              <w:adjustRightIn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23</w:t>
            </w:r>
          </w:p>
        </w:tc>
        <w:tc>
          <w:tcPr>
            <w:tcW w:w="1800" w:type="dxa"/>
            <w:noWrap w:val="0"/>
            <w:vAlign w:val="center"/>
          </w:tcPr>
          <w:p>
            <w:pPr>
              <w:adjustRightInd w:val="0"/>
              <w:snapToGrid w:val="0"/>
              <w:spacing w:line="360" w:lineRule="exact"/>
              <w:jc w:val="center"/>
              <w:rPr>
                <w:rFonts w:hint="eastAsia" w:ascii="宋体" w:hAnsi="宋体"/>
                <w:color w:val="auto"/>
                <w:kern w:val="2"/>
                <w:sz w:val="21"/>
                <w:szCs w:val="21"/>
                <w:highlight w:val="none"/>
                <w:lang w:val="en-US" w:eastAsia="zh-CN" w:bidi="ar-SA"/>
              </w:rPr>
            </w:pPr>
            <w:r>
              <w:rPr>
                <w:rFonts w:hint="eastAsia" w:ascii="宋体" w:hAnsi="宋体"/>
                <w:snapToGrid w:val="0"/>
                <w:color w:val="auto"/>
                <w:kern w:val="0"/>
                <w:sz w:val="21"/>
                <w:szCs w:val="21"/>
                <w:highlight w:val="none"/>
              </w:rPr>
              <w:t>询标澄清</w:t>
            </w:r>
          </w:p>
        </w:tc>
        <w:tc>
          <w:tcPr>
            <w:tcW w:w="6383" w:type="dxa"/>
            <w:noWrap w:val="0"/>
            <w:vAlign w:val="center"/>
          </w:tcPr>
          <w:p>
            <w:pPr>
              <w:pStyle w:val="11"/>
              <w:adjustRightInd w:val="0"/>
              <w:snapToGrid w:val="0"/>
              <w:spacing w:line="320" w:lineRule="exact"/>
              <w:rPr>
                <w:rFonts w:hint="eastAsia" w:ascii="宋体" w:hAnsi="宋体" w:eastAsia="宋体" w:cs="楷体_GB2312"/>
                <w:color w:val="auto"/>
                <w:kern w:val="2"/>
                <w:sz w:val="21"/>
                <w:szCs w:val="21"/>
                <w:highlight w:val="none"/>
                <w:lang w:val="en-US" w:eastAsia="zh-CN" w:bidi="ar-SA"/>
              </w:rPr>
            </w:pPr>
            <w:r>
              <w:rPr>
                <w:rFonts w:hint="eastAsia" w:ascii="宋体" w:hAnsi="宋体" w:eastAsia="宋体"/>
                <w:color w:val="auto"/>
                <w:sz w:val="21"/>
                <w:szCs w:val="21"/>
                <w:highlight w:val="none"/>
              </w:rPr>
              <w:t>在</w:t>
            </w:r>
            <w:r>
              <w:rPr>
                <w:rFonts w:hint="eastAsia" w:ascii="宋体" w:hAnsi="宋体" w:eastAsia="宋体"/>
                <w:color w:val="auto"/>
                <w:sz w:val="21"/>
                <w:szCs w:val="21"/>
                <w:highlight w:val="none"/>
                <w:lang w:eastAsia="zh-CN"/>
              </w:rPr>
              <w:t>评</w:t>
            </w:r>
            <w:r>
              <w:rPr>
                <w:rFonts w:hint="eastAsia" w:ascii="宋体" w:hAnsi="宋体" w:eastAsia="宋体"/>
                <w:color w:val="auto"/>
                <w:sz w:val="21"/>
                <w:szCs w:val="21"/>
                <w:highlight w:val="none"/>
              </w:rPr>
              <w:t>标过程中，如评审小组对</w:t>
            </w:r>
            <w:r>
              <w:rPr>
                <w:rFonts w:hint="eastAsia" w:ascii="宋体" w:hAnsi="宋体" w:eastAsia="宋体"/>
                <w:color w:val="auto"/>
                <w:sz w:val="21"/>
                <w:szCs w:val="21"/>
                <w:highlight w:val="none"/>
                <w:lang w:eastAsia="zh-CN"/>
              </w:rPr>
              <w:t>投</w:t>
            </w:r>
            <w:r>
              <w:rPr>
                <w:rFonts w:hint="eastAsia" w:ascii="宋体" w:hAnsi="宋体" w:eastAsia="宋体"/>
                <w:color w:val="auto"/>
                <w:sz w:val="21"/>
                <w:szCs w:val="21"/>
                <w:highlight w:val="none"/>
              </w:rPr>
              <w:t>标文件有疑问，由评审组长将问题汇总后发起询标</w:t>
            </w:r>
            <w:r>
              <w:rPr>
                <w:rFonts w:hint="eastAsia" w:ascii="宋体" w:hAnsi="宋体" w:eastAsia="宋体"/>
                <w:color w:val="auto"/>
                <w:sz w:val="21"/>
                <w:szCs w:val="21"/>
                <w:highlight w:val="none"/>
                <w:lang w:eastAsia="zh-CN"/>
              </w:rPr>
              <w:t>澄清</w:t>
            </w:r>
            <w:r>
              <w:rPr>
                <w:rFonts w:hint="eastAsia" w:ascii="宋体" w:hAnsi="宋体" w:eastAsia="宋体"/>
                <w:color w:val="auto"/>
                <w:sz w:val="21"/>
                <w:szCs w:val="21"/>
                <w:highlight w:val="none"/>
              </w:rPr>
              <w:t>函</w:t>
            </w:r>
            <w:r>
              <w:rPr>
                <w:rFonts w:hint="eastAsia" w:ascii="宋体" w:hAnsi="宋体" w:eastAsia="宋体"/>
                <w:color w:val="auto"/>
                <w:sz w:val="21"/>
                <w:szCs w:val="21"/>
                <w:highlight w:val="none"/>
                <w:lang w:eastAsia="zh-CN"/>
              </w:rPr>
              <w:t>（或由采购代理机构代替评审组长发起询标澄清函），</w:t>
            </w:r>
            <w:r>
              <w:rPr>
                <w:rFonts w:hint="eastAsia" w:ascii="宋体" w:hAnsi="宋体" w:eastAsia="宋体"/>
                <w:color w:val="auto"/>
                <w:sz w:val="21"/>
                <w:szCs w:val="21"/>
                <w:highlight w:val="none"/>
              </w:rPr>
              <w:t>供应商</w:t>
            </w:r>
            <w:r>
              <w:rPr>
                <w:rFonts w:hint="eastAsia" w:ascii="宋体" w:hAnsi="宋体" w:eastAsia="宋体"/>
                <w:color w:val="auto"/>
                <w:sz w:val="21"/>
                <w:szCs w:val="21"/>
                <w:highlight w:val="none"/>
                <w:lang w:eastAsia="zh-CN"/>
              </w:rPr>
              <w:t>应</w:t>
            </w:r>
            <w:r>
              <w:rPr>
                <w:rFonts w:hint="eastAsia" w:ascii="宋体" w:hAnsi="宋体" w:eastAsia="宋体"/>
                <w:color w:val="auto"/>
                <w:sz w:val="21"/>
                <w:szCs w:val="21"/>
                <w:highlight w:val="none"/>
              </w:rPr>
              <w:t>在</w:t>
            </w:r>
            <w:r>
              <w:rPr>
                <w:rFonts w:hint="eastAsia" w:ascii="宋体" w:hAnsi="宋体" w:eastAsia="宋体"/>
                <w:color w:val="auto"/>
                <w:sz w:val="21"/>
                <w:szCs w:val="21"/>
                <w:highlight w:val="none"/>
                <w:lang w:eastAsia="zh-CN"/>
              </w:rPr>
              <w:t>规定</w:t>
            </w:r>
            <w:r>
              <w:rPr>
                <w:rFonts w:hint="eastAsia" w:ascii="宋体" w:hAnsi="宋体" w:eastAsia="宋体"/>
                <w:color w:val="auto"/>
                <w:sz w:val="21"/>
                <w:szCs w:val="21"/>
                <w:highlight w:val="none"/>
              </w:rPr>
              <w:t>截止时间前回复</w:t>
            </w:r>
            <w:r>
              <w:rPr>
                <w:rFonts w:hint="eastAsia" w:ascii="宋体" w:hAnsi="宋体" w:eastAsia="宋体"/>
                <w:color w:val="auto"/>
                <w:sz w:val="21"/>
                <w:szCs w:val="21"/>
                <w:highlight w:val="none"/>
                <w:lang w:eastAsia="zh-CN"/>
              </w:rPr>
              <w:t>相关内容并加盖供应商电子签章后上传提交（或通过平台上传经授权代表签字或加盖公章的扫描件）。</w:t>
            </w:r>
            <w:r>
              <w:rPr>
                <w:rFonts w:hint="eastAsia" w:ascii="宋体" w:hAnsi="宋体" w:eastAsia="宋体"/>
                <w:color w:val="auto"/>
                <w:sz w:val="21"/>
                <w:szCs w:val="21"/>
                <w:highlight w:val="none"/>
                <w:lang w:val="en-US" w:eastAsia="zh-CN"/>
              </w:rPr>
              <w:t>逾期答复的，投标人</w:t>
            </w:r>
            <w:r>
              <w:rPr>
                <w:rFonts w:hint="eastAsia" w:ascii="宋体" w:hAnsi="宋体" w:eastAsia="宋体" w:cs="宋体"/>
                <w:color w:val="auto"/>
                <w:szCs w:val="21"/>
                <w:highlight w:val="none"/>
              </w:rPr>
              <w:t>自行承担由此可能导致的对其不利的评审结果，评标委员会按少数服从多数原则对相关内容进行评判。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648" w:type="dxa"/>
            <w:noWrap w:val="0"/>
            <w:vAlign w:val="center"/>
          </w:tcPr>
          <w:p>
            <w:pPr>
              <w:adjustRightInd w:val="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24</w:t>
            </w:r>
          </w:p>
        </w:tc>
        <w:tc>
          <w:tcPr>
            <w:tcW w:w="1800"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投标有效期</w:t>
            </w:r>
          </w:p>
        </w:tc>
        <w:tc>
          <w:tcPr>
            <w:tcW w:w="6383" w:type="dxa"/>
            <w:noWrap w:val="0"/>
            <w:vAlign w:val="center"/>
          </w:tcPr>
          <w:p>
            <w:pPr>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投标截止日后</w:t>
            </w:r>
            <w:r>
              <w:rPr>
                <w:rFonts w:hint="eastAsia" w:ascii="宋体" w:hAnsi="宋体" w:eastAsia="宋体" w:cs="宋体"/>
                <w:b/>
                <w:bCs/>
                <w:color w:val="auto"/>
                <w:szCs w:val="21"/>
                <w:highlight w:val="none"/>
              </w:rPr>
              <w:t>90天</w:t>
            </w:r>
            <w:r>
              <w:rPr>
                <w:rFonts w:hint="eastAsia" w:ascii="宋体" w:hAnsi="宋体" w:eastAsia="宋体" w:cs="宋体"/>
                <w:color w:val="auto"/>
                <w:szCs w:val="21"/>
                <w:highlight w:val="none"/>
              </w:rPr>
              <w:t>内有效，不足有效期的，其投标视为无效标。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noWrap w:val="0"/>
            <w:vAlign w:val="center"/>
          </w:tcPr>
          <w:p>
            <w:pPr>
              <w:adjustRightInd w:val="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25</w:t>
            </w:r>
          </w:p>
        </w:tc>
        <w:tc>
          <w:tcPr>
            <w:tcW w:w="1800"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履约保证金</w:t>
            </w:r>
          </w:p>
        </w:tc>
        <w:tc>
          <w:tcPr>
            <w:tcW w:w="6383" w:type="dxa"/>
            <w:noWrap w:val="0"/>
            <w:vAlign w:val="center"/>
          </w:tcPr>
          <w:p>
            <w:pPr>
              <w:pStyle w:val="11"/>
              <w:snapToGrid w:val="0"/>
              <w:spacing w:line="320" w:lineRule="exact"/>
              <w:rPr>
                <w:rFonts w:hint="default" w:ascii="宋体" w:hAnsi="宋体" w:eastAsia="宋体" w:cs="宋体"/>
                <w:color w:val="auto"/>
                <w:highlight w:val="none"/>
                <w:lang w:val="en-US" w:eastAsia="zh-CN"/>
              </w:rPr>
            </w:pPr>
            <w:r>
              <w:rPr>
                <w:rFonts w:hint="eastAsia" w:ascii="宋体" w:hAnsi="宋体" w:eastAsia="宋体" w:cs="宋体"/>
                <w:color w:val="auto"/>
                <w:szCs w:val="21"/>
                <w:highlight w:val="none"/>
              </w:rPr>
              <w:t>本项目</w:t>
            </w:r>
            <w:r>
              <w:rPr>
                <w:rFonts w:hint="eastAsia" w:ascii="宋体" w:hAnsi="宋体" w:eastAsia="宋体" w:cs="宋体"/>
                <w:color w:val="auto"/>
                <w:szCs w:val="21"/>
                <w:highlight w:val="none"/>
                <w:lang w:eastAsia="zh-CN"/>
              </w:rPr>
              <w:t>履约保证金为项目总金额的</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 w:val="21"/>
                <w:szCs w:val="21"/>
                <w:highlight w:val="none"/>
                <w:lang w:val="en-US" w:eastAsia="zh-CN"/>
              </w:rPr>
              <w:t>完成合同约定的全部履约内容后无息退回履约保证金。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noWrap w:val="0"/>
            <w:vAlign w:val="center"/>
          </w:tcPr>
          <w:p>
            <w:pPr>
              <w:adjustRightInd w:val="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26</w:t>
            </w:r>
          </w:p>
        </w:tc>
        <w:tc>
          <w:tcPr>
            <w:tcW w:w="1800" w:type="dxa"/>
            <w:noWrap w:val="0"/>
            <w:vAlign w:val="center"/>
          </w:tcPr>
          <w:p>
            <w:pPr>
              <w:adjustRightInd w:val="0"/>
              <w:snapToGrid w:val="0"/>
              <w:spacing w:line="360" w:lineRule="exact"/>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Cs w:val="21"/>
                <w:highlight w:val="none"/>
              </w:rPr>
              <w:t>公告发布媒体</w:t>
            </w:r>
          </w:p>
        </w:tc>
        <w:tc>
          <w:tcPr>
            <w:tcW w:w="6383" w:type="dxa"/>
            <w:noWrap w:val="0"/>
            <w:vAlign w:val="center"/>
          </w:tcPr>
          <w:p>
            <w:pPr>
              <w:pStyle w:val="11"/>
              <w:adjustRightInd w:val="0"/>
              <w:snapToGrid w:val="0"/>
              <w:spacing w:line="320" w:lineRule="exact"/>
              <w:rPr>
                <w:rFonts w:hint="eastAsia" w:ascii="宋体" w:hAnsi="宋体" w:eastAsia="宋体" w:cs="宋体"/>
                <w:color w:val="auto"/>
                <w:sz w:val="24"/>
                <w:highlight w:val="none"/>
              </w:rPr>
            </w:pPr>
            <w:r>
              <w:rPr>
                <w:rFonts w:hint="eastAsia" w:ascii="宋体" w:hAnsi="宋体" w:eastAsia="宋体" w:cs="宋体"/>
                <w:color w:val="auto"/>
                <w:kern w:val="0"/>
                <w:highlight w:val="none"/>
              </w:rPr>
              <w:t>浙江政府采购网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648" w:type="dxa"/>
            <w:noWrap w:val="0"/>
            <w:vAlign w:val="center"/>
          </w:tcPr>
          <w:p>
            <w:pPr>
              <w:adjustRightInd w:val="0"/>
              <w:spacing w:line="340" w:lineRule="exact"/>
              <w:jc w:val="center"/>
              <w:rPr>
                <w:rFonts w:hint="eastAsia" w:ascii="宋体" w:hAnsi="宋体" w:eastAsia="宋体" w:cs="宋体"/>
                <w:snapToGrid w:val="0"/>
                <w:color w:val="auto"/>
                <w:kern w:val="0"/>
                <w:szCs w:val="21"/>
                <w:highlight w:val="none"/>
                <w:lang w:eastAsia="zh-CN"/>
              </w:rPr>
            </w:pPr>
            <w:r>
              <w:rPr>
                <w:rFonts w:hint="eastAsia" w:ascii="宋体" w:hAnsi="宋体" w:eastAsia="宋体" w:cs="宋体"/>
                <w:snapToGrid w:val="0"/>
                <w:color w:val="auto"/>
                <w:kern w:val="0"/>
                <w:szCs w:val="21"/>
                <w:highlight w:val="none"/>
              </w:rPr>
              <w:t>2</w:t>
            </w:r>
            <w:r>
              <w:rPr>
                <w:rFonts w:hint="eastAsia" w:ascii="宋体" w:hAnsi="宋体" w:eastAsia="宋体" w:cs="宋体"/>
                <w:snapToGrid w:val="0"/>
                <w:color w:val="auto"/>
                <w:kern w:val="0"/>
                <w:szCs w:val="21"/>
                <w:highlight w:val="none"/>
                <w:lang w:val="en-US" w:eastAsia="zh-CN"/>
              </w:rPr>
              <w:t>7</w:t>
            </w:r>
          </w:p>
        </w:tc>
        <w:tc>
          <w:tcPr>
            <w:tcW w:w="1800"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质疑</w:t>
            </w:r>
          </w:p>
        </w:tc>
        <w:tc>
          <w:tcPr>
            <w:tcW w:w="6383" w:type="dxa"/>
            <w:noWrap w:val="0"/>
            <w:vAlign w:val="center"/>
          </w:tcPr>
          <w:p>
            <w:pPr>
              <w:snapToGrid w:val="0"/>
              <w:spacing w:line="320" w:lineRule="exact"/>
              <w:rPr>
                <w:rFonts w:hint="eastAsia" w:ascii="宋体" w:hAnsi="宋体" w:eastAsia="宋体" w:cs="宋体"/>
                <w:b w:val="0"/>
                <w:bCs w:val="0"/>
                <w:snapToGrid w:val="0"/>
                <w:color w:val="auto"/>
                <w:kern w:val="0"/>
                <w:szCs w:val="21"/>
                <w:highlight w:val="none"/>
              </w:rPr>
            </w:pPr>
            <w:r>
              <w:rPr>
                <w:rFonts w:hint="eastAsia" w:ascii="宋体" w:hAnsi="宋体" w:eastAsia="宋体" w:cs="宋体"/>
                <w:b w:val="0"/>
                <w:bCs w:val="0"/>
                <w:snapToGrid w:val="0"/>
                <w:color w:val="auto"/>
                <w:kern w:val="0"/>
                <w:szCs w:val="21"/>
                <w:highlight w:val="none"/>
              </w:rPr>
              <w:t>根据《中华人民共和国政府采购法》第五十二条、《中华人民共和国政府采购法实施条例》第五十三条、《政府采购质疑和投诉办法》的规定：</w:t>
            </w:r>
          </w:p>
          <w:p>
            <w:pPr>
              <w:snapToGrid w:val="0"/>
              <w:spacing w:line="320" w:lineRule="exact"/>
              <w:rPr>
                <w:rFonts w:hint="eastAsia" w:ascii="宋体" w:hAnsi="宋体" w:eastAsia="宋体" w:cs="宋体"/>
                <w:b w:val="0"/>
                <w:bCs w:val="0"/>
                <w:snapToGrid w:val="0"/>
                <w:color w:val="auto"/>
                <w:kern w:val="0"/>
                <w:szCs w:val="21"/>
                <w:highlight w:val="none"/>
              </w:rPr>
            </w:pPr>
            <w:r>
              <w:rPr>
                <w:rFonts w:hint="eastAsia" w:ascii="宋体" w:hAnsi="宋体" w:eastAsia="宋体" w:cs="宋体"/>
                <w:b w:val="0"/>
                <w:bCs w:val="0"/>
                <w:snapToGrid w:val="0"/>
                <w:color w:val="auto"/>
                <w:kern w:val="0"/>
                <w:szCs w:val="21"/>
                <w:highlight w:val="none"/>
              </w:rPr>
              <w:t>投标人认为采购（招标）文件、采购过程、中标或者成交结果使自己的权益受到损害的，可以在知道或者应知其权益受到损害之日起7个工作日内，以书面形式向采购人、采购代理机构提出质疑。</w:t>
            </w:r>
          </w:p>
          <w:p>
            <w:pPr>
              <w:snapToGrid w:val="0"/>
              <w:spacing w:line="320" w:lineRule="exact"/>
              <w:rPr>
                <w:rFonts w:hint="eastAsia" w:ascii="宋体" w:hAnsi="宋体" w:eastAsia="宋体" w:cs="宋体"/>
                <w:b/>
                <w:bCs/>
                <w:snapToGrid w:val="0"/>
                <w:color w:val="auto"/>
                <w:kern w:val="0"/>
                <w:szCs w:val="21"/>
                <w:highlight w:val="none"/>
              </w:rPr>
            </w:pPr>
            <w:r>
              <w:rPr>
                <w:rFonts w:hint="eastAsia" w:ascii="宋体" w:hAnsi="宋体" w:eastAsia="宋体" w:cs="宋体"/>
                <w:b/>
                <w:bCs/>
                <w:snapToGrid w:val="0"/>
                <w:color w:val="auto"/>
                <w:kern w:val="0"/>
                <w:szCs w:val="21"/>
                <w:highlight w:val="none"/>
              </w:rPr>
              <w:t>本项目要求投标人在法定质疑期内一次性提出针对同一采购程序环节的质疑</w:t>
            </w:r>
            <w:r>
              <w:rPr>
                <w:rFonts w:hint="eastAsia" w:ascii="宋体" w:hAnsi="宋体" w:eastAsia="宋体" w:cs="宋体"/>
                <w:b w:val="0"/>
                <w:bCs w:val="0"/>
                <w:snapToGrid w:val="0"/>
                <w:color w:val="auto"/>
                <w:kern w:val="0"/>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648" w:type="dxa"/>
            <w:noWrap w:val="0"/>
            <w:vAlign w:val="center"/>
          </w:tcPr>
          <w:p>
            <w:pPr>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8</w:t>
            </w:r>
          </w:p>
        </w:tc>
        <w:tc>
          <w:tcPr>
            <w:tcW w:w="1800"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投诉</w:t>
            </w:r>
          </w:p>
        </w:tc>
        <w:tc>
          <w:tcPr>
            <w:tcW w:w="6383" w:type="dxa"/>
            <w:noWrap w:val="0"/>
            <w:vAlign w:val="center"/>
          </w:tcPr>
          <w:p>
            <w:pPr>
              <w:snapToGrid w:val="0"/>
              <w:spacing w:line="320" w:lineRule="exac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根据《政府采购法》第五十五条的规定，质疑供应商对采购人、采购代理机构的答复不满意或者采购人、采购代理机构未在规定的时间内作出答复的，可以在答复期满后十五个工作日内向同级政府采购监督管理部门投诉。</w:t>
            </w:r>
          </w:p>
          <w:p>
            <w:pPr>
              <w:snapToGrid w:val="0"/>
              <w:spacing w:line="320" w:lineRule="exac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以联合体形式参加政府采购活动的，其投诉应当由组成联合体的所有供应商共同提出。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78" w:hRule="atLeast"/>
          <w:jc w:val="center"/>
        </w:trPr>
        <w:tc>
          <w:tcPr>
            <w:tcW w:w="648" w:type="dxa"/>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29</w:t>
            </w:r>
          </w:p>
        </w:tc>
        <w:tc>
          <w:tcPr>
            <w:tcW w:w="1800" w:type="dxa"/>
            <w:noWrap w:val="0"/>
            <w:vAlign w:val="center"/>
          </w:tcPr>
          <w:p>
            <w:pPr>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特别说明</w:t>
            </w:r>
          </w:p>
        </w:tc>
        <w:tc>
          <w:tcPr>
            <w:tcW w:w="6383" w:type="dxa"/>
            <w:noWrap w:val="0"/>
            <w:vAlign w:val="center"/>
          </w:tcPr>
          <w:p>
            <w:pPr>
              <w:pStyle w:val="11"/>
              <w:adjustRightInd w:val="0"/>
              <w:snapToGrid w:val="0"/>
              <w:spacing w:line="320" w:lineRule="exact"/>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投标人应无条件的、认真仔细的、不厌其烦的阅读本采购文件及其澄清答疑、修改答复的补充文件，严格按照采购文件及补充文件的规定和要求编制投标文件。在编制投标文件过程中，应严格遵循实事求是、诚信投标的原则，针对采购文件中第三部分用户需求、第四部分合同条款等各项内容进行确认，如有偏离，应如实填写响应偏离表。</w:t>
            </w:r>
          </w:p>
          <w:p>
            <w:pPr>
              <w:pStyle w:val="11"/>
              <w:adjustRightInd w:val="0"/>
              <w:snapToGrid w:val="0"/>
              <w:spacing w:line="320" w:lineRule="exact"/>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本项目中标公示期间，投标人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p>
            <w:pPr>
              <w:pStyle w:val="11"/>
              <w:adjustRightInd w:val="0"/>
              <w:snapToGrid w:val="0"/>
              <w:spacing w:line="320" w:lineRule="exact"/>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（3）质疑、投诉人未按前列序号第</w:t>
            </w:r>
            <w:r>
              <w:rPr>
                <w:rFonts w:hint="eastAsia" w:ascii="宋体" w:hAnsi="宋体" w:eastAsia="宋体" w:cs="宋体"/>
                <w:snapToGrid w:val="0"/>
                <w:color w:val="auto"/>
                <w:kern w:val="0"/>
                <w:highlight w:val="none"/>
                <w:lang w:val="en-US" w:eastAsia="zh-CN"/>
              </w:rPr>
              <w:t>26</w:t>
            </w:r>
            <w:r>
              <w:rPr>
                <w:rFonts w:hint="eastAsia" w:ascii="宋体" w:hAnsi="宋体" w:eastAsia="宋体" w:cs="宋体"/>
                <w:snapToGrid w:val="0"/>
                <w:color w:val="auto"/>
                <w:kern w:val="0"/>
                <w:highlight w:val="none"/>
              </w:rPr>
              <w:t>、</w:t>
            </w:r>
            <w:r>
              <w:rPr>
                <w:rFonts w:hint="eastAsia" w:ascii="宋体" w:hAnsi="宋体" w:eastAsia="宋体" w:cs="宋体"/>
                <w:snapToGrid w:val="0"/>
                <w:color w:val="auto"/>
                <w:kern w:val="0"/>
                <w:highlight w:val="none"/>
                <w:lang w:val="en-US" w:eastAsia="zh-CN"/>
              </w:rPr>
              <w:t>27</w:t>
            </w:r>
            <w:r>
              <w:rPr>
                <w:rFonts w:hint="eastAsia" w:ascii="宋体" w:hAnsi="宋体" w:eastAsia="宋体" w:cs="宋体"/>
                <w:snapToGrid w:val="0"/>
                <w:color w:val="auto"/>
                <w:kern w:val="0"/>
                <w:highlight w:val="none"/>
              </w:rPr>
              <w:t>条规定进行质疑、投诉（申诉）、举报等，均属于扰乱政府采购市场不良行为。</w:t>
            </w:r>
          </w:p>
          <w:p>
            <w:pPr>
              <w:pStyle w:val="11"/>
              <w:snapToGrid w:val="0"/>
              <w:spacing w:line="320" w:lineRule="exact"/>
              <w:rPr>
                <w:rFonts w:hint="eastAsia" w:ascii="宋体" w:hAnsi="宋体" w:eastAsia="宋体" w:cs="宋体"/>
                <w:b/>
                <w:color w:val="auto"/>
                <w:highlight w:val="none"/>
              </w:rPr>
            </w:pPr>
            <w:r>
              <w:rPr>
                <w:rFonts w:hint="eastAsia" w:ascii="宋体" w:hAnsi="宋体" w:eastAsia="宋体" w:cs="宋体"/>
                <w:b/>
                <w:bCs/>
                <w:snapToGrid w:val="0"/>
                <w:color w:val="auto"/>
                <w:kern w:val="0"/>
                <w:highlight w:val="none"/>
              </w:rPr>
              <w:t>（4）采购文件中凡标注“▲”的条款均为实质性要求，不响应的投标文件将作无效标处理。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3" w:hRule="atLeast"/>
          <w:jc w:val="center"/>
        </w:trPr>
        <w:tc>
          <w:tcPr>
            <w:tcW w:w="648" w:type="dxa"/>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30</w:t>
            </w:r>
          </w:p>
        </w:tc>
        <w:tc>
          <w:tcPr>
            <w:tcW w:w="1800" w:type="dxa"/>
            <w:noWrap w:val="0"/>
            <w:vAlign w:val="center"/>
          </w:tcPr>
          <w:p>
            <w:pPr>
              <w:adjustRightInd w:val="0"/>
              <w:snapToGrid w:val="0"/>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采购代理服务费</w:t>
            </w:r>
          </w:p>
        </w:tc>
        <w:tc>
          <w:tcPr>
            <w:tcW w:w="6383" w:type="dxa"/>
            <w:noWrap w:val="0"/>
            <w:vAlign w:val="center"/>
          </w:tcPr>
          <w:p>
            <w:pPr>
              <w:adjustRightInd w:val="0"/>
              <w:snapToGrid w:val="0"/>
              <w:spacing w:line="360" w:lineRule="exact"/>
              <w:rPr>
                <w:rFonts w:hint="eastAsia" w:ascii="宋体" w:hAnsi="宋体"/>
                <w:color w:val="auto"/>
                <w:highlight w:val="none"/>
              </w:rPr>
            </w:pPr>
            <w:r>
              <w:rPr>
                <w:rFonts w:hint="eastAsia" w:ascii="宋体" w:hAnsi="宋体"/>
                <w:color w:val="auto"/>
                <w:highlight w:val="none"/>
              </w:rPr>
              <w:t>本项目的</w:t>
            </w:r>
            <w:r>
              <w:rPr>
                <w:rFonts w:hint="eastAsia" w:ascii="宋体" w:hAnsi="宋体"/>
                <w:color w:val="auto"/>
                <w:szCs w:val="21"/>
                <w:highlight w:val="none"/>
              </w:rPr>
              <w:t>采购</w:t>
            </w:r>
            <w:r>
              <w:rPr>
                <w:rFonts w:hint="eastAsia" w:ascii="宋体" w:hAnsi="宋体"/>
                <w:color w:val="auto"/>
                <w:highlight w:val="none"/>
              </w:rPr>
              <w:t>代理费由中标人支付，收费标准按投标总价参考原国家计委（计价格[2002]1980号）和国家发展改革委办公厅（发改办价格[2003]857号）文件计取，低于5000元时按5000元/标项收取，由中标人在领取中标通知书时一次性向采购代理机构付清。</w:t>
            </w:r>
          </w:p>
          <w:p>
            <w:pPr>
              <w:adjustRightInd w:val="0"/>
              <w:snapToGrid w:val="0"/>
              <w:spacing w:line="360" w:lineRule="exac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收款单位（户名）:</w:t>
            </w:r>
            <w:r>
              <w:rPr>
                <w:rFonts w:hint="eastAsia" w:ascii="宋体" w:hAnsi="宋体" w:cs="宋体"/>
                <w:color w:val="auto"/>
                <w:kern w:val="0"/>
                <w:szCs w:val="21"/>
                <w:highlight w:val="none"/>
                <w:lang w:eastAsia="zh-CN"/>
              </w:rPr>
              <w:t>浙江国际招投标有限公司</w:t>
            </w:r>
          </w:p>
          <w:p>
            <w:pPr>
              <w:adjustRightInd w:val="0"/>
              <w:snapToGrid w:val="0"/>
              <w:spacing w:line="36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开户银行：中国工商银行杭州武林支行</w:t>
            </w:r>
          </w:p>
          <w:p>
            <w:pPr>
              <w:adjustRightInd w:val="0"/>
              <w:snapToGrid w:val="0"/>
              <w:spacing w:line="36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银行账号：1202021209906782015</w:t>
            </w:r>
          </w:p>
          <w:p>
            <w:pPr>
              <w:adjustRightInd w:val="0"/>
              <w:snapToGrid w:val="0"/>
              <w:spacing w:line="320" w:lineRule="exact"/>
              <w:rPr>
                <w:rFonts w:hint="eastAsia" w:ascii="宋体" w:hAnsi="宋体" w:eastAsia="宋体" w:cs="宋体"/>
                <w:snapToGrid w:val="0"/>
                <w:color w:val="auto"/>
                <w:kern w:val="0"/>
                <w:highlight w:val="none"/>
                <w:lang w:eastAsia="zh-CN"/>
              </w:rPr>
            </w:pPr>
            <w:r>
              <w:rPr>
                <w:rFonts w:hint="eastAsia" w:hAnsi="宋体"/>
                <w:b/>
                <w:snapToGrid w:val="0"/>
                <w:color w:val="auto"/>
                <w:kern w:val="0"/>
                <w:szCs w:val="21"/>
                <w:highlight w:val="none"/>
              </w:rPr>
              <w:t>▲投标时应提供“中标服务费承诺书”，否则作无效标处理。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48" w:type="dxa"/>
            <w:noWrap w:val="0"/>
            <w:vAlign w:val="center"/>
          </w:tcPr>
          <w:p>
            <w:pPr>
              <w:adjustRightInd w:val="0"/>
              <w:snapToGrid w:val="0"/>
              <w:jc w:val="center"/>
              <w:rPr>
                <w:rFonts w:hint="default" w:ascii="宋体" w:hAnsi="宋体" w:eastAsia="宋体" w:cs="宋体"/>
                <w:snapToGrid w:val="0"/>
                <w:color w:val="auto"/>
                <w:kern w:val="0"/>
                <w:highlight w:val="none"/>
                <w:lang w:val="en-US" w:eastAsia="zh-CN"/>
              </w:rPr>
            </w:pPr>
            <w:r>
              <w:rPr>
                <w:rFonts w:hint="eastAsia" w:ascii="宋体" w:hAnsi="宋体" w:eastAsia="宋体" w:cs="宋体"/>
                <w:snapToGrid w:val="0"/>
                <w:color w:val="auto"/>
                <w:kern w:val="0"/>
                <w:highlight w:val="none"/>
                <w:lang w:val="en-US" w:eastAsia="zh-CN"/>
              </w:rPr>
              <w:t>31</w:t>
            </w:r>
          </w:p>
        </w:tc>
        <w:tc>
          <w:tcPr>
            <w:tcW w:w="1800" w:type="dxa"/>
            <w:noWrap w:val="0"/>
            <w:vAlign w:val="center"/>
          </w:tcPr>
          <w:p>
            <w:pPr>
              <w:adjustRightInd w:val="0"/>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节能环保要求</w:t>
            </w:r>
          </w:p>
        </w:tc>
        <w:tc>
          <w:tcPr>
            <w:tcW w:w="6383" w:type="dxa"/>
            <w:noWrap w:val="0"/>
            <w:vAlign w:val="center"/>
          </w:tcPr>
          <w:p>
            <w:pPr>
              <w:adjustRightInd w:val="0"/>
              <w:snapToGrid w:val="0"/>
              <w:spacing w:line="320" w:lineRule="exact"/>
              <w:rPr>
                <w:rFonts w:hint="eastAsia" w:ascii="宋体" w:hAnsi="宋体" w:eastAsia="宋体" w:cs="宋体"/>
                <w:snapToGrid w:val="0"/>
                <w:color w:val="auto"/>
                <w:kern w:val="0"/>
                <w:highlight w:val="none"/>
                <w:lang w:eastAsia="zh-CN"/>
              </w:rPr>
            </w:pPr>
            <w:r>
              <w:rPr>
                <w:rFonts w:hint="eastAsia" w:ascii="宋体" w:hAnsi="宋体" w:eastAsia="宋体" w:cs="宋体"/>
                <w:snapToGrid w:val="0"/>
                <w:color w:val="auto"/>
                <w:kern w:val="0"/>
                <w:highlight w:val="none"/>
                <w:lang w:eastAsia="zh-CN"/>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48" w:type="dxa"/>
            <w:noWrap w:val="0"/>
            <w:vAlign w:val="center"/>
          </w:tcPr>
          <w:p>
            <w:pPr>
              <w:adjustRightInd w:val="0"/>
              <w:snapToGrid w:val="0"/>
              <w:jc w:val="center"/>
              <w:rPr>
                <w:rFonts w:hint="default" w:ascii="宋体" w:hAnsi="宋体" w:eastAsia="宋体" w:cs="宋体"/>
                <w:snapToGrid w:val="0"/>
                <w:color w:val="auto"/>
                <w:kern w:val="0"/>
                <w:highlight w:val="none"/>
                <w:lang w:val="en-US" w:eastAsia="zh-CN"/>
              </w:rPr>
            </w:pPr>
            <w:r>
              <w:rPr>
                <w:rFonts w:hint="eastAsia" w:ascii="宋体" w:hAnsi="宋体" w:eastAsia="宋体" w:cs="宋体"/>
                <w:snapToGrid w:val="0"/>
                <w:color w:val="auto"/>
                <w:kern w:val="0"/>
                <w:highlight w:val="none"/>
                <w:lang w:val="en-US" w:eastAsia="zh-CN"/>
              </w:rPr>
              <w:t>32</w:t>
            </w:r>
          </w:p>
        </w:tc>
        <w:tc>
          <w:tcPr>
            <w:tcW w:w="1800" w:type="dxa"/>
            <w:noWrap w:val="0"/>
            <w:vAlign w:val="center"/>
          </w:tcPr>
          <w:p>
            <w:pPr>
              <w:spacing w:line="276" w:lineRule="auto"/>
              <w:jc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进口产品投标</w:t>
            </w:r>
          </w:p>
        </w:tc>
        <w:tc>
          <w:tcPr>
            <w:tcW w:w="6383" w:type="dxa"/>
            <w:noWrap w:val="0"/>
            <w:vAlign w:val="center"/>
          </w:tcPr>
          <w:p>
            <w:pPr>
              <w:spacing w:line="276" w:lineRule="auto"/>
              <w:rPr>
                <w:rFonts w:hint="eastAsia" w:ascii="宋体" w:hAnsi="宋体" w:eastAsia="Calibri" w:cs="宋体"/>
                <w:bCs/>
                <w:color w:val="auto"/>
                <w:kern w:val="2"/>
                <w:sz w:val="21"/>
                <w:szCs w:val="21"/>
                <w:highlight w:val="none"/>
                <w:lang w:val="en-US" w:eastAsia="zh-CN" w:bidi="ar-SA"/>
              </w:rPr>
            </w:pPr>
            <w:r>
              <w:rPr>
                <w:rFonts w:hint="eastAsia" w:ascii="宋体" w:hAnsi="宋体" w:cs="宋体"/>
                <w:bCs/>
                <w:color w:val="auto"/>
                <w:szCs w:val="21"/>
                <w:highlight w:val="none"/>
              </w:rPr>
              <w:t>不</w:t>
            </w:r>
            <w:r>
              <w:rPr>
                <w:rFonts w:hint="eastAsia" w:ascii="宋体" w:hAnsi="宋体" w:cs="宋体"/>
                <w:bCs/>
                <w:color w:val="auto"/>
                <w:szCs w:val="21"/>
                <w:highlight w:val="none"/>
                <w:lang w:eastAsia="zh-CN"/>
              </w:rPr>
              <w:t>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48" w:type="dxa"/>
            <w:noWrap w:val="0"/>
            <w:vAlign w:val="center"/>
          </w:tcPr>
          <w:p>
            <w:pPr>
              <w:adjustRightInd w:val="0"/>
              <w:snapToGrid w:val="0"/>
              <w:jc w:val="center"/>
              <w:rPr>
                <w:rFonts w:hint="default" w:ascii="宋体" w:hAnsi="宋体" w:eastAsia="宋体" w:cs="宋体"/>
                <w:snapToGrid w:val="0"/>
                <w:color w:val="auto"/>
                <w:kern w:val="0"/>
                <w:highlight w:val="none"/>
                <w:lang w:val="en-US" w:eastAsia="zh-CN"/>
              </w:rPr>
            </w:pPr>
            <w:r>
              <w:rPr>
                <w:rFonts w:hint="eastAsia" w:ascii="宋体" w:hAnsi="宋体" w:eastAsia="宋体" w:cs="宋体"/>
                <w:snapToGrid w:val="0"/>
                <w:color w:val="auto"/>
                <w:kern w:val="0"/>
                <w:highlight w:val="none"/>
                <w:lang w:val="en-US" w:eastAsia="zh-CN"/>
              </w:rPr>
              <w:t>33</w:t>
            </w:r>
          </w:p>
        </w:tc>
        <w:tc>
          <w:tcPr>
            <w:tcW w:w="1800" w:type="dxa"/>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是否专门面向</w:t>
            </w:r>
          </w:p>
          <w:p>
            <w:pPr>
              <w:adjustRightInd w:val="0"/>
              <w:snapToGrid w:val="0"/>
              <w:jc w:val="center"/>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中小</w:t>
            </w:r>
            <w:r>
              <w:rPr>
                <w:rFonts w:hint="eastAsia" w:ascii="宋体" w:hAnsi="宋体" w:cs="宋体"/>
                <w:color w:val="auto"/>
                <w:szCs w:val="21"/>
                <w:highlight w:val="none"/>
                <w:lang w:eastAsia="zh-CN"/>
              </w:rPr>
              <w:t>微</w:t>
            </w:r>
            <w:r>
              <w:rPr>
                <w:rFonts w:hint="eastAsia" w:ascii="宋体" w:hAnsi="宋体" w:cs="宋体"/>
                <w:color w:val="auto"/>
                <w:szCs w:val="21"/>
                <w:highlight w:val="none"/>
              </w:rPr>
              <w:t>企业采购</w:t>
            </w:r>
          </w:p>
        </w:tc>
        <w:tc>
          <w:tcPr>
            <w:tcW w:w="6383" w:type="dxa"/>
            <w:noWrap w:val="0"/>
            <w:vAlign w:val="center"/>
          </w:tcPr>
          <w:p>
            <w:pPr>
              <w:widowControl/>
              <w:spacing w:line="276" w:lineRule="auto"/>
              <w:jc w:val="left"/>
              <w:rPr>
                <w:rFonts w:hint="eastAsia"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否</w:t>
            </w:r>
          </w:p>
          <w:p>
            <w:pPr>
              <w:widowControl/>
              <w:spacing w:line="276" w:lineRule="auto"/>
              <w:jc w:val="left"/>
              <w:rPr>
                <w:rFonts w:hint="default"/>
                <w:color w:val="auto"/>
                <w:highlight w:val="none"/>
                <w:lang w:val="en-US" w:eastAsia="zh-CN"/>
              </w:rPr>
            </w:pPr>
            <w:r>
              <w:rPr>
                <w:rFonts w:hint="eastAsia" w:ascii="Calibri" w:hAnsi="Calibri" w:eastAsia="宋体" w:cs="Times New Roman"/>
                <w:color w:val="auto"/>
                <w:kern w:val="2"/>
                <w:sz w:val="21"/>
                <w:highlight w:val="none"/>
              </w:rPr>
              <w:t>以联合体形式参加政府采购活动，联合体各方均为中小企业的，联合体视同中小企业。其中，联合体各方均为小微企业的，联合体视同小微企业。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80" w:hRule="atLeast"/>
          <w:jc w:val="center"/>
        </w:trPr>
        <w:tc>
          <w:tcPr>
            <w:tcW w:w="648" w:type="dxa"/>
            <w:noWrap w:val="0"/>
            <w:vAlign w:val="center"/>
          </w:tcPr>
          <w:p>
            <w:pPr>
              <w:adjustRightInd w:val="0"/>
              <w:snapToGrid w:val="0"/>
              <w:jc w:val="center"/>
              <w:rPr>
                <w:rFonts w:hint="default" w:ascii="宋体" w:hAnsi="宋体" w:eastAsia="宋体" w:cs="宋体"/>
                <w:snapToGrid w:val="0"/>
                <w:color w:val="auto"/>
                <w:kern w:val="0"/>
                <w:highlight w:val="none"/>
                <w:lang w:val="en-US" w:eastAsia="zh-CN"/>
              </w:rPr>
            </w:pPr>
            <w:r>
              <w:rPr>
                <w:rFonts w:hint="eastAsia" w:ascii="宋体" w:hAnsi="宋体" w:eastAsia="宋体" w:cs="宋体"/>
                <w:snapToGrid w:val="0"/>
                <w:color w:val="auto"/>
                <w:kern w:val="0"/>
                <w:highlight w:val="none"/>
                <w:lang w:val="en-US" w:eastAsia="zh-CN"/>
              </w:rPr>
              <w:t>34</w:t>
            </w:r>
          </w:p>
        </w:tc>
        <w:tc>
          <w:tcPr>
            <w:tcW w:w="1800" w:type="dxa"/>
            <w:noWrap w:val="0"/>
            <w:vAlign w:val="center"/>
          </w:tcPr>
          <w:p>
            <w:pPr>
              <w:adjustRightInd w:val="0"/>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是否</w:t>
            </w:r>
            <w:r>
              <w:rPr>
                <w:rFonts w:hint="eastAsia" w:ascii="宋体" w:hAnsi="宋体" w:cs="宋体"/>
                <w:color w:val="auto"/>
                <w:szCs w:val="21"/>
                <w:highlight w:val="none"/>
                <w:lang w:eastAsia="zh-CN"/>
              </w:rPr>
              <w:t>允许分包</w:t>
            </w:r>
          </w:p>
        </w:tc>
        <w:tc>
          <w:tcPr>
            <w:tcW w:w="6383" w:type="dxa"/>
            <w:noWrap w:val="0"/>
            <w:vAlign w:val="center"/>
          </w:tcPr>
          <w:p>
            <w:pPr>
              <w:widowControl/>
              <w:numPr>
                <w:ilvl w:val="0"/>
                <w:numId w:val="0"/>
              </w:numPr>
              <w:spacing w:line="276" w:lineRule="auto"/>
              <w:jc w:val="left"/>
              <w:rPr>
                <w:rFonts w:hint="eastAsia" w:ascii="Calibri" w:hAnsi="Calibri" w:eastAsia="宋体" w:cs="Times New Roman"/>
                <w:color w:val="auto"/>
                <w:highlight w:val="none"/>
                <w:lang w:val="en-US" w:eastAsia="zh-CN"/>
              </w:rPr>
            </w:pPr>
            <w:r>
              <w:rPr>
                <w:rFonts w:hint="eastAsia"/>
                <w:color w:val="auto"/>
                <w:highlight w:val="none"/>
                <w:lang w:val="en-US" w:eastAsia="zh-CN"/>
              </w:rPr>
              <w:t>是（可对本项</w:t>
            </w:r>
            <w:r>
              <w:rPr>
                <w:rFonts w:hint="eastAsia" w:ascii="Calibri" w:hAnsi="Calibri" w:eastAsia="宋体" w:cs="Times New Roman"/>
                <w:color w:val="auto"/>
                <w:highlight w:val="none"/>
                <w:lang w:val="en-US" w:eastAsia="zh-CN"/>
              </w:rPr>
              <w:t>目</w:t>
            </w:r>
            <w:r>
              <w:rPr>
                <w:rFonts w:hint="eastAsia" w:ascii="Calibri" w:hAnsi="Calibri" w:eastAsia="宋体" w:cs="Times New Roman"/>
                <w:color w:val="auto"/>
                <w:sz w:val="21"/>
                <w:highlight w:val="none"/>
              </w:rPr>
              <w:t>非主体、非关键性</w:t>
            </w:r>
            <w:r>
              <w:rPr>
                <w:rFonts w:hint="eastAsia" w:ascii="Calibri" w:hAnsi="Calibri" w:eastAsia="宋体" w:cs="Times New Roman"/>
                <w:color w:val="auto"/>
                <w:sz w:val="21"/>
                <w:highlight w:val="none"/>
                <w:lang w:eastAsia="zh-CN"/>
              </w:rPr>
              <w:t>工作进行分包</w:t>
            </w:r>
            <w:r>
              <w:rPr>
                <w:rFonts w:hint="eastAsia" w:ascii="Calibri" w:hAnsi="Calibri" w:eastAsia="宋体" w:cs="Times New Roman"/>
                <w:color w:val="auto"/>
                <w:highlight w:val="none"/>
                <w:lang w:val="en-US" w:eastAsia="zh-CN"/>
              </w:rPr>
              <w:t>）</w:t>
            </w:r>
          </w:p>
          <w:p>
            <w:pPr>
              <w:widowControl/>
              <w:numPr>
                <w:ilvl w:val="0"/>
                <w:numId w:val="0"/>
              </w:numPr>
              <w:spacing w:line="276" w:lineRule="auto"/>
              <w:rPr>
                <w:rFonts w:hint="eastAsia"/>
                <w:color w:val="auto"/>
                <w:highlight w:val="none"/>
                <w:lang w:val="en-US" w:eastAsia="zh-CN"/>
              </w:rPr>
            </w:pPr>
            <w:r>
              <w:rPr>
                <w:rFonts w:hint="eastAsia" w:ascii="Calibri" w:hAnsi="Calibri" w:eastAsia="宋体" w:cs="Times New Roman"/>
                <w:color w:val="auto"/>
                <w:sz w:val="21"/>
                <w:highlight w:val="none"/>
              </w:rPr>
              <w:t>中小企业享受扶持政策获得政府采购合同的，小微企业不得将合同分包给大中型企业，中型企业不得将合同分包给大型企业。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99" w:hRule="atLeast"/>
          <w:jc w:val="center"/>
        </w:trPr>
        <w:tc>
          <w:tcPr>
            <w:tcW w:w="648" w:type="dxa"/>
            <w:noWrap w:val="0"/>
            <w:vAlign w:val="center"/>
          </w:tcPr>
          <w:p>
            <w:pPr>
              <w:adjustRightInd w:val="0"/>
              <w:snapToGrid w:val="0"/>
              <w:jc w:val="center"/>
              <w:rPr>
                <w:rFonts w:hint="eastAsia" w:ascii="宋体" w:hAnsi="宋体" w:eastAsia="宋体" w:cs="宋体"/>
                <w:snapToGrid w:val="0"/>
                <w:color w:val="auto"/>
                <w:kern w:val="0"/>
                <w:highlight w:val="none"/>
                <w:lang w:val="en-US" w:eastAsia="zh-CN"/>
              </w:rPr>
            </w:pPr>
            <w:r>
              <w:rPr>
                <w:rFonts w:hint="eastAsia" w:ascii="宋体" w:hAnsi="宋体" w:eastAsia="宋体" w:cs="宋体"/>
                <w:snapToGrid w:val="0"/>
                <w:color w:val="auto"/>
                <w:kern w:val="0"/>
                <w:highlight w:val="none"/>
                <w:lang w:val="en-US" w:eastAsia="zh-CN"/>
              </w:rPr>
              <w:t>35</w:t>
            </w:r>
          </w:p>
        </w:tc>
        <w:tc>
          <w:tcPr>
            <w:tcW w:w="1800" w:type="dxa"/>
            <w:noWrap w:val="0"/>
            <w:vAlign w:val="center"/>
          </w:tcPr>
          <w:p>
            <w:pPr>
              <w:adjustRightInd w:val="0"/>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支持中小企业</w:t>
            </w:r>
          </w:p>
        </w:tc>
        <w:tc>
          <w:tcPr>
            <w:tcW w:w="6383" w:type="dxa"/>
            <w:noWrap w:val="0"/>
            <w:vAlign w:val="center"/>
          </w:tcPr>
          <w:p>
            <w:pPr>
              <w:adjustRightInd w:val="0"/>
              <w:snapToGrid w:val="0"/>
              <w:spacing w:line="320" w:lineRule="exact"/>
              <w:rPr>
                <w:rFonts w:hint="default"/>
                <w:b/>
                <w:bCs/>
                <w:color w:val="auto"/>
                <w:highlight w:val="none"/>
                <w:lang w:val="en-US" w:eastAsia="zh-CN"/>
              </w:rPr>
            </w:pPr>
            <w:r>
              <w:rPr>
                <w:rFonts w:hint="eastAsia"/>
                <w:b/>
                <w:bCs/>
                <w:color w:val="auto"/>
                <w:highlight w:val="none"/>
                <w:lang w:val="en-US" w:eastAsia="zh-CN"/>
              </w:rPr>
              <w:t>一、说明</w:t>
            </w:r>
          </w:p>
          <w:p>
            <w:pPr>
              <w:adjustRightInd w:val="0"/>
              <w:snapToGrid w:val="0"/>
              <w:spacing w:line="320" w:lineRule="exact"/>
              <w:rPr>
                <w:rFonts w:hint="default"/>
                <w:b/>
                <w:bCs/>
                <w:color w:val="auto"/>
                <w:highlight w:val="none"/>
                <w:lang w:val="en-US" w:eastAsia="zh-CN"/>
              </w:rPr>
            </w:pPr>
            <w:r>
              <w:rPr>
                <w:rFonts w:hint="eastAsia"/>
                <w:b/>
                <w:bCs/>
                <w:color w:val="auto"/>
                <w:highlight w:val="none"/>
                <w:lang w:val="en-US" w:eastAsia="zh-CN"/>
              </w:rPr>
              <w:t>1、企业类型</w:t>
            </w:r>
          </w:p>
          <w:p>
            <w:pPr>
              <w:adjustRightInd w:val="0"/>
              <w:snapToGrid w:val="0"/>
              <w:spacing w:line="320" w:lineRule="exact"/>
              <w:rPr>
                <w:rFonts w:hint="default"/>
                <w:b/>
                <w:bCs/>
                <w:color w:val="auto"/>
                <w:highlight w:val="none"/>
                <w:lang w:val="en-US" w:eastAsia="zh-CN"/>
              </w:rPr>
            </w:pPr>
            <w:r>
              <w:rPr>
                <w:rFonts w:hint="eastAsia"/>
                <w:b/>
                <w:bCs/>
                <w:color w:val="auto"/>
                <w:highlight w:val="none"/>
                <w:lang w:val="en-US" w:eastAsia="zh-CN"/>
              </w:rPr>
              <w:t>（1）中小企业</w:t>
            </w:r>
          </w:p>
          <w:p>
            <w:pPr>
              <w:adjustRightInd w:val="0"/>
              <w:snapToGrid w:val="0"/>
              <w:spacing w:line="320" w:lineRule="exact"/>
              <w:ind w:firstLine="420" w:firstLineChars="200"/>
              <w:rPr>
                <w:rFonts w:hint="eastAsia"/>
                <w:color w:val="auto"/>
                <w:highlight w:val="none"/>
                <w:lang w:eastAsia="zh-CN"/>
              </w:rPr>
            </w:pPr>
            <w:r>
              <w:rPr>
                <w:rFonts w:hint="eastAsia"/>
                <w:color w:val="auto"/>
                <w:highlight w:val="none"/>
                <w:lang w:eastAsia="zh-CN"/>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320" w:lineRule="exact"/>
              <w:ind w:firstLine="420" w:firstLineChars="200"/>
              <w:rPr>
                <w:rFonts w:hint="eastAsia"/>
                <w:color w:val="auto"/>
                <w:highlight w:val="none"/>
                <w:lang w:eastAsia="zh-CN"/>
              </w:rPr>
            </w:pPr>
            <w:r>
              <w:rPr>
                <w:rFonts w:hint="eastAsia"/>
                <w:color w:val="auto"/>
                <w:highlight w:val="none"/>
                <w:lang w:eastAsia="zh-CN"/>
              </w:rPr>
              <w:t>符合中小企业划分标准的个体工商户，在政府采购活动中视同中小企业。</w:t>
            </w:r>
          </w:p>
          <w:p>
            <w:pPr>
              <w:adjustRightInd w:val="0"/>
              <w:snapToGrid w:val="0"/>
              <w:spacing w:line="320" w:lineRule="exact"/>
              <w:ind w:firstLine="420" w:firstLineChars="200"/>
              <w:rPr>
                <w:rFonts w:hint="eastAsia"/>
                <w:color w:val="auto"/>
                <w:highlight w:val="none"/>
                <w:lang w:eastAsia="zh-CN"/>
              </w:rPr>
            </w:pPr>
            <w:r>
              <w:rPr>
                <w:rFonts w:hint="eastAsia"/>
                <w:color w:val="auto"/>
                <w:highlight w:val="none"/>
                <w:lang w:eastAsia="zh-CN"/>
              </w:rPr>
              <w:t>在服务采购项目中，服务由中小企业承接，即提供服务的人员为中小企业依照《中华人民共和国劳动合同法》订立劳动合同的从业人员。可享受相关中小企业扶持政策。</w:t>
            </w:r>
          </w:p>
          <w:p>
            <w:pPr>
              <w:adjustRightInd w:val="0"/>
              <w:snapToGrid w:val="0"/>
              <w:spacing w:line="320" w:lineRule="exact"/>
              <w:ind w:firstLine="420" w:firstLineChars="200"/>
              <w:rPr>
                <w:rFonts w:hint="eastAsia"/>
                <w:color w:val="auto"/>
                <w:highlight w:val="none"/>
                <w:lang w:eastAsia="zh-CN"/>
              </w:rPr>
            </w:pPr>
            <w:r>
              <w:rPr>
                <w:rFonts w:hint="eastAsia"/>
                <w:color w:val="auto"/>
                <w:highlight w:val="none"/>
                <w:lang w:eastAsia="zh-CN"/>
              </w:rPr>
              <w:t>以联合体形式参加政府采购活动，联合体各方均为中小企业的，联合体视同中小企业。其中，联合体各方均为小微企业的，联合体视同小微企业。</w:t>
            </w:r>
          </w:p>
          <w:p>
            <w:pPr>
              <w:adjustRightInd w:val="0"/>
              <w:snapToGrid w:val="0"/>
              <w:spacing w:line="320" w:lineRule="exact"/>
              <w:ind w:firstLine="420" w:firstLineChars="200"/>
              <w:rPr>
                <w:rFonts w:hint="eastAsia"/>
                <w:color w:val="auto"/>
                <w:highlight w:val="none"/>
                <w:lang w:eastAsia="zh-CN"/>
              </w:rPr>
            </w:pPr>
            <w:r>
              <w:rPr>
                <w:rFonts w:hint="eastAsia"/>
                <w:color w:val="auto"/>
                <w:highlight w:val="none"/>
                <w:lang w:eastAsia="zh-CN"/>
              </w:rPr>
              <w:t>投标文件中须同时出具《政府采购促进中小企业发展管理办法》【财库（</w:t>
            </w:r>
            <w:r>
              <w:rPr>
                <w:rFonts w:hint="eastAsia"/>
                <w:color w:val="auto"/>
                <w:highlight w:val="none"/>
                <w:lang w:val="en-US" w:eastAsia="zh-CN"/>
              </w:rPr>
              <w:t>2020）46号】</w:t>
            </w:r>
            <w:r>
              <w:rPr>
                <w:rFonts w:hint="eastAsia"/>
                <w:color w:val="auto"/>
                <w:highlight w:val="none"/>
                <w:lang w:eastAsia="zh-CN"/>
              </w:rPr>
              <w:t>规定的《中小企业声明函》，否则不得享受价格扣除。</w:t>
            </w:r>
          </w:p>
          <w:p>
            <w:pPr>
              <w:adjustRightInd w:val="0"/>
              <w:snapToGrid w:val="0"/>
              <w:spacing w:line="320" w:lineRule="exact"/>
              <w:rPr>
                <w:rFonts w:hint="default"/>
                <w:b/>
                <w:bCs/>
                <w:color w:val="auto"/>
                <w:highlight w:val="none"/>
                <w:lang w:val="en-US" w:eastAsia="zh-CN"/>
              </w:rPr>
            </w:pPr>
            <w:r>
              <w:rPr>
                <w:rFonts w:hint="eastAsia"/>
                <w:b/>
                <w:bCs/>
                <w:color w:val="auto"/>
                <w:highlight w:val="none"/>
                <w:lang w:val="en-US" w:eastAsia="zh-CN"/>
              </w:rPr>
              <w:t>（2）残疾人福利性单位</w:t>
            </w:r>
          </w:p>
          <w:p>
            <w:pPr>
              <w:adjustRightInd w:val="0"/>
              <w:snapToGrid w:val="0"/>
              <w:spacing w:line="320" w:lineRule="exact"/>
              <w:ind w:firstLine="420" w:firstLineChars="200"/>
              <w:rPr>
                <w:rFonts w:hint="eastAsia"/>
                <w:color w:val="auto"/>
                <w:highlight w:val="none"/>
                <w:lang w:eastAsia="zh-CN"/>
              </w:rPr>
            </w:pPr>
            <w:r>
              <w:rPr>
                <w:rFonts w:hint="eastAsia"/>
                <w:color w:val="auto"/>
                <w:highlight w:val="none"/>
                <w:lang w:eastAsia="zh-CN"/>
              </w:rPr>
              <w:t>符合《关于促进残疾人就业政府采购政策的通知》（财库〔2017〕141号）规定的条件并提供提供《残疾人福利性单位声明函》的残疾人福利性单位视同小型、微型企业；</w:t>
            </w:r>
          </w:p>
          <w:p>
            <w:pPr>
              <w:adjustRightInd w:val="0"/>
              <w:snapToGrid w:val="0"/>
              <w:spacing w:line="320" w:lineRule="exact"/>
              <w:rPr>
                <w:rFonts w:hint="default"/>
                <w:b/>
                <w:bCs/>
                <w:color w:val="auto"/>
                <w:highlight w:val="none"/>
                <w:lang w:val="en-US" w:eastAsia="zh-CN"/>
              </w:rPr>
            </w:pPr>
            <w:r>
              <w:rPr>
                <w:rFonts w:hint="eastAsia"/>
                <w:b/>
                <w:bCs/>
                <w:color w:val="auto"/>
                <w:highlight w:val="none"/>
                <w:lang w:val="en-US" w:eastAsia="zh-CN"/>
              </w:rPr>
              <w:t>（3）监狱企业</w:t>
            </w:r>
          </w:p>
          <w:p>
            <w:pPr>
              <w:adjustRightInd w:val="0"/>
              <w:snapToGrid w:val="0"/>
              <w:spacing w:line="320" w:lineRule="exact"/>
              <w:ind w:firstLine="420" w:firstLineChars="200"/>
              <w:rPr>
                <w:rFonts w:hint="eastAsia"/>
                <w:color w:val="auto"/>
                <w:highlight w:val="none"/>
                <w:lang w:eastAsia="zh-CN"/>
              </w:rPr>
            </w:pPr>
            <w:r>
              <w:rPr>
                <w:rFonts w:hint="eastAsia"/>
                <w:color w:val="auto"/>
                <w:highlight w:val="none"/>
                <w:lang w:eastAsia="zh-CN"/>
              </w:rPr>
              <w:t>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hint="eastAsia"/>
                <w:color w:val="auto"/>
                <w:highlight w:val="none"/>
                <w:lang w:eastAsia="zh-CN"/>
              </w:rPr>
            </w:pPr>
          </w:p>
          <w:p>
            <w:pPr>
              <w:adjustRightInd w:val="0"/>
              <w:snapToGrid w:val="0"/>
              <w:spacing w:line="320" w:lineRule="exact"/>
              <w:rPr>
                <w:rFonts w:hint="default"/>
                <w:b/>
                <w:bCs/>
                <w:color w:val="auto"/>
                <w:highlight w:val="none"/>
                <w:lang w:val="en-US" w:eastAsia="zh-CN"/>
              </w:rPr>
            </w:pPr>
            <w:r>
              <w:rPr>
                <w:rFonts w:hint="eastAsia"/>
                <w:b/>
                <w:bCs/>
                <w:color w:val="auto"/>
                <w:highlight w:val="none"/>
                <w:lang w:val="en-US" w:eastAsia="zh-CN"/>
              </w:rPr>
              <w:t>2.价格扣除有关政策</w:t>
            </w:r>
          </w:p>
          <w:p>
            <w:pPr>
              <w:adjustRightInd w:val="0"/>
              <w:snapToGrid w:val="0"/>
              <w:spacing w:line="320" w:lineRule="exact"/>
              <w:ind w:firstLine="420" w:firstLineChars="200"/>
              <w:rPr>
                <w:rFonts w:hint="eastAsia"/>
                <w:color w:val="auto"/>
                <w:highlight w:val="none"/>
                <w:lang w:eastAsia="zh-CN"/>
              </w:rPr>
            </w:pPr>
            <w:r>
              <w:rPr>
                <w:rFonts w:hint="eastAsia"/>
                <w:color w:val="auto"/>
                <w:highlight w:val="none"/>
                <w:lang w:eastAsia="zh-CN"/>
              </w:rPr>
              <w:t>根据财政部、工业和信息化部发布的《政府采购促进中小企业发展管理办法》【财库（2020）46号】规定，对于经主管预算单位统筹后未预留份额专门面向中小企业采购的采购项目，以及预留份额项目中的非预留部分采购包，采购人、采购代理机构应当对符合本办法规定的小微企业报价给予</w:t>
            </w:r>
            <w:r>
              <w:rPr>
                <w:rFonts w:hint="eastAsia"/>
                <w:color w:val="auto"/>
                <w:highlight w:val="none"/>
                <w:lang w:val="en-US" w:eastAsia="zh-CN"/>
              </w:rPr>
              <w:t>2</w:t>
            </w:r>
            <w:r>
              <w:rPr>
                <w:rFonts w:hint="eastAsia"/>
                <w:color w:val="auto"/>
                <w:highlight w:val="none"/>
                <w:lang w:eastAsia="zh-CN"/>
              </w:rPr>
              <w:t>0%的扣除，用扣除后的价格参加评审。</w:t>
            </w:r>
          </w:p>
          <w:p>
            <w:pPr>
              <w:adjustRightInd w:val="0"/>
              <w:snapToGrid w:val="0"/>
              <w:spacing w:line="320" w:lineRule="exact"/>
              <w:ind w:firstLine="420" w:firstLineChars="200"/>
              <w:rPr>
                <w:rFonts w:hint="eastAsia"/>
                <w:color w:val="auto"/>
                <w:highlight w:val="none"/>
                <w:lang w:eastAsia="zh-CN"/>
              </w:rPr>
            </w:pPr>
            <w:r>
              <w:rPr>
                <w:rFonts w:hint="eastAsia"/>
                <w:color w:val="auto"/>
                <w:highlight w:val="none"/>
                <w:lang w:eastAsia="zh-CN"/>
              </w:rPr>
              <w:t xml:space="preserve">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w:t>
            </w:r>
            <w:r>
              <w:rPr>
                <w:rFonts w:hint="eastAsia"/>
                <w:color w:val="auto"/>
                <w:highlight w:val="none"/>
                <w:lang w:val="en-US" w:eastAsia="zh-CN"/>
              </w:rPr>
              <w:t>6</w:t>
            </w:r>
            <w:r>
              <w:rPr>
                <w:rFonts w:hint="eastAsia"/>
                <w:color w:val="auto"/>
                <w:highlight w:val="none"/>
                <w:lang w:eastAsia="zh-CN"/>
              </w:rPr>
              <w:t>%的扣除，用扣除后的价格参加评审。</w:t>
            </w:r>
          </w:p>
          <w:p>
            <w:pPr>
              <w:adjustRightInd w:val="0"/>
              <w:snapToGrid w:val="0"/>
              <w:spacing w:line="320" w:lineRule="exact"/>
              <w:ind w:firstLine="420" w:firstLineChars="200"/>
              <w:rPr>
                <w:rFonts w:hint="eastAsia"/>
                <w:color w:val="auto"/>
                <w:highlight w:val="none"/>
                <w:lang w:eastAsia="zh-CN"/>
              </w:rPr>
            </w:pPr>
            <w:r>
              <w:rPr>
                <w:rFonts w:hint="eastAsia"/>
                <w:color w:val="auto"/>
                <w:highlight w:val="none"/>
                <w:lang w:eastAsia="zh-CN"/>
              </w:rPr>
              <w:t>组成联合体或者接受分包的小微企业与联合体内其他企业、分包企业之间存在直接控股、管理关系的，不享受价格扣除优惠政策。</w:t>
            </w:r>
          </w:p>
          <w:p>
            <w:pPr>
              <w:adjustRightInd w:val="0"/>
              <w:snapToGrid w:val="0"/>
              <w:spacing w:line="320" w:lineRule="exact"/>
              <w:rPr>
                <w:rFonts w:hint="default"/>
                <w:b/>
                <w:bCs/>
                <w:color w:val="auto"/>
                <w:highlight w:val="none"/>
                <w:lang w:val="en-US" w:eastAsia="zh-CN"/>
              </w:rPr>
            </w:pPr>
            <w:r>
              <w:rPr>
                <w:rFonts w:hint="eastAsia"/>
                <w:b/>
                <w:bCs/>
                <w:color w:val="auto"/>
                <w:highlight w:val="none"/>
                <w:lang w:val="en-US" w:eastAsia="zh-CN"/>
              </w:rPr>
              <w:t>二、针对本项目的相关规定</w:t>
            </w:r>
          </w:p>
          <w:p>
            <w:pPr>
              <w:adjustRightInd w:val="0"/>
              <w:snapToGrid w:val="0"/>
              <w:spacing w:line="320" w:lineRule="exact"/>
              <w:ind w:firstLine="211" w:firstLineChars="100"/>
              <w:rPr>
                <w:rFonts w:hint="eastAsia"/>
                <w:b/>
                <w:bCs/>
                <w:color w:val="auto"/>
                <w:highlight w:val="none"/>
                <w:lang w:val="en-US" w:eastAsia="zh-CN"/>
              </w:rPr>
            </w:pPr>
            <w:r>
              <w:rPr>
                <w:rFonts w:hint="eastAsia"/>
                <w:b/>
                <w:bCs/>
                <w:color w:val="auto"/>
                <w:highlight w:val="none"/>
                <w:lang w:val="en-US" w:eastAsia="zh-CN"/>
              </w:rPr>
              <w:t>1.政府采购目录类别：服务类。</w:t>
            </w:r>
          </w:p>
          <w:p>
            <w:pPr>
              <w:adjustRightInd w:val="0"/>
              <w:snapToGrid w:val="0"/>
              <w:spacing w:line="320" w:lineRule="exact"/>
              <w:ind w:firstLine="211" w:firstLineChars="100"/>
              <w:rPr>
                <w:rFonts w:hint="eastAsia"/>
                <w:b/>
                <w:bCs/>
                <w:color w:val="auto"/>
                <w:highlight w:val="none"/>
                <w:lang w:eastAsia="zh-CN"/>
              </w:rPr>
            </w:pPr>
            <w:r>
              <w:rPr>
                <w:rFonts w:hint="eastAsia"/>
                <w:b/>
                <w:bCs/>
                <w:color w:val="auto"/>
                <w:highlight w:val="none"/>
                <w:lang w:val="en-US" w:eastAsia="zh-CN"/>
              </w:rPr>
              <w:t>2.</w:t>
            </w:r>
            <w:r>
              <w:rPr>
                <w:rFonts w:hint="eastAsia"/>
                <w:b/>
                <w:bCs/>
                <w:color w:val="auto"/>
                <w:highlight w:val="none"/>
                <w:lang w:eastAsia="zh-CN"/>
              </w:rPr>
              <w:t>本项目对符合规定的小微企业（含小型企业）报价给予</w:t>
            </w:r>
            <w:r>
              <w:rPr>
                <w:rFonts w:hint="eastAsia"/>
                <w:b/>
                <w:bCs/>
                <w:color w:val="auto"/>
                <w:highlight w:val="none"/>
                <w:u w:val="single"/>
                <w:lang w:val="en-US" w:eastAsia="zh-CN"/>
              </w:rPr>
              <w:t xml:space="preserve"> 20  </w:t>
            </w:r>
            <w:r>
              <w:rPr>
                <w:rFonts w:hint="eastAsia"/>
                <w:b/>
                <w:bCs/>
                <w:color w:val="auto"/>
                <w:highlight w:val="none"/>
                <w:lang w:val="en-US" w:eastAsia="zh-CN"/>
              </w:rPr>
              <w:t>%的扣除。</w:t>
            </w:r>
            <w:r>
              <w:rPr>
                <w:rFonts w:hint="eastAsia"/>
                <w:b/>
                <w:bCs/>
                <w:color w:val="auto"/>
                <w:highlight w:val="none"/>
                <w:lang w:eastAsia="zh-CN"/>
              </w:rPr>
              <w:t xml:space="preserve">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w:t>
            </w:r>
            <w:r>
              <w:rPr>
                <w:rFonts w:hint="eastAsia"/>
                <w:b/>
                <w:bCs/>
                <w:color w:val="auto"/>
                <w:highlight w:val="none"/>
                <w:lang w:val="en-US" w:eastAsia="zh-CN"/>
              </w:rPr>
              <w:t>6</w:t>
            </w:r>
            <w:r>
              <w:rPr>
                <w:rFonts w:hint="eastAsia"/>
                <w:b/>
                <w:bCs/>
                <w:color w:val="auto"/>
                <w:highlight w:val="none"/>
                <w:lang w:eastAsia="zh-CN"/>
              </w:rPr>
              <w:t>%的扣除，用扣除后的价格参加评审。</w:t>
            </w:r>
          </w:p>
          <w:p>
            <w:pPr>
              <w:pStyle w:val="7"/>
              <w:ind w:firstLine="211" w:firstLineChars="100"/>
              <w:rPr>
                <w:rFonts w:hint="default"/>
                <w:color w:val="auto"/>
                <w:highlight w:val="none"/>
                <w:lang w:val="en-US" w:eastAsia="zh-CN"/>
              </w:rPr>
            </w:pPr>
            <w:r>
              <w:rPr>
                <w:rFonts w:hint="eastAsia"/>
                <w:b/>
                <w:bCs/>
                <w:color w:val="auto"/>
                <w:highlight w:val="none"/>
                <w:lang w:val="en-US" w:eastAsia="zh-CN"/>
              </w:rPr>
              <w:t>3.</w:t>
            </w:r>
            <w:r>
              <w:rPr>
                <w:rFonts w:hint="eastAsia"/>
                <w:b/>
                <w:bCs/>
                <w:color w:val="auto"/>
                <w:highlight w:val="none"/>
                <w:lang w:eastAsia="zh-CN"/>
              </w:rPr>
              <w:t>本项目采购标的对应的中小企业计划分标准所属行业为：</w:t>
            </w:r>
            <w:r>
              <w:rPr>
                <w:rFonts w:hint="eastAsia"/>
                <w:b/>
                <w:bCs/>
                <w:color w:val="auto"/>
                <w:highlight w:val="none"/>
                <w:u w:val="single"/>
                <w:lang w:val="en-US" w:eastAsia="zh-CN"/>
              </w:rPr>
              <w:t xml:space="preserve"> 软件和信息技术服务 </w:t>
            </w:r>
            <w:r>
              <w:rPr>
                <w:rFonts w:hint="eastAsia"/>
                <w:b/>
                <w:bCs/>
                <w:color w:val="auto"/>
                <w:highlight w:val="none"/>
                <w:u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vMerge w:val="restart"/>
            <w:noWrap w:val="0"/>
            <w:vAlign w:val="center"/>
          </w:tcPr>
          <w:p>
            <w:pPr>
              <w:adjustRightInd w:val="0"/>
              <w:snapToGrid w:val="0"/>
              <w:jc w:val="center"/>
              <w:rPr>
                <w:rFonts w:hint="eastAsia" w:ascii="宋体" w:hAnsi="宋体" w:eastAsia="宋体" w:cs="宋体"/>
                <w:snapToGrid w:val="0"/>
                <w:color w:val="auto"/>
                <w:kern w:val="0"/>
                <w:highlight w:val="none"/>
                <w:lang w:val="en-US" w:eastAsia="zh-CN"/>
              </w:rPr>
            </w:pPr>
            <w:r>
              <w:rPr>
                <w:rFonts w:hint="eastAsia" w:ascii="宋体" w:hAnsi="宋体" w:eastAsia="宋体" w:cs="宋体"/>
                <w:snapToGrid w:val="0"/>
                <w:color w:val="auto"/>
                <w:kern w:val="0"/>
                <w:highlight w:val="none"/>
                <w:lang w:val="en-US" w:eastAsia="zh-CN"/>
              </w:rPr>
              <w:t>36</w:t>
            </w:r>
          </w:p>
        </w:tc>
        <w:tc>
          <w:tcPr>
            <w:tcW w:w="1800" w:type="dxa"/>
            <w:vMerge w:val="restart"/>
            <w:noWrap w:val="0"/>
            <w:vAlign w:val="center"/>
          </w:tcPr>
          <w:p>
            <w:pPr>
              <w:adjustRightInd w:val="0"/>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投标人信用信息事项</w:t>
            </w:r>
          </w:p>
        </w:tc>
        <w:tc>
          <w:tcPr>
            <w:tcW w:w="6383" w:type="dxa"/>
            <w:noWrap w:val="0"/>
            <w:vAlign w:val="center"/>
          </w:tcPr>
          <w:p>
            <w:pPr>
              <w:adjustRightInd w:val="0"/>
              <w:snapToGrid w:val="0"/>
              <w:spacing w:line="320" w:lineRule="exact"/>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信用信息查询渠道：“信用中国”网站(www.creditchina.gov.cn)、中国政府采购网(www.ccgp.gov.cn)。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48" w:type="dxa"/>
            <w:vMerge w:val="continue"/>
            <w:noWrap w:val="0"/>
            <w:vAlign w:val="center"/>
          </w:tcPr>
          <w:p>
            <w:pPr>
              <w:jc w:val="center"/>
              <w:rPr>
                <w:rFonts w:hint="eastAsia" w:ascii="宋体" w:hAnsi="宋体" w:eastAsia="宋体" w:cs="宋体"/>
                <w:color w:val="auto"/>
                <w:szCs w:val="21"/>
                <w:highlight w:val="none"/>
              </w:rPr>
            </w:pPr>
          </w:p>
        </w:tc>
        <w:tc>
          <w:tcPr>
            <w:tcW w:w="1800" w:type="dxa"/>
            <w:vMerge w:val="continue"/>
            <w:noWrap w:val="0"/>
            <w:vAlign w:val="center"/>
          </w:tcPr>
          <w:p>
            <w:pPr>
              <w:snapToGrid w:val="0"/>
              <w:spacing w:line="360" w:lineRule="auto"/>
              <w:rPr>
                <w:rFonts w:hint="eastAsia" w:ascii="宋体" w:hAnsi="宋体" w:eastAsia="宋体" w:cs="宋体"/>
                <w:b/>
                <w:color w:val="auto"/>
                <w:sz w:val="24"/>
                <w:highlight w:val="none"/>
              </w:rPr>
            </w:pPr>
          </w:p>
        </w:tc>
        <w:tc>
          <w:tcPr>
            <w:tcW w:w="6383" w:type="dxa"/>
            <w:noWrap w:val="0"/>
            <w:vAlign w:val="center"/>
          </w:tcPr>
          <w:p>
            <w:pPr>
              <w:adjustRightInd w:val="0"/>
              <w:snapToGrid w:val="0"/>
              <w:spacing w:line="320" w:lineRule="exact"/>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信用信息查询记录和证据留存的具体方式：采购代理机构开标当天查询投标人的信用记录，查询结果经确认后与采购文件一起存档。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23" w:hRule="atLeast"/>
          <w:jc w:val="center"/>
        </w:trPr>
        <w:tc>
          <w:tcPr>
            <w:tcW w:w="648" w:type="dxa"/>
            <w:vMerge w:val="continue"/>
            <w:noWrap w:val="0"/>
            <w:vAlign w:val="center"/>
          </w:tcPr>
          <w:p>
            <w:pPr>
              <w:jc w:val="center"/>
              <w:rPr>
                <w:rFonts w:hint="eastAsia" w:ascii="宋体" w:hAnsi="宋体" w:eastAsia="宋体" w:cs="宋体"/>
                <w:color w:val="auto"/>
                <w:szCs w:val="21"/>
                <w:highlight w:val="none"/>
              </w:rPr>
            </w:pPr>
          </w:p>
        </w:tc>
        <w:tc>
          <w:tcPr>
            <w:tcW w:w="1800" w:type="dxa"/>
            <w:vMerge w:val="continue"/>
            <w:noWrap w:val="0"/>
            <w:vAlign w:val="center"/>
          </w:tcPr>
          <w:p>
            <w:pPr>
              <w:snapToGrid w:val="0"/>
              <w:spacing w:line="360" w:lineRule="auto"/>
              <w:rPr>
                <w:rFonts w:hint="eastAsia" w:ascii="宋体" w:hAnsi="宋体" w:eastAsia="宋体" w:cs="宋体"/>
                <w:b/>
                <w:color w:val="auto"/>
                <w:sz w:val="24"/>
                <w:highlight w:val="none"/>
              </w:rPr>
            </w:pPr>
          </w:p>
        </w:tc>
        <w:tc>
          <w:tcPr>
            <w:tcW w:w="6383" w:type="dxa"/>
            <w:noWrap w:val="0"/>
            <w:vAlign w:val="center"/>
          </w:tcPr>
          <w:p>
            <w:pPr>
              <w:numPr>
                <w:ilvl w:val="0"/>
                <w:numId w:val="0"/>
              </w:numPr>
              <w:tabs>
                <w:tab w:val="left" w:pos="210"/>
                <w:tab w:val="left" w:pos="640"/>
              </w:tabs>
              <w:snapToGrid w:val="0"/>
              <w:spacing w:line="360" w:lineRule="auto"/>
              <w:ind w:left="0" w:leftChars="0" w:firstLine="0" w:firstLineChars="0"/>
              <w:jc w:val="left"/>
              <w:outlineLvl w:val="2"/>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信用信息的使用规则：经查询列入失信被执行人名单、重大税收违法案件当事人名单、政府采购严重违法失信行为记录名单的投标人的投标文件将被拒绝。</w:t>
            </w:r>
          </w:p>
          <w:p>
            <w:pPr>
              <w:numPr>
                <w:ilvl w:val="0"/>
                <w:numId w:val="0"/>
              </w:numPr>
              <w:tabs>
                <w:tab w:val="left" w:pos="210"/>
                <w:tab w:val="left" w:pos="640"/>
              </w:tabs>
              <w:adjustRightInd/>
              <w:snapToGrid w:val="0"/>
              <w:spacing w:line="360" w:lineRule="auto"/>
              <w:jc w:val="left"/>
              <w:outlineLvl w:val="2"/>
              <w:rPr>
                <w:rFonts w:hint="eastAsia" w:ascii="宋体" w:hAnsi="宋体" w:eastAsia="宋体" w:cs="宋体"/>
                <w:snapToGrid w:val="0"/>
                <w:color w:val="auto"/>
                <w:kern w:val="0"/>
                <w:highlight w:val="none"/>
              </w:rPr>
            </w:pPr>
            <w:r>
              <w:rPr>
                <w:rFonts w:hint="eastAsia" w:ascii="宋体" w:hAnsi="宋体" w:eastAsia="宋体" w:cs="宋体"/>
                <w:b w:val="0"/>
                <w:bCs w:val="0"/>
                <w:snapToGrid w:val="0"/>
                <w:color w:val="auto"/>
                <w:kern w:val="0"/>
                <w:sz w:val="21"/>
                <w:highlight w:val="none"/>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23" w:hRule="atLeast"/>
          <w:jc w:val="center"/>
        </w:trPr>
        <w:tc>
          <w:tcPr>
            <w:tcW w:w="648" w:type="dxa"/>
            <w:noWrap w:val="0"/>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37</w:t>
            </w:r>
          </w:p>
        </w:tc>
        <w:tc>
          <w:tcPr>
            <w:tcW w:w="1800" w:type="dxa"/>
            <w:noWrap w:val="0"/>
            <w:vAlign w:val="center"/>
          </w:tcPr>
          <w:p>
            <w:pPr>
              <w:snapToGrid w:val="0"/>
              <w:spacing w:line="360" w:lineRule="auto"/>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val="0"/>
                <w:snapToGrid w:val="0"/>
                <w:color w:val="auto"/>
                <w:kern w:val="0"/>
                <w:sz w:val="21"/>
                <w:highlight w:val="none"/>
                <w:lang w:eastAsia="zh-CN"/>
              </w:rPr>
              <w:t>演示</w:t>
            </w:r>
          </w:p>
        </w:tc>
        <w:tc>
          <w:tcPr>
            <w:tcW w:w="6383" w:type="dxa"/>
            <w:noWrap w:val="0"/>
            <w:vAlign w:val="center"/>
          </w:tcPr>
          <w:p>
            <w:pPr>
              <w:numPr>
                <w:ilvl w:val="0"/>
                <w:numId w:val="0"/>
              </w:numPr>
              <w:tabs>
                <w:tab w:val="left" w:pos="210"/>
                <w:tab w:val="left" w:pos="640"/>
              </w:tabs>
              <w:snapToGrid w:val="0"/>
              <w:spacing w:line="360" w:lineRule="auto"/>
              <w:jc w:val="left"/>
              <w:outlineLvl w:val="2"/>
              <w:rPr>
                <w:rFonts w:hint="eastAsia" w:ascii="宋体" w:hAnsi="宋体" w:eastAsia="宋体" w:cs="宋体"/>
                <w:snapToGrid w:val="0"/>
                <w:color w:val="auto"/>
                <w:kern w:val="0"/>
                <w:sz w:val="21"/>
                <w:highlight w:val="none"/>
              </w:rPr>
            </w:pPr>
            <w:r>
              <w:rPr>
                <w:rFonts w:hint="eastAsia" w:ascii="宋体" w:hAnsi="宋体" w:eastAsia="宋体" w:cs="宋体"/>
                <w:bCs w:val="0"/>
                <w:snapToGrid w:val="0"/>
                <w:color w:val="auto"/>
                <w:kern w:val="0"/>
                <w:sz w:val="21"/>
                <w:highlight w:val="none"/>
              </w:rPr>
              <w:t>要求演示，</w:t>
            </w:r>
          </w:p>
          <w:p>
            <w:pPr>
              <w:numPr>
                <w:ilvl w:val="0"/>
                <w:numId w:val="0"/>
              </w:numPr>
              <w:tabs>
                <w:tab w:val="left" w:pos="210"/>
                <w:tab w:val="left" w:pos="640"/>
              </w:tabs>
              <w:snapToGrid w:val="0"/>
              <w:spacing w:line="360" w:lineRule="auto"/>
              <w:jc w:val="left"/>
              <w:outlineLvl w:val="2"/>
              <w:rPr>
                <w:rFonts w:hint="eastAsia" w:ascii="宋体" w:hAnsi="宋体" w:eastAsia="宋体" w:cs="宋体"/>
                <w:snapToGrid w:val="0"/>
                <w:color w:val="auto"/>
                <w:kern w:val="0"/>
                <w:sz w:val="21"/>
                <w:highlight w:val="none"/>
              </w:rPr>
            </w:pPr>
            <w:r>
              <w:rPr>
                <w:rFonts w:hint="eastAsia" w:ascii="宋体" w:hAnsi="宋体" w:eastAsia="宋体" w:cs="宋体"/>
                <w:snapToGrid w:val="0"/>
                <w:color w:val="auto"/>
                <w:kern w:val="0"/>
                <w:sz w:val="21"/>
                <w:highlight w:val="none"/>
              </w:rPr>
              <w:t xml:space="preserve">（ </w:t>
            </w:r>
            <w:r>
              <w:rPr>
                <w:rFonts w:hint="eastAsia" w:ascii="宋体" w:hAnsi="宋体" w:eastAsia="宋体" w:cs="宋体"/>
                <w:bCs w:val="0"/>
                <w:snapToGrid w:val="0"/>
                <w:color w:val="auto"/>
                <w:kern w:val="0"/>
                <w:sz w:val="21"/>
                <w:highlight w:val="none"/>
              </w:rPr>
              <w:t>√</w:t>
            </w:r>
            <w:r>
              <w:rPr>
                <w:rFonts w:hint="eastAsia" w:ascii="宋体" w:hAnsi="宋体" w:eastAsia="宋体" w:cs="宋体"/>
                <w:snapToGrid w:val="0"/>
                <w:color w:val="auto"/>
                <w:kern w:val="0"/>
                <w:sz w:val="21"/>
                <w:highlight w:val="none"/>
              </w:rPr>
              <w:t xml:space="preserve"> ）方式一：现场演示。</w:t>
            </w:r>
          </w:p>
          <w:p>
            <w:pPr>
              <w:numPr>
                <w:ilvl w:val="0"/>
                <w:numId w:val="0"/>
              </w:numPr>
              <w:tabs>
                <w:tab w:val="left" w:pos="210"/>
                <w:tab w:val="left" w:pos="640"/>
              </w:tabs>
              <w:snapToGrid w:val="0"/>
              <w:spacing w:line="360" w:lineRule="auto"/>
              <w:jc w:val="left"/>
              <w:outlineLvl w:val="2"/>
              <w:rPr>
                <w:rFonts w:hint="eastAsia" w:ascii="宋体" w:hAnsi="宋体" w:eastAsia="宋体" w:cs="宋体"/>
                <w:snapToGrid w:val="0"/>
                <w:color w:val="auto"/>
                <w:kern w:val="0"/>
                <w:sz w:val="21"/>
                <w:highlight w:val="none"/>
              </w:rPr>
            </w:pPr>
            <w:r>
              <w:rPr>
                <w:rFonts w:hint="eastAsia" w:ascii="宋体" w:hAnsi="宋体" w:eastAsia="宋体" w:cs="宋体"/>
                <w:snapToGrid w:val="0"/>
                <w:color w:val="auto"/>
                <w:kern w:val="0"/>
                <w:sz w:val="21"/>
                <w:highlight w:val="none"/>
              </w:rPr>
              <w:t>1、现场演示：在评标时安排每个投标人现场演示，每个投标人演示时间不超过</w:t>
            </w:r>
            <w:r>
              <w:rPr>
                <w:rFonts w:hint="eastAsia" w:ascii="宋体" w:hAnsi="宋体" w:eastAsia="宋体" w:cs="宋体"/>
                <w:snapToGrid w:val="0"/>
                <w:color w:val="auto"/>
                <w:kern w:val="0"/>
                <w:sz w:val="21"/>
                <w:highlight w:val="none"/>
                <w:lang w:val="en-US" w:eastAsia="zh-CN"/>
              </w:rPr>
              <w:t>2</w:t>
            </w:r>
            <w:r>
              <w:rPr>
                <w:rFonts w:hint="eastAsia" w:ascii="宋体" w:hAnsi="宋体" w:eastAsia="宋体" w:cs="宋体"/>
                <w:snapToGrid w:val="0"/>
                <w:color w:val="auto"/>
                <w:kern w:val="0"/>
                <w:sz w:val="21"/>
                <w:highlight w:val="none"/>
              </w:rPr>
              <w:t>0分钟。人员不超过</w:t>
            </w:r>
            <w:r>
              <w:rPr>
                <w:rFonts w:hint="eastAsia" w:ascii="宋体" w:hAnsi="宋体" w:eastAsia="宋体" w:cs="宋体"/>
                <w:snapToGrid w:val="0"/>
                <w:color w:val="auto"/>
                <w:kern w:val="0"/>
                <w:sz w:val="21"/>
                <w:highlight w:val="none"/>
                <w:lang w:val="en-US" w:eastAsia="zh-CN"/>
              </w:rPr>
              <w:t>2</w:t>
            </w:r>
            <w:r>
              <w:rPr>
                <w:rFonts w:hint="eastAsia" w:ascii="宋体" w:hAnsi="宋体" w:eastAsia="宋体" w:cs="宋体"/>
                <w:snapToGrid w:val="0"/>
                <w:color w:val="auto"/>
                <w:kern w:val="0"/>
                <w:sz w:val="21"/>
                <w:highlight w:val="none"/>
              </w:rPr>
              <w:t>人，除法定代表人或其授权代表以外的现场演示人员进场时携带身份证、授权委托书（详见招标文件格式范例附件，法人代表可不携带，携带身份证），否则不得进场。现场演示后按要求解答评标委员会的提问。</w:t>
            </w:r>
          </w:p>
          <w:p>
            <w:pPr>
              <w:numPr>
                <w:ilvl w:val="0"/>
                <w:numId w:val="0"/>
              </w:numPr>
              <w:tabs>
                <w:tab w:val="left" w:pos="210"/>
                <w:tab w:val="left" w:pos="640"/>
              </w:tabs>
              <w:snapToGrid w:val="0"/>
              <w:spacing w:line="360" w:lineRule="auto"/>
              <w:jc w:val="left"/>
              <w:outlineLvl w:val="2"/>
              <w:rPr>
                <w:rFonts w:hint="eastAsia" w:ascii="宋体" w:hAnsi="宋体" w:eastAsia="宋体" w:cs="宋体"/>
                <w:snapToGrid w:val="0"/>
                <w:color w:val="auto"/>
                <w:kern w:val="0"/>
                <w:sz w:val="21"/>
                <w:highlight w:val="none"/>
              </w:rPr>
            </w:pPr>
            <w:r>
              <w:rPr>
                <w:rFonts w:hint="eastAsia" w:ascii="宋体" w:hAnsi="宋体" w:eastAsia="宋体" w:cs="宋体"/>
                <w:snapToGrid w:val="0"/>
                <w:color w:val="auto"/>
                <w:kern w:val="0"/>
                <w:sz w:val="21"/>
                <w:highlight w:val="none"/>
              </w:rPr>
              <w:t xml:space="preserve">2、现场演示到场时间：开标当天9：30分前统一在杭州市西湖区文三路90号东部软件园1号楼 </w:t>
            </w:r>
            <w:r>
              <w:rPr>
                <w:rFonts w:hint="eastAsia" w:ascii="宋体" w:hAnsi="宋体" w:eastAsia="宋体" w:cs="宋体"/>
                <w:snapToGrid w:val="0"/>
                <w:color w:val="auto"/>
                <w:kern w:val="0"/>
                <w:sz w:val="21"/>
                <w:highlight w:val="none"/>
                <w:lang w:val="en-US" w:eastAsia="zh-CN"/>
              </w:rPr>
              <w:t>301</w:t>
            </w:r>
            <w:r>
              <w:rPr>
                <w:rFonts w:hint="eastAsia" w:ascii="宋体" w:hAnsi="宋体" w:eastAsia="宋体" w:cs="宋体"/>
                <w:snapToGrid w:val="0"/>
                <w:color w:val="auto"/>
                <w:kern w:val="0"/>
                <w:sz w:val="21"/>
                <w:highlight w:val="none"/>
              </w:rPr>
              <w:t>开标室等候。</w:t>
            </w:r>
          </w:p>
          <w:p>
            <w:pPr>
              <w:numPr>
                <w:ilvl w:val="0"/>
                <w:numId w:val="0"/>
              </w:numPr>
              <w:tabs>
                <w:tab w:val="left" w:pos="210"/>
                <w:tab w:val="left" w:pos="640"/>
              </w:tabs>
              <w:adjustRightInd/>
              <w:snapToGrid w:val="0"/>
              <w:spacing w:line="360" w:lineRule="auto"/>
              <w:jc w:val="left"/>
              <w:outlineLvl w:val="2"/>
              <w:rPr>
                <w:rFonts w:hint="eastAsia" w:ascii="宋体" w:hAnsi="宋体" w:eastAsia="宋体" w:cs="宋体"/>
                <w:snapToGrid w:val="0"/>
                <w:color w:val="auto"/>
                <w:kern w:val="0"/>
                <w:sz w:val="21"/>
                <w:highlight w:val="none"/>
              </w:rPr>
            </w:pPr>
            <w:r>
              <w:rPr>
                <w:rFonts w:hint="eastAsia" w:ascii="宋体" w:hAnsi="宋体" w:eastAsia="宋体" w:cs="宋体"/>
                <w:snapToGrid w:val="0"/>
                <w:color w:val="auto"/>
                <w:kern w:val="0"/>
                <w:sz w:val="21"/>
                <w:highlight w:val="none"/>
              </w:rPr>
              <w:t>请投标人做好疫情防控，进场时戴好口罩，出示健康码。</w:t>
            </w:r>
          </w:p>
          <w:p>
            <w:pPr>
              <w:numPr>
                <w:ilvl w:val="0"/>
                <w:numId w:val="0"/>
              </w:numPr>
              <w:tabs>
                <w:tab w:val="left" w:pos="210"/>
                <w:tab w:val="left" w:pos="640"/>
              </w:tabs>
              <w:adjustRightInd/>
              <w:snapToGrid w:val="0"/>
              <w:spacing w:line="360" w:lineRule="auto"/>
              <w:ind w:left="0" w:leftChars="0" w:firstLine="0" w:firstLineChars="0"/>
              <w:jc w:val="left"/>
              <w:outlineLvl w:val="2"/>
              <w:rPr>
                <w:rFonts w:hint="eastAsia" w:ascii="宋体" w:hAnsi="宋体" w:eastAsia="宋体" w:cs="宋体"/>
                <w:snapToGrid w:val="0"/>
                <w:color w:val="auto"/>
                <w:kern w:val="0"/>
                <w:sz w:val="21"/>
                <w:szCs w:val="24"/>
                <w:highlight w:val="none"/>
                <w:lang w:val="en-US" w:eastAsia="zh-CN" w:bidi="ar-SA"/>
              </w:rPr>
            </w:pPr>
            <w:r>
              <w:rPr>
                <w:rFonts w:hint="eastAsia" w:ascii="宋体" w:hAnsi="宋体" w:eastAsia="宋体" w:cs="宋体"/>
                <w:snapToGrid w:val="0"/>
                <w:color w:val="auto"/>
                <w:kern w:val="0"/>
                <w:sz w:val="21"/>
                <w:highlight w:val="none"/>
                <w:lang w:val="en-US" w:eastAsia="zh-CN"/>
              </w:rPr>
              <w:t>（</w:t>
            </w:r>
            <w:r>
              <w:rPr>
                <w:rFonts w:hint="eastAsia" w:ascii="宋体" w:hAnsi="宋体" w:eastAsia="宋体" w:cs="宋体"/>
                <w:bCs w:val="0"/>
                <w:snapToGrid w:val="0"/>
                <w:color w:val="auto"/>
                <w:kern w:val="0"/>
                <w:sz w:val="21"/>
                <w:highlight w:val="none"/>
              </w:rPr>
              <w:t>√</w:t>
            </w:r>
            <w:r>
              <w:rPr>
                <w:rFonts w:hint="eastAsia" w:ascii="宋体" w:hAnsi="宋体" w:eastAsia="宋体" w:cs="宋体"/>
                <w:snapToGrid w:val="0"/>
                <w:color w:val="auto"/>
                <w:kern w:val="0"/>
                <w:sz w:val="21"/>
                <w:highlight w:val="none"/>
              </w:rPr>
              <w:t xml:space="preserve"> </w:t>
            </w:r>
            <w:r>
              <w:rPr>
                <w:rFonts w:hint="eastAsia" w:ascii="宋体" w:hAnsi="宋体" w:eastAsia="宋体" w:cs="宋体"/>
                <w:snapToGrid w:val="0"/>
                <w:color w:val="auto"/>
                <w:kern w:val="0"/>
                <w:sz w:val="21"/>
                <w:highlight w:val="none"/>
                <w:lang w:val="en-US" w:eastAsia="zh-CN"/>
              </w:rPr>
              <w:t>）</w:t>
            </w:r>
            <w:r>
              <w:rPr>
                <w:rFonts w:hint="eastAsia" w:ascii="宋体" w:hAnsi="宋体" w:eastAsia="宋体" w:cs="宋体"/>
                <w:snapToGrid w:val="0"/>
                <w:color w:val="auto"/>
                <w:kern w:val="0"/>
                <w:sz w:val="21"/>
                <w:highlight w:val="none"/>
              </w:rPr>
              <w:t>方式</w:t>
            </w:r>
            <w:r>
              <w:rPr>
                <w:rFonts w:hint="eastAsia" w:ascii="宋体" w:hAnsi="宋体" w:eastAsia="宋体" w:cs="宋体"/>
                <w:snapToGrid w:val="0"/>
                <w:color w:val="auto"/>
                <w:kern w:val="0"/>
                <w:sz w:val="21"/>
                <w:highlight w:val="none"/>
                <w:lang w:eastAsia="zh-CN"/>
              </w:rPr>
              <w:t>二</w:t>
            </w:r>
            <w:r>
              <w:rPr>
                <w:rFonts w:hint="eastAsia" w:ascii="宋体" w:hAnsi="宋体" w:eastAsia="宋体" w:cs="宋体"/>
                <w:snapToGrid w:val="0"/>
                <w:color w:val="auto"/>
                <w:kern w:val="0"/>
                <w:sz w:val="21"/>
                <w:highlight w:val="none"/>
              </w:rPr>
              <w:t>：</w:t>
            </w:r>
            <w:r>
              <w:rPr>
                <w:rFonts w:hint="eastAsia" w:ascii="宋体" w:hAnsi="宋体" w:eastAsia="宋体" w:cs="宋体"/>
                <w:snapToGrid w:val="0"/>
                <w:color w:val="auto"/>
                <w:kern w:val="0"/>
                <w:sz w:val="21"/>
                <w:highlight w:val="none"/>
                <w:lang w:eastAsia="zh-CN"/>
              </w:rPr>
              <w:t>视频演示</w:t>
            </w:r>
            <w:r>
              <w:rPr>
                <w:rFonts w:hint="eastAsia" w:ascii="宋体" w:hAnsi="宋体" w:eastAsia="宋体" w:cs="宋体"/>
                <w:b/>
                <w:bCs/>
                <w:snapToGrid w:val="0"/>
                <w:color w:val="auto"/>
                <w:kern w:val="0"/>
                <w:sz w:val="21"/>
                <w:highlight w:val="none"/>
                <w:lang w:eastAsia="zh-CN"/>
              </w:rPr>
              <w:t>（仅限因疫情影响无法实现现场演示的投标人）</w:t>
            </w:r>
            <w:r>
              <w:rPr>
                <w:rFonts w:hint="eastAsia" w:ascii="宋体" w:hAnsi="宋体" w:eastAsia="宋体" w:cs="宋体"/>
                <w:snapToGrid w:val="0"/>
                <w:color w:val="auto"/>
                <w:kern w:val="0"/>
                <w:sz w:val="21"/>
                <w:highlight w:val="none"/>
                <w:lang w:eastAsia="zh-CN"/>
              </w:rPr>
              <w:t>。受疫情影响，如投标人无法进行现场演示的，可递交demo演示视频。投标人可将按采购文件评分要求录制的视频随备份响应文件在提交投标文件截止时间前通过快递形式寄达或现场送达采购代理机构处，（邮寄/送达地址：杭州市西湖区文三路90号东部软件园1号楼3楼305室，接收人：郑珊珊，电话：0571-81061842）。在提交投标文件截止时间后送达的，不予接收；未递交系统演示视频的视为自动放弃系统演示。</w:t>
            </w:r>
          </w:p>
        </w:tc>
      </w:tr>
    </w:tbl>
    <w:p>
      <w:pPr>
        <w:rPr>
          <w:rFonts w:hint="eastAsia" w:ascii="宋体" w:hAnsi="宋体" w:cs="宋体"/>
          <w:color w:val="auto"/>
          <w:szCs w:val="21"/>
          <w:highlight w:val="none"/>
        </w:rPr>
      </w:pP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注：以上内容如有变化将另行</w:t>
      </w:r>
      <w:r>
        <w:rPr>
          <w:rFonts w:hint="eastAsia" w:ascii="宋体" w:hAnsi="宋体" w:cs="宋体"/>
          <w:color w:val="auto"/>
          <w:szCs w:val="21"/>
          <w:highlight w:val="none"/>
          <w:lang w:eastAsia="zh-CN"/>
        </w:rPr>
        <w:t>公告</w:t>
      </w:r>
      <w:r>
        <w:rPr>
          <w:rFonts w:hint="eastAsia" w:ascii="宋体" w:hAnsi="宋体" w:cs="宋体"/>
          <w:color w:val="auto"/>
          <w:szCs w:val="21"/>
          <w:highlight w:val="none"/>
        </w:rPr>
        <w:t>通知。如通知其中某一内容发生变化，其余未提及的将不作变动。</w:t>
      </w:r>
      <w:bookmarkStart w:id="4" w:name="_Toc240450076"/>
      <w:bookmarkStart w:id="5" w:name="_Toc251566649"/>
    </w:p>
    <w:p>
      <w:pPr>
        <w:adjustRightInd w:val="0"/>
        <w:snapToGrid w:val="0"/>
        <w:spacing w:before="120" w:beforeLines="50" w:after="120" w:afterLines="50" w:line="360" w:lineRule="auto"/>
        <w:jc w:val="center"/>
        <w:outlineLvl w:val="0"/>
        <w:rPr>
          <w:rFonts w:hint="eastAsia" w:ascii="宋体" w:hAnsi="宋体" w:cs="宋体"/>
          <w:color w:val="auto"/>
          <w:szCs w:val="21"/>
          <w:highlight w:val="none"/>
        </w:rPr>
      </w:pPr>
      <w:r>
        <w:rPr>
          <w:rFonts w:hint="eastAsia" w:ascii="宋体" w:hAnsi="宋体" w:cs="宋体"/>
          <w:color w:val="auto"/>
          <w:szCs w:val="21"/>
          <w:highlight w:val="none"/>
        </w:rPr>
        <w:br w:type="page"/>
      </w:r>
      <w:bookmarkStart w:id="6" w:name="_Toc2187"/>
      <w:bookmarkStart w:id="7" w:name="_Toc17306"/>
      <w:bookmarkStart w:id="8" w:name="_Toc28655"/>
      <w:bookmarkStart w:id="9" w:name="_Toc5601"/>
      <w:r>
        <w:rPr>
          <w:rFonts w:hint="eastAsia" w:ascii="宋体" w:hAnsi="宋体" w:cs="宋体"/>
          <w:b/>
          <w:color w:val="auto"/>
          <w:sz w:val="30"/>
          <w:szCs w:val="30"/>
          <w:highlight w:val="none"/>
        </w:rPr>
        <w:t>第二部分  投标须知</w:t>
      </w:r>
      <w:bookmarkEnd w:id="4"/>
      <w:bookmarkEnd w:id="5"/>
      <w:bookmarkEnd w:id="6"/>
      <w:bookmarkEnd w:id="7"/>
      <w:bookmarkEnd w:id="8"/>
      <w:bookmarkEnd w:id="9"/>
    </w:p>
    <w:p>
      <w:pPr>
        <w:pStyle w:val="4"/>
        <w:snapToGrid w:val="0"/>
        <w:spacing w:before="120" w:beforeLines="50" w:after="120" w:afterLines="50" w:line="360" w:lineRule="auto"/>
        <w:rPr>
          <w:rFonts w:hint="eastAsia" w:ascii="宋体" w:hAnsi="宋体" w:eastAsia="宋体" w:cs="宋体"/>
          <w:color w:val="auto"/>
          <w:sz w:val="21"/>
          <w:szCs w:val="21"/>
          <w:highlight w:val="none"/>
        </w:rPr>
      </w:pPr>
      <w:bookmarkStart w:id="10" w:name="_Toc12000"/>
      <w:bookmarkStart w:id="11" w:name="_Toc240450077"/>
      <w:bookmarkStart w:id="12" w:name="_Toc22681"/>
      <w:bookmarkStart w:id="13" w:name="_Toc251566650"/>
      <w:bookmarkStart w:id="14" w:name="_Toc2673"/>
      <w:bookmarkStart w:id="15" w:name="_Toc15671"/>
      <w:r>
        <w:rPr>
          <w:rFonts w:hint="eastAsia" w:ascii="宋体" w:hAnsi="宋体" w:eastAsia="宋体" w:cs="宋体"/>
          <w:color w:val="auto"/>
          <w:sz w:val="21"/>
          <w:szCs w:val="21"/>
          <w:highlight w:val="none"/>
        </w:rPr>
        <w:t>一、总则</w:t>
      </w:r>
      <w:bookmarkEnd w:id="10"/>
      <w:bookmarkEnd w:id="11"/>
      <w:bookmarkEnd w:id="12"/>
      <w:bookmarkEnd w:id="13"/>
      <w:bookmarkEnd w:id="14"/>
      <w:bookmarkEnd w:id="15"/>
    </w:p>
    <w:p>
      <w:pPr>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本次招标工作是按照《中华人民共和国政府采购法》、《中华人民共和国政府采购法实施条例》、《政府采购货物和服务招标投标管理办法》等相关法律法规组织和实施，并接受政府采购监督管</w:t>
      </w:r>
      <w:r>
        <w:rPr>
          <w:rFonts w:hint="eastAsia" w:ascii="宋体" w:hAnsi="宋体" w:cs="宋体"/>
          <w:snapToGrid w:val="0"/>
          <w:color w:val="auto"/>
          <w:kern w:val="0"/>
          <w:szCs w:val="21"/>
          <w:highlight w:val="none"/>
          <w:lang w:eastAsia="zh-CN"/>
        </w:rPr>
        <w:t>理部门的</w:t>
      </w:r>
      <w:r>
        <w:rPr>
          <w:rFonts w:hint="eastAsia" w:ascii="宋体" w:hAnsi="宋体" w:cs="宋体"/>
          <w:snapToGrid w:val="0"/>
          <w:color w:val="auto"/>
          <w:kern w:val="0"/>
          <w:szCs w:val="21"/>
          <w:highlight w:val="none"/>
        </w:rPr>
        <w:t>监督。</w:t>
      </w:r>
    </w:p>
    <w:p>
      <w:pPr>
        <w:adjustRightInd w:val="0"/>
        <w:snapToGrid w:val="0"/>
        <w:spacing w:before="120" w:beforeLines="50" w:line="360" w:lineRule="auto"/>
        <w:ind w:firstLine="422" w:firstLineChars="200"/>
        <w:rPr>
          <w:rFonts w:hint="eastAsia" w:ascii="宋体" w:hAnsi="宋体" w:eastAsia="宋体" w:cs="宋体"/>
          <w:b/>
          <w:snapToGrid w:val="0"/>
          <w:color w:val="auto"/>
          <w:kern w:val="0"/>
          <w:szCs w:val="21"/>
          <w:highlight w:val="none"/>
        </w:rPr>
      </w:pPr>
      <w:r>
        <w:rPr>
          <w:rFonts w:hint="eastAsia" w:ascii="宋体" w:hAnsi="宋体" w:eastAsia="宋体" w:cs="宋体"/>
          <w:b/>
          <w:snapToGrid w:val="0"/>
          <w:color w:val="auto"/>
          <w:kern w:val="0"/>
          <w:szCs w:val="21"/>
          <w:highlight w:val="none"/>
        </w:rPr>
        <w:t>1．适用范围</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1.1 本采购文件仅适用于本次招标项目。</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1.2 本项目采购方式为公开招标。</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1.3 投标须知为招标文件的通用条款，如通用条款与前附表、用户需求、合同条款等特定条款不一致的，请按特定条款执行。</w:t>
      </w:r>
    </w:p>
    <w:p>
      <w:pPr>
        <w:adjustRightInd w:val="0"/>
        <w:snapToGrid w:val="0"/>
        <w:spacing w:before="120" w:beforeLines="50" w:line="360" w:lineRule="auto"/>
        <w:ind w:firstLine="422" w:firstLineChars="200"/>
        <w:rPr>
          <w:rFonts w:hint="eastAsia" w:ascii="宋体" w:hAnsi="宋体" w:eastAsia="宋体" w:cs="宋体"/>
          <w:b/>
          <w:snapToGrid w:val="0"/>
          <w:color w:val="auto"/>
          <w:kern w:val="0"/>
          <w:szCs w:val="21"/>
          <w:highlight w:val="none"/>
        </w:rPr>
      </w:pPr>
      <w:r>
        <w:rPr>
          <w:rFonts w:hint="eastAsia" w:ascii="宋体" w:hAnsi="宋体" w:eastAsia="宋体" w:cs="宋体"/>
          <w:b/>
          <w:snapToGrid w:val="0"/>
          <w:color w:val="auto"/>
          <w:kern w:val="0"/>
          <w:szCs w:val="21"/>
          <w:highlight w:val="none"/>
        </w:rPr>
        <w:t>2．定义</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2.1“采购人”系指</w:t>
      </w:r>
      <w:r>
        <w:rPr>
          <w:rFonts w:hint="eastAsia" w:ascii="宋体" w:hAnsi="宋体" w:eastAsia="宋体" w:cs="宋体"/>
          <w:snapToGrid w:val="0"/>
          <w:color w:val="auto"/>
          <w:kern w:val="0"/>
          <w:szCs w:val="21"/>
          <w:highlight w:val="none"/>
          <w:lang w:val="en-US" w:eastAsia="zh-CN"/>
        </w:rPr>
        <w:t>浙江省数字财政管理中心</w:t>
      </w:r>
      <w:r>
        <w:rPr>
          <w:rFonts w:hint="eastAsia" w:ascii="宋体" w:hAnsi="宋体" w:eastAsia="宋体" w:cs="宋体"/>
          <w:snapToGrid w:val="0"/>
          <w:color w:val="auto"/>
          <w:kern w:val="0"/>
          <w:szCs w:val="21"/>
          <w:highlight w:val="none"/>
        </w:rPr>
        <w:t>。</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2.2“采购代理机构”系指</w:t>
      </w:r>
      <w:r>
        <w:rPr>
          <w:rFonts w:hint="eastAsia" w:ascii="宋体" w:hAnsi="宋体" w:eastAsia="宋体" w:cs="宋体"/>
          <w:snapToGrid w:val="0"/>
          <w:color w:val="auto"/>
          <w:kern w:val="0"/>
          <w:szCs w:val="21"/>
          <w:highlight w:val="none"/>
          <w:lang w:eastAsia="zh-CN"/>
        </w:rPr>
        <w:t>浙江国际招投标有限公司</w:t>
      </w:r>
      <w:r>
        <w:rPr>
          <w:rFonts w:hint="eastAsia" w:ascii="宋体" w:hAnsi="宋体" w:eastAsia="宋体" w:cs="宋体"/>
          <w:snapToGrid w:val="0"/>
          <w:color w:val="auto"/>
          <w:kern w:val="0"/>
          <w:szCs w:val="21"/>
          <w:highlight w:val="none"/>
        </w:rPr>
        <w:t>。</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2.3“监督管理部门”系指</w:t>
      </w:r>
      <w:r>
        <w:rPr>
          <w:rFonts w:hint="eastAsia" w:ascii="宋体" w:hAnsi="宋体" w:eastAsia="宋体" w:cs="宋体"/>
          <w:snapToGrid w:val="0"/>
          <w:color w:val="auto"/>
          <w:kern w:val="0"/>
          <w:szCs w:val="21"/>
          <w:highlight w:val="none"/>
          <w:lang w:val="en-US" w:eastAsia="zh-CN"/>
        </w:rPr>
        <w:t>浙江省财政厅政府采购监管处</w:t>
      </w:r>
      <w:r>
        <w:rPr>
          <w:rFonts w:hint="eastAsia" w:ascii="宋体" w:hAnsi="宋体" w:eastAsia="宋体" w:cs="宋体"/>
          <w:snapToGrid w:val="0"/>
          <w:color w:val="auto"/>
          <w:kern w:val="0"/>
          <w:szCs w:val="21"/>
          <w:highlight w:val="none"/>
        </w:rPr>
        <w:t>。</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2.4“投标人”系指响应本次招标，参加本次投标的独立法人。</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2.5“服务”系指采购文件或合同规定投标人须承担的服务以及其他类似的义务。</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2.6“实质性条款”系指采购文件条款前标注“▲”标识的条款。</w:t>
      </w:r>
    </w:p>
    <w:p>
      <w:pPr>
        <w:adjustRightInd w:val="0"/>
        <w:spacing w:line="360"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2.7电子签章：本文件所提及电子签章系指各供应商通过CA锁对投标文件中对应内容进行签章，表明签名人认可其中的内容。</w:t>
      </w:r>
    </w:p>
    <w:p>
      <w:pPr>
        <w:adjustRightInd w:val="0"/>
        <w:spacing w:line="360"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2.8公章：系指单位法定名称章。</w:t>
      </w:r>
    </w:p>
    <w:p>
      <w:pPr>
        <w:adjustRightInd w:val="0"/>
        <w:snapToGrid w:val="0"/>
        <w:spacing w:line="360" w:lineRule="auto"/>
        <w:ind w:firstLine="420" w:firstLineChars="200"/>
        <w:rPr>
          <w:rFonts w:hint="eastAsia" w:eastAsia="宋体"/>
          <w:color w:val="auto"/>
          <w:highlight w:val="none"/>
          <w:lang w:val="en-US" w:eastAsia="zh-CN"/>
        </w:rPr>
      </w:pPr>
      <w:r>
        <w:rPr>
          <w:rFonts w:hint="eastAsia" w:ascii="宋体" w:hAnsi="宋体" w:eastAsia="宋体" w:cs="宋体"/>
          <w:snapToGrid w:val="0"/>
          <w:color w:val="auto"/>
          <w:kern w:val="0"/>
          <w:szCs w:val="21"/>
          <w:highlight w:val="none"/>
          <w:lang w:val="en-US" w:eastAsia="zh-CN"/>
        </w:rPr>
        <w:t>2.9</w:t>
      </w:r>
      <w:r>
        <w:rPr>
          <w:rFonts w:hint="eastAsia" w:ascii="宋体" w:hAnsi="宋体"/>
          <w:snapToGrid w:val="0"/>
          <w:color w:val="auto"/>
          <w:kern w:val="0"/>
          <w:szCs w:val="21"/>
          <w:highlight w:val="none"/>
        </w:rPr>
        <w:t>官方指定网站公示的内容视为书面告知</w:t>
      </w:r>
      <w:r>
        <w:rPr>
          <w:rFonts w:hint="eastAsia" w:ascii="宋体" w:hAnsi="宋体"/>
          <w:snapToGrid w:val="0"/>
          <w:color w:val="auto"/>
          <w:kern w:val="0"/>
          <w:szCs w:val="21"/>
          <w:highlight w:val="none"/>
          <w:lang w:eastAsia="zh-CN"/>
        </w:rPr>
        <w:t>。</w:t>
      </w:r>
    </w:p>
    <w:p>
      <w:pPr>
        <w:adjustRightInd w:val="0"/>
        <w:snapToGrid w:val="0"/>
        <w:spacing w:before="120" w:beforeLines="50" w:line="360" w:lineRule="auto"/>
        <w:ind w:firstLine="422" w:firstLineChars="200"/>
        <w:rPr>
          <w:rFonts w:hint="eastAsia" w:ascii="宋体" w:hAnsi="宋体" w:eastAsia="宋体" w:cs="宋体"/>
          <w:b/>
          <w:snapToGrid w:val="0"/>
          <w:color w:val="auto"/>
          <w:kern w:val="0"/>
          <w:szCs w:val="21"/>
          <w:highlight w:val="none"/>
        </w:rPr>
      </w:pPr>
      <w:r>
        <w:rPr>
          <w:rFonts w:hint="eastAsia" w:ascii="宋体" w:hAnsi="宋体" w:eastAsia="宋体" w:cs="宋体"/>
          <w:b/>
          <w:snapToGrid w:val="0"/>
          <w:color w:val="auto"/>
          <w:kern w:val="0"/>
          <w:szCs w:val="21"/>
          <w:highlight w:val="none"/>
        </w:rPr>
        <w:t>3．合格的投标人及合格的投标货物和服务</w:t>
      </w:r>
    </w:p>
    <w:p>
      <w:pPr>
        <w:adjustRightInd w:val="0"/>
        <w:snapToGrid w:val="0"/>
        <w:spacing w:line="360" w:lineRule="auto"/>
        <w:ind w:firstLine="420" w:firstLineChars="20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3.1合格的投标人，详见采购公告第</w:t>
      </w:r>
      <w:r>
        <w:rPr>
          <w:rFonts w:hint="eastAsia" w:ascii="宋体" w:hAnsi="宋体" w:eastAsia="宋体" w:cs="宋体"/>
          <w:snapToGrid w:val="0"/>
          <w:color w:val="auto"/>
          <w:kern w:val="0"/>
          <w:highlight w:val="none"/>
          <w:lang w:eastAsia="zh-CN"/>
        </w:rPr>
        <w:t>二</w:t>
      </w:r>
      <w:r>
        <w:rPr>
          <w:rFonts w:hint="eastAsia" w:ascii="宋体" w:hAnsi="宋体" w:eastAsia="宋体" w:cs="宋体"/>
          <w:snapToGrid w:val="0"/>
          <w:color w:val="auto"/>
          <w:kern w:val="0"/>
          <w:highlight w:val="none"/>
        </w:rPr>
        <w:t>条规定的投标人必须具备的资格条件并经采购人或采购代理机构审查通过的。</w:t>
      </w:r>
    </w:p>
    <w:p>
      <w:pPr>
        <w:adjustRightInd w:val="0"/>
        <w:snapToGrid w:val="0"/>
        <w:spacing w:line="360" w:lineRule="auto"/>
        <w:ind w:firstLine="422" w:firstLineChars="200"/>
        <w:rPr>
          <w:rFonts w:hint="eastAsia" w:ascii="宋体" w:hAnsi="宋体" w:eastAsia="宋体" w:cs="宋体"/>
          <w:b/>
          <w:bCs/>
          <w:snapToGrid w:val="0"/>
          <w:color w:val="auto"/>
          <w:kern w:val="0"/>
          <w:highlight w:val="none"/>
        </w:rPr>
      </w:pPr>
      <w:r>
        <w:rPr>
          <w:rFonts w:hint="eastAsia" w:ascii="宋体" w:hAnsi="宋体" w:eastAsia="宋体" w:cs="宋体"/>
          <w:b/>
          <w:bCs/>
          <w:snapToGrid w:val="0"/>
          <w:color w:val="auto"/>
          <w:kern w:val="0"/>
          <w:highlight w:val="none"/>
        </w:rPr>
        <w:t>3.2对投标人的限制</w:t>
      </w:r>
    </w:p>
    <w:p>
      <w:pPr>
        <w:adjustRightInd w:val="0"/>
        <w:snapToGrid w:val="0"/>
        <w:spacing w:line="360" w:lineRule="auto"/>
        <w:ind w:firstLine="422" w:firstLineChars="200"/>
        <w:rPr>
          <w:rFonts w:hint="eastAsia" w:ascii="宋体" w:hAnsi="宋体" w:eastAsia="宋体" w:cs="宋体"/>
          <w:b/>
          <w:bCs/>
          <w:snapToGrid w:val="0"/>
          <w:color w:val="auto"/>
          <w:kern w:val="0"/>
          <w:highlight w:val="none"/>
        </w:rPr>
      </w:pPr>
      <w:r>
        <w:rPr>
          <w:rFonts w:hint="eastAsia" w:ascii="宋体" w:hAnsi="宋体" w:eastAsia="宋体" w:cs="宋体"/>
          <w:b/>
          <w:bCs/>
          <w:snapToGrid w:val="0"/>
          <w:color w:val="auto"/>
          <w:kern w:val="0"/>
          <w:highlight w:val="none"/>
        </w:rPr>
        <w:t>3.2.1单位负责人（指法定代表人或者法律、行政法规规定代表单位行使职权的主要负责人）为同一人或者存在直接控股、管理关系的不同供应商不得分别参加同一合同项下的采购活动。违反本条规定的，相关投标均无效；</w:t>
      </w:r>
    </w:p>
    <w:p>
      <w:pPr>
        <w:adjustRightInd w:val="0"/>
        <w:snapToGrid w:val="0"/>
        <w:spacing w:line="360" w:lineRule="auto"/>
        <w:ind w:firstLine="422" w:firstLineChars="200"/>
        <w:rPr>
          <w:rFonts w:hint="eastAsia" w:ascii="宋体" w:hAnsi="宋体" w:eastAsia="宋体" w:cs="宋体"/>
          <w:b/>
          <w:bCs/>
          <w:snapToGrid w:val="0"/>
          <w:color w:val="auto"/>
          <w:kern w:val="0"/>
          <w:highlight w:val="none"/>
        </w:rPr>
      </w:pPr>
      <w:r>
        <w:rPr>
          <w:rFonts w:hint="eastAsia" w:ascii="宋体" w:hAnsi="宋体" w:eastAsia="宋体" w:cs="宋体"/>
          <w:b/>
          <w:bCs/>
          <w:snapToGrid w:val="0"/>
          <w:color w:val="auto"/>
          <w:kern w:val="0"/>
          <w:highlight w:val="none"/>
        </w:rPr>
        <w:t>3.2.2为本项目提供过整体设计、规范编制或者项目管理、监理、检测等服务的供应商，不得再参加该采购项目的其他采购活动（不包括为该项目提供整体设计、规范编制或者项目管理、监理、检测等服务）；</w:t>
      </w:r>
    </w:p>
    <w:p>
      <w:pPr>
        <w:adjustRightInd w:val="0"/>
        <w:snapToGrid w:val="0"/>
        <w:spacing w:line="360" w:lineRule="auto"/>
        <w:ind w:firstLine="422" w:firstLineChars="200"/>
        <w:rPr>
          <w:rFonts w:hint="eastAsia" w:ascii="宋体" w:hAnsi="宋体" w:eastAsia="宋体" w:cs="宋体"/>
          <w:b/>
          <w:bCs/>
          <w:snapToGrid w:val="0"/>
          <w:color w:val="auto"/>
          <w:kern w:val="0"/>
          <w:highlight w:val="none"/>
        </w:rPr>
      </w:pPr>
      <w:r>
        <w:rPr>
          <w:rFonts w:hint="eastAsia" w:ascii="宋体" w:hAnsi="宋体" w:eastAsia="宋体" w:cs="宋体"/>
          <w:b/>
          <w:bCs/>
          <w:snapToGrid w:val="0"/>
          <w:color w:val="auto"/>
          <w:kern w:val="0"/>
          <w:highlight w:val="none"/>
        </w:rPr>
        <w:t>3.2.3以联合体形式参加政府采购活动的，联合体各方不得再单独参加或者与其他投标人另外组成联合体参加同一合同项下的政府采购活动；</w:t>
      </w:r>
    </w:p>
    <w:p>
      <w:pPr>
        <w:adjustRightInd w:val="0"/>
        <w:snapToGrid w:val="0"/>
        <w:spacing w:line="360" w:lineRule="auto"/>
        <w:ind w:firstLine="422" w:firstLineChars="200"/>
        <w:rPr>
          <w:rFonts w:hint="eastAsia" w:ascii="宋体" w:hAnsi="宋体" w:eastAsia="宋体" w:cs="宋体"/>
          <w:b/>
          <w:bCs/>
          <w:snapToGrid w:val="0"/>
          <w:color w:val="auto"/>
          <w:kern w:val="0"/>
          <w:highlight w:val="none"/>
        </w:rPr>
      </w:pPr>
      <w:r>
        <w:rPr>
          <w:rFonts w:hint="eastAsia" w:ascii="宋体" w:hAnsi="宋体" w:eastAsia="宋体" w:cs="宋体"/>
          <w:b/>
          <w:bCs/>
          <w:snapToGrid w:val="0"/>
          <w:color w:val="auto"/>
          <w:kern w:val="0"/>
          <w:highlight w:val="none"/>
        </w:rPr>
        <w:t>3.2.4为证明投标人拥有的业绩、荣誉、知识产权、项目案例等而在投标文件中提供的证明材料必须为投标人自身所有。不同法人、其他组织的资料与投标人无关。</w:t>
      </w:r>
    </w:p>
    <w:p>
      <w:pPr>
        <w:adjustRightInd w:val="0"/>
        <w:snapToGrid w:val="0"/>
        <w:spacing w:before="120" w:beforeLines="50" w:line="360" w:lineRule="auto"/>
        <w:ind w:firstLine="422" w:firstLineChars="200"/>
        <w:rPr>
          <w:rFonts w:hint="eastAsia" w:ascii="宋体" w:hAnsi="宋体" w:eastAsia="宋体" w:cs="宋体"/>
          <w:b/>
          <w:snapToGrid w:val="0"/>
          <w:color w:val="auto"/>
          <w:kern w:val="0"/>
          <w:szCs w:val="21"/>
          <w:highlight w:val="none"/>
        </w:rPr>
      </w:pPr>
      <w:r>
        <w:rPr>
          <w:rFonts w:hint="eastAsia" w:ascii="宋体" w:hAnsi="宋体" w:eastAsia="宋体" w:cs="宋体"/>
          <w:b/>
          <w:snapToGrid w:val="0"/>
          <w:color w:val="auto"/>
          <w:kern w:val="0"/>
          <w:szCs w:val="21"/>
          <w:highlight w:val="none"/>
        </w:rPr>
        <w:t>4．相关说明</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4.1 投标费用</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投标人应承担其参加投标所涉及的一切费用，不管投标结果如何，采购人对这些费用不负任何责任。</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4.2 投标人应仔细阅读采购文件的所有内容，按照采购文件的要求提交投标文件。投标文件应对采购文件的要求作出实质性响应，并对所提供的全部资料的真实性承担法律责任。</w:t>
      </w:r>
    </w:p>
    <w:p>
      <w:pPr>
        <w:adjustRightInd w:val="0"/>
        <w:snapToGrid w:val="0"/>
        <w:spacing w:line="360" w:lineRule="auto"/>
        <w:ind w:firstLine="422" w:firstLineChars="200"/>
        <w:rPr>
          <w:rFonts w:hint="eastAsia" w:ascii="宋体" w:hAnsi="宋体" w:eastAsia="宋体" w:cs="宋体"/>
          <w:b/>
          <w:bCs/>
          <w:snapToGrid w:val="0"/>
          <w:color w:val="auto"/>
          <w:kern w:val="0"/>
          <w:szCs w:val="21"/>
          <w:highlight w:val="none"/>
        </w:rPr>
      </w:pPr>
      <w:r>
        <w:rPr>
          <w:rFonts w:hint="eastAsia" w:ascii="宋体" w:hAnsi="宋体" w:eastAsia="宋体" w:cs="宋体"/>
          <w:b/>
          <w:bCs/>
          <w:snapToGrid w:val="0"/>
          <w:color w:val="auto"/>
          <w:kern w:val="0"/>
          <w:szCs w:val="21"/>
          <w:highlight w:val="none"/>
        </w:rPr>
        <w:t>4.3投标人投标所使用的资格、信誉、荣誉、业绩与企业认证必须为本法人所拥有。投标人投标拟派项目实施人员必须为本法人员工。</w:t>
      </w:r>
    </w:p>
    <w:p>
      <w:pPr>
        <w:adjustRightInd w:val="0"/>
        <w:snapToGrid w:val="0"/>
        <w:spacing w:line="360" w:lineRule="auto"/>
        <w:ind w:firstLine="422" w:firstLineChars="200"/>
        <w:rPr>
          <w:rFonts w:hint="eastAsia" w:ascii="宋体" w:hAnsi="宋体" w:eastAsia="宋体" w:cs="宋体"/>
          <w:b/>
          <w:bCs/>
          <w:snapToGrid w:val="0"/>
          <w:color w:val="auto"/>
          <w:kern w:val="0"/>
          <w:szCs w:val="21"/>
          <w:highlight w:val="none"/>
        </w:rPr>
      </w:pPr>
      <w:r>
        <w:rPr>
          <w:rFonts w:hint="eastAsia" w:ascii="宋体" w:hAnsi="宋体" w:eastAsia="宋体" w:cs="宋体"/>
          <w:b/>
          <w:bCs/>
          <w:snapToGrid w:val="0"/>
          <w:color w:val="auto"/>
          <w:kern w:val="0"/>
          <w:szCs w:val="21"/>
          <w:highlight w:val="none"/>
        </w:rPr>
        <w:t>4.4投标人应仔细阅读采购文件的所有内容，按照采购文件的要求提交投标文件，并对所提供的全部资料的真实性承担法律责任。</w:t>
      </w:r>
    </w:p>
    <w:p>
      <w:pPr>
        <w:adjustRightInd w:val="0"/>
        <w:snapToGrid w:val="0"/>
        <w:spacing w:line="360" w:lineRule="auto"/>
        <w:ind w:firstLine="422" w:firstLineChars="200"/>
        <w:rPr>
          <w:rFonts w:hint="eastAsia" w:ascii="宋体" w:hAnsi="宋体" w:eastAsia="宋体" w:cs="宋体"/>
          <w:b/>
          <w:bCs/>
          <w:snapToGrid w:val="0"/>
          <w:color w:val="auto"/>
          <w:kern w:val="0"/>
          <w:szCs w:val="21"/>
          <w:highlight w:val="none"/>
        </w:rPr>
      </w:pPr>
      <w:r>
        <w:rPr>
          <w:rFonts w:hint="eastAsia" w:ascii="宋体" w:hAnsi="宋体" w:eastAsia="宋体" w:cs="宋体"/>
          <w:b/>
          <w:bCs/>
          <w:snapToGrid w:val="0"/>
          <w:color w:val="auto"/>
          <w:kern w:val="0"/>
          <w:szCs w:val="21"/>
          <w:highlight w:val="none"/>
        </w:rPr>
        <w:t>4.5投标人在投标活动中提供任何虚假材料,其投标无效，并报监管部门查处；中标后发现的,按《政府采购货物和服务招标投标管理办法》</w:t>
      </w:r>
      <w:r>
        <w:rPr>
          <w:rFonts w:hint="eastAsia" w:ascii="宋体" w:hAnsi="宋体" w:eastAsia="宋体" w:cs="宋体"/>
          <w:b/>
          <w:bCs/>
          <w:snapToGrid w:val="0"/>
          <w:color w:val="auto"/>
          <w:kern w:val="0"/>
          <w:szCs w:val="21"/>
          <w:highlight w:val="none"/>
          <w:lang w:eastAsia="zh-CN"/>
        </w:rPr>
        <w:t>（</w:t>
      </w:r>
      <w:r>
        <w:rPr>
          <w:rFonts w:hint="eastAsia" w:ascii="宋体" w:hAnsi="宋体" w:eastAsia="宋体" w:cs="宋体"/>
          <w:b/>
          <w:bCs/>
          <w:snapToGrid w:val="0"/>
          <w:color w:val="auto"/>
          <w:kern w:val="0"/>
          <w:szCs w:val="21"/>
          <w:highlight w:val="none"/>
          <w:lang w:val="en-US" w:eastAsia="zh-CN"/>
        </w:rPr>
        <w:t>财政部令第87号</w:t>
      </w:r>
      <w:r>
        <w:rPr>
          <w:rFonts w:hint="eastAsia" w:ascii="宋体" w:hAnsi="宋体" w:eastAsia="宋体" w:cs="宋体"/>
          <w:b/>
          <w:bCs/>
          <w:snapToGrid w:val="0"/>
          <w:color w:val="auto"/>
          <w:kern w:val="0"/>
          <w:szCs w:val="21"/>
          <w:highlight w:val="none"/>
          <w:lang w:eastAsia="zh-CN"/>
        </w:rPr>
        <w:t>）</w:t>
      </w:r>
      <w:r>
        <w:rPr>
          <w:rFonts w:hint="eastAsia" w:ascii="宋体" w:hAnsi="宋体" w:eastAsia="宋体" w:cs="宋体"/>
          <w:b/>
          <w:bCs/>
          <w:snapToGrid w:val="0"/>
          <w:color w:val="auto"/>
          <w:kern w:val="0"/>
          <w:szCs w:val="21"/>
          <w:highlight w:val="none"/>
        </w:rPr>
        <w:t>相关规定承担相应的法律责任。</w:t>
      </w:r>
    </w:p>
    <w:p>
      <w:pPr>
        <w:numPr>
          <w:ilvl w:val="0"/>
          <w:numId w:val="0"/>
        </w:numPr>
        <w:adjustRightInd w:val="0"/>
        <w:snapToGrid w:val="0"/>
        <w:spacing w:line="360" w:lineRule="auto"/>
        <w:ind w:left="0" w:leftChars="0" w:firstLine="422" w:firstLineChars="200"/>
        <w:rPr>
          <w:rFonts w:hint="eastAsia"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Cs w:val="21"/>
          <w:highlight w:val="none"/>
          <w:lang w:val="en-US" w:eastAsia="zh-CN"/>
        </w:rPr>
        <w:t>4.6</w:t>
      </w:r>
      <w:r>
        <w:rPr>
          <w:rFonts w:hint="eastAsia" w:ascii="宋体" w:hAnsi="宋体" w:eastAsia="宋体" w:cs="宋体"/>
          <w:b/>
          <w:bCs/>
          <w:snapToGrid w:val="0"/>
          <w:color w:val="auto"/>
          <w:kern w:val="0"/>
          <w:sz w:val="21"/>
          <w:szCs w:val="21"/>
          <w:highlight w:val="none"/>
        </w:rPr>
        <w:t>采购人优先采购被认定为首台套产品和“制造精品”的自主创新产品。对省级以上主管部门认定的首台套产品，自纳入《省推广应用指导目录》起三年内参加政府采购活动,视同已具备相应销售业绩,业绩分为满分。</w:t>
      </w:r>
    </w:p>
    <w:p>
      <w:pPr>
        <w:numPr>
          <w:ilvl w:val="0"/>
          <w:numId w:val="0"/>
        </w:numPr>
        <w:adjustRightInd w:val="0"/>
        <w:snapToGrid w:val="0"/>
        <w:spacing w:line="360" w:lineRule="auto"/>
        <w:ind w:left="0" w:leftChars="0" w:firstLine="422" w:firstLineChars="200"/>
        <w:rPr>
          <w:rFonts w:hint="eastAsia" w:ascii="宋体" w:hAnsi="宋体" w:eastAsia="宋体" w:cs="宋体"/>
          <w:b/>
          <w:bCs/>
          <w:snapToGrid w:val="0"/>
          <w:color w:val="auto"/>
          <w:kern w:val="0"/>
          <w:sz w:val="21"/>
          <w:szCs w:val="21"/>
          <w:highlight w:val="none"/>
        </w:rPr>
      </w:pPr>
    </w:p>
    <w:p>
      <w:pPr>
        <w:pStyle w:val="9"/>
        <w:rPr>
          <w:rFonts w:hint="default" w:eastAsia="宋体"/>
          <w:color w:val="auto"/>
          <w:highlight w:val="none"/>
          <w:lang w:val="en-US" w:eastAsia="zh-CN"/>
        </w:rPr>
      </w:pPr>
    </w:p>
    <w:p>
      <w:pPr>
        <w:pStyle w:val="4"/>
        <w:snapToGrid w:val="0"/>
        <w:spacing w:before="120" w:beforeLines="50" w:after="120" w:afterLines="50" w:line="360" w:lineRule="auto"/>
        <w:rPr>
          <w:rFonts w:hint="eastAsia" w:ascii="宋体" w:hAnsi="宋体" w:eastAsia="宋体" w:cs="宋体"/>
          <w:color w:val="auto"/>
          <w:sz w:val="21"/>
          <w:szCs w:val="21"/>
          <w:highlight w:val="none"/>
        </w:rPr>
      </w:pPr>
      <w:bookmarkStart w:id="16" w:name="_Toc251566651"/>
      <w:bookmarkStart w:id="17" w:name="_Toc240450078"/>
      <w:bookmarkStart w:id="18" w:name="_Toc22750"/>
      <w:bookmarkStart w:id="19" w:name="_Toc3702"/>
      <w:bookmarkStart w:id="20" w:name="_Toc27862"/>
      <w:bookmarkStart w:id="21" w:name="_Toc5852"/>
      <w:r>
        <w:rPr>
          <w:rFonts w:hint="eastAsia" w:ascii="宋体" w:hAnsi="宋体" w:eastAsia="宋体" w:cs="宋体"/>
          <w:color w:val="auto"/>
          <w:sz w:val="21"/>
          <w:szCs w:val="21"/>
          <w:highlight w:val="none"/>
        </w:rPr>
        <w:t>二、</w:t>
      </w:r>
      <w:bookmarkEnd w:id="16"/>
      <w:bookmarkEnd w:id="17"/>
      <w:r>
        <w:rPr>
          <w:rFonts w:hint="eastAsia" w:ascii="宋体" w:hAnsi="宋体" w:eastAsia="宋体" w:cs="宋体"/>
          <w:color w:val="auto"/>
          <w:sz w:val="21"/>
          <w:szCs w:val="21"/>
          <w:highlight w:val="none"/>
        </w:rPr>
        <w:t>采购文件</w:t>
      </w:r>
      <w:bookmarkEnd w:id="18"/>
      <w:bookmarkEnd w:id="19"/>
      <w:bookmarkEnd w:id="20"/>
      <w:bookmarkEnd w:id="21"/>
    </w:p>
    <w:p>
      <w:pPr>
        <w:adjustRightInd w:val="0"/>
        <w:snapToGrid w:val="0"/>
        <w:spacing w:before="120" w:beforeLines="50" w:line="360" w:lineRule="auto"/>
        <w:ind w:firstLine="422" w:firstLineChars="200"/>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5．采购文件构成</w:t>
      </w:r>
    </w:p>
    <w:p>
      <w:pPr>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5.1 本采购文件包括目录所示内容及所有按本须知第6、7条发出的补充资料。</w:t>
      </w:r>
    </w:p>
    <w:p>
      <w:pPr>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5.2 除上述所列内容外，采购人和采购代理机构的任何工作人员对投标人所作的任何口头解释、介绍、答复，只能供投标人参考，对采购人、采购代理机构和投标人无任何约束力。</w:t>
      </w:r>
    </w:p>
    <w:p>
      <w:pPr>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5.3 采购文件是招标过程进行的有效依据，也是成交后签订合同的依据，对双方均具有约束力，凡不遵守采购文件规定或对采购文件的实质性内容不响应的，将可能被拒绝或以无效标处理。</w:t>
      </w:r>
    </w:p>
    <w:p>
      <w:pPr>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5.4 本采购文件由采购人或采购代理机构依据相关法律、法规、规章、省市规定及采购文件进行解释。</w:t>
      </w:r>
    </w:p>
    <w:p>
      <w:pPr>
        <w:adjustRightInd w:val="0"/>
        <w:snapToGrid w:val="0"/>
        <w:spacing w:before="120" w:beforeLines="50" w:line="360" w:lineRule="auto"/>
        <w:ind w:firstLine="422" w:firstLineChars="200"/>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6．采购文件的澄清</w:t>
      </w:r>
    </w:p>
    <w:p>
      <w:pPr>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6.1 投标人在</w:t>
      </w:r>
      <w:r>
        <w:rPr>
          <w:rFonts w:hint="eastAsia" w:ascii="宋体" w:hAnsi="宋体" w:eastAsia="宋体" w:cs="宋体"/>
          <w:snapToGrid w:val="0"/>
          <w:color w:val="auto"/>
          <w:kern w:val="0"/>
          <w:szCs w:val="21"/>
          <w:highlight w:val="none"/>
          <w:lang w:val="en-US" w:eastAsia="zh-CN"/>
        </w:rPr>
        <w:t>获取</w:t>
      </w:r>
      <w:r>
        <w:rPr>
          <w:rFonts w:hint="eastAsia" w:ascii="宋体" w:hAnsi="宋体" w:cs="宋体"/>
          <w:snapToGrid w:val="0"/>
          <w:color w:val="auto"/>
          <w:kern w:val="0"/>
          <w:szCs w:val="21"/>
          <w:highlight w:val="none"/>
        </w:rPr>
        <w:t>采购文件后，若有问题需要澄清或认为有必要与采购人进行技术交流，应于前附表规定的时间前，将问题传真至</w:t>
      </w:r>
      <w:r>
        <w:rPr>
          <w:rFonts w:hint="eastAsia" w:ascii="宋体" w:hAnsi="宋体" w:cs="宋体"/>
          <w:snapToGrid w:val="0"/>
          <w:color w:val="auto"/>
          <w:kern w:val="0"/>
          <w:szCs w:val="21"/>
          <w:highlight w:val="none"/>
          <w:u w:val="single"/>
          <w:lang w:val="en-US" w:eastAsia="zh-CN"/>
        </w:rPr>
        <w:t xml:space="preserve"> 0571-88473430 </w:t>
      </w:r>
      <w:r>
        <w:rPr>
          <w:rFonts w:hint="eastAsia" w:ascii="宋体" w:hAnsi="宋体" w:cs="宋体"/>
          <w:snapToGrid w:val="0"/>
          <w:color w:val="auto"/>
          <w:kern w:val="0"/>
          <w:szCs w:val="21"/>
          <w:highlight w:val="none"/>
        </w:rPr>
        <w:t>，同时将问题发电子邮件至</w:t>
      </w:r>
      <w:r>
        <w:rPr>
          <w:rFonts w:hint="eastAsia" w:ascii="宋体" w:hAnsi="宋体" w:cs="宋体"/>
          <w:snapToGrid w:val="0"/>
          <w:color w:val="auto"/>
          <w:kern w:val="0"/>
          <w:szCs w:val="21"/>
          <w:highlight w:val="none"/>
          <w:u w:val="single"/>
          <w:lang w:val="en-US" w:eastAsia="zh-CN"/>
        </w:rPr>
        <w:t xml:space="preserve"> 22553113@qq.com </w:t>
      </w:r>
      <w:r>
        <w:rPr>
          <w:rFonts w:hint="eastAsia" w:ascii="宋体" w:hAnsi="宋体" w:cs="宋体"/>
          <w:snapToGrid w:val="0"/>
          <w:color w:val="auto"/>
          <w:kern w:val="0"/>
          <w:szCs w:val="21"/>
          <w:highlight w:val="none"/>
        </w:rPr>
        <w:t>（电子邮件与书面文件有不一致的，以书面文件为准）。截止期后的疑问将不予受理、答复。</w:t>
      </w:r>
    </w:p>
    <w:p>
      <w:pPr>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6.2 投标人要求解释或澄清的问题应以书面</w:t>
      </w:r>
      <w:r>
        <w:rPr>
          <w:rFonts w:hint="eastAsia" w:ascii="宋体" w:hAnsi="宋体" w:cs="宋体"/>
          <w:snapToGrid w:val="0"/>
          <w:color w:val="auto"/>
          <w:kern w:val="0"/>
          <w:szCs w:val="21"/>
          <w:highlight w:val="none"/>
          <w:lang w:eastAsia="zh-CN"/>
        </w:rPr>
        <w:t>或邮件</w:t>
      </w:r>
      <w:r>
        <w:rPr>
          <w:rFonts w:hint="eastAsia" w:ascii="宋体" w:hAnsi="宋体" w:cs="宋体"/>
          <w:snapToGrid w:val="0"/>
          <w:color w:val="auto"/>
          <w:kern w:val="0"/>
          <w:szCs w:val="21"/>
          <w:highlight w:val="none"/>
        </w:rPr>
        <w:t>形式</w:t>
      </w:r>
      <w:r>
        <w:rPr>
          <w:rFonts w:hint="eastAsia" w:ascii="宋体" w:hAnsi="宋体" w:cs="宋体"/>
          <w:snapToGrid w:val="0"/>
          <w:color w:val="auto"/>
          <w:kern w:val="0"/>
          <w:szCs w:val="21"/>
          <w:highlight w:val="none"/>
          <w:lang w:eastAsia="zh-CN"/>
        </w:rPr>
        <w:t>提交</w:t>
      </w:r>
      <w:r>
        <w:rPr>
          <w:rFonts w:hint="eastAsia" w:ascii="宋体" w:hAnsi="宋体" w:cs="宋体"/>
          <w:snapToGrid w:val="0"/>
          <w:color w:val="auto"/>
          <w:kern w:val="0"/>
          <w:szCs w:val="21"/>
          <w:highlight w:val="none"/>
        </w:rPr>
        <w:t>，并加盖公章、写明日期。</w:t>
      </w:r>
    </w:p>
    <w:p>
      <w:pPr>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6.3 所有要求解释或澄清的问题都予以解答，答疑</w:t>
      </w:r>
      <w:r>
        <w:rPr>
          <w:rFonts w:hint="eastAsia" w:ascii="宋体" w:hAnsi="宋体" w:eastAsia="宋体" w:cs="宋体"/>
          <w:snapToGrid w:val="0"/>
          <w:color w:val="auto"/>
          <w:kern w:val="0"/>
          <w:szCs w:val="21"/>
          <w:highlight w:val="none"/>
          <w:lang w:val="en-US" w:eastAsia="zh-CN"/>
        </w:rPr>
        <w:t>内容</w:t>
      </w:r>
      <w:r>
        <w:rPr>
          <w:rFonts w:hint="eastAsia" w:ascii="宋体" w:hAnsi="宋体" w:cs="宋体"/>
          <w:snapToGrid w:val="0"/>
          <w:color w:val="auto"/>
          <w:kern w:val="0"/>
          <w:szCs w:val="21"/>
          <w:highlight w:val="none"/>
        </w:rPr>
        <w:t>与补充</w:t>
      </w:r>
      <w:r>
        <w:rPr>
          <w:rFonts w:hint="eastAsia" w:ascii="宋体" w:hAnsi="宋体" w:eastAsia="宋体" w:cs="宋体"/>
          <w:snapToGrid w:val="0"/>
          <w:color w:val="auto"/>
          <w:kern w:val="0"/>
          <w:szCs w:val="21"/>
          <w:highlight w:val="none"/>
          <w:lang w:val="en-US" w:eastAsia="zh-CN"/>
        </w:rPr>
        <w:t>内容</w:t>
      </w:r>
      <w:r>
        <w:rPr>
          <w:rFonts w:hint="eastAsia" w:ascii="宋体" w:hAnsi="宋体" w:cs="宋体"/>
          <w:snapToGrid w:val="0"/>
          <w:color w:val="auto"/>
          <w:kern w:val="0"/>
          <w:szCs w:val="21"/>
          <w:highlight w:val="none"/>
        </w:rPr>
        <w:t>以</w:t>
      </w:r>
      <w:r>
        <w:rPr>
          <w:rFonts w:hint="eastAsia" w:ascii="宋体" w:hAnsi="宋体" w:eastAsia="宋体" w:cs="宋体"/>
          <w:snapToGrid w:val="0"/>
          <w:color w:val="auto"/>
          <w:kern w:val="0"/>
          <w:szCs w:val="21"/>
          <w:highlight w:val="none"/>
          <w:lang w:val="en-US" w:eastAsia="zh-CN"/>
        </w:rPr>
        <w:t>更正（澄清）公告</w:t>
      </w:r>
      <w:r>
        <w:rPr>
          <w:rFonts w:hint="eastAsia" w:ascii="宋体" w:hAnsi="宋体" w:cs="宋体"/>
          <w:snapToGrid w:val="0"/>
          <w:color w:val="auto"/>
          <w:kern w:val="0"/>
          <w:szCs w:val="21"/>
          <w:highlight w:val="none"/>
        </w:rPr>
        <w:t>形式告知所有</w:t>
      </w:r>
      <w:r>
        <w:rPr>
          <w:rFonts w:hint="eastAsia" w:ascii="宋体" w:hAnsi="宋体" w:cs="宋体"/>
          <w:snapToGrid w:val="0"/>
          <w:color w:val="auto"/>
          <w:kern w:val="0"/>
          <w:szCs w:val="21"/>
          <w:highlight w:val="none"/>
          <w:lang w:eastAsia="zh-CN"/>
        </w:rPr>
        <w:t>获取</w:t>
      </w:r>
      <w:r>
        <w:rPr>
          <w:rFonts w:hint="eastAsia" w:ascii="宋体" w:hAnsi="宋体" w:cs="宋体"/>
          <w:snapToGrid w:val="0"/>
          <w:color w:val="auto"/>
          <w:kern w:val="0"/>
          <w:szCs w:val="21"/>
          <w:highlight w:val="none"/>
        </w:rPr>
        <w:t>采购文件的投标人。</w:t>
      </w:r>
    </w:p>
    <w:p>
      <w:pPr>
        <w:adjustRightInd w:val="0"/>
        <w:snapToGrid w:val="0"/>
        <w:spacing w:before="120" w:beforeLines="50" w:line="360" w:lineRule="auto"/>
        <w:ind w:firstLine="422" w:firstLineChars="200"/>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7．采购文件的修改</w:t>
      </w:r>
    </w:p>
    <w:p>
      <w:pPr>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7.1 采购人或者采购代理机构可以对已发出的采购文件进行必要的澄清或者修改。澄清或者修改的内容可能影响投标文件编制的，采购人或者采购代理机构应当在投标截止时间至少15日前，以</w:t>
      </w:r>
      <w:r>
        <w:rPr>
          <w:rFonts w:hint="eastAsia" w:ascii="宋体" w:hAnsi="宋体" w:eastAsia="宋体" w:cs="宋体"/>
          <w:snapToGrid w:val="0"/>
          <w:color w:val="auto"/>
          <w:kern w:val="0"/>
          <w:szCs w:val="21"/>
          <w:highlight w:val="none"/>
          <w:lang w:val="en-US" w:eastAsia="zh-CN"/>
        </w:rPr>
        <w:t>更正（澄清）公告</w:t>
      </w:r>
      <w:r>
        <w:rPr>
          <w:rFonts w:hint="eastAsia" w:ascii="宋体" w:hAnsi="宋体" w:cs="宋体"/>
          <w:snapToGrid w:val="0"/>
          <w:color w:val="auto"/>
          <w:kern w:val="0"/>
          <w:szCs w:val="21"/>
          <w:highlight w:val="none"/>
        </w:rPr>
        <w:t>形式通知所有获取采购文件的潜在投标人；不足15日的，采购人或者采购代理机构应当顺延提交投标文件的截止时间。</w:t>
      </w:r>
    </w:p>
    <w:p>
      <w:pPr>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7.2 采购文件的修改将以</w:t>
      </w:r>
      <w:r>
        <w:rPr>
          <w:rFonts w:hint="eastAsia" w:ascii="宋体" w:hAnsi="宋体" w:eastAsia="宋体" w:cs="宋体"/>
          <w:snapToGrid w:val="0"/>
          <w:color w:val="auto"/>
          <w:kern w:val="0"/>
          <w:szCs w:val="21"/>
          <w:highlight w:val="none"/>
          <w:lang w:val="en-US" w:eastAsia="zh-CN"/>
        </w:rPr>
        <w:t>更正（澄清）公告</w:t>
      </w:r>
      <w:r>
        <w:rPr>
          <w:rFonts w:hint="eastAsia" w:ascii="宋体" w:hAnsi="宋体" w:cs="宋体"/>
          <w:snapToGrid w:val="0"/>
          <w:color w:val="auto"/>
          <w:kern w:val="0"/>
          <w:szCs w:val="21"/>
          <w:highlight w:val="none"/>
        </w:rPr>
        <w:t>通知所有</w:t>
      </w:r>
      <w:r>
        <w:rPr>
          <w:rFonts w:hint="eastAsia" w:ascii="宋体" w:hAnsi="宋体" w:cs="宋体"/>
          <w:snapToGrid w:val="0"/>
          <w:color w:val="auto"/>
          <w:kern w:val="0"/>
          <w:szCs w:val="21"/>
          <w:highlight w:val="none"/>
          <w:lang w:eastAsia="zh-CN"/>
        </w:rPr>
        <w:t>获取</w:t>
      </w:r>
      <w:r>
        <w:rPr>
          <w:rFonts w:hint="eastAsia" w:ascii="宋体" w:hAnsi="宋体" w:cs="宋体"/>
          <w:snapToGrid w:val="0"/>
          <w:color w:val="auto"/>
          <w:kern w:val="0"/>
          <w:szCs w:val="21"/>
          <w:highlight w:val="none"/>
        </w:rPr>
        <w:t>采购文件的投标人，并对其具有约束力。</w:t>
      </w:r>
      <w:r>
        <w:rPr>
          <w:rFonts w:hint="eastAsia" w:ascii="宋体" w:hAnsi="宋体" w:eastAsia="宋体" w:cs="宋体"/>
          <w:color w:val="auto"/>
          <w:highlight w:val="none"/>
        </w:rPr>
        <w:t>投标</w:t>
      </w:r>
      <w:r>
        <w:rPr>
          <w:rFonts w:hint="eastAsia" w:ascii="宋体" w:hAnsi="宋体" w:eastAsia="宋体" w:cs="宋体"/>
          <w:color w:val="auto"/>
          <w:highlight w:val="none"/>
          <w:lang w:val="en-US" w:eastAsia="zh-CN"/>
        </w:rPr>
        <w:t>人应及时关注浙江政府采购网上该项目的公告信息</w:t>
      </w:r>
      <w:r>
        <w:rPr>
          <w:rFonts w:hint="eastAsia" w:ascii="宋体" w:hAnsi="宋体" w:cs="宋体"/>
          <w:snapToGrid w:val="0"/>
          <w:color w:val="auto"/>
          <w:kern w:val="0"/>
          <w:szCs w:val="21"/>
          <w:highlight w:val="none"/>
        </w:rPr>
        <w:t>。</w:t>
      </w:r>
    </w:p>
    <w:p>
      <w:pPr>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7.3 在</w:t>
      </w:r>
      <w:r>
        <w:rPr>
          <w:rFonts w:hint="eastAsia" w:ascii="宋体" w:hAnsi="宋体" w:eastAsia="宋体" w:cs="宋体"/>
          <w:snapToGrid w:val="0"/>
          <w:color w:val="auto"/>
          <w:kern w:val="0"/>
          <w:szCs w:val="21"/>
          <w:highlight w:val="none"/>
          <w:lang w:val="en-US" w:eastAsia="zh-CN"/>
        </w:rPr>
        <w:t>更正（澄清）公告</w:t>
      </w:r>
      <w:r>
        <w:rPr>
          <w:rFonts w:hint="eastAsia" w:ascii="宋体" w:hAnsi="宋体" w:cs="宋体"/>
          <w:snapToGrid w:val="0"/>
          <w:color w:val="auto"/>
          <w:kern w:val="0"/>
          <w:szCs w:val="21"/>
          <w:highlight w:val="none"/>
        </w:rPr>
        <w:t>发布后，如果投标人认为</w:t>
      </w:r>
      <w:r>
        <w:rPr>
          <w:rFonts w:hint="eastAsia" w:ascii="宋体" w:hAnsi="宋体" w:cs="宋体"/>
          <w:snapToGrid w:val="0"/>
          <w:color w:val="auto"/>
          <w:kern w:val="0"/>
          <w:szCs w:val="21"/>
          <w:highlight w:val="none"/>
          <w:lang w:val="en-US" w:eastAsia="zh-CN"/>
        </w:rPr>
        <w:t>编制</w:t>
      </w:r>
      <w:r>
        <w:rPr>
          <w:rFonts w:hint="eastAsia" w:ascii="宋体" w:hAnsi="宋体" w:cs="宋体"/>
          <w:snapToGrid w:val="0"/>
          <w:color w:val="auto"/>
          <w:kern w:val="0"/>
          <w:szCs w:val="21"/>
          <w:highlight w:val="none"/>
        </w:rPr>
        <w:t>投标文件的时间不充分的，必须在</w:t>
      </w:r>
      <w:r>
        <w:rPr>
          <w:rFonts w:hint="eastAsia" w:ascii="宋体" w:hAnsi="宋体" w:cs="宋体"/>
          <w:snapToGrid w:val="0"/>
          <w:color w:val="auto"/>
          <w:kern w:val="0"/>
          <w:szCs w:val="21"/>
          <w:highlight w:val="none"/>
          <w:lang w:val="en-US" w:eastAsia="zh-CN"/>
        </w:rPr>
        <w:t>公告发布之日的</w:t>
      </w:r>
      <w:r>
        <w:rPr>
          <w:rFonts w:hint="eastAsia" w:ascii="宋体" w:hAnsi="宋体" w:cs="宋体"/>
          <w:snapToGrid w:val="0"/>
          <w:color w:val="auto"/>
          <w:kern w:val="0"/>
          <w:szCs w:val="21"/>
          <w:highlight w:val="none"/>
        </w:rPr>
        <w:t>24小时内通知采购人和采购代理机构。否则，视同投标人有充足时间编制投标文件。</w:t>
      </w:r>
    </w:p>
    <w:p>
      <w:pPr>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7.</w:t>
      </w:r>
      <w:r>
        <w:rPr>
          <w:rFonts w:hint="eastAsia" w:ascii="宋体" w:hAnsi="宋体" w:cs="宋体"/>
          <w:snapToGrid w:val="0"/>
          <w:color w:val="auto"/>
          <w:kern w:val="0"/>
          <w:szCs w:val="21"/>
          <w:highlight w:val="none"/>
          <w:lang w:val="en-US" w:eastAsia="zh-CN"/>
        </w:rPr>
        <w:t>4</w:t>
      </w:r>
      <w:r>
        <w:rPr>
          <w:rFonts w:hint="eastAsia" w:ascii="宋体" w:hAnsi="宋体" w:cs="宋体"/>
          <w:snapToGrid w:val="0"/>
          <w:color w:val="auto"/>
          <w:kern w:val="0"/>
          <w:szCs w:val="21"/>
          <w:highlight w:val="none"/>
        </w:rPr>
        <w:t>采购文件澄清、答复、修改、补充的内容为采购文件的组成部分。当采购文件与采购文件的答复、澄清、修改、补充通知就同一内容的表述不一致时，以最后发出的</w:t>
      </w:r>
      <w:r>
        <w:rPr>
          <w:rFonts w:hint="eastAsia" w:ascii="宋体" w:hAnsi="宋体" w:eastAsia="宋体" w:cs="宋体"/>
          <w:snapToGrid w:val="0"/>
          <w:color w:val="auto"/>
          <w:kern w:val="0"/>
          <w:szCs w:val="21"/>
          <w:highlight w:val="none"/>
          <w:lang w:val="en-US" w:eastAsia="zh-CN"/>
        </w:rPr>
        <w:t>更正（澄清）公告</w:t>
      </w:r>
      <w:r>
        <w:rPr>
          <w:rFonts w:hint="eastAsia" w:ascii="宋体" w:hAnsi="宋体" w:cs="宋体"/>
          <w:snapToGrid w:val="0"/>
          <w:color w:val="auto"/>
          <w:kern w:val="0"/>
          <w:szCs w:val="21"/>
          <w:highlight w:val="none"/>
        </w:rPr>
        <w:t>为准。</w:t>
      </w:r>
    </w:p>
    <w:p>
      <w:pPr>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7.6 采购文件的澄清、答复、修改或补充都应该通过本代理机构以法定形式发布，除此以外的发布不属于采购文件的组成部分。</w:t>
      </w:r>
    </w:p>
    <w:p>
      <w:pPr>
        <w:pStyle w:val="4"/>
        <w:snapToGrid w:val="0"/>
        <w:spacing w:before="120" w:beforeLines="50" w:after="120" w:afterLines="50" w:line="360" w:lineRule="auto"/>
        <w:rPr>
          <w:rFonts w:hint="eastAsia" w:ascii="宋体" w:hAnsi="宋体" w:eastAsia="宋体" w:cs="宋体"/>
          <w:color w:val="auto"/>
          <w:sz w:val="21"/>
          <w:szCs w:val="21"/>
          <w:highlight w:val="none"/>
        </w:rPr>
      </w:pPr>
      <w:bookmarkStart w:id="22" w:name="_Toc24173"/>
      <w:bookmarkStart w:id="23" w:name="_Toc8352"/>
      <w:bookmarkStart w:id="24" w:name="_Toc12860"/>
      <w:bookmarkStart w:id="25" w:name="_Toc240450079"/>
      <w:bookmarkStart w:id="26" w:name="_Toc251566652"/>
      <w:bookmarkStart w:id="27" w:name="_Toc31368"/>
      <w:r>
        <w:rPr>
          <w:rFonts w:hint="eastAsia" w:ascii="宋体" w:hAnsi="宋体" w:eastAsia="宋体" w:cs="宋体"/>
          <w:color w:val="auto"/>
          <w:sz w:val="21"/>
          <w:szCs w:val="21"/>
          <w:highlight w:val="none"/>
        </w:rPr>
        <w:t>三、投标文件的编制</w:t>
      </w:r>
      <w:bookmarkEnd w:id="22"/>
      <w:bookmarkEnd w:id="23"/>
      <w:bookmarkEnd w:id="24"/>
      <w:bookmarkEnd w:id="25"/>
      <w:bookmarkEnd w:id="26"/>
      <w:bookmarkEnd w:id="27"/>
    </w:p>
    <w:p>
      <w:pPr>
        <w:adjustRightInd w:val="0"/>
        <w:snapToGrid w:val="0"/>
        <w:spacing w:line="360" w:lineRule="auto"/>
        <w:ind w:firstLine="422" w:firstLineChars="200"/>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投标人应认真阅读采购文件中所有的事项、格式、条款和技术要求等。如果投标人没有按照采购文件要求和规定编制投标文件及提交全部资料，或者投标没有对采购文件中各方面作出实质性响应，其风险应由投标人承担。</w:t>
      </w:r>
    </w:p>
    <w:p>
      <w:pPr>
        <w:adjustRightInd w:val="0"/>
        <w:snapToGrid w:val="0"/>
        <w:spacing w:before="120" w:beforeLines="50" w:line="360" w:lineRule="auto"/>
        <w:ind w:firstLine="422" w:firstLineChars="200"/>
        <w:rPr>
          <w:rFonts w:hint="eastAsia" w:ascii="宋体" w:hAnsi="宋体" w:eastAsia="宋体" w:cs="宋体"/>
          <w:b/>
          <w:snapToGrid w:val="0"/>
          <w:color w:val="auto"/>
          <w:kern w:val="0"/>
          <w:szCs w:val="21"/>
          <w:highlight w:val="none"/>
          <w:lang w:val="en-US" w:eastAsia="zh-CN"/>
        </w:rPr>
      </w:pPr>
      <w:r>
        <w:rPr>
          <w:rFonts w:hint="eastAsia" w:ascii="宋体" w:hAnsi="宋体" w:eastAsia="宋体" w:cs="宋体"/>
          <w:b/>
          <w:snapToGrid w:val="0"/>
          <w:color w:val="auto"/>
          <w:kern w:val="0"/>
          <w:szCs w:val="21"/>
          <w:highlight w:val="none"/>
        </w:rPr>
        <w:t>8．投标文件的语言、计量单位、形式及效力</w:t>
      </w:r>
    </w:p>
    <w:p>
      <w:pPr>
        <w:adjustRightInd w:val="0"/>
        <w:snapToGrid w:val="0"/>
        <w:spacing w:before="120" w:beforeLines="50" w:line="360" w:lineRule="auto"/>
        <w:ind w:firstLine="422" w:firstLineChars="200"/>
        <w:rPr>
          <w:rFonts w:hint="eastAsia" w:ascii="宋体" w:hAnsi="宋体" w:eastAsia="宋体" w:cs="宋体"/>
          <w:b/>
          <w:snapToGrid w:val="0"/>
          <w:color w:val="auto"/>
          <w:kern w:val="0"/>
          <w:szCs w:val="21"/>
          <w:highlight w:val="none"/>
        </w:rPr>
      </w:pPr>
      <w:r>
        <w:rPr>
          <w:rFonts w:hint="eastAsia" w:ascii="宋体" w:hAnsi="宋体" w:eastAsia="宋体" w:cs="宋体"/>
          <w:b/>
          <w:snapToGrid w:val="0"/>
          <w:color w:val="auto"/>
          <w:kern w:val="0"/>
          <w:szCs w:val="21"/>
          <w:highlight w:val="none"/>
          <w:lang w:val="en-US" w:eastAsia="zh-CN"/>
        </w:rPr>
        <w:t>8.1</w:t>
      </w:r>
      <w:r>
        <w:rPr>
          <w:rFonts w:hint="eastAsia" w:ascii="宋体" w:hAnsi="宋体" w:eastAsia="宋体" w:cs="宋体"/>
          <w:b/>
          <w:snapToGrid w:val="0"/>
          <w:color w:val="auto"/>
          <w:kern w:val="0"/>
          <w:szCs w:val="21"/>
          <w:highlight w:val="none"/>
        </w:rPr>
        <w:t>语言及计量单位</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8.1</w:t>
      </w:r>
      <w:r>
        <w:rPr>
          <w:rFonts w:hint="eastAsia" w:ascii="宋体" w:hAnsi="宋体" w:eastAsia="宋体" w:cs="宋体"/>
          <w:snapToGrid w:val="0"/>
          <w:color w:val="auto"/>
          <w:kern w:val="0"/>
          <w:szCs w:val="21"/>
          <w:highlight w:val="none"/>
          <w:lang w:val="en-US" w:eastAsia="zh-CN"/>
        </w:rPr>
        <w:t>.1</w:t>
      </w:r>
      <w:r>
        <w:rPr>
          <w:rFonts w:hint="eastAsia" w:ascii="宋体" w:hAnsi="宋体" w:eastAsia="宋体" w:cs="宋体"/>
          <w:snapToGrid w:val="0"/>
          <w:color w:val="auto"/>
          <w:kern w:val="0"/>
          <w:szCs w:val="21"/>
          <w:highlight w:val="none"/>
        </w:rPr>
        <w:t xml:space="preserve"> 投标文件及投标人与采购人之间与投标有关的来往通知、函件和文件均应使用简体中文。除签名、盖章、专用名称等特殊情形外，以中文汉语以外的文字表述的投标文件视同未提供。投标人提交的支持文件和印刷的文献可以用另一种语言，但相应内容应附有中文翻译文本，在解释投标文件时以中文翻译文本为准。</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8.</w:t>
      </w:r>
      <w:r>
        <w:rPr>
          <w:rFonts w:hint="eastAsia" w:ascii="宋体" w:hAnsi="宋体" w:eastAsia="宋体" w:cs="宋体"/>
          <w:snapToGrid w:val="0"/>
          <w:color w:val="auto"/>
          <w:kern w:val="0"/>
          <w:szCs w:val="21"/>
          <w:highlight w:val="none"/>
          <w:lang w:val="en-US" w:eastAsia="zh-CN"/>
        </w:rPr>
        <w:t>1.</w:t>
      </w:r>
      <w:r>
        <w:rPr>
          <w:rFonts w:hint="eastAsia" w:ascii="宋体" w:hAnsi="宋体" w:eastAsia="宋体" w:cs="宋体"/>
          <w:snapToGrid w:val="0"/>
          <w:color w:val="auto"/>
          <w:kern w:val="0"/>
          <w:szCs w:val="21"/>
          <w:highlight w:val="none"/>
        </w:rPr>
        <w:t>2 除采购文件另有规定外，投标文件所使用的计量单位，均须采用中华人民共和国法定计量单位，否则视同未响应。</w:t>
      </w:r>
    </w:p>
    <w:p>
      <w:pPr>
        <w:adjustRightInd w:val="0"/>
        <w:snapToGrid w:val="0"/>
        <w:spacing w:before="120" w:beforeLines="50" w:line="360" w:lineRule="auto"/>
        <w:ind w:firstLine="422" w:firstLineChars="200"/>
        <w:rPr>
          <w:rFonts w:hint="eastAsia" w:ascii="宋体" w:hAnsi="宋体" w:eastAsia="宋体" w:cs="宋体"/>
          <w:b/>
          <w:snapToGrid w:val="0"/>
          <w:color w:val="auto"/>
          <w:kern w:val="0"/>
          <w:szCs w:val="21"/>
          <w:highlight w:val="none"/>
        </w:rPr>
      </w:pPr>
      <w:r>
        <w:rPr>
          <w:rFonts w:hint="eastAsia" w:ascii="宋体" w:hAnsi="宋体" w:eastAsia="宋体" w:cs="宋体"/>
          <w:b/>
          <w:snapToGrid w:val="0"/>
          <w:color w:val="auto"/>
          <w:kern w:val="0"/>
          <w:szCs w:val="21"/>
          <w:highlight w:val="none"/>
          <w:lang w:val="en-US" w:eastAsia="zh-CN"/>
        </w:rPr>
        <w:t>8.2</w:t>
      </w:r>
      <w:r>
        <w:rPr>
          <w:rFonts w:hint="eastAsia" w:ascii="宋体" w:hAnsi="宋体" w:eastAsia="宋体" w:cs="宋体"/>
          <w:b/>
          <w:snapToGrid w:val="0"/>
          <w:color w:val="auto"/>
          <w:kern w:val="0"/>
          <w:szCs w:val="21"/>
          <w:highlight w:val="none"/>
        </w:rPr>
        <w:t>投标文件的形式和效力</w:t>
      </w:r>
    </w:p>
    <w:p>
      <w:pPr>
        <w:adjustRightInd w:val="0"/>
        <w:snapToGrid w:val="0"/>
        <w:spacing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lang w:val="en-US" w:eastAsia="zh-CN"/>
        </w:rPr>
        <w:t>8.2.1</w:t>
      </w:r>
      <w:r>
        <w:rPr>
          <w:rFonts w:hint="eastAsia" w:ascii="宋体" w:hAnsi="宋体" w:eastAsia="宋体" w:cs="宋体"/>
          <w:snapToGrid w:val="0"/>
          <w:color w:val="auto"/>
          <w:kern w:val="0"/>
          <w:szCs w:val="21"/>
          <w:highlight w:val="none"/>
        </w:rPr>
        <w:t>投标文件为电子投标文件，电子投标文件按“政采云供应商项目采购-电子招投标操作指南”及本招标文件要求制作、加密传输。</w:t>
      </w:r>
    </w:p>
    <w:p>
      <w:pPr>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eastAsia="宋体" w:cs="宋体"/>
          <w:snapToGrid w:val="0"/>
          <w:color w:val="auto"/>
          <w:kern w:val="0"/>
          <w:szCs w:val="21"/>
          <w:highlight w:val="none"/>
          <w:lang w:val="en-US" w:eastAsia="zh-CN"/>
        </w:rPr>
        <w:t>8.2.2</w:t>
      </w:r>
      <w:r>
        <w:rPr>
          <w:rFonts w:hint="eastAsia" w:ascii="宋体" w:hAnsi="宋体" w:eastAsia="宋体" w:cs="宋体"/>
          <w:snapToGrid w:val="0"/>
          <w:color w:val="auto"/>
          <w:kern w:val="0"/>
          <w:szCs w:val="21"/>
          <w:highlight w:val="none"/>
        </w:rPr>
        <w:t>投标文件未在投标截止时间前完成传输的，视为</w:t>
      </w:r>
      <w:r>
        <w:rPr>
          <w:rFonts w:hint="eastAsia" w:ascii="宋体" w:hAnsi="宋体" w:eastAsia="宋体" w:cs="宋体"/>
          <w:snapToGrid w:val="0"/>
          <w:color w:val="auto"/>
          <w:kern w:val="0"/>
          <w:szCs w:val="21"/>
          <w:highlight w:val="none"/>
          <w:lang w:val="en-US" w:eastAsia="zh-CN"/>
        </w:rPr>
        <w:t>未按时递交投标文件；</w:t>
      </w:r>
      <w:r>
        <w:rPr>
          <w:rFonts w:hint="eastAsia" w:ascii="宋体" w:hAnsi="宋体" w:eastAsia="宋体" w:cs="宋体"/>
          <w:snapToGrid w:val="0"/>
          <w:color w:val="auto"/>
          <w:kern w:val="0"/>
          <w:szCs w:val="21"/>
          <w:highlight w:val="none"/>
        </w:rPr>
        <w:t>投标文件未按时解密，视为投标文件撤回。</w:t>
      </w:r>
    </w:p>
    <w:p>
      <w:pPr>
        <w:adjustRightInd w:val="0"/>
        <w:snapToGrid w:val="0"/>
        <w:spacing w:before="120" w:beforeLines="50" w:line="360" w:lineRule="auto"/>
        <w:ind w:firstLine="422" w:firstLineChars="200"/>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9．投标文件构成</w:t>
      </w:r>
    </w:p>
    <w:p>
      <w:pPr>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eastAsia="宋体" w:cs="宋体"/>
          <w:snapToGrid w:val="0"/>
          <w:color w:val="auto"/>
          <w:kern w:val="0"/>
          <w:szCs w:val="21"/>
          <w:highlight w:val="none"/>
        </w:rPr>
        <w:t>投标人向采购人递交的投标文件均由</w:t>
      </w:r>
      <w:r>
        <w:rPr>
          <w:rFonts w:hint="eastAsia" w:ascii="宋体" w:hAnsi="宋体" w:eastAsia="宋体" w:cs="宋体"/>
          <w:b/>
          <w:bCs/>
          <w:snapToGrid w:val="0"/>
          <w:color w:val="auto"/>
          <w:kern w:val="0"/>
          <w:szCs w:val="21"/>
          <w:highlight w:val="none"/>
          <w:lang w:eastAsia="zh-CN"/>
        </w:rPr>
        <w:t>资格文件</w:t>
      </w:r>
      <w:r>
        <w:rPr>
          <w:rFonts w:hint="eastAsia" w:ascii="宋体" w:hAnsi="宋体" w:eastAsia="宋体" w:cs="宋体"/>
          <w:b/>
          <w:bCs/>
          <w:snapToGrid w:val="0"/>
          <w:color w:val="auto"/>
          <w:kern w:val="0"/>
          <w:szCs w:val="21"/>
          <w:highlight w:val="none"/>
        </w:rPr>
        <w:t>、</w:t>
      </w:r>
      <w:r>
        <w:rPr>
          <w:rFonts w:hint="eastAsia" w:ascii="宋体" w:hAnsi="宋体" w:eastAsia="宋体" w:cs="宋体"/>
          <w:b/>
          <w:bCs/>
          <w:snapToGrid w:val="0"/>
          <w:color w:val="auto"/>
          <w:kern w:val="0"/>
          <w:szCs w:val="21"/>
          <w:highlight w:val="none"/>
          <w:lang w:eastAsia="zh-CN"/>
        </w:rPr>
        <w:t>商务技术文件、报价文件</w:t>
      </w:r>
      <w:r>
        <w:rPr>
          <w:rFonts w:hint="eastAsia" w:ascii="宋体" w:hAnsi="宋体" w:eastAsia="宋体" w:cs="宋体"/>
          <w:snapToGrid w:val="0"/>
          <w:color w:val="auto"/>
          <w:kern w:val="0"/>
          <w:szCs w:val="21"/>
          <w:highlight w:val="none"/>
        </w:rPr>
        <w:t>组成，具体内容如下：</w:t>
      </w:r>
    </w:p>
    <w:p>
      <w:pPr>
        <w:autoSpaceDE w:val="0"/>
        <w:autoSpaceDN w:val="0"/>
        <w:adjustRightInd w:val="0"/>
        <w:snapToGrid w:val="0"/>
        <w:spacing w:line="360" w:lineRule="auto"/>
        <w:ind w:firstLine="422" w:firstLineChars="200"/>
        <w:textAlignment w:val="bottom"/>
        <w:rPr>
          <w:rFonts w:hint="eastAsia" w:ascii="宋体" w:hAnsi="宋体" w:cs="宋体"/>
          <w:b/>
          <w:bCs/>
          <w:color w:val="auto"/>
          <w:szCs w:val="21"/>
          <w:highlight w:val="none"/>
        </w:rPr>
      </w:pPr>
      <w:r>
        <w:rPr>
          <w:rFonts w:hint="eastAsia" w:ascii="宋体" w:hAnsi="宋体" w:cs="宋体"/>
          <w:b/>
          <w:bCs/>
          <w:color w:val="auto"/>
          <w:szCs w:val="21"/>
          <w:highlight w:val="none"/>
        </w:rPr>
        <w:t>9.1资格文件</w:t>
      </w:r>
    </w:p>
    <w:p>
      <w:pPr>
        <w:tabs>
          <w:tab w:val="left" w:pos="720"/>
        </w:tabs>
        <w:adjustRightInd w:val="0"/>
        <w:snapToGrid w:val="0"/>
        <w:spacing w:line="360" w:lineRule="auto"/>
        <w:ind w:left="420"/>
        <w:jc w:val="left"/>
        <w:rPr>
          <w:rFonts w:hint="eastAsia" w:ascii="宋体" w:hAnsi="宋体" w:eastAsia="宋体" w:cs="宋体"/>
          <w:b w:val="0"/>
          <w:bCs/>
          <w:snapToGrid w:val="0"/>
          <w:color w:val="auto"/>
          <w:kern w:val="0"/>
          <w:szCs w:val="21"/>
          <w:highlight w:val="none"/>
          <w:lang w:eastAsia="zh-CN"/>
        </w:rPr>
      </w:pPr>
      <w:r>
        <w:rPr>
          <w:rFonts w:hint="eastAsia" w:ascii="宋体" w:hAnsi="宋体" w:eastAsia="宋体" w:cs="宋体"/>
          <w:b w:val="0"/>
          <w:bCs/>
          <w:snapToGrid w:val="0"/>
          <w:color w:val="auto"/>
          <w:kern w:val="0"/>
          <w:szCs w:val="21"/>
          <w:highlight w:val="none"/>
          <w:lang w:eastAsia="zh-CN"/>
        </w:rPr>
        <w:t>如下为资格证明材料所需内容：</w:t>
      </w:r>
    </w:p>
    <w:p>
      <w:pPr>
        <w:tabs>
          <w:tab w:val="left" w:pos="720"/>
        </w:tabs>
        <w:adjustRightInd w:val="0"/>
        <w:snapToGrid w:val="0"/>
        <w:spacing w:line="360" w:lineRule="auto"/>
        <w:ind w:left="420"/>
        <w:jc w:val="left"/>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（1）基本资格条件：符合《中华人民共和国政府采购法》第二十二条的规定；</w:t>
      </w:r>
    </w:p>
    <w:p>
      <w:pPr>
        <w:tabs>
          <w:tab w:val="left" w:pos="720"/>
        </w:tabs>
        <w:adjustRightInd w:val="0"/>
        <w:snapToGrid w:val="0"/>
        <w:spacing w:line="360" w:lineRule="auto"/>
        <w:ind w:firstLine="422" w:firstLineChars="200"/>
        <w:jc w:val="left"/>
        <w:rPr>
          <w:rFonts w:hint="default" w:ascii="宋体" w:hAnsi="宋体" w:eastAsia="宋体" w:cs="宋体"/>
          <w:b/>
          <w:snapToGrid w:val="0"/>
          <w:color w:val="auto"/>
          <w:kern w:val="0"/>
          <w:szCs w:val="21"/>
          <w:highlight w:val="none"/>
          <w:lang w:val="en-US" w:eastAsia="zh-CN"/>
        </w:rPr>
      </w:pPr>
      <w:r>
        <w:rPr>
          <w:rFonts w:hint="eastAsia" w:ascii="宋体" w:hAnsi="宋体" w:cs="宋体"/>
          <w:b/>
          <w:snapToGrid w:val="0"/>
          <w:color w:val="auto"/>
          <w:kern w:val="0"/>
          <w:szCs w:val="21"/>
          <w:highlight w:val="none"/>
        </w:rPr>
        <w:t>各投标人须在投标文件中出具对应证明材料。</w:t>
      </w:r>
      <w:r>
        <w:rPr>
          <w:rFonts w:hint="eastAsia" w:ascii="宋体" w:hAnsi="宋体" w:eastAsia="宋体" w:cs="宋体"/>
          <w:b/>
          <w:snapToGrid w:val="0"/>
          <w:color w:val="auto"/>
          <w:kern w:val="0"/>
          <w:szCs w:val="21"/>
          <w:highlight w:val="none"/>
          <w:lang w:eastAsia="zh-CN"/>
        </w:rPr>
        <w:t>（</w:t>
      </w:r>
      <w:r>
        <w:rPr>
          <w:rFonts w:hint="eastAsia" w:ascii="宋体" w:hAnsi="宋体" w:eastAsia="宋体" w:cs="宋体"/>
          <w:b/>
          <w:snapToGrid w:val="0"/>
          <w:color w:val="auto"/>
          <w:kern w:val="0"/>
          <w:szCs w:val="21"/>
          <w:highlight w:val="none"/>
          <w:lang w:val="en-US" w:eastAsia="zh-CN"/>
        </w:rPr>
        <w:t>商业信誉可提前自查，投标文件中可不提供）</w:t>
      </w:r>
    </w:p>
    <w:p>
      <w:pPr>
        <w:pStyle w:val="17"/>
        <w:numPr>
          <w:ilvl w:val="0"/>
          <w:numId w:val="7"/>
        </w:numPr>
        <w:tabs>
          <w:tab w:val="left" w:pos="630"/>
          <w:tab w:val="left" w:pos="840"/>
          <w:tab w:val="left" w:pos="1050"/>
        </w:tabs>
        <w:adjustRightInd w:val="0"/>
        <w:snapToGrid w:val="0"/>
        <w:spacing w:before="0" w:beforeAutospacing="0" w:after="0" w:afterAutospacing="0" w:line="360" w:lineRule="auto"/>
        <w:ind w:hanging="5"/>
        <w:rPr>
          <w:rFonts w:hint="eastAsia" w:ascii="宋体" w:hAnsi="宋体" w:cs="宋体"/>
          <w:b/>
          <w:bCs/>
          <w:color w:val="auto"/>
          <w:sz w:val="21"/>
          <w:szCs w:val="21"/>
          <w:highlight w:val="none"/>
        </w:rPr>
      </w:pPr>
      <w:r>
        <w:rPr>
          <w:rFonts w:hint="eastAsia" w:ascii="宋体" w:hAnsi="宋体" w:eastAsia="宋体" w:cs="宋体"/>
          <w:b/>
          <w:bCs/>
          <w:color w:val="auto"/>
          <w:sz w:val="21"/>
          <w:szCs w:val="21"/>
          <w:highlight w:val="none"/>
          <w:lang w:eastAsia="zh-CN"/>
        </w:rPr>
        <w:t>具有独立承担民事责任能力的证明材料；</w:t>
      </w:r>
    </w:p>
    <w:p>
      <w:pPr>
        <w:pStyle w:val="17"/>
        <w:tabs>
          <w:tab w:val="left" w:pos="630"/>
          <w:tab w:val="left" w:pos="840"/>
          <w:tab w:val="left" w:pos="1050"/>
        </w:tabs>
        <w:adjustRightInd w:val="0"/>
        <w:snapToGrid w:val="0"/>
        <w:spacing w:before="0" w:beforeAutospacing="0" w:after="0" w:afterAutospacing="0" w:line="360" w:lineRule="auto"/>
        <w:ind w:left="42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投标人须在投标文件中出具符合以下情况的证明材料复印件（五选一）：</w:t>
      </w:r>
    </w:p>
    <w:p>
      <w:pPr>
        <w:pStyle w:val="17"/>
        <w:numPr>
          <w:ilvl w:val="0"/>
          <w:numId w:val="8"/>
        </w:numPr>
        <w:tabs>
          <w:tab w:val="left" w:pos="312"/>
        </w:tabs>
        <w:adjustRightInd w:val="0"/>
        <w:snapToGrid w:val="0"/>
        <w:spacing w:before="0" w:beforeAutospacing="0" w:after="0" w:afterAutospacing="0"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如投标人是企业（包括合伙企业），提供在工商部门注册的有效“企业法人营业执照”或“营业执照”；</w:t>
      </w:r>
    </w:p>
    <w:p>
      <w:pPr>
        <w:pStyle w:val="17"/>
        <w:numPr>
          <w:ilvl w:val="0"/>
          <w:numId w:val="8"/>
        </w:numPr>
        <w:tabs>
          <w:tab w:val="left" w:pos="312"/>
        </w:tabs>
        <w:adjustRightInd w:val="0"/>
        <w:snapToGrid w:val="0"/>
        <w:spacing w:before="0" w:beforeAutospacing="0" w:after="0" w:afterAutospacing="0"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如投标人是事业单位，提供有效的“事业单位法人证书”；</w:t>
      </w:r>
    </w:p>
    <w:p>
      <w:pPr>
        <w:pStyle w:val="17"/>
        <w:numPr>
          <w:ilvl w:val="0"/>
          <w:numId w:val="8"/>
        </w:numPr>
        <w:tabs>
          <w:tab w:val="left" w:pos="312"/>
        </w:tabs>
        <w:adjustRightInd w:val="0"/>
        <w:snapToGrid w:val="0"/>
        <w:spacing w:before="0" w:beforeAutospacing="0" w:after="0" w:afterAutospacing="0"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如投标人是非企业专业服务机构的，提供执业许可证等证明文件；</w:t>
      </w:r>
    </w:p>
    <w:p>
      <w:pPr>
        <w:pStyle w:val="17"/>
        <w:numPr>
          <w:ilvl w:val="0"/>
          <w:numId w:val="8"/>
        </w:numPr>
        <w:tabs>
          <w:tab w:val="left" w:pos="312"/>
        </w:tabs>
        <w:adjustRightInd w:val="0"/>
        <w:snapToGrid w:val="0"/>
        <w:spacing w:before="0" w:beforeAutospacing="0" w:after="0" w:afterAutospacing="0"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如投标人是个体工商户，提供有效的“个体工商户营业执照”；</w:t>
      </w:r>
    </w:p>
    <w:p>
      <w:pPr>
        <w:pStyle w:val="17"/>
        <w:numPr>
          <w:ilvl w:val="0"/>
          <w:numId w:val="8"/>
        </w:numPr>
        <w:tabs>
          <w:tab w:val="left" w:pos="312"/>
        </w:tabs>
        <w:adjustRightInd w:val="0"/>
        <w:snapToGrid w:val="0"/>
        <w:spacing w:before="0" w:beforeAutospacing="0" w:after="0" w:afterAutospacing="0"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如投标人是自然人，提供有效的自然人身份证明（居民身份证正反面或公安机关出具的临时居民身份证正反面或港澳台胞证或护照）。</w:t>
      </w:r>
    </w:p>
    <w:p>
      <w:pPr>
        <w:pStyle w:val="17"/>
        <w:numPr>
          <w:ilvl w:val="0"/>
          <w:numId w:val="0"/>
        </w:numPr>
        <w:tabs>
          <w:tab w:val="left" w:pos="630"/>
          <w:tab w:val="left" w:pos="840"/>
          <w:tab w:val="left" w:pos="1050"/>
        </w:tabs>
        <w:adjustRightInd w:val="0"/>
        <w:snapToGrid w:val="0"/>
        <w:spacing w:before="0" w:beforeAutospacing="0" w:after="0" w:afterAutospacing="0"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r>
        <w:rPr>
          <w:rFonts w:hint="eastAsia" w:ascii="宋体" w:hAnsi="宋体" w:eastAsia="宋体" w:cs="宋体"/>
          <w:b/>
          <w:bCs/>
          <w:color w:val="auto"/>
          <w:sz w:val="21"/>
          <w:szCs w:val="21"/>
          <w:highlight w:val="none"/>
          <w:lang w:eastAsia="zh-CN"/>
        </w:rPr>
        <w:t>。</w:t>
      </w:r>
    </w:p>
    <w:p>
      <w:pPr>
        <w:pStyle w:val="17"/>
        <w:numPr>
          <w:ilvl w:val="0"/>
          <w:numId w:val="7"/>
        </w:numPr>
        <w:shd w:val="clear" w:color="auto" w:fill="FFFFFF"/>
        <w:tabs>
          <w:tab w:val="left" w:pos="630"/>
          <w:tab w:val="left" w:pos="840"/>
          <w:tab w:val="left" w:pos="1050"/>
        </w:tabs>
        <w:adjustRightInd w:val="0"/>
        <w:snapToGrid w:val="0"/>
        <w:spacing w:before="0" w:beforeAutospacing="0" w:after="0" w:afterAutospacing="0" w:line="360" w:lineRule="auto"/>
        <w:ind w:left="5" w:leftChars="0" w:firstLine="415" w:firstLineChars="0"/>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符合参与政府采购活动资格条件的承诺函；（参考格式见本文件第六部分）</w:t>
      </w:r>
    </w:p>
    <w:p>
      <w:pPr>
        <w:pStyle w:val="17"/>
        <w:numPr>
          <w:ilvl w:val="0"/>
          <w:numId w:val="0"/>
        </w:numPr>
        <w:shd w:val="clear" w:color="auto" w:fill="FFFFFF"/>
        <w:tabs>
          <w:tab w:val="left" w:pos="630"/>
          <w:tab w:val="left" w:pos="840"/>
          <w:tab w:val="left" w:pos="1050"/>
        </w:tabs>
        <w:adjustRightInd w:val="0"/>
        <w:snapToGrid w:val="0"/>
        <w:spacing w:before="0" w:beforeAutospacing="0" w:after="0" w:afterAutospacing="0" w:line="360" w:lineRule="auto"/>
        <w:ind w:left="0" w:leftChars="0" w:firstLine="491" w:firstLineChars="233"/>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eastAsia="zh-CN"/>
        </w:rPr>
        <w:t>特别说明：已完成信用修复的“缴纳税收和社会保障等方面的失信记录”不包含在《承诺函》第3点所述情形内（属于重大违法纪录情形的除外）。</w:t>
      </w:r>
    </w:p>
    <w:p>
      <w:pPr>
        <w:pStyle w:val="17"/>
        <w:numPr>
          <w:ilvl w:val="0"/>
          <w:numId w:val="7"/>
        </w:numPr>
        <w:shd w:val="clear" w:color="auto" w:fill="FFFFFF"/>
        <w:tabs>
          <w:tab w:val="left" w:pos="630"/>
          <w:tab w:val="left" w:pos="840"/>
          <w:tab w:val="left" w:pos="1050"/>
        </w:tabs>
        <w:adjustRightInd w:val="0"/>
        <w:snapToGrid w:val="0"/>
        <w:spacing w:before="0" w:beforeAutospacing="0" w:after="0" w:afterAutospacing="0" w:line="360" w:lineRule="auto"/>
        <w:ind w:hanging="5"/>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商业信誉：</w:t>
      </w:r>
    </w:p>
    <w:p>
      <w:pPr>
        <w:pStyle w:val="17"/>
        <w:adjustRightInd w:val="0"/>
        <w:snapToGrid w:val="0"/>
        <w:spacing w:before="0" w:beforeAutospacing="0" w:after="0" w:afterAutospacing="0" w:line="360" w:lineRule="auto"/>
        <w:ind w:firstLine="416" w:firstLineChars="209"/>
        <w:rPr>
          <w:rFonts w:hint="eastAsia" w:ascii="宋体" w:hAnsi="宋体" w:cs="宋体"/>
          <w:b/>
          <w:color w:val="auto"/>
          <w:spacing w:val="-6"/>
          <w:sz w:val="21"/>
          <w:szCs w:val="21"/>
          <w:highlight w:val="none"/>
        </w:rPr>
      </w:pPr>
      <w:r>
        <w:rPr>
          <w:rFonts w:hint="eastAsia" w:ascii="宋体" w:hAnsi="宋体" w:cs="宋体"/>
          <w:b/>
          <w:color w:val="auto"/>
          <w:spacing w:val="-6"/>
          <w:sz w:val="21"/>
          <w:szCs w:val="21"/>
          <w:highlight w:val="none"/>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pStyle w:val="17"/>
        <w:adjustRightInd w:val="0"/>
        <w:snapToGrid w:val="0"/>
        <w:spacing w:before="0" w:beforeAutospacing="0" w:after="0" w:afterAutospacing="0" w:line="360" w:lineRule="auto"/>
        <w:ind w:firstLine="416" w:firstLineChars="209"/>
        <w:rPr>
          <w:rFonts w:hint="eastAsia" w:ascii="宋体" w:hAnsi="宋体" w:cs="宋体"/>
          <w:b/>
          <w:color w:val="auto"/>
          <w:spacing w:val="-6"/>
          <w:sz w:val="21"/>
          <w:szCs w:val="21"/>
          <w:highlight w:val="none"/>
        </w:rPr>
      </w:pPr>
      <w:r>
        <w:rPr>
          <w:rFonts w:hint="eastAsia" w:ascii="宋体" w:hAnsi="宋体" w:cs="宋体"/>
          <w:b/>
          <w:color w:val="auto"/>
          <w:spacing w:val="-6"/>
          <w:sz w:val="21"/>
          <w:szCs w:val="21"/>
          <w:highlight w:val="none"/>
        </w:rPr>
        <w:t>经查询列入失信被执行人、重大税收违法案件当事人名单、政府采购严重违法失信行为记录名单，截至本项目开标前三年内因违法经营收到刑事处罚或者责令停产停业、吊销许可证或者执照、较大数额罚款等行政处罚的，其投标无效，无效投标人的信用记录查询结果截图将作为项目材料的组成部分。</w:t>
      </w:r>
    </w:p>
    <w:p>
      <w:pPr>
        <w:pStyle w:val="17"/>
        <w:adjustRightInd w:val="0"/>
        <w:snapToGrid w:val="0"/>
        <w:spacing w:before="0" w:beforeAutospacing="0" w:after="0" w:afterAutospacing="0" w:line="360" w:lineRule="auto"/>
        <w:ind w:firstLine="416" w:firstLineChars="209"/>
        <w:rPr>
          <w:rFonts w:hint="eastAsia" w:ascii="宋体" w:hAnsi="宋体" w:cs="宋体"/>
          <w:b/>
          <w:color w:val="auto"/>
          <w:spacing w:val="-6"/>
          <w:sz w:val="21"/>
          <w:szCs w:val="21"/>
          <w:highlight w:val="none"/>
        </w:rPr>
      </w:pPr>
      <w:r>
        <w:rPr>
          <w:rFonts w:hint="eastAsia" w:ascii="宋体" w:hAnsi="宋体" w:cs="宋体"/>
          <w:b/>
          <w:color w:val="auto"/>
          <w:spacing w:val="-6"/>
          <w:sz w:val="21"/>
          <w:szCs w:val="21"/>
          <w:highlight w:val="none"/>
          <w:lang w:eastAsia="zh-CN"/>
        </w:rPr>
        <w:t>说明：</w:t>
      </w:r>
      <w:r>
        <w:rPr>
          <w:rFonts w:hint="eastAsia" w:ascii="宋体" w:hAnsi="宋体" w:cs="宋体"/>
          <w:b/>
          <w:color w:val="auto"/>
          <w:spacing w:val="-6"/>
          <w:sz w:val="21"/>
          <w:szCs w:val="21"/>
          <w:highlight w:val="none"/>
        </w:rPr>
        <w:t>较大数额罚款的认定，以判罚机关所在地或相关部门明确的听证范围为准。</w:t>
      </w:r>
    </w:p>
    <w:p>
      <w:pPr>
        <w:keepNext w:val="0"/>
        <w:keepLines w:val="0"/>
        <w:pageBreakBefore w:val="0"/>
        <w:widowControl w:val="0"/>
        <w:numPr>
          <w:ilvl w:val="0"/>
          <w:numId w:val="9"/>
        </w:numPr>
        <w:tabs>
          <w:tab w:val="left" w:pos="720"/>
        </w:tabs>
        <w:kinsoku/>
        <w:wordWrap/>
        <w:overflowPunct/>
        <w:topLinePunct w:val="0"/>
        <w:autoSpaceDE/>
        <w:autoSpaceDN/>
        <w:bidi w:val="0"/>
        <w:adjustRightInd w:val="0"/>
        <w:snapToGrid w:val="0"/>
        <w:spacing w:line="360" w:lineRule="auto"/>
        <w:ind w:left="-2" w:firstLine="422" w:firstLineChars="0"/>
        <w:jc w:val="left"/>
        <w:textAlignment w:val="auto"/>
        <w:rPr>
          <w:rFonts w:hint="eastAsia" w:ascii="宋体" w:hAnsi="宋体" w:eastAsia="宋体" w:cs="宋体"/>
          <w:b/>
          <w:snapToGrid w:val="0"/>
          <w:color w:val="auto"/>
          <w:kern w:val="0"/>
          <w:sz w:val="21"/>
          <w:szCs w:val="21"/>
          <w:highlight w:val="none"/>
          <w:lang w:eastAsia="zh-CN"/>
        </w:rPr>
      </w:pPr>
      <w:r>
        <w:rPr>
          <w:rFonts w:hint="eastAsia" w:ascii="宋体" w:hAnsi="宋体" w:eastAsia="宋体" w:cs="宋体"/>
          <w:b/>
          <w:snapToGrid w:val="0"/>
          <w:color w:val="auto"/>
          <w:kern w:val="0"/>
          <w:sz w:val="21"/>
          <w:szCs w:val="21"/>
          <w:highlight w:val="none"/>
          <w:lang w:eastAsia="zh-CN"/>
        </w:rPr>
        <w:t>落实政府采购政策需满足的资格要求所对应的证明材料：无</w:t>
      </w: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20"/>
        <w:textAlignment w:val="auto"/>
        <w:rPr>
          <w:rFonts w:hint="eastAsia" w:ascii="宋体" w:hAnsi="宋体" w:eastAsia="宋体" w:cs="宋体"/>
          <w:b/>
          <w:i/>
          <w:iCs/>
          <w:snapToGrid w:val="0"/>
          <w:color w:val="auto"/>
          <w:kern w:val="0"/>
          <w:sz w:val="21"/>
          <w:szCs w:val="21"/>
          <w:highlight w:val="none"/>
          <w:lang w:eastAsia="zh-CN"/>
        </w:rPr>
      </w:pPr>
      <w:r>
        <w:rPr>
          <w:rFonts w:hint="eastAsia" w:ascii="宋体" w:hAnsi="宋体" w:eastAsia="宋体" w:cs="宋体"/>
          <w:b/>
          <w:snapToGrid w:val="0"/>
          <w:color w:val="auto"/>
          <w:kern w:val="0"/>
          <w:sz w:val="21"/>
          <w:szCs w:val="21"/>
          <w:highlight w:val="none"/>
          <w:lang w:eastAsia="zh-CN"/>
        </w:rPr>
        <w:t>（</w:t>
      </w:r>
      <w:r>
        <w:rPr>
          <w:rFonts w:hint="eastAsia" w:ascii="宋体" w:hAnsi="宋体" w:eastAsia="宋体" w:cs="宋体"/>
          <w:b/>
          <w:snapToGrid w:val="0"/>
          <w:color w:val="auto"/>
          <w:kern w:val="0"/>
          <w:sz w:val="21"/>
          <w:szCs w:val="21"/>
          <w:highlight w:val="none"/>
          <w:lang w:val="en-US" w:eastAsia="zh-CN"/>
        </w:rPr>
        <w:t>3）</w:t>
      </w:r>
      <w:r>
        <w:rPr>
          <w:rFonts w:hint="eastAsia" w:ascii="宋体" w:hAnsi="宋体" w:eastAsia="宋体" w:cs="宋体"/>
          <w:b/>
          <w:snapToGrid w:val="0"/>
          <w:color w:val="auto"/>
          <w:kern w:val="0"/>
          <w:sz w:val="21"/>
          <w:szCs w:val="21"/>
          <w:highlight w:val="none"/>
        </w:rPr>
        <w:t>特定资格条件</w:t>
      </w:r>
      <w:r>
        <w:rPr>
          <w:rFonts w:hint="eastAsia" w:ascii="宋体" w:hAnsi="宋体" w:eastAsia="宋体" w:cs="宋体"/>
          <w:b/>
          <w:snapToGrid w:val="0"/>
          <w:color w:val="auto"/>
          <w:kern w:val="0"/>
          <w:sz w:val="21"/>
          <w:szCs w:val="21"/>
          <w:highlight w:val="none"/>
          <w:lang w:eastAsia="zh-CN"/>
        </w:rPr>
        <w:t>对应的证明材料</w:t>
      </w:r>
      <w:r>
        <w:rPr>
          <w:rFonts w:hint="eastAsia" w:ascii="宋体" w:hAnsi="宋体" w:eastAsia="宋体" w:cs="宋体"/>
          <w:b/>
          <w:snapToGrid w:val="0"/>
          <w:color w:val="auto"/>
          <w:kern w:val="0"/>
          <w:sz w:val="21"/>
          <w:szCs w:val="21"/>
          <w:highlight w:val="none"/>
        </w:rPr>
        <w:t>：</w:t>
      </w:r>
      <w:r>
        <w:rPr>
          <w:rFonts w:hint="eastAsia" w:ascii="宋体" w:hAnsi="宋体" w:eastAsia="宋体" w:cs="宋体"/>
          <w:b/>
          <w:i/>
          <w:iCs/>
          <w:snapToGrid w:val="0"/>
          <w:color w:val="auto"/>
          <w:kern w:val="0"/>
          <w:sz w:val="21"/>
          <w:szCs w:val="21"/>
          <w:highlight w:val="none"/>
          <w:lang w:val="en-US" w:eastAsia="zh-CN"/>
        </w:rPr>
        <w:t>无</w:t>
      </w:r>
    </w:p>
    <w:p>
      <w:pPr>
        <w:keepNext w:val="0"/>
        <w:keepLines w:val="0"/>
        <w:pageBreakBefore w:val="0"/>
        <w:widowControl w:val="0"/>
        <w:numPr>
          <w:ilvl w:val="0"/>
          <w:numId w:val="0"/>
        </w:numPr>
        <w:tabs>
          <w:tab w:val="left" w:pos="720"/>
        </w:tabs>
        <w:kinsoku/>
        <w:wordWrap/>
        <w:overflowPunct/>
        <w:topLinePunct w:val="0"/>
        <w:autoSpaceDE/>
        <w:autoSpaceDN/>
        <w:bidi w:val="0"/>
        <w:snapToGrid w:val="0"/>
        <w:spacing w:line="360" w:lineRule="auto"/>
        <w:ind w:firstLine="422" w:firstLineChars="200"/>
        <w:textAlignment w:val="auto"/>
        <w:rPr>
          <w:rFonts w:hint="eastAsia" w:ascii="宋体" w:hAnsi="宋体" w:eastAsia="宋体" w:cs="宋体"/>
          <w:b/>
          <w:snapToGrid w:val="0"/>
          <w:color w:val="auto"/>
          <w:kern w:val="0"/>
          <w:sz w:val="21"/>
          <w:szCs w:val="21"/>
          <w:highlight w:val="none"/>
          <w:lang w:eastAsia="zh-CN"/>
        </w:rPr>
      </w:pPr>
      <w:r>
        <w:rPr>
          <w:rFonts w:hint="eastAsia" w:ascii="宋体" w:hAnsi="宋体" w:eastAsia="宋体" w:cs="宋体"/>
          <w:b/>
          <w:snapToGrid w:val="0"/>
          <w:color w:val="auto"/>
          <w:kern w:val="0"/>
          <w:sz w:val="21"/>
          <w:szCs w:val="21"/>
          <w:highlight w:val="none"/>
          <w:lang w:eastAsia="zh-CN"/>
        </w:rPr>
        <w:t>（</w:t>
      </w:r>
      <w:r>
        <w:rPr>
          <w:rFonts w:hint="eastAsia" w:ascii="宋体" w:hAnsi="宋体" w:eastAsia="宋体" w:cs="宋体"/>
          <w:b/>
          <w:snapToGrid w:val="0"/>
          <w:color w:val="auto"/>
          <w:kern w:val="0"/>
          <w:sz w:val="21"/>
          <w:szCs w:val="21"/>
          <w:highlight w:val="none"/>
          <w:lang w:val="en-US" w:eastAsia="zh-CN"/>
        </w:rPr>
        <w:t>4</w:t>
      </w:r>
      <w:r>
        <w:rPr>
          <w:rFonts w:hint="eastAsia" w:ascii="宋体" w:hAnsi="宋体" w:eastAsia="宋体" w:cs="宋体"/>
          <w:b/>
          <w:snapToGrid w:val="0"/>
          <w:color w:val="auto"/>
          <w:kern w:val="0"/>
          <w:sz w:val="21"/>
          <w:szCs w:val="21"/>
          <w:highlight w:val="none"/>
          <w:lang w:eastAsia="zh-CN"/>
        </w:rPr>
        <w:t>）联合体协议（如有）</w:t>
      </w:r>
    </w:p>
    <w:p>
      <w:pPr>
        <w:keepNext w:val="0"/>
        <w:keepLines w:val="0"/>
        <w:pageBreakBefore w:val="0"/>
        <w:widowControl w:val="0"/>
        <w:numPr>
          <w:ilvl w:val="0"/>
          <w:numId w:val="0"/>
        </w:numPr>
        <w:tabs>
          <w:tab w:val="left" w:pos="720"/>
        </w:tabs>
        <w:kinsoku/>
        <w:wordWrap/>
        <w:overflowPunct/>
        <w:topLinePunct w:val="0"/>
        <w:autoSpaceDE/>
        <w:autoSpaceDN/>
        <w:bidi w:val="0"/>
        <w:snapToGrid w:val="0"/>
        <w:spacing w:line="360" w:lineRule="auto"/>
        <w:ind w:firstLine="422" w:firstLineChars="200"/>
        <w:textAlignment w:val="auto"/>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rPr>
        <w:t xml:space="preserve">9.2 </w:t>
      </w:r>
      <w:r>
        <w:rPr>
          <w:rFonts w:hint="eastAsia" w:ascii="宋体" w:hAnsi="宋体" w:eastAsia="宋体" w:cs="宋体"/>
          <w:b/>
          <w:bCs/>
          <w:color w:val="auto"/>
          <w:szCs w:val="21"/>
          <w:highlight w:val="none"/>
          <w:lang w:eastAsia="zh-CN"/>
        </w:rPr>
        <w:t>商务技术文件</w:t>
      </w:r>
    </w:p>
    <w:p>
      <w:pPr>
        <w:keepNext w:val="0"/>
        <w:keepLines w:val="0"/>
        <w:pageBreakBefore w:val="0"/>
        <w:widowControl w:val="0"/>
        <w:numPr>
          <w:ilvl w:val="0"/>
          <w:numId w:val="0"/>
        </w:numPr>
        <w:tabs>
          <w:tab w:val="left" w:pos="720"/>
        </w:tabs>
        <w:kinsoku/>
        <w:wordWrap/>
        <w:overflowPunct/>
        <w:topLinePunct w:val="0"/>
        <w:autoSpaceDE/>
        <w:autoSpaceDN/>
        <w:bidi w:val="0"/>
        <w:snapToGrid w:val="0"/>
        <w:spacing w:line="360" w:lineRule="auto"/>
        <w:ind w:firstLine="422" w:firstLineChars="200"/>
        <w:textAlignment w:val="auto"/>
        <w:rPr>
          <w:rFonts w:hint="eastAsia" w:ascii="宋体" w:hAnsi="宋体" w:cs="宋体"/>
          <w:b/>
          <w:bCs/>
          <w:color w:val="auto"/>
          <w:szCs w:val="21"/>
          <w:highlight w:val="none"/>
          <w:lang w:val="en-US" w:eastAsia="zh-CN"/>
        </w:rPr>
      </w:pPr>
      <w:r>
        <w:rPr>
          <w:rFonts w:hint="eastAsia" w:ascii="宋体" w:hAnsi="宋体" w:cs="宋体"/>
          <w:b/>
          <w:bCs/>
          <w:color w:val="auto"/>
          <w:szCs w:val="21"/>
          <w:highlight w:val="none"/>
          <w:lang w:val="en-US" w:eastAsia="zh-CN"/>
        </w:rPr>
        <w:t>9.2.1商务文件</w:t>
      </w:r>
    </w:p>
    <w:p>
      <w:pPr>
        <w:keepNext w:val="0"/>
        <w:keepLines w:val="0"/>
        <w:pageBreakBefore w:val="0"/>
        <w:widowControl w:val="0"/>
        <w:numPr>
          <w:ilvl w:val="0"/>
          <w:numId w:val="0"/>
        </w:numPr>
        <w:tabs>
          <w:tab w:val="left" w:pos="720"/>
        </w:tabs>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包括但不限于以下内容：</w:t>
      </w:r>
    </w:p>
    <w:p>
      <w:pPr>
        <w:keepNext w:val="0"/>
        <w:keepLines w:val="0"/>
        <w:pageBreakBefore w:val="0"/>
        <w:widowControl w:val="0"/>
        <w:numPr>
          <w:ilvl w:val="0"/>
          <w:numId w:val="10"/>
        </w:numPr>
        <w:tabs>
          <w:tab w:val="left" w:pos="851"/>
          <w:tab w:val="left" w:pos="900"/>
          <w:tab w:val="left" w:pos="1080"/>
        </w:tabs>
        <w:kinsoku/>
        <w:wordWrap/>
        <w:overflowPunct/>
        <w:topLinePunct w:val="0"/>
        <w:autoSpaceDE/>
        <w:autoSpaceDN/>
        <w:bidi w:val="0"/>
        <w:adjustRightInd w:val="0"/>
        <w:snapToGrid w:val="0"/>
        <w:spacing w:line="360" w:lineRule="auto"/>
        <w:ind w:left="0" w:firstLine="340"/>
        <w:jc w:val="left"/>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评分索引表；</w:t>
      </w:r>
    </w:p>
    <w:p>
      <w:pPr>
        <w:keepNext w:val="0"/>
        <w:keepLines w:val="0"/>
        <w:pageBreakBefore w:val="0"/>
        <w:widowControl w:val="0"/>
        <w:numPr>
          <w:ilvl w:val="0"/>
          <w:numId w:val="10"/>
        </w:numPr>
        <w:tabs>
          <w:tab w:val="left" w:pos="851"/>
          <w:tab w:val="left" w:pos="900"/>
          <w:tab w:val="left" w:pos="1080"/>
        </w:tabs>
        <w:kinsoku/>
        <w:wordWrap/>
        <w:overflowPunct/>
        <w:topLinePunct w:val="0"/>
        <w:autoSpaceDE/>
        <w:autoSpaceDN/>
        <w:bidi w:val="0"/>
        <w:adjustRightInd w:val="0"/>
        <w:snapToGrid w:val="0"/>
        <w:spacing w:line="360" w:lineRule="auto"/>
        <w:ind w:left="0" w:firstLine="340"/>
        <w:jc w:val="left"/>
        <w:textAlignment w:val="auto"/>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投标函；</w:t>
      </w:r>
    </w:p>
    <w:p>
      <w:pPr>
        <w:keepNext w:val="0"/>
        <w:keepLines w:val="0"/>
        <w:pageBreakBefore w:val="0"/>
        <w:widowControl w:val="0"/>
        <w:numPr>
          <w:ilvl w:val="0"/>
          <w:numId w:val="10"/>
        </w:numPr>
        <w:tabs>
          <w:tab w:val="left" w:pos="851"/>
          <w:tab w:val="left" w:pos="900"/>
          <w:tab w:val="left" w:pos="1080"/>
        </w:tabs>
        <w:kinsoku/>
        <w:wordWrap/>
        <w:overflowPunct/>
        <w:topLinePunct w:val="0"/>
        <w:autoSpaceDE/>
        <w:autoSpaceDN/>
        <w:bidi w:val="0"/>
        <w:adjustRightInd w:val="0"/>
        <w:snapToGrid w:val="0"/>
        <w:spacing w:line="360" w:lineRule="auto"/>
        <w:ind w:left="0" w:firstLine="340"/>
        <w:jc w:val="left"/>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投标响应一览表；</w:t>
      </w:r>
    </w:p>
    <w:p>
      <w:pPr>
        <w:keepNext w:val="0"/>
        <w:keepLines w:val="0"/>
        <w:pageBreakBefore w:val="0"/>
        <w:widowControl w:val="0"/>
        <w:numPr>
          <w:ilvl w:val="0"/>
          <w:numId w:val="10"/>
        </w:numPr>
        <w:tabs>
          <w:tab w:val="left" w:pos="851"/>
          <w:tab w:val="left" w:pos="900"/>
          <w:tab w:val="left" w:pos="1080"/>
        </w:tabs>
        <w:kinsoku/>
        <w:wordWrap/>
        <w:overflowPunct/>
        <w:topLinePunct w:val="0"/>
        <w:autoSpaceDE/>
        <w:autoSpaceDN/>
        <w:bidi w:val="0"/>
        <w:adjustRightInd w:val="0"/>
        <w:snapToGrid w:val="0"/>
        <w:spacing w:line="360" w:lineRule="auto"/>
        <w:ind w:left="0" w:firstLine="340"/>
        <w:jc w:val="left"/>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投标人基本情况表；</w:t>
      </w:r>
    </w:p>
    <w:p>
      <w:pPr>
        <w:keepNext w:val="0"/>
        <w:keepLines w:val="0"/>
        <w:pageBreakBefore w:val="0"/>
        <w:widowControl w:val="0"/>
        <w:numPr>
          <w:ilvl w:val="0"/>
          <w:numId w:val="10"/>
        </w:numPr>
        <w:tabs>
          <w:tab w:val="left" w:pos="851"/>
          <w:tab w:val="left" w:pos="900"/>
          <w:tab w:val="left" w:pos="1080"/>
        </w:tabs>
        <w:kinsoku/>
        <w:wordWrap/>
        <w:overflowPunct/>
        <w:topLinePunct w:val="0"/>
        <w:autoSpaceDE/>
        <w:autoSpaceDN/>
        <w:bidi w:val="0"/>
        <w:adjustRightInd w:val="0"/>
        <w:snapToGrid w:val="0"/>
        <w:spacing w:line="360" w:lineRule="auto"/>
        <w:ind w:left="0" w:firstLine="340"/>
        <w:jc w:val="left"/>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授权</w:t>
      </w:r>
      <w:r>
        <w:rPr>
          <w:rFonts w:hint="eastAsia" w:ascii="宋体" w:hAnsi="宋体" w:eastAsia="宋体" w:cs="宋体"/>
          <w:snapToGrid w:val="0"/>
          <w:color w:val="auto"/>
          <w:kern w:val="0"/>
          <w:szCs w:val="21"/>
          <w:highlight w:val="none"/>
          <w:lang w:eastAsia="zh-CN"/>
        </w:rPr>
        <w:t>委托</w:t>
      </w:r>
      <w:r>
        <w:rPr>
          <w:rFonts w:hint="eastAsia" w:ascii="宋体" w:hAnsi="宋体" w:eastAsia="宋体" w:cs="宋体"/>
          <w:snapToGrid w:val="0"/>
          <w:color w:val="auto"/>
          <w:kern w:val="0"/>
          <w:szCs w:val="21"/>
          <w:highlight w:val="none"/>
        </w:rPr>
        <w:t>书，同时须附授权委托</w:t>
      </w:r>
      <w:r>
        <w:rPr>
          <w:rFonts w:hint="eastAsia" w:ascii="宋体" w:hAnsi="宋体" w:eastAsia="宋体" w:cs="宋体"/>
          <w:snapToGrid w:val="0"/>
          <w:color w:val="auto"/>
          <w:kern w:val="0"/>
          <w:szCs w:val="21"/>
          <w:highlight w:val="none"/>
          <w:lang w:eastAsia="zh-CN"/>
        </w:rPr>
        <w:t>人</w:t>
      </w:r>
      <w:r>
        <w:rPr>
          <w:rFonts w:hint="eastAsia" w:ascii="宋体" w:hAnsi="宋体" w:eastAsia="宋体" w:cs="宋体"/>
          <w:snapToGrid w:val="0"/>
          <w:color w:val="auto"/>
          <w:kern w:val="0"/>
          <w:szCs w:val="21"/>
          <w:highlight w:val="none"/>
        </w:rPr>
        <w:t>的有效身份证复印件</w:t>
      </w:r>
      <w:r>
        <w:rPr>
          <w:rFonts w:hint="eastAsia" w:ascii="宋体" w:hAnsi="宋体" w:eastAsia="宋体" w:cs="宋体"/>
          <w:snapToGrid w:val="0"/>
          <w:color w:val="auto"/>
          <w:kern w:val="0"/>
          <w:szCs w:val="21"/>
          <w:highlight w:val="none"/>
          <w:lang w:eastAsia="zh-CN"/>
        </w:rPr>
        <w:t>；</w:t>
      </w:r>
    </w:p>
    <w:p>
      <w:pPr>
        <w:keepNext w:val="0"/>
        <w:keepLines w:val="0"/>
        <w:pageBreakBefore w:val="0"/>
        <w:widowControl w:val="0"/>
        <w:numPr>
          <w:ilvl w:val="0"/>
          <w:numId w:val="10"/>
        </w:numPr>
        <w:tabs>
          <w:tab w:val="left" w:pos="851"/>
          <w:tab w:val="left" w:pos="900"/>
          <w:tab w:val="left" w:pos="1080"/>
        </w:tabs>
        <w:kinsoku/>
        <w:wordWrap/>
        <w:overflowPunct/>
        <w:topLinePunct w:val="0"/>
        <w:autoSpaceDE/>
        <w:autoSpaceDN/>
        <w:bidi w:val="0"/>
        <w:adjustRightInd w:val="0"/>
        <w:snapToGrid w:val="0"/>
        <w:spacing w:line="360" w:lineRule="auto"/>
        <w:ind w:left="0" w:firstLine="340"/>
        <w:jc w:val="left"/>
        <w:textAlignment w:val="auto"/>
        <w:rPr>
          <w:rFonts w:hint="default" w:ascii="宋体" w:hAnsi="宋体" w:eastAsia="宋体" w:cs="宋体"/>
          <w:snapToGrid w:val="0"/>
          <w:color w:val="auto"/>
          <w:kern w:val="0"/>
          <w:szCs w:val="21"/>
          <w:highlight w:val="none"/>
          <w:lang w:val="en-US" w:eastAsia="zh-CN"/>
        </w:rPr>
      </w:pPr>
      <w:r>
        <w:rPr>
          <w:rFonts w:hint="default" w:ascii="宋体" w:hAnsi="宋体" w:eastAsia="宋体" w:cs="宋体"/>
          <w:snapToGrid w:val="0"/>
          <w:color w:val="auto"/>
          <w:kern w:val="0"/>
          <w:szCs w:val="21"/>
          <w:highlight w:val="none"/>
          <w:lang w:val="en-US" w:eastAsia="zh-CN"/>
        </w:rPr>
        <w:t>政府采购供应商廉洁自律承诺书</w:t>
      </w:r>
      <w:r>
        <w:rPr>
          <w:rFonts w:hint="eastAsia" w:ascii="宋体" w:hAnsi="宋体" w:eastAsia="宋体" w:cs="宋体"/>
          <w:snapToGrid w:val="0"/>
          <w:color w:val="auto"/>
          <w:kern w:val="0"/>
          <w:szCs w:val="21"/>
          <w:highlight w:val="none"/>
          <w:lang w:val="en-US" w:eastAsia="zh-CN"/>
        </w:rPr>
        <w:t>；</w:t>
      </w:r>
    </w:p>
    <w:p>
      <w:pPr>
        <w:keepNext w:val="0"/>
        <w:keepLines w:val="0"/>
        <w:pageBreakBefore w:val="0"/>
        <w:widowControl w:val="0"/>
        <w:numPr>
          <w:ilvl w:val="0"/>
          <w:numId w:val="10"/>
        </w:numPr>
        <w:tabs>
          <w:tab w:val="left" w:pos="851"/>
          <w:tab w:val="left" w:pos="900"/>
          <w:tab w:val="left" w:pos="1080"/>
        </w:tabs>
        <w:kinsoku/>
        <w:wordWrap/>
        <w:overflowPunct/>
        <w:topLinePunct w:val="0"/>
        <w:autoSpaceDE/>
        <w:autoSpaceDN/>
        <w:bidi w:val="0"/>
        <w:adjustRightInd w:val="0"/>
        <w:snapToGrid w:val="0"/>
        <w:spacing w:line="360" w:lineRule="auto"/>
        <w:ind w:left="0" w:firstLine="340"/>
        <w:jc w:val="left"/>
        <w:textAlignment w:val="auto"/>
        <w:rPr>
          <w:rFonts w:hint="eastAsia" w:ascii="宋体" w:hAnsi="宋体" w:eastAsia="宋体" w:cs="宋体"/>
          <w:bCs/>
          <w:color w:val="auto"/>
          <w:szCs w:val="21"/>
          <w:highlight w:val="none"/>
        </w:rPr>
      </w:pPr>
      <w:r>
        <w:rPr>
          <w:rFonts w:hint="eastAsia" w:ascii="宋体" w:hAnsi="宋体" w:eastAsia="宋体" w:cs="宋体"/>
          <w:snapToGrid w:val="0"/>
          <w:color w:val="auto"/>
          <w:kern w:val="0"/>
          <w:szCs w:val="21"/>
          <w:highlight w:val="none"/>
        </w:rPr>
        <w:t>廉政承诺书；</w:t>
      </w:r>
    </w:p>
    <w:p>
      <w:pPr>
        <w:keepNext w:val="0"/>
        <w:keepLines w:val="0"/>
        <w:pageBreakBefore w:val="0"/>
        <w:widowControl w:val="0"/>
        <w:numPr>
          <w:ilvl w:val="0"/>
          <w:numId w:val="10"/>
        </w:numPr>
        <w:tabs>
          <w:tab w:val="left" w:pos="851"/>
          <w:tab w:val="left" w:pos="900"/>
          <w:tab w:val="left" w:pos="1080"/>
        </w:tabs>
        <w:kinsoku/>
        <w:wordWrap/>
        <w:overflowPunct/>
        <w:topLinePunct w:val="0"/>
        <w:autoSpaceDE/>
        <w:autoSpaceDN/>
        <w:bidi w:val="0"/>
        <w:adjustRightInd w:val="0"/>
        <w:snapToGrid w:val="0"/>
        <w:spacing w:line="360" w:lineRule="auto"/>
        <w:ind w:left="0" w:firstLine="340"/>
        <w:jc w:val="left"/>
        <w:textAlignment w:val="auto"/>
        <w:rPr>
          <w:rFonts w:hint="eastAsia" w:ascii="宋体" w:hAnsi="宋体" w:eastAsia="宋体" w:cs="宋体"/>
          <w:bCs/>
          <w:i w:val="0"/>
          <w:iCs w:val="0"/>
          <w:color w:val="auto"/>
          <w:szCs w:val="21"/>
          <w:highlight w:val="none"/>
        </w:rPr>
      </w:pPr>
      <w:r>
        <w:rPr>
          <w:rFonts w:hint="eastAsia" w:ascii="宋体" w:hAnsi="宋体" w:eastAsia="宋体" w:cs="宋体"/>
          <w:bCs/>
          <w:i w:val="0"/>
          <w:iCs w:val="0"/>
          <w:color w:val="auto"/>
          <w:szCs w:val="21"/>
          <w:highlight w:val="none"/>
        </w:rPr>
        <w:t>投标人拥有的其它资质、荣誉证书；（如有，出具复印件加盖公章）</w:t>
      </w:r>
    </w:p>
    <w:p>
      <w:pPr>
        <w:keepNext w:val="0"/>
        <w:keepLines w:val="0"/>
        <w:pageBreakBefore w:val="0"/>
        <w:widowControl w:val="0"/>
        <w:numPr>
          <w:ilvl w:val="0"/>
          <w:numId w:val="10"/>
        </w:numPr>
        <w:tabs>
          <w:tab w:val="left" w:pos="851"/>
          <w:tab w:val="left" w:pos="900"/>
          <w:tab w:val="left" w:pos="1080"/>
        </w:tabs>
        <w:kinsoku/>
        <w:wordWrap/>
        <w:overflowPunct/>
        <w:topLinePunct w:val="0"/>
        <w:autoSpaceDE/>
        <w:autoSpaceDN/>
        <w:bidi w:val="0"/>
        <w:adjustRightInd w:val="0"/>
        <w:snapToGrid w:val="0"/>
        <w:spacing w:line="360" w:lineRule="auto"/>
        <w:ind w:left="0" w:firstLine="340"/>
        <w:jc w:val="left"/>
        <w:textAlignment w:val="auto"/>
        <w:rPr>
          <w:rFonts w:hint="eastAsia" w:ascii="宋体" w:hAnsi="宋体" w:eastAsia="宋体" w:cs="宋体"/>
          <w:bCs/>
          <w:i w:val="0"/>
          <w:iCs w:val="0"/>
          <w:color w:val="auto"/>
          <w:szCs w:val="21"/>
          <w:highlight w:val="none"/>
        </w:rPr>
      </w:pPr>
      <w:r>
        <w:rPr>
          <w:rFonts w:hint="eastAsia" w:ascii="宋体" w:hAnsi="宋体" w:eastAsia="宋体" w:cs="宋体"/>
          <w:bCs/>
          <w:i w:val="0"/>
          <w:iCs w:val="0"/>
          <w:color w:val="auto"/>
          <w:szCs w:val="21"/>
          <w:highlight w:val="none"/>
        </w:rPr>
        <w:t>投标人曾承担过的</w:t>
      </w:r>
      <w:r>
        <w:rPr>
          <w:rFonts w:hint="eastAsia" w:ascii="宋体" w:hAnsi="宋体" w:eastAsia="宋体" w:cs="宋体"/>
          <w:bCs/>
          <w:i w:val="0"/>
          <w:iCs w:val="0"/>
          <w:color w:val="auto"/>
          <w:szCs w:val="21"/>
          <w:highlight w:val="none"/>
          <w:lang w:eastAsia="zh-CN"/>
        </w:rPr>
        <w:t>同类</w:t>
      </w:r>
      <w:r>
        <w:rPr>
          <w:rFonts w:hint="eastAsia" w:ascii="宋体" w:hAnsi="宋体" w:eastAsia="宋体" w:cs="宋体"/>
          <w:bCs/>
          <w:i w:val="0"/>
          <w:iCs w:val="0"/>
          <w:color w:val="auto"/>
          <w:szCs w:val="21"/>
          <w:highlight w:val="none"/>
        </w:rPr>
        <w:t>项目业绩情况（如有，须附清晰可辨的合同复印件。涉及评分项的，证明材料需满足评分细则的相关要求）；</w:t>
      </w:r>
    </w:p>
    <w:p>
      <w:pPr>
        <w:keepNext w:val="0"/>
        <w:keepLines w:val="0"/>
        <w:pageBreakBefore w:val="0"/>
        <w:widowControl w:val="0"/>
        <w:numPr>
          <w:ilvl w:val="0"/>
          <w:numId w:val="10"/>
        </w:numPr>
        <w:tabs>
          <w:tab w:val="left" w:pos="851"/>
          <w:tab w:val="left" w:pos="900"/>
          <w:tab w:val="left" w:pos="1080"/>
        </w:tabs>
        <w:kinsoku/>
        <w:wordWrap/>
        <w:overflowPunct/>
        <w:topLinePunct w:val="0"/>
        <w:autoSpaceDE/>
        <w:autoSpaceDN/>
        <w:bidi w:val="0"/>
        <w:adjustRightInd w:val="0"/>
        <w:snapToGrid w:val="0"/>
        <w:spacing w:line="360" w:lineRule="auto"/>
        <w:ind w:left="0" w:firstLine="340"/>
        <w:jc w:val="left"/>
        <w:textAlignment w:val="auto"/>
        <w:rPr>
          <w:rFonts w:hint="eastAsia" w:ascii="宋体" w:hAnsi="宋体" w:eastAsia="宋体" w:cs="宋体"/>
          <w:bCs/>
          <w:i w:val="0"/>
          <w:iCs w:val="0"/>
          <w:color w:val="auto"/>
          <w:szCs w:val="21"/>
          <w:highlight w:val="none"/>
        </w:rPr>
      </w:pPr>
      <w:r>
        <w:rPr>
          <w:rFonts w:hint="eastAsia" w:ascii="宋体" w:hAnsi="宋体" w:eastAsia="宋体" w:cs="宋体"/>
          <w:bCs/>
          <w:i w:val="0"/>
          <w:iCs w:val="0"/>
          <w:color w:val="auto"/>
          <w:szCs w:val="21"/>
          <w:highlight w:val="none"/>
        </w:rPr>
        <w:t>合同条款偏离表/商务条款偏离表；</w:t>
      </w:r>
    </w:p>
    <w:p>
      <w:pPr>
        <w:keepNext w:val="0"/>
        <w:keepLines w:val="0"/>
        <w:pageBreakBefore w:val="0"/>
        <w:widowControl w:val="0"/>
        <w:numPr>
          <w:ilvl w:val="0"/>
          <w:numId w:val="10"/>
        </w:numPr>
        <w:tabs>
          <w:tab w:val="left" w:pos="851"/>
          <w:tab w:val="left" w:pos="900"/>
          <w:tab w:val="left" w:pos="1080"/>
        </w:tabs>
        <w:kinsoku/>
        <w:wordWrap/>
        <w:overflowPunct/>
        <w:topLinePunct w:val="0"/>
        <w:autoSpaceDE/>
        <w:autoSpaceDN/>
        <w:bidi w:val="0"/>
        <w:adjustRightInd w:val="0"/>
        <w:snapToGrid w:val="0"/>
        <w:spacing w:line="360" w:lineRule="auto"/>
        <w:ind w:left="0" w:firstLine="340"/>
        <w:jc w:val="left"/>
        <w:textAlignment w:val="auto"/>
        <w:rPr>
          <w:rFonts w:hint="eastAsia" w:ascii="宋体" w:hAnsi="宋体" w:eastAsia="宋体" w:cs="宋体"/>
          <w:bCs/>
          <w:i w:val="0"/>
          <w:iCs w:val="0"/>
          <w:color w:val="auto"/>
          <w:szCs w:val="21"/>
          <w:highlight w:val="none"/>
        </w:rPr>
      </w:pPr>
      <w:r>
        <w:rPr>
          <w:rFonts w:hint="eastAsia" w:ascii="宋体" w:hAnsi="宋体" w:eastAsia="宋体" w:cs="宋体"/>
          <w:bCs/>
          <w:i w:val="0"/>
          <w:iCs w:val="0"/>
          <w:color w:val="auto"/>
          <w:szCs w:val="21"/>
          <w:highlight w:val="none"/>
        </w:rPr>
        <w:t>与商务资信标评分有关的其他材料</w:t>
      </w:r>
      <w:r>
        <w:rPr>
          <w:rFonts w:hint="eastAsia" w:ascii="宋体" w:hAnsi="宋体" w:eastAsia="宋体" w:cs="宋体"/>
          <w:bCs/>
          <w:i w:val="0"/>
          <w:iCs w:val="0"/>
          <w:color w:val="auto"/>
          <w:szCs w:val="21"/>
          <w:highlight w:val="none"/>
          <w:lang w:eastAsia="zh-CN"/>
        </w:rPr>
        <w:t>。</w:t>
      </w:r>
    </w:p>
    <w:p>
      <w:pPr>
        <w:keepNext w:val="0"/>
        <w:keepLines w:val="0"/>
        <w:pageBreakBefore w:val="0"/>
        <w:widowControl w:val="0"/>
        <w:numPr>
          <w:ilvl w:val="0"/>
          <w:numId w:val="0"/>
        </w:numPr>
        <w:tabs>
          <w:tab w:val="left" w:pos="851"/>
          <w:tab w:val="left" w:pos="900"/>
          <w:tab w:val="left" w:pos="1080"/>
        </w:tabs>
        <w:kinsoku/>
        <w:wordWrap/>
        <w:overflowPunct/>
        <w:topLinePunct w:val="0"/>
        <w:autoSpaceDE/>
        <w:autoSpaceDN/>
        <w:bidi w:val="0"/>
        <w:adjustRightInd w:val="0"/>
        <w:snapToGrid w:val="0"/>
        <w:spacing w:line="360" w:lineRule="auto"/>
        <w:ind w:left="340" w:leftChars="0"/>
        <w:jc w:val="left"/>
        <w:textAlignment w:val="auto"/>
        <w:rPr>
          <w:rFonts w:hint="default"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9.2.2技术文件</w:t>
      </w:r>
    </w:p>
    <w:p>
      <w:pPr>
        <w:keepNext w:val="0"/>
        <w:keepLines w:val="0"/>
        <w:pageBreakBefore w:val="0"/>
        <w:widowControl w:val="0"/>
        <w:numPr>
          <w:ilvl w:val="0"/>
          <w:numId w:val="0"/>
        </w:numPr>
        <w:tabs>
          <w:tab w:val="left" w:pos="851"/>
          <w:tab w:val="left" w:pos="900"/>
          <w:tab w:val="left" w:pos="1080"/>
        </w:tabs>
        <w:kinsoku/>
        <w:wordWrap/>
        <w:overflowPunct/>
        <w:topLinePunct w:val="0"/>
        <w:autoSpaceDE/>
        <w:autoSpaceDN/>
        <w:bidi w:val="0"/>
        <w:adjustRightInd w:val="0"/>
        <w:snapToGrid w:val="0"/>
        <w:spacing w:line="360" w:lineRule="auto"/>
        <w:ind w:left="340" w:leftChars="0"/>
        <w:jc w:val="left"/>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包括但不限于以下内容：</w:t>
      </w:r>
    </w:p>
    <w:p>
      <w:pPr>
        <w:keepNext w:val="0"/>
        <w:keepLines w:val="0"/>
        <w:pageBreakBefore w:val="0"/>
        <w:widowControl w:val="0"/>
        <w:numPr>
          <w:ilvl w:val="0"/>
          <w:numId w:val="11"/>
        </w:numPr>
        <w:tabs>
          <w:tab w:val="left" w:pos="851"/>
          <w:tab w:val="left" w:pos="900"/>
          <w:tab w:val="left" w:pos="1080"/>
        </w:tabs>
        <w:kinsoku/>
        <w:wordWrap/>
        <w:overflowPunct/>
        <w:topLinePunct w:val="0"/>
        <w:autoSpaceDE/>
        <w:autoSpaceDN/>
        <w:bidi w:val="0"/>
        <w:adjustRightInd w:val="0"/>
        <w:snapToGrid w:val="0"/>
        <w:spacing w:line="360" w:lineRule="auto"/>
        <w:ind w:left="0" w:firstLine="340"/>
        <w:jc w:val="left"/>
        <w:textAlignment w:val="auto"/>
        <w:rPr>
          <w:rFonts w:hint="eastAsia" w:ascii="宋体" w:hAnsi="宋体" w:eastAsia="宋体" w:cs="宋体"/>
          <w:bCs/>
          <w:i w:val="0"/>
          <w:iCs w:val="0"/>
          <w:color w:val="auto"/>
          <w:szCs w:val="21"/>
          <w:highlight w:val="none"/>
        </w:rPr>
      </w:pPr>
      <w:r>
        <w:rPr>
          <w:rFonts w:hint="eastAsia" w:ascii="宋体" w:hAnsi="宋体" w:eastAsia="宋体" w:cs="宋体"/>
          <w:bCs/>
          <w:i w:val="0"/>
          <w:iCs w:val="0"/>
          <w:color w:val="auto"/>
          <w:szCs w:val="21"/>
          <w:highlight w:val="none"/>
          <w:lang w:val="en-US" w:eastAsia="zh-CN"/>
        </w:rPr>
        <w:t>评分索引表；</w:t>
      </w:r>
    </w:p>
    <w:p>
      <w:pPr>
        <w:numPr>
          <w:ilvl w:val="0"/>
          <w:numId w:val="11"/>
        </w:numPr>
        <w:tabs>
          <w:tab w:val="left" w:pos="851"/>
          <w:tab w:val="left" w:pos="900"/>
          <w:tab w:val="left" w:pos="1080"/>
        </w:tabs>
        <w:adjustRightInd w:val="0"/>
        <w:snapToGrid w:val="0"/>
        <w:spacing w:line="360" w:lineRule="auto"/>
        <w:ind w:left="0" w:leftChars="0" w:firstLine="340" w:firstLineChars="0"/>
        <w:jc w:val="left"/>
        <w:rPr>
          <w:rFonts w:hint="eastAsia" w:eastAsia="宋体"/>
          <w:color w:val="auto"/>
          <w:highlight w:val="none"/>
          <w:lang w:eastAsia="zh-CN"/>
        </w:rPr>
      </w:pPr>
      <w:r>
        <w:rPr>
          <w:rFonts w:hint="eastAsia" w:ascii="宋体" w:hAnsi="宋体" w:eastAsia="宋体" w:cs="宋体"/>
          <w:bCs/>
          <w:i w:val="0"/>
          <w:iCs w:val="0"/>
          <w:color w:val="auto"/>
          <w:szCs w:val="21"/>
          <w:highlight w:val="none"/>
          <w:lang w:val="en-US" w:eastAsia="zh-CN"/>
        </w:rPr>
        <w:t>建设项目的整体理解</w:t>
      </w:r>
      <w:r>
        <w:rPr>
          <w:rFonts w:hint="eastAsia" w:ascii="宋体" w:hAnsi="宋体" w:cs="宋体"/>
          <w:bCs/>
          <w:i w:val="0"/>
          <w:iCs w:val="0"/>
          <w:color w:val="auto"/>
          <w:szCs w:val="21"/>
          <w:highlight w:val="none"/>
          <w:lang w:val="en-US" w:eastAsia="zh-CN"/>
        </w:rPr>
        <w:t>及解决方案，</w:t>
      </w:r>
      <w:r>
        <w:rPr>
          <w:rFonts w:hint="eastAsia" w:ascii="宋体" w:hAnsi="宋体" w:eastAsia="宋体" w:cs="宋体"/>
          <w:bCs/>
          <w:i w:val="0"/>
          <w:iCs w:val="0"/>
          <w:color w:val="auto"/>
          <w:szCs w:val="21"/>
          <w:highlight w:val="none"/>
          <w:lang w:val="en-US" w:eastAsia="zh-CN"/>
        </w:rPr>
        <w:t>包括对项目的理解、重点难点分析、总体构架设计方案等</w:t>
      </w:r>
      <w:r>
        <w:rPr>
          <w:rFonts w:hint="eastAsia" w:ascii="宋体" w:hAnsi="宋体" w:eastAsia="宋体" w:cs="宋体"/>
          <w:bCs/>
          <w:i w:val="0"/>
          <w:iCs w:val="0"/>
          <w:color w:val="auto"/>
          <w:szCs w:val="21"/>
          <w:highlight w:val="none"/>
        </w:rPr>
        <w:t>；</w:t>
      </w:r>
    </w:p>
    <w:p>
      <w:pPr>
        <w:numPr>
          <w:ilvl w:val="0"/>
          <w:numId w:val="11"/>
        </w:numPr>
        <w:tabs>
          <w:tab w:val="left" w:pos="851"/>
          <w:tab w:val="left" w:pos="900"/>
          <w:tab w:val="left" w:pos="1080"/>
        </w:tabs>
        <w:adjustRightInd w:val="0"/>
        <w:snapToGrid w:val="0"/>
        <w:spacing w:line="360" w:lineRule="auto"/>
        <w:ind w:left="0" w:leftChars="0" w:firstLine="340" w:firstLineChars="0"/>
        <w:jc w:val="left"/>
        <w:rPr>
          <w:rFonts w:hint="eastAsia" w:ascii="宋体" w:hAnsi="宋体" w:eastAsia="宋体" w:cs="宋体"/>
          <w:bCs/>
          <w:i w:val="0"/>
          <w:iCs w:val="0"/>
          <w:color w:val="auto"/>
          <w:szCs w:val="21"/>
          <w:highlight w:val="none"/>
        </w:rPr>
      </w:pPr>
      <w:r>
        <w:rPr>
          <w:rFonts w:hint="eastAsia" w:ascii="宋体" w:hAnsi="宋体" w:eastAsia="宋体" w:cs="宋体"/>
          <w:bCs/>
          <w:i w:val="0"/>
          <w:iCs w:val="0"/>
          <w:color w:val="auto"/>
          <w:szCs w:val="21"/>
          <w:highlight w:val="none"/>
          <w:lang w:eastAsia="zh-CN"/>
        </w:rPr>
        <w:t>技术底座适配方案；</w:t>
      </w:r>
    </w:p>
    <w:p>
      <w:pPr>
        <w:numPr>
          <w:ilvl w:val="0"/>
          <w:numId w:val="11"/>
        </w:numPr>
        <w:tabs>
          <w:tab w:val="left" w:pos="851"/>
          <w:tab w:val="left" w:pos="900"/>
          <w:tab w:val="left" w:pos="1080"/>
        </w:tabs>
        <w:adjustRightInd w:val="0"/>
        <w:snapToGrid w:val="0"/>
        <w:spacing w:line="360" w:lineRule="auto"/>
        <w:ind w:left="0" w:leftChars="0" w:firstLine="340" w:firstLineChars="0"/>
        <w:jc w:val="left"/>
        <w:rPr>
          <w:rFonts w:hint="eastAsia" w:ascii="宋体" w:hAnsi="宋体" w:eastAsia="宋体" w:cs="宋体"/>
          <w:bCs/>
          <w:i w:val="0"/>
          <w:iCs w:val="0"/>
          <w:color w:val="auto"/>
          <w:szCs w:val="21"/>
          <w:highlight w:val="none"/>
        </w:rPr>
      </w:pPr>
      <w:r>
        <w:rPr>
          <w:rFonts w:hint="eastAsia" w:ascii="宋体" w:hAnsi="宋体" w:eastAsia="宋体" w:cs="宋体"/>
          <w:bCs/>
          <w:i w:val="0"/>
          <w:iCs w:val="0"/>
          <w:color w:val="auto"/>
          <w:szCs w:val="21"/>
          <w:highlight w:val="none"/>
        </w:rPr>
        <w:t>针对本项目的详细实施计划，及组织实施方案；</w:t>
      </w:r>
      <w:r>
        <w:rPr>
          <w:rFonts w:hint="eastAsia" w:ascii="宋体" w:hAnsi="宋体" w:eastAsia="宋体" w:cs="宋体"/>
          <w:bCs/>
          <w:i w:val="0"/>
          <w:iCs w:val="0"/>
          <w:color w:val="auto"/>
          <w:szCs w:val="21"/>
          <w:highlight w:val="none"/>
          <w:lang w:eastAsia="zh-CN"/>
        </w:rPr>
        <w:t>；</w:t>
      </w:r>
    </w:p>
    <w:p>
      <w:pPr>
        <w:numPr>
          <w:ilvl w:val="0"/>
          <w:numId w:val="11"/>
        </w:numPr>
        <w:tabs>
          <w:tab w:val="left" w:pos="851"/>
          <w:tab w:val="left" w:pos="900"/>
          <w:tab w:val="left" w:pos="1080"/>
        </w:tabs>
        <w:adjustRightInd w:val="0"/>
        <w:snapToGrid w:val="0"/>
        <w:spacing w:line="360" w:lineRule="auto"/>
        <w:ind w:left="0" w:leftChars="0" w:firstLine="340" w:firstLineChars="0"/>
        <w:jc w:val="left"/>
        <w:rPr>
          <w:rFonts w:hint="eastAsia" w:ascii="宋体" w:hAnsi="宋体" w:eastAsia="宋体" w:cs="宋体"/>
          <w:bCs/>
          <w:i w:val="0"/>
          <w:iCs w:val="0"/>
          <w:color w:val="auto"/>
          <w:szCs w:val="21"/>
          <w:highlight w:val="none"/>
        </w:rPr>
      </w:pPr>
      <w:r>
        <w:rPr>
          <w:rFonts w:hint="eastAsia" w:ascii="宋体" w:hAnsi="宋体" w:eastAsia="宋体" w:cs="宋体"/>
          <w:bCs/>
          <w:i w:val="0"/>
          <w:iCs w:val="0"/>
          <w:color w:val="auto"/>
          <w:szCs w:val="21"/>
          <w:highlight w:val="none"/>
        </w:rPr>
        <w:t>项目班子配备情况；拟派主要项目管理人员、服务团队情况、分组情况、实施人员安排情况，管理人员介绍、及专业服务水平、经历的说明及证明材料</w:t>
      </w:r>
    </w:p>
    <w:p>
      <w:pPr>
        <w:numPr>
          <w:ilvl w:val="0"/>
          <w:numId w:val="11"/>
        </w:numPr>
        <w:tabs>
          <w:tab w:val="left" w:pos="851"/>
          <w:tab w:val="left" w:pos="900"/>
          <w:tab w:val="left" w:pos="1080"/>
        </w:tabs>
        <w:adjustRightInd w:val="0"/>
        <w:snapToGrid w:val="0"/>
        <w:spacing w:line="360" w:lineRule="auto"/>
        <w:ind w:left="0" w:leftChars="0" w:firstLine="340" w:firstLineChars="0"/>
        <w:jc w:val="left"/>
        <w:rPr>
          <w:rFonts w:hint="eastAsia" w:ascii="宋体" w:hAnsi="宋体" w:eastAsia="宋体" w:cs="宋体"/>
          <w:bCs/>
          <w:i w:val="0"/>
          <w:iCs w:val="0"/>
          <w:color w:val="auto"/>
          <w:szCs w:val="21"/>
          <w:highlight w:val="none"/>
        </w:rPr>
      </w:pPr>
      <w:r>
        <w:rPr>
          <w:rFonts w:hint="eastAsia" w:ascii="宋体" w:hAnsi="宋体" w:eastAsia="宋体" w:cs="宋体"/>
          <w:bCs/>
          <w:i w:val="0"/>
          <w:iCs w:val="0"/>
          <w:color w:val="auto"/>
          <w:szCs w:val="21"/>
          <w:highlight w:val="none"/>
          <w:lang w:eastAsia="zh-CN"/>
        </w:rPr>
        <w:t>培训计划及方案</w:t>
      </w:r>
      <w:r>
        <w:rPr>
          <w:rFonts w:hint="eastAsia" w:ascii="宋体" w:hAnsi="宋体" w:eastAsia="宋体" w:cs="宋体"/>
          <w:bCs/>
          <w:i w:val="0"/>
          <w:iCs w:val="0"/>
          <w:color w:val="auto"/>
          <w:szCs w:val="21"/>
          <w:highlight w:val="none"/>
        </w:rPr>
        <w:t>；</w:t>
      </w:r>
    </w:p>
    <w:p>
      <w:pPr>
        <w:numPr>
          <w:ilvl w:val="0"/>
          <w:numId w:val="11"/>
        </w:numPr>
        <w:tabs>
          <w:tab w:val="left" w:pos="851"/>
          <w:tab w:val="left" w:pos="900"/>
          <w:tab w:val="left" w:pos="1080"/>
        </w:tabs>
        <w:adjustRightInd w:val="0"/>
        <w:snapToGrid w:val="0"/>
        <w:spacing w:line="360" w:lineRule="auto"/>
        <w:ind w:left="0" w:leftChars="0" w:firstLine="340" w:firstLineChars="0"/>
        <w:jc w:val="left"/>
        <w:rPr>
          <w:rFonts w:hint="eastAsia" w:ascii="宋体" w:hAnsi="宋体" w:eastAsia="宋体" w:cs="宋体"/>
          <w:bCs/>
          <w:color w:val="auto"/>
          <w:szCs w:val="21"/>
          <w:highlight w:val="none"/>
        </w:rPr>
      </w:pPr>
      <w:r>
        <w:rPr>
          <w:rFonts w:hint="eastAsia" w:ascii="宋体" w:hAnsi="宋体" w:eastAsia="宋体" w:cs="宋体"/>
          <w:bCs/>
          <w:i w:val="0"/>
          <w:iCs w:val="0"/>
          <w:color w:val="auto"/>
          <w:szCs w:val="21"/>
          <w:highlight w:val="none"/>
          <w:lang w:eastAsia="zh-CN"/>
        </w:rPr>
        <w:t>售后及运维服务方案；</w:t>
      </w:r>
    </w:p>
    <w:p>
      <w:pPr>
        <w:numPr>
          <w:ilvl w:val="0"/>
          <w:numId w:val="11"/>
        </w:numPr>
        <w:tabs>
          <w:tab w:val="left" w:pos="851"/>
          <w:tab w:val="left" w:pos="900"/>
          <w:tab w:val="left" w:pos="1080"/>
        </w:tabs>
        <w:adjustRightInd w:val="0"/>
        <w:snapToGrid w:val="0"/>
        <w:spacing w:line="360" w:lineRule="auto"/>
        <w:ind w:left="0" w:leftChars="0" w:firstLine="340" w:firstLineChars="0"/>
        <w:jc w:val="left"/>
        <w:rPr>
          <w:rFonts w:hint="eastAsia" w:ascii="宋体" w:hAnsi="宋体" w:eastAsia="宋体" w:cs="宋体"/>
          <w:bCs/>
          <w:color w:val="auto"/>
          <w:szCs w:val="21"/>
          <w:highlight w:val="none"/>
        </w:rPr>
      </w:pPr>
      <w:r>
        <w:rPr>
          <w:rFonts w:hint="eastAsia" w:ascii="宋体" w:hAnsi="宋体" w:eastAsia="宋体" w:cs="宋体"/>
          <w:bCs/>
          <w:i w:val="0"/>
          <w:iCs w:val="0"/>
          <w:color w:val="auto"/>
          <w:szCs w:val="21"/>
          <w:highlight w:val="none"/>
        </w:rPr>
        <w:t>针对本项目能提供的特色服务、增值服务说明；</w:t>
      </w:r>
    </w:p>
    <w:p>
      <w:pPr>
        <w:numPr>
          <w:ilvl w:val="0"/>
          <w:numId w:val="11"/>
        </w:numPr>
        <w:tabs>
          <w:tab w:val="left" w:pos="851"/>
          <w:tab w:val="left" w:pos="900"/>
          <w:tab w:val="left" w:pos="1080"/>
        </w:tabs>
        <w:adjustRightInd w:val="0"/>
        <w:snapToGrid w:val="0"/>
        <w:spacing w:line="360" w:lineRule="auto"/>
        <w:ind w:left="0" w:leftChars="0" w:firstLine="340" w:firstLineChars="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投标人认为需要提供的其它文件及资料。</w:t>
      </w:r>
    </w:p>
    <w:p>
      <w:pPr>
        <w:keepNext w:val="0"/>
        <w:keepLines w:val="0"/>
        <w:pageBreakBefore w:val="0"/>
        <w:widowControl w:val="0"/>
        <w:numPr>
          <w:ilvl w:val="0"/>
          <w:numId w:val="11"/>
        </w:numPr>
        <w:tabs>
          <w:tab w:val="left" w:pos="851"/>
          <w:tab w:val="left" w:pos="900"/>
          <w:tab w:val="left" w:pos="1080"/>
        </w:tabs>
        <w:kinsoku/>
        <w:wordWrap/>
        <w:overflowPunct/>
        <w:topLinePunct w:val="0"/>
        <w:autoSpaceDE/>
        <w:autoSpaceDN/>
        <w:bidi w:val="0"/>
        <w:adjustRightInd w:val="0"/>
        <w:snapToGrid w:val="0"/>
        <w:spacing w:line="360" w:lineRule="auto"/>
        <w:ind w:left="0" w:firstLine="340"/>
        <w:jc w:val="left"/>
        <w:textAlignment w:val="auto"/>
        <w:rPr>
          <w:rFonts w:hint="eastAsia" w:ascii="宋体" w:hAnsi="宋体" w:eastAsia="宋体" w:cs="宋体"/>
          <w:bCs/>
          <w:i w:val="0"/>
          <w:iCs w:val="0"/>
          <w:color w:val="auto"/>
          <w:szCs w:val="21"/>
          <w:highlight w:val="none"/>
        </w:rPr>
      </w:pPr>
      <w:r>
        <w:rPr>
          <w:rFonts w:hint="eastAsia" w:ascii="宋体" w:hAnsi="宋体" w:eastAsia="宋体" w:cs="宋体"/>
          <w:bCs/>
          <w:i w:val="0"/>
          <w:iCs w:val="0"/>
          <w:color w:val="auto"/>
          <w:szCs w:val="21"/>
          <w:highlight w:val="none"/>
        </w:rPr>
        <w:t>投标人认为需要提供的其它文件及资料。（如有）</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b/>
          <w:snapToGrid w:val="0"/>
          <w:color w:val="auto"/>
          <w:kern w:val="0"/>
          <w:sz w:val="21"/>
          <w:szCs w:val="21"/>
          <w:highlight w:val="none"/>
        </w:rPr>
        <w:t>9.</w:t>
      </w:r>
      <w:r>
        <w:rPr>
          <w:rFonts w:hint="eastAsia" w:ascii="宋体" w:hAnsi="宋体" w:eastAsia="宋体" w:cs="宋体"/>
          <w:b/>
          <w:snapToGrid w:val="0"/>
          <w:color w:val="auto"/>
          <w:kern w:val="0"/>
          <w:sz w:val="21"/>
          <w:szCs w:val="21"/>
          <w:highlight w:val="none"/>
          <w:lang w:val="en-US" w:eastAsia="zh-CN"/>
        </w:rPr>
        <w:t>3</w:t>
      </w:r>
      <w:r>
        <w:rPr>
          <w:rFonts w:hint="eastAsia" w:ascii="宋体" w:hAnsi="宋体" w:eastAsia="宋体" w:cs="宋体"/>
          <w:b/>
          <w:snapToGrid w:val="0"/>
          <w:color w:val="auto"/>
          <w:kern w:val="0"/>
          <w:sz w:val="21"/>
          <w:szCs w:val="21"/>
          <w:highlight w:val="none"/>
          <w:lang w:eastAsia="zh-CN"/>
        </w:rPr>
        <w:t>报价文件</w:t>
      </w:r>
    </w:p>
    <w:p>
      <w:pPr>
        <w:numPr>
          <w:ilvl w:val="0"/>
          <w:numId w:val="12"/>
        </w:numPr>
        <w:adjustRightInd w:val="0"/>
        <w:snapToGrid w:val="0"/>
        <w:spacing w:line="360" w:lineRule="auto"/>
        <w:ind w:left="993" w:hanging="571"/>
        <w:jc w:val="left"/>
        <w:rPr>
          <w:rFonts w:hint="eastAsia"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开标一览表；</w:t>
      </w:r>
    </w:p>
    <w:p>
      <w:pPr>
        <w:numPr>
          <w:ilvl w:val="0"/>
          <w:numId w:val="12"/>
        </w:numPr>
        <w:adjustRightInd w:val="0"/>
        <w:snapToGrid w:val="0"/>
        <w:spacing w:line="360" w:lineRule="auto"/>
        <w:ind w:left="993" w:hanging="571"/>
        <w:jc w:val="left"/>
        <w:rPr>
          <w:rFonts w:hint="eastAsia"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投标报价明细表；</w:t>
      </w:r>
    </w:p>
    <w:p>
      <w:pPr>
        <w:numPr>
          <w:ilvl w:val="0"/>
          <w:numId w:val="12"/>
        </w:numPr>
        <w:adjustRightInd w:val="0"/>
        <w:snapToGrid w:val="0"/>
        <w:spacing w:line="360" w:lineRule="auto"/>
        <w:ind w:left="993" w:hanging="571"/>
        <w:jc w:val="left"/>
        <w:rPr>
          <w:rFonts w:hint="default" w:ascii="宋体" w:hAnsi="宋体" w:eastAsia="宋体" w:cs="宋体"/>
          <w:bCs/>
          <w:snapToGrid w:val="0"/>
          <w:color w:val="auto"/>
          <w:kern w:val="0"/>
          <w:szCs w:val="21"/>
          <w:highlight w:val="none"/>
          <w:lang w:val="en-US" w:eastAsia="zh-CN"/>
        </w:rPr>
      </w:pPr>
      <w:r>
        <w:rPr>
          <w:rFonts w:hint="eastAsia" w:ascii="宋体" w:hAnsi="宋体" w:cs="宋体"/>
          <w:bCs/>
          <w:snapToGrid w:val="0"/>
          <w:color w:val="auto"/>
          <w:kern w:val="0"/>
          <w:szCs w:val="21"/>
          <w:highlight w:val="none"/>
        </w:rPr>
        <w:t>成本测算依据；</w:t>
      </w:r>
      <w:r>
        <w:rPr>
          <w:rFonts w:hint="eastAsia" w:ascii="宋体" w:hAnsi="宋体" w:eastAsia="宋体" w:cs="宋体"/>
          <w:bCs/>
          <w:snapToGrid w:val="0"/>
          <w:color w:val="auto"/>
          <w:kern w:val="0"/>
          <w:szCs w:val="21"/>
          <w:highlight w:val="none"/>
          <w:lang w:eastAsia="zh-CN"/>
        </w:rPr>
        <w:t>（如需）</w:t>
      </w:r>
    </w:p>
    <w:p>
      <w:pPr>
        <w:numPr>
          <w:ilvl w:val="0"/>
          <w:numId w:val="0"/>
        </w:numPr>
        <w:adjustRightInd w:val="0"/>
        <w:snapToGrid w:val="0"/>
        <w:spacing w:line="360" w:lineRule="auto"/>
        <w:ind w:firstLine="422" w:firstLineChars="200"/>
        <w:jc w:val="left"/>
        <w:rPr>
          <w:rFonts w:hint="eastAsia" w:ascii="宋体" w:hAnsi="宋体" w:cs="宋体"/>
          <w:b/>
          <w:bCs w:val="0"/>
          <w:snapToGrid w:val="0"/>
          <w:color w:val="auto"/>
          <w:kern w:val="0"/>
          <w:szCs w:val="21"/>
          <w:highlight w:val="none"/>
        </w:rPr>
      </w:pPr>
      <w:r>
        <w:rPr>
          <w:rFonts w:hint="eastAsia" w:ascii="宋体" w:hAnsi="宋体" w:cs="宋体"/>
          <w:b/>
          <w:bCs w:val="0"/>
          <w:snapToGrid w:val="0"/>
          <w:color w:val="auto"/>
          <w:kern w:val="0"/>
          <w:szCs w:val="21"/>
          <w:highlight w:val="none"/>
          <w:lang w:val="en-US" w:eastAsia="zh-CN"/>
        </w:rPr>
        <w:t>（4）</w:t>
      </w:r>
      <w:r>
        <w:rPr>
          <w:rFonts w:hint="eastAsia" w:ascii="宋体" w:hAnsi="宋体" w:cs="宋体"/>
          <w:b/>
          <w:bCs w:val="0"/>
          <w:snapToGrid w:val="0"/>
          <w:color w:val="auto"/>
          <w:kern w:val="0"/>
          <w:szCs w:val="21"/>
          <w:highlight w:val="none"/>
        </w:rPr>
        <w:t>中小企业声明函</w:t>
      </w:r>
      <w:r>
        <w:rPr>
          <w:rFonts w:hint="eastAsia" w:ascii="宋体" w:hAnsi="宋体" w:cs="宋体"/>
          <w:b/>
          <w:bCs w:val="0"/>
          <w:snapToGrid w:val="0"/>
          <w:color w:val="auto"/>
          <w:kern w:val="0"/>
          <w:szCs w:val="21"/>
          <w:highlight w:val="none"/>
          <w:lang w:eastAsia="zh-CN"/>
        </w:rPr>
        <w:t>（如有）</w:t>
      </w:r>
      <w:r>
        <w:rPr>
          <w:rFonts w:hint="eastAsia" w:ascii="宋体" w:hAnsi="宋体" w:cs="宋体"/>
          <w:b/>
          <w:bCs w:val="0"/>
          <w:snapToGrid w:val="0"/>
          <w:color w:val="auto"/>
          <w:kern w:val="0"/>
          <w:szCs w:val="21"/>
          <w:highlight w:val="none"/>
        </w:rPr>
        <w:t xml:space="preserve">； </w:t>
      </w:r>
    </w:p>
    <w:p>
      <w:pPr>
        <w:adjustRightInd w:val="0"/>
        <w:snapToGrid w:val="0"/>
        <w:spacing w:line="360" w:lineRule="auto"/>
        <w:ind w:firstLine="422" w:firstLineChars="200"/>
        <w:jc w:val="left"/>
        <w:rPr>
          <w:rFonts w:hint="eastAsia" w:ascii="宋体" w:hAnsi="宋体" w:cs="宋体"/>
          <w:b/>
          <w:bCs/>
          <w:snapToGrid w:val="0"/>
          <w:color w:val="auto"/>
          <w:kern w:val="0"/>
          <w:szCs w:val="21"/>
          <w:highlight w:val="none"/>
          <w:lang w:eastAsia="zh-CN"/>
        </w:rPr>
      </w:pPr>
      <w:r>
        <w:rPr>
          <w:rFonts w:hint="eastAsia" w:ascii="宋体" w:hAnsi="宋体" w:cs="宋体"/>
          <w:b/>
          <w:bCs/>
          <w:snapToGrid w:val="0"/>
          <w:color w:val="auto"/>
          <w:kern w:val="0"/>
          <w:szCs w:val="21"/>
          <w:highlight w:val="none"/>
          <w:lang w:eastAsia="zh-CN"/>
        </w:rPr>
        <w:t>中小企业应当按照《政府采购促进中小企业发展管理办法》规定和《中小企业划型标准规定》（工信部联企业〔2011〕300号），如实填写并提交《中小企业声明函》。</w:t>
      </w:r>
    </w:p>
    <w:p>
      <w:pPr>
        <w:adjustRightInd w:val="0"/>
        <w:snapToGrid w:val="0"/>
        <w:spacing w:line="360" w:lineRule="auto"/>
        <w:ind w:firstLine="422" w:firstLineChars="200"/>
        <w:jc w:val="left"/>
        <w:rPr>
          <w:rFonts w:hint="eastAsia" w:ascii="宋体" w:hAnsi="宋体" w:cs="宋体"/>
          <w:b/>
          <w:bCs/>
          <w:snapToGrid w:val="0"/>
          <w:color w:val="auto"/>
          <w:kern w:val="0"/>
          <w:szCs w:val="21"/>
          <w:highlight w:val="none"/>
          <w:lang w:eastAsia="zh-CN"/>
        </w:rPr>
      </w:pPr>
      <w:r>
        <w:rPr>
          <w:rFonts w:hint="eastAsia" w:ascii="宋体" w:hAnsi="宋体" w:cs="宋体"/>
          <w:b/>
          <w:bCs/>
          <w:snapToGrid w:val="0"/>
          <w:color w:val="auto"/>
          <w:kern w:val="0"/>
          <w:szCs w:val="21"/>
          <w:highlight w:val="none"/>
          <w:lang w:eastAsia="zh-CN"/>
        </w:rPr>
        <w:t>投标人在填写声明函前，须先自查本企业是否满足小微企业认定标准（可通过国务院客户端和工业和信息化部网站上的自测小程序进行自查）。</w:t>
      </w:r>
    </w:p>
    <w:p>
      <w:pPr>
        <w:adjustRightInd w:val="0"/>
        <w:snapToGrid w:val="0"/>
        <w:spacing w:line="360" w:lineRule="auto"/>
        <w:ind w:firstLine="422" w:firstLineChars="200"/>
        <w:jc w:val="left"/>
        <w:rPr>
          <w:rFonts w:hint="eastAsia" w:ascii="宋体" w:hAnsi="宋体" w:cs="宋体"/>
          <w:b/>
          <w:bCs/>
          <w:snapToGrid w:val="0"/>
          <w:color w:val="auto"/>
          <w:kern w:val="0"/>
          <w:szCs w:val="21"/>
          <w:highlight w:val="none"/>
          <w:lang w:eastAsia="zh-CN"/>
        </w:rPr>
      </w:pPr>
      <w:r>
        <w:rPr>
          <w:rFonts w:hint="eastAsia" w:ascii="宋体" w:hAnsi="宋体" w:cs="宋体"/>
          <w:b/>
          <w:bCs/>
          <w:snapToGrid w:val="0"/>
          <w:color w:val="auto"/>
          <w:kern w:val="0"/>
          <w:szCs w:val="21"/>
          <w:highlight w:val="none"/>
          <w:lang w:eastAsia="zh-CN"/>
        </w:rPr>
        <w:t>中小企业对其声明内容的真实性负责，声明函内容不实的，属于提供虚假材料谋取中标、成交，依照《中华人民共和国政府采购法》等国家有关规定追究相应责任。</w:t>
      </w:r>
    </w:p>
    <w:p>
      <w:pPr>
        <w:numPr>
          <w:ilvl w:val="0"/>
          <w:numId w:val="0"/>
        </w:numPr>
        <w:tabs>
          <w:tab w:val="left" w:pos="840"/>
          <w:tab w:val="left" w:pos="1050"/>
        </w:tabs>
        <w:adjustRightInd w:val="0"/>
        <w:snapToGrid w:val="0"/>
        <w:spacing w:line="360" w:lineRule="auto"/>
        <w:ind w:firstLine="420" w:firstLineChars="200"/>
        <w:jc w:val="left"/>
        <w:rPr>
          <w:rFonts w:hint="eastAsia"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lang w:eastAsia="zh-CN"/>
        </w:rPr>
        <w:t>（</w:t>
      </w:r>
      <w:r>
        <w:rPr>
          <w:rFonts w:hint="eastAsia" w:ascii="宋体" w:hAnsi="宋体" w:cs="宋体"/>
          <w:bCs/>
          <w:snapToGrid w:val="0"/>
          <w:color w:val="auto"/>
          <w:kern w:val="0"/>
          <w:szCs w:val="21"/>
          <w:highlight w:val="none"/>
          <w:lang w:val="en-US" w:eastAsia="zh-CN"/>
        </w:rPr>
        <w:t>5</w:t>
      </w:r>
      <w:r>
        <w:rPr>
          <w:rFonts w:hint="eastAsia" w:ascii="宋体" w:hAnsi="宋体" w:cs="宋体"/>
          <w:bCs/>
          <w:snapToGrid w:val="0"/>
          <w:color w:val="auto"/>
          <w:kern w:val="0"/>
          <w:szCs w:val="21"/>
          <w:highlight w:val="none"/>
          <w:lang w:eastAsia="zh-CN"/>
        </w:rPr>
        <w:t>）</w:t>
      </w:r>
      <w:r>
        <w:rPr>
          <w:rFonts w:hint="eastAsia" w:ascii="宋体" w:hAnsi="宋体" w:cs="宋体"/>
          <w:bCs/>
          <w:snapToGrid w:val="0"/>
          <w:color w:val="auto"/>
          <w:kern w:val="0"/>
          <w:szCs w:val="21"/>
          <w:highlight w:val="none"/>
        </w:rPr>
        <w:t>投标人为监狱企业的证明文件：省级以上监狱管理局、戒毒管理局（含新疆生产建设兵团）出具（如有）</w:t>
      </w:r>
    </w:p>
    <w:p>
      <w:pPr>
        <w:numPr>
          <w:ilvl w:val="0"/>
          <w:numId w:val="0"/>
        </w:numPr>
        <w:tabs>
          <w:tab w:val="left" w:pos="840"/>
          <w:tab w:val="left" w:pos="1050"/>
        </w:tabs>
        <w:adjustRightInd w:val="0"/>
        <w:snapToGrid w:val="0"/>
        <w:spacing w:line="360" w:lineRule="auto"/>
        <w:ind w:left="0" w:firstLine="420" w:firstLineChars="200"/>
        <w:jc w:val="left"/>
        <w:rPr>
          <w:rFonts w:hint="eastAsia" w:ascii="宋体" w:hAnsi="宋体" w:eastAsia="宋体" w:cs="宋体"/>
          <w:bCs/>
          <w:snapToGrid w:val="0"/>
          <w:color w:val="auto"/>
          <w:kern w:val="0"/>
          <w:sz w:val="21"/>
          <w:szCs w:val="21"/>
          <w:highlight w:val="none"/>
          <w:lang w:val="en-US" w:eastAsia="zh-CN" w:bidi="ar-SA"/>
        </w:rPr>
      </w:pPr>
      <w:r>
        <w:rPr>
          <w:rFonts w:hint="eastAsia" w:ascii="宋体" w:hAnsi="宋体" w:eastAsia="宋体" w:cs="宋体"/>
          <w:bCs/>
          <w:snapToGrid w:val="0"/>
          <w:color w:val="auto"/>
          <w:kern w:val="0"/>
          <w:sz w:val="21"/>
          <w:szCs w:val="21"/>
          <w:highlight w:val="none"/>
          <w:lang w:val="en-US" w:eastAsia="zh-CN" w:bidi="ar-SA"/>
        </w:rPr>
        <w:t xml:space="preserve">（6）投标人如符合《财政部、民政部、中国残疾人联合会关于促进残疾人就业政府采购政策的通知》（财库〔2017〕141号）政策规定的，须提供《残疾人福利性单位声明函》；（如有）   </w:t>
      </w:r>
    </w:p>
    <w:p>
      <w:pPr>
        <w:numPr>
          <w:ilvl w:val="0"/>
          <w:numId w:val="0"/>
        </w:numPr>
        <w:tabs>
          <w:tab w:val="left" w:pos="840"/>
          <w:tab w:val="left" w:pos="1050"/>
        </w:tabs>
        <w:adjustRightInd w:val="0"/>
        <w:snapToGrid w:val="0"/>
        <w:spacing w:line="360" w:lineRule="auto"/>
        <w:ind w:left="0" w:firstLine="420" w:firstLineChars="200"/>
        <w:jc w:val="left"/>
        <w:rPr>
          <w:rFonts w:hint="eastAsia" w:ascii="宋体" w:hAnsi="宋体" w:cs="宋体"/>
          <w:bCs/>
          <w:snapToGrid w:val="0"/>
          <w:color w:val="auto"/>
          <w:kern w:val="0"/>
          <w:szCs w:val="21"/>
          <w:highlight w:val="none"/>
        </w:rPr>
      </w:pPr>
      <w:r>
        <w:rPr>
          <w:rFonts w:hint="eastAsia" w:ascii="宋体" w:hAnsi="宋体" w:eastAsia="宋体" w:cs="宋体"/>
          <w:bCs/>
          <w:snapToGrid w:val="0"/>
          <w:color w:val="auto"/>
          <w:kern w:val="0"/>
          <w:sz w:val="21"/>
          <w:szCs w:val="21"/>
          <w:highlight w:val="none"/>
          <w:lang w:val="en-US" w:eastAsia="zh-CN" w:bidi="ar-SA"/>
        </w:rPr>
        <w:t>（7）</w:t>
      </w:r>
      <w:r>
        <w:rPr>
          <w:rFonts w:hint="eastAsia" w:ascii="宋体" w:hAnsi="宋体" w:cs="宋体"/>
          <w:bCs/>
          <w:snapToGrid w:val="0"/>
          <w:color w:val="auto"/>
          <w:kern w:val="0"/>
          <w:szCs w:val="21"/>
          <w:highlight w:val="none"/>
        </w:rPr>
        <w:t>投标人认为针对报价需要说明的其他文件及资料。</w:t>
      </w:r>
    </w:p>
    <w:p>
      <w:pPr>
        <w:adjustRightInd w:val="0"/>
        <w:snapToGrid w:val="0"/>
        <w:spacing w:line="360" w:lineRule="auto"/>
        <w:ind w:firstLine="422" w:firstLineChars="200"/>
        <w:jc w:val="left"/>
        <w:rPr>
          <w:rFonts w:hint="eastAsia" w:ascii="宋体" w:hAnsi="宋体" w:cs="宋体"/>
          <w:b/>
          <w:snapToGrid w:val="0"/>
          <w:color w:val="auto"/>
          <w:kern w:val="0"/>
          <w:szCs w:val="21"/>
          <w:highlight w:val="none"/>
        </w:rPr>
      </w:pPr>
    </w:p>
    <w:p>
      <w:pPr>
        <w:adjustRightInd w:val="0"/>
        <w:snapToGrid w:val="0"/>
        <w:spacing w:line="360" w:lineRule="auto"/>
        <w:ind w:firstLine="422" w:firstLineChars="200"/>
        <w:jc w:val="left"/>
        <w:rPr>
          <w:rFonts w:hint="eastAsia" w:ascii="宋体" w:hAnsi="宋体" w:eastAsia="宋体" w:cs="宋体"/>
          <w:b/>
          <w:snapToGrid w:val="0"/>
          <w:color w:val="auto"/>
          <w:kern w:val="0"/>
          <w:szCs w:val="21"/>
          <w:highlight w:val="none"/>
          <w:lang w:eastAsia="zh-CN"/>
        </w:rPr>
      </w:pPr>
      <w:r>
        <w:rPr>
          <w:rFonts w:hint="eastAsia" w:ascii="宋体" w:hAnsi="宋体" w:cs="宋体"/>
          <w:b/>
          <w:snapToGrid w:val="0"/>
          <w:color w:val="auto"/>
          <w:kern w:val="0"/>
          <w:szCs w:val="21"/>
          <w:highlight w:val="none"/>
        </w:rPr>
        <w:t>9.</w:t>
      </w:r>
      <w:r>
        <w:rPr>
          <w:rFonts w:hint="eastAsia" w:ascii="宋体" w:hAnsi="宋体" w:cs="宋体"/>
          <w:b/>
          <w:snapToGrid w:val="0"/>
          <w:color w:val="auto"/>
          <w:kern w:val="0"/>
          <w:szCs w:val="21"/>
          <w:highlight w:val="none"/>
          <w:lang w:val="en-US" w:eastAsia="zh-CN"/>
        </w:rPr>
        <w:t>4系统</w:t>
      </w:r>
      <w:r>
        <w:rPr>
          <w:rFonts w:hint="eastAsia" w:ascii="宋体" w:hAnsi="宋体" w:cs="宋体"/>
          <w:b/>
          <w:snapToGrid w:val="0"/>
          <w:color w:val="auto"/>
          <w:kern w:val="0"/>
          <w:szCs w:val="21"/>
          <w:highlight w:val="none"/>
          <w:lang w:eastAsia="zh-CN"/>
        </w:rPr>
        <w:t>演示</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本项目要求进行系统演示，具体要求详见前附表及采购需求规定。</w:t>
      </w:r>
    </w:p>
    <w:p>
      <w:pPr>
        <w:rPr>
          <w:rFonts w:hint="eastAsia"/>
          <w:color w:val="auto"/>
          <w:highlight w:val="none"/>
          <w:lang w:val="en-US" w:eastAsia="zh-CN"/>
        </w:rPr>
      </w:pPr>
    </w:p>
    <w:p>
      <w:pPr>
        <w:adjustRightInd w:val="0"/>
        <w:snapToGrid w:val="0"/>
        <w:spacing w:before="120" w:beforeLines="50" w:line="360" w:lineRule="auto"/>
        <w:ind w:firstLine="422" w:firstLineChars="200"/>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10．投标函</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10.1 投标人应完整地填写采购文件中提供的投标函和投标相关附件。</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10.2 投标文件应当对采购文件中有关投标有效期、采购需求等实质性内容作出响应。投标人在满足采购文件实质性要求的基础上，可以提出比采购文件要求更有利于采购人的承诺。</w:t>
      </w:r>
    </w:p>
    <w:p>
      <w:pPr>
        <w:pStyle w:val="2"/>
        <w:snapToGrid w:val="0"/>
        <w:spacing w:before="120" w:beforeLines="50"/>
        <w:ind w:firstLine="422" w:firstLineChars="200"/>
        <w:rPr>
          <w:rFonts w:hint="eastAsia"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11．投标报价</w:t>
      </w:r>
    </w:p>
    <w:p>
      <w:pPr>
        <w:pStyle w:val="2"/>
        <w:snapToGrid w:val="0"/>
        <w:ind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11.1投标人应按采购文件中规定填写报价相关表单；</w:t>
      </w:r>
    </w:p>
    <w:p>
      <w:pPr>
        <w:adjustRightInd w:val="0"/>
        <w:snapToGrid w:val="0"/>
        <w:spacing w:line="360" w:lineRule="auto"/>
        <w:ind w:firstLine="422" w:firstLineChars="200"/>
        <w:jc w:val="left"/>
        <w:rPr>
          <w:rFonts w:hint="eastAsia" w:ascii="宋体" w:hAnsi="宋体" w:cs="宋体"/>
          <w:b/>
          <w:bCs/>
          <w:snapToGrid w:val="0"/>
          <w:color w:val="auto"/>
          <w:kern w:val="0"/>
          <w:sz w:val="21"/>
          <w:szCs w:val="21"/>
          <w:highlight w:val="none"/>
          <w:lang w:val="en-US" w:eastAsia="zh-CN"/>
        </w:rPr>
      </w:pPr>
      <w:r>
        <w:rPr>
          <w:rFonts w:hint="eastAsia" w:ascii="宋体" w:hAnsi="宋体" w:eastAsia="宋体" w:cs="宋体"/>
          <w:b/>
          <w:bCs/>
          <w:snapToGrid w:val="0"/>
          <w:color w:val="auto"/>
          <w:kern w:val="0"/>
          <w:sz w:val="21"/>
          <w:szCs w:val="21"/>
          <w:highlight w:val="none"/>
        </w:rPr>
        <w:t>11.2</w:t>
      </w:r>
      <w:r>
        <w:rPr>
          <w:rFonts w:hint="eastAsia" w:ascii="宋体" w:hAnsi="宋体" w:cs="宋体"/>
          <w:b/>
          <w:bCs/>
          <w:snapToGrid w:val="0"/>
          <w:color w:val="auto"/>
          <w:kern w:val="0"/>
          <w:sz w:val="21"/>
          <w:szCs w:val="21"/>
          <w:highlight w:val="none"/>
          <w:lang w:val="en-US" w:eastAsia="zh-CN"/>
        </w:rPr>
        <w:t xml:space="preserve"> 本项目需要投标人根据不同服务内容进行分项报价，其中包括： </w:t>
      </w:r>
    </w:p>
    <w:p>
      <w:pPr>
        <w:adjustRightInd w:val="0"/>
        <w:snapToGrid w:val="0"/>
        <w:spacing w:line="360" w:lineRule="auto"/>
        <w:ind w:firstLine="422" w:firstLineChars="200"/>
        <w:jc w:val="left"/>
        <w:rPr>
          <w:rFonts w:hint="eastAsia" w:ascii="宋体" w:hAnsi="宋体" w:cs="宋体"/>
          <w:b/>
          <w:bCs/>
          <w:color w:val="auto"/>
          <w:kern w:val="0"/>
          <w:szCs w:val="21"/>
          <w:highlight w:val="none"/>
        </w:rPr>
      </w:pP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1</w:t>
      </w:r>
      <w:r>
        <w:rPr>
          <w:rFonts w:hint="eastAsia" w:ascii="宋体" w:hAnsi="宋体" w:cs="宋体"/>
          <w:b/>
          <w:color w:val="auto"/>
          <w:kern w:val="0"/>
          <w:szCs w:val="21"/>
          <w:highlight w:val="none"/>
          <w:lang w:eastAsia="zh-CN"/>
        </w:rPr>
        <w:t>）省本级项目费用（总价包干）最高限价：</w:t>
      </w:r>
      <w:r>
        <w:rPr>
          <w:rFonts w:hint="eastAsia" w:ascii="宋体" w:hAnsi="宋体" w:cs="宋体"/>
          <w:b/>
          <w:color w:val="auto"/>
          <w:kern w:val="0"/>
          <w:szCs w:val="21"/>
          <w:highlight w:val="none"/>
          <w:u w:val="single"/>
          <w:lang w:val="en-US" w:eastAsia="zh-CN"/>
        </w:rPr>
        <w:t xml:space="preserve"> 300 </w:t>
      </w:r>
      <w:r>
        <w:rPr>
          <w:rFonts w:hint="eastAsia" w:ascii="宋体" w:hAnsi="宋体" w:cs="宋体"/>
          <w:b/>
          <w:color w:val="auto"/>
          <w:kern w:val="0"/>
          <w:szCs w:val="21"/>
          <w:highlight w:val="none"/>
          <w:lang w:val="en-US" w:eastAsia="zh-CN"/>
        </w:rPr>
        <w:t>万元；</w:t>
      </w:r>
      <w:r>
        <w:rPr>
          <w:rFonts w:hint="eastAsia" w:ascii="宋体" w:hAnsi="宋体" w:cs="宋体"/>
          <w:b/>
          <w:bCs/>
          <w:snapToGrid w:val="0"/>
          <w:color w:val="auto"/>
          <w:kern w:val="0"/>
          <w:szCs w:val="21"/>
          <w:highlight w:val="none"/>
        </w:rPr>
        <w:t>此报价应包括完成合同所涉及的全部内容包含但不仅限于</w:t>
      </w:r>
      <w:r>
        <w:rPr>
          <w:rFonts w:hint="eastAsia" w:cs="Arial"/>
          <w:b/>
          <w:color w:val="auto"/>
          <w:highlight w:val="none"/>
          <w:u w:val="none"/>
        </w:rPr>
        <w:t>所需系统</w:t>
      </w:r>
      <w:r>
        <w:rPr>
          <w:rFonts w:hint="eastAsia" w:cs="Arial"/>
          <w:b/>
          <w:color w:val="auto"/>
          <w:highlight w:val="none"/>
          <w:u w:val="none"/>
          <w:lang w:eastAsia="zh-CN"/>
        </w:rPr>
        <w:t>升级</w:t>
      </w:r>
      <w:r>
        <w:rPr>
          <w:rFonts w:hint="eastAsia" w:cs="Arial"/>
          <w:b/>
          <w:color w:val="auto"/>
          <w:highlight w:val="none"/>
          <w:u w:val="none"/>
        </w:rPr>
        <w:t>、开发、</w:t>
      </w:r>
      <w:r>
        <w:rPr>
          <w:rFonts w:hint="eastAsia" w:cs="Arial"/>
          <w:b/>
          <w:color w:val="auto"/>
          <w:highlight w:val="none"/>
          <w:u w:val="none"/>
          <w:lang w:eastAsia="zh-CN"/>
        </w:rPr>
        <w:t>实施、建设、</w:t>
      </w:r>
      <w:r>
        <w:rPr>
          <w:rFonts w:hint="eastAsia" w:cs="Arial"/>
          <w:b/>
          <w:color w:val="auto"/>
          <w:highlight w:val="none"/>
          <w:u w:val="none"/>
        </w:rPr>
        <w:t>平台对接、上线调试、试运行管理、</w:t>
      </w:r>
      <w:r>
        <w:rPr>
          <w:rFonts w:hint="eastAsia" w:cs="Arial"/>
          <w:b/>
          <w:color w:val="auto"/>
          <w:highlight w:val="none"/>
          <w:u w:val="none"/>
          <w:lang w:eastAsia="zh-CN"/>
        </w:rPr>
        <w:t>系统</w:t>
      </w:r>
      <w:r>
        <w:rPr>
          <w:rFonts w:hint="eastAsia" w:cs="Arial"/>
          <w:b/>
          <w:color w:val="auto"/>
          <w:highlight w:val="none"/>
          <w:u w:val="none"/>
        </w:rPr>
        <w:t>测评、</w:t>
      </w:r>
      <w:r>
        <w:rPr>
          <w:rFonts w:hint="eastAsia" w:ascii="Times New Roman" w:hAnsi="Times New Roman" w:eastAsia="宋体" w:cs="Arial"/>
          <w:b/>
          <w:color w:val="auto"/>
          <w:highlight w:val="none"/>
          <w:u w:val="none"/>
          <w:lang w:val="en-US" w:eastAsia="zh-CN"/>
        </w:rPr>
        <w:t>服务</w:t>
      </w:r>
      <w:r>
        <w:rPr>
          <w:rFonts w:hint="eastAsia" w:ascii="Times New Roman" w:hAnsi="Times New Roman" w:eastAsia="宋体" w:cs="Arial"/>
          <w:b/>
          <w:color w:val="auto"/>
          <w:highlight w:val="none"/>
          <w:u w:val="none"/>
          <w:lang w:eastAsia="zh-CN"/>
        </w:rPr>
        <w:t>期间系统实施服务使用、培训和客服等费用，</w:t>
      </w:r>
      <w:r>
        <w:rPr>
          <w:rFonts w:hint="eastAsia" w:ascii="Times New Roman" w:hAnsi="Times New Roman" w:eastAsia="宋体" w:cs="Arial"/>
          <w:b/>
          <w:color w:val="auto"/>
          <w:highlight w:val="none"/>
          <w:u w:val="none"/>
          <w:lang w:val="en-US" w:eastAsia="zh-CN"/>
        </w:rPr>
        <w:t>以及满足安全服务需求有关费用，</w:t>
      </w:r>
      <w:r>
        <w:rPr>
          <w:rFonts w:hint="eastAsia" w:cs="Arial"/>
          <w:b/>
          <w:color w:val="auto"/>
          <w:highlight w:val="none"/>
          <w:u w:val="none"/>
          <w:lang w:eastAsia="zh-CN"/>
        </w:rPr>
        <w:t>运维及</w:t>
      </w:r>
      <w:r>
        <w:rPr>
          <w:rFonts w:hint="eastAsia" w:cs="Arial"/>
          <w:b/>
          <w:color w:val="auto"/>
          <w:highlight w:val="none"/>
          <w:u w:val="none"/>
        </w:rPr>
        <w:t>售后服务以及完成采购需求所涉及的其他一</w:t>
      </w:r>
      <w:r>
        <w:rPr>
          <w:rFonts w:hint="eastAsia" w:ascii="Times New Roman" w:hAnsi="Times New Roman" w:eastAsia="宋体" w:cs="Arial"/>
          <w:b/>
          <w:color w:val="auto"/>
          <w:highlight w:val="none"/>
          <w:u w:val="none"/>
          <w:lang w:eastAsia="zh-CN"/>
        </w:rPr>
        <w:t>切内容，业主方不再另行支付额外费用。</w:t>
      </w:r>
      <w:r>
        <w:rPr>
          <w:rFonts w:hint="eastAsia" w:ascii="宋体" w:hAnsi="宋体" w:cs="宋体"/>
          <w:b/>
          <w:bCs/>
          <w:snapToGrid w:val="0"/>
          <w:color w:val="auto"/>
          <w:kern w:val="0"/>
          <w:szCs w:val="21"/>
          <w:highlight w:val="none"/>
        </w:rPr>
        <w:t>以及中标后中标供应商因本项目合同履行产生的税金、人工、管理、合理利润等一切成本及费用（以上所有费用包含在综合单价中，不另列）。</w:t>
      </w:r>
    </w:p>
    <w:p>
      <w:pPr>
        <w:pStyle w:val="2"/>
        <w:keepNext w:val="0"/>
        <w:keepLines w:val="0"/>
        <w:pageBreakBefore w:val="0"/>
        <w:widowControl w:val="0"/>
        <w:kinsoku/>
        <w:wordWrap/>
        <w:overflowPunct/>
        <w:topLinePunct w:val="0"/>
        <w:autoSpaceDE/>
        <w:autoSpaceDN/>
        <w:bidi w:val="0"/>
        <w:spacing w:line="360" w:lineRule="auto"/>
        <w:ind w:left="0" w:leftChars="0" w:firstLine="422" w:firstLineChars="200"/>
        <w:textAlignment w:val="auto"/>
        <w:rPr>
          <w:rFonts w:hint="eastAsia" w:ascii="宋体" w:hAnsi="宋体" w:eastAsia="宋体" w:cs="宋体"/>
          <w:b/>
          <w:color w:val="auto"/>
          <w:kern w:val="0"/>
          <w:sz w:val="21"/>
          <w:szCs w:val="21"/>
          <w:highlight w:val="none"/>
          <w:lang w:val="en-US" w:eastAsia="zh-CN" w:bidi="ar-SA"/>
        </w:rPr>
      </w:pPr>
      <w:r>
        <w:rPr>
          <w:rFonts w:hint="eastAsia" w:ascii="宋体" w:hAnsi="宋体" w:eastAsia="宋体" w:cs="宋体"/>
          <w:b/>
          <w:color w:val="auto"/>
          <w:kern w:val="0"/>
          <w:sz w:val="21"/>
          <w:szCs w:val="21"/>
          <w:highlight w:val="none"/>
          <w:lang w:val="en-US" w:eastAsia="zh-CN" w:bidi="ar-SA"/>
        </w:rPr>
        <w:t>（2）市县标准年度服务费用，要求包括</w:t>
      </w:r>
      <w:r>
        <w:rPr>
          <w:rFonts w:hint="eastAsia" w:ascii="宋体" w:hAnsi="宋体" w:eastAsia="宋体" w:cs="宋体"/>
          <w:b/>
          <w:color w:val="auto"/>
          <w:kern w:val="0"/>
          <w:sz w:val="21"/>
          <w:szCs w:val="21"/>
          <w:highlight w:val="none"/>
        </w:rPr>
        <w:t>新年度初始化设置、培训和日常运维服务费用</w:t>
      </w:r>
      <w:r>
        <w:rPr>
          <w:rFonts w:hint="eastAsia" w:ascii="宋体" w:hAnsi="宋体" w:eastAsia="宋体" w:cs="宋体"/>
          <w:b/>
          <w:color w:val="auto"/>
          <w:kern w:val="0"/>
          <w:sz w:val="21"/>
          <w:szCs w:val="21"/>
          <w:highlight w:val="none"/>
          <w:lang w:eastAsia="zh-CN"/>
        </w:rPr>
        <w:t>等全部实施费用</w:t>
      </w:r>
      <w:r>
        <w:rPr>
          <w:rFonts w:hint="eastAsia" w:ascii="宋体" w:hAnsi="宋体" w:eastAsia="宋体" w:cs="宋体"/>
          <w:b/>
          <w:color w:val="auto"/>
          <w:kern w:val="0"/>
          <w:sz w:val="21"/>
          <w:szCs w:val="21"/>
          <w:highlight w:val="none"/>
          <w:lang w:val="en-US" w:eastAsia="zh-CN" w:bidi="ar-SA"/>
        </w:rPr>
        <w:t>，其中地市级年度服务最高限价为：</w:t>
      </w:r>
      <w:r>
        <w:rPr>
          <w:rFonts w:hint="eastAsia" w:ascii="宋体" w:hAnsi="宋体" w:eastAsia="宋体" w:cs="宋体"/>
          <w:b/>
          <w:color w:val="auto"/>
          <w:kern w:val="0"/>
          <w:sz w:val="21"/>
          <w:szCs w:val="21"/>
          <w:highlight w:val="none"/>
          <w:u w:val="single"/>
          <w:lang w:val="en-US" w:eastAsia="zh-CN" w:bidi="ar-SA"/>
        </w:rPr>
        <w:t xml:space="preserve"> 60 </w:t>
      </w:r>
      <w:r>
        <w:rPr>
          <w:rFonts w:hint="eastAsia" w:ascii="宋体" w:hAnsi="宋体" w:eastAsia="宋体" w:cs="宋体"/>
          <w:b/>
          <w:color w:val="auto"/>
          <w:kern w:val="0"/>
          <w:sz w:val="21"/>
          <w:szCs w:val="21"/>
          <w:highlight w:val="none"/>
          <w:lang w:val="en-US" w:eastAsia="zh-CN" w:bidi="ar-SA"/>
        </w:rPr>
        <w:t>万元/年/地市，区县级年度服务最高限价为：</w:t>
      </w:r>
      <w:r>
        <w:rPr>
          <w:rFonts w:hint="eastAsia" w:ascii="宋体" w:hAnsi="宋体" w:eastAsia="宋体" w:cs="宋体"/>
          <w:b/>
          <w:color w:val="auto"/>
          <w:kern w:val="0"/>
          <w:sz w:val="21"/>
          <w:szCs w:val="21"/>
          <w:highlight w:val="none"/>
          <w:u w:val="single"/>
          <w:lang w:val="en-US" w:eastAsia="zh-CN" w:bidi="ar-SA"/>
        </w:rPr>
        <w:t xml:space="preserve"> 40 </w:t>
      </w:r>
      <w:r>
        <w:rPr>
          <w:rFonts w:hint="eastAsia" w:ascii="宋体" w:hAnsi="宋体" w:eastAsia="宋体" w:cs="宋体"/>
          <w:b/>
          <w:color w:val="auto"/>
          <w:kern w:val="0"/>
          <w:sz w:val="21"/>
          <w:szCs w:val="21"/>
          <w:highlight w:val="none"/>
          <w:lang w:val="en-US" w:eastAsia="zh-CN" w:bidi="ar-SA"/>
        </w:rPr>
        <w:t>万元/年/区县，服务费用含系统初始化实施，培训、现场服务和远程服务等统一标准的服务，市县财政局不再另行支付额外费用。市县的个性需求服务费用或超过现场服务时间标准（2个人月）的费用另行与供应商商议。</w:t>
      </w:r>
    </w:p>
    <w:p>
      <w:pPr>
        <w:keepNext w:val="0"/>
        <w:keepLines w:val="0"/>
        <w:pageBreakBefore w:val="0"/>
        <w:widowControl w:val="0"/>
        <w:kinsoku/>
        <w:wordWrap/>
        <w:overflowPunct/>
        <w:topLinePunct w:val="0"/>
        <w:autoSpaceDE/>
        <w:autoSpaceDN/>
        <w:bidi w:val="0"/>
        <w:spacing w:line="360" w:lineRule="auto"/>
        <w:textAlignment w:val="auto"/>
        <w:rPr>
          <w:rFonts w:hint="default"/>
          <w:color w:val="auto"/>
          <w:highlight w:val="none"/>
          <w:lang w:val="en-US" w:eastAsia="zh-CN"/>
        </w:rPr>
      </w:pPr>
      <w:r>
        <w:rPr>
          <w:rFonts w:hint="eastAsia" w:ascii="宋体" w:hAnsi="宋体" w:eastAsia="宋体" w:cs="宋体"/>
          <w:b/>
          <w:color w:val="auto"/>
          <w:kern w:val="0"/>
          <w:sz w:val="21"/>
          <w:szCs w:val="21"/>
          <w:highlight w:val="none"/>
          <w:lang w:val="en-US" w:eastAsia="zh-CN" w:bidi="ar-SA"/>
        </w:rPr>
        <w:t xml:space="preserve">    总投标报价（本项目评审价）按：省本级平台费用+10</w:t>
      </w:r>
      <w:r>
        <w:rPr>
          <w:rFonts w:hint="default" w:ascii="Arial" w:hAnsi="Arial" w:eastAsia="宋体" w:cs="Arial"/>
          <w:b/>
          <w:color w:val="auto"/>
          <w:kern w:val="0"/>
          <w:sz w:val="21"/>
          <w:szCs w:val="21"/>
          <w:highlight w:val="none"/>
          <w:lang w:val="en-US" w:eastAsia="zh-CN" w:bidi="ar-SA"/>
        </w:rPr>
        <w:t>×</w:t>
      </w:r>
      <w:r>
        <w:rPr>
          <w:rFonts w:hint="eastAsia" w:ascii="宋体" w:hAnsi="宋体" w:eastAsia="宋体" w:cs="宋体"/>
          <w:b/>
          <w:color w:val="auto"/>
          <w:kern w:val="0"/>
          <w:sz w:val="21"/>
          <w:szCs w:val="21"/>
          <w:highlight w:val="none"/>
          <w:lang w:val="en-US" w:eastAsia="zh-CN" w:bidi="ar-SA"/>
        </w:rPr>
        <w:t>地市级年度服务费用+86</w:t>
      </w:r>
      <w:r>
        <w:rPr>
          <w:rFonts w:hint="default" w:ascii="Arial" w:hAnsi="Arial" w:eastAsia="宋体" w:cs="Arial"/>
          <w:b/>
          <w:color w:val="auto"/>
          <w:kern w:val="0"/>
          <w:sz w:val="21"/>
          <w:szCs w:val="21"/>
          <w:highlight w:val="none"/>
          <w:lang w:val="en-US" w:eastAsia="zh-CN" w:bidi="ar-SA"/>
        </w:rPr>
        <w:t>×</w:t>
      </w:r>
      <w:r>
        <w:rPr>
          <w:rFonts w:hint="eastAsia" w:ascii="Arial" w:hAnsi="Arial" w:eastAsia="宋体" w:cs="Arial"/>
          <w:b/>
          <w:color w:val="auto"/>
          <w:kern w:val="0"/>
          <w:sz w:val="21"/>
          <w:szCs w:val="21"/>
          <w:highlight w:val="none"/>
          <w:lang w:val="en-US" w:eastAsia="zh-CN" w:bidi="ar-SA"/>
        </w:rPr>
        <w:t>区县级年度服务费用计算。</w:t>
      </w:r>
    </w:p>
    <w:p>
      <w:pPr>
        <w:pStyle w:val="2"/>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完成本项目服务所涉及的一律费用由供应商承担。费用清单需详细列明，不详细的部分采购人有权按最好效果、最高标准执行。</w:t>
      </w:r>
    </w:p>
    <w:p>
      <w:pPr>
        <w:pStyle w:val="2"/>
        <w:snapToGrid w:val="0"/>
        <w:ind w:firstLine="422" w:firstLineChars="200"/>
        <w:rPr>
          <w:rFonts w:hint="eastAsia"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投标人应认真计算可能发生的各相关费用并计入报价内，在项目实施过程中不得藉此要求增加任何费用，并不得出现选择性的报价。</w:t>
      </w:r>
    </w:p>
    <w:p>
      <w:pPr>
        <w:widowControl/>
        <w:adjustRightInd w:val="0"/>
        <w:snapToGrid w:val="0"/>
        <w:spacing w:line="360" w:lineRule="auto"/>
        <w:ind w:firstLine="422" w:firstLineChars="200"/>
        <w:jc w:val="left"/>
        <w:rPr>
          <w:rFonts w:hint="eastAsia" w:ascii="宋体" w:hAnsi="宋体" w:cs="宋体"/>
          <w:snapToGrid w:val="0"/>
          <w:color w:val="auto"/>
          <w:kern w:val="0"/>
          <w:szCs w:val="21"/>
          <w:highlight w:val="none"/>
        </w:rPr>
      </w:pPr>
      <w:r>
        <w:rPr>
          <w:rFonts w:hint="eastAsia" w:ascii="宋体" w:hAnsi="宋体" w:cs="宋体"/>
          <w:b/>
          <w:snapToGrid w:val="0"/>
          <w:color w:val="auto"/>
          <w:kern w:val="0"/>
          <w:szCs w:val="21"/>
          <w:highlight w:val="none"/>
        </w:rPr>
        <w:t>11.3本项目采购代理服务费由中标人向采购代理机构支付，相关成本支出由投标人自行考虑。采购代理服务费计取标准见前附表。</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11.4本项目只允许一次报价，不允许以开标后调整的报价作为评标的依据（但按本采购文件投标须知投标文件错误的修正并经评标委员会认定或经投标人确认同意的除外）。</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11.5其它需在报价中考虑的因素：</w:t>
      </w:r>
    </w:p>
    <w:p>
      <w:pPr>
        <w:numPr>
          <w:ilvl w:val="0"/>
          <w:numId w:val="13"/>
        </w:numPr>
        <w:tabs>
          <w:tab w:val="left" w:pos="993"/>
        </w:tabs>
        <w:adjustRightInd w:val="0"/>
        <w:snapToGrid w:val="0"/>
        <w:spacing w:line="360" w:lineRule="auto"/>
        <w:ind w:left="0" w:firstLine="420"/>
        <w:jc w:val="left"/>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用户需求中明确的需供应商承担的费用均应含在投标总价中；</w:t>
      </w:r>
    </w:p>
    <w:p>
      <w:pPr>
        <w:numPr>
          <w:ilvl w:val="0"/>
          <w:numId w:val="13"/>
        </w:numPr>
        <w:tabs>
          <w:tab w:val="left" w:pos="993"/>
        </w:tabs>
        <w:adjustRightInd w:val="0"/>
        <w:snapToGrid w:val="0"/>
        <w:spacing w:line="360" w:lineRule="auto"/>
        <w:ind w:left="0" w:firstLine="420"/>
        <w:jc w:val="left"/>
        <w:rPr>
          <w:rFonts w:hint="eastAsia" w:ascii="宋体" w:hAnsi="宋体" w:cs="宋体"/>
          <w:b/>
          <w:snapToGrid w:val="0"/>
          <w:color w:val="auto"/>
          <w:kern w:val="0"/>
          <w:szCs w:val="21"/>
          <w:highlight w:val="none"/>
        </w:rPr>
      </w:pPr>
      <w:r>
        <w:rPr>
          <w:rFonts w:hint="eastAsia" w:ascii="宋体" w:hAnsi="宋体" w:cs="宋体"/>
          <w:b/>
          <w:color w:val="auto"/>
          <w:szCs w:val="21"/>
          <w:highlight w:val="none"/>
        </w:rPr>
        <w:t>采购文件未明示但投标人认为可能产生的潜在费用支出均需自行考虑并计入投标总价中；</w:t>
      </w:r>
    </w:p>
    <w:p>
      <w:pPr>
        <w:numPr>
          <w:ilvl w:val="0"/>
          <w:numId w:val="13"/>
        </w:numPr>
        <w:tabs>
          <w:tab w:val="left" w:pos="993"/>
        </w:tabs>
        <w:adjustRightInd w:val="0"/>
        <w:snapToGrid w:val="0"/>
        <w:spacing w:line="360" w:lineRule="auto"/>
        <w:jc w:val="left"/>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对于没有填报的项目，采购人将不再支付，并均认为已包含在报价内。</w:t>
      </w:r>
    </w:p>
    <w:p>
      <w:pPr>
        <w:pStyle w:val="2"/>
        <w:snapToGrid w:val="0"/>
        <w:spacing w:before="120" w:beforeLines="50"/>
        <w:ind w:firstLine="422" w:firstLineChars="200"/>
        <w:rPr>
          <w:rFonts w:hint="eastAsia"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12．投标货币</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投标人用人民币报价。</w:t>
      </w:r>
    </w:p>
    <w:p>
      <w:pPr>
        <w:pStyle w:val="2"/>
        <w:numPr>
          <w:ilvl w:val="0"/>
          <w:numId w:val="14"/>
        </w:numPr>
        <w:snapToGrid w:val="0"/>
        <w:spacing w:before="120" w:beforeLines="50"/>
        <w:ind w:firstLine="422" w:firstLineChars="200"/>
        <w:rPr>
          <w:rFonts w:hint="eastAsia"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投标保证金</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13.1 本项目不收取投标保证金。但违反政府采购相关规定给采购人造成损失的，投标人应当承担赔偿责任。</w:t>
      </w:r>
    </w:p>
    <w:p>
      <w:pPr>
        <w:pStyle w:val="2"/>
        <w:snapToGrid w:val="0"/>
        <w:spacing w:before="120" w:beforeLines="50"/>
        <w:ind w:firstLine="422" w:firstLineChars="200"/>
        <w:rPr>
          <w:rFonts w:hint="eastAsia"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14．投标有效期</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14.1 投标文件在开标之日起90个日历天内有效。</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14.2 在原定投标有效期满之前，如果出现特殊情况，采购人可以以书面形式向投标人提出延长投标有效期的要求。这种要求与答复均应采用书面形式如传真或信件等。投标人可以拒绝接受采购人的这种要求而放弃投标。接受延长投标有效期的投标人将不会被要求和允许修正其投标。</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14.3 中标人的投标文件自开标之日起至合同履行完毕止均应保持有效。</w:t>
      </w:r>
    </w:p>
    <w:p>
      <w:pPr>
        <w:pStyle w:val="2"/>
        <w:snapToGrid w:val="0"/>
        <w:spacing w:before="120" w:beforeLines="50"/>
        <w:ind w:firstLine="422" w:firstLineChars="200"/>
        <w:rPr>
          <w:rFonts w:hint="eastAsia" w:ascii="宋体" w:hAnsi="宋体" w:eastAsia="宋体" w:cs="宋体"/>
          <w:b/>
          <w:bCs/>
          <w:snapToGrid w:val="0"/>
          <w:color w:val="auto"/>
          <w:kern w:val="0"/>
          <w:sz w:val="21"/>
          <w:szCs w:val="21"/>
          <w:highlight w:val="none"/>
        </w:rPr>
      </w:pPr>
      <w:r>
        <w:rPr>
          <w:rFonts w:hint="eastAsia" w:ascii="宋体" w:hAnsi="宋体" w:eastAsia="宋体" w:cs="宋体"/>
          <w:b/>
          <w:bCs/>
          <w:snapToGrid w:val="0"/>
          <w:color w:val="auto"/>
          <w:kern w:val="0"/>
          <w:sz w:val="21"/>
          <w:szCs w:val="21"/>
          <w:highlight w:val="none"/>
        </w:rPr>
        <w:t>15．投标文件的式样</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15.1 投标人通过“政采云”平台制作电子投标文件，投标文件制作详见“供应商-政府采购项目电子交易操作指南”。</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lang w:eastAsia="zh-CN"/>
        </w:rPr>
      </w:pPr>
      <w:r>
        <w:rPr>
          <w:rFonts w:hint="eastAsia" w:ascii="宋体" w:hAnsi="宋体" w:eastAsia="宋体" w:cs="宋体"/>
          <w:snapToGrid w:val="0"/>
          <w:color w:val="auto"/>
          <w:kern w:val="0"/>
          <w:szCs w:val="21"/>
          <w:highlight w:val="none"/>
        </w:rPr>
        <w:t xml:space="preserve">15.2 </w:t>
      </w:r>
      <w:r>
        <w:rPr>
          <w:rFonts w:hint="eastAsia" w:ascii="宋体" w:hAnsi="宋体" w:eastAsia="宋体" w:cs="宋体"/>
          <w:snapToGrid w:val="0"/>
          <w:color w:val="auto"/>
          <w:kern w:val="0"/>
          <w:szCs w:val="21"/>
          <w:highlight w:val="none"/>
          <w:lang w:val="en-US" w:eastAsia="zh-CN"/>
        </w:rPr>
        <w:t>投标文件是</w:t>
      </w:r>
      <w:r>
        <w:rPr>
          <w:rFonts w:hint="eastAsia" w:ascii="宋体" w:hAnsi="宋体" w:eastAsia="宋体" w:cs="宋体"/>
          <w:snapToGrid w:val="0"/>
          <w:color w:val="auto"/>
          <w:kern w:val="0"/>
          <w:szCs w:val="21"/>
          <w:highlight w:val="none"/>
        </w:rPr>
        <w:t>电子投标文件</w:t>
      </w:r>
      <w:r>
        <w:rPr>
          <w:rFonts w:hint="eastAsia" w:ascii="宋体" w:hAnsi="宋体" w:eastAsia="宋体" w:cs="宋体"/>
          <w:snapToGrid w:val="0"/>
          <w:color w:val="auto"/>
          <w:kern w:val="0"/>
          <w:szCs w:val="21"/>
          <w:highlight w:val="none"/>
          <w:lang w:eastAsia="zh-CN"/>
        </w:rPr>
        <w:t>，</w:t>
      </w:r>
      <w:r>
        <w:rPr>
          <w:rFonts w:hint="eastAsia" w:ascii="宋体" w:hAnsi="宋体" w:eastAsia="宋体" w:cs="宋体"/>
          <w:snapToGrid w:val="0"/>
          <w:color w:val="auto"/>
          <w:kern w:val="0"/>
          <w:szCs w:val="21"/>
          <w:highlight w:val="none"/>
        </w:rPr>
        <w:t>包括“电子加密投标文件”和“备份投标文件”，在投标文件编制完成后同时生成</w:t>
      </w:r>
      <w:r>
        <w:rPr>
          <w:rFonts w:hint="eastAsia" w:ascii="宋体" w:hAnsi="宋体" w:eastAsia="宋体" w:cs="宋体"/>
          <w:snapToGrid w:val="0"/>
          <w:color w:val="auto"/>
          <w:kern w:val="0"/>
          <w:szCs w:val="21"/>
          <w:highlight w:val="none"/>
          <w:lang w:eastAsia="zh-CN"/>
        </w:rPr>
        <w:t>。</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（1）“电子加密投标文件”是指通过“政采云电子交易客户端”完成投标文件编制后生成并加密的数据电文形式的投标文件。</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（2）“备份投标文件”是指与“电子加密投标文件”同时生成的数据电文形式的电子文件（备份标书，用于供应商标书解密异常时应急使用），其他方式编制的备份投标文件视为无效备份投标文件。</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lang w:eastAsia="zh-CN"/>
        </w:rPr>
      </w:pPr>
      <w:r>
        <w:rPr>
          <w:rFonts w:hint="eastAsia" w:ascii="宋体" w:hAnsi="宋体" w:eastAsia="宋体" w:cs="宋体"/>
          <w:snapToGrid w:val="0"/>
          <w:color w:val="auto"/>
          <w:kern w:val="0"/>
          <w:szCs w:val="21"/>
          <w:highlight w:val="none"/>
          <w:lang w:eastAsia="zh-CN"/>
        </w:rPr>
        <w:t>（</w:t>
      </w:r>
      <w:r>
        <w:rPr>
          <w:rFonts w:hint="eastAsia" w:ascii="宋体" w:hAnsi="宋体" w:eastAsia="宋体" w:cs="宋体"/>
          <w:snapToGrid w:val="0"/>
          <w:color w:val="auto"/>
          <w:kern w:val="0"/>
          <w:szCs w:val="21"/>
          <w:highlight w:val="none"/>
          <w:lang w:val="en-US" w:eastAsia="zh-CN"/>
        </w:rPr>
        <w:t>3</w:t>
      </w:r>
      <w:r>
        <w:rPr>
          <w:rFonts w:hint="eastAsia" w:ascii="宋体" w:hAnsi="宋体" w:eastAsia="宋体" w:cs="宋体"/>
          <w:snapToGrid w:val="0"/>
          <w:color w:val="auto"/>
          <w:kern w:val="0"/>
          <w:szCs w:val="21"/>
          <w:highlight w:val="none"/>
          <w:lang w:eastAsia="zh-CN"/>
        </w:rPr>
        <w:t>）一份电子加密标书（后缀格式为.jmbs），一份备份标书文件（后缀格式为.bfbs）</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lang w:eastAsia="zh-CN"/>
        </w:rPr>
      </w:pPr>
      <w:r>
        <w:rPr>
          <w:rFonts w:hint="eastAsia" w:ascii="宋体" w:hAnsi="宋体" w:eastAsia="宋体" w:cs="宋体"/>
          <w:snapToGrid w:val="0"/>
          <w:color w:val="auto"/>
          <w:kern w:val="0"/>
          <w:szCs w:val="21"/>
          <w:highlight w:val="none"/>
          <w:lang w:eastAsia="zh-CN"/>
        </w:rPr>
        <w:t>（</w:t>
      </w:r>
      <w:r>
        <w:rPr>
          <w:rFonts w:hint="eastAsia" w:ascii="宋体" w:hAnsi="宋体" w:eastAsia="宋体" w:cs="宋体"/>
          <w:snapToGrid w:val="0"/>
          <w:color w:val="auto"/>
          <w:kern w:val="0"/>
          <w:szCs w:val="21"/>
          <w:highlight w:val="none"/>
          <w:lang w:val="en-US" w:eastAsia="zh-CN"/>
        </w:rPr>
        <w:t>4</w:t>
      </w:r>
      <w:r>
        <w:rPr>
          <w:rFonts w:hint="eastAsia" w:ascii="宋体" w:hAnsi="宋体" w:eastAsia="宋体" w:cs="宋体"/>
          <w:snapToGrid w:val="0"/>
          <w:color w:val="auto"/>
          <w:kern w:val="0"/>
          <w:szCs w:val="21"/>
          <w:highlight w:val="none"/>
          <w:lang w:eastAsia="zh-CN"/>
        </w:rPr>
        <w:t>）每份电子投标文件应包括资格响应文件、商务技术响应文件、报价响应文件三部分内容。</w:t>
      </w:r>
    </w:p>
    <w:p>
      <w:pPr>
        <w:adjustRightInd w:val="0"/>
        <w:snapToGrid w:val="0"/>
        <w:spacing w:line="360" w:lineRule="auto"/>
        <w:ind w:firstLine="422" w:firstLineChars="200"/>
        <w:jc w:val="left"/>
        <w:rPr>
          <w:rFonts w:hint="eastAsia" w:ascii="宋体" w:hAnsi="宋体" w:eastAsia="宋体" w:cs="宋体"/>
          <w:b/>
          <w:bCs/>
          <w:snapToGrid w:val="0"/>
          <w:color w:val="auto"/>
          <w:kern w:val="0"/>
          <w:szCs w:val="21"/>
          <w:highlight w:val="none"/>
        </w:rPr>
      </w:pPr>
      <w:r>
        <w:rPr>
          <w:rFonts w:hint="eastAsia" w:ascii="宋体" w:hAnsi="宋体" w:eastAsia="宋体" w:cs="宋体"/>
          <w:b/>
          <w:bCs/>
          <w:snapToGrid w:val="0"/>
          <w:color w:val="auto"/>
          <w:kern w:val="0"/>
          <w:szCs w:val="21"/>
          <w:highlight w:val="none"/>
        </w:rPr>
        <w:t xml:space="preserve">15.3 </w:t>
      </w:r>
      <w:r>
        <w:rPr>
          <w:rFonts w:hint="eastAsia" w:ascii="宋体" w:hAnsi="宋体" w:eastAsia="宋体" w:cs="宋体"/>
          <w:b/>
          <w:bCs/>
          <w:snapToGrid w:val="0"/>
          <w:color w:val="auto"/>
          <w:kern w:val="0"/>
          <w:szCs w:val="21"/>
          <w:highlight w:val="none"/>
          <w:lang w:val="en-US" w:eastAsia="zh-CN"/>
        </w:rPr>
        <w:t>投标文件中投标函、</w:t>
      </w:r>
      <w:r>
        <w:rPr>
          <w:rFonts w:hint="eastAsia" w:ascii="宋体" w:hAnsi="宋体" w:eastAsia="宋体" w:cs="宋体"/>
          <w:b/>
          <w:bCs/>
          <w:snapToGrid w:val="0"/>
          <w:color w:val="auto"/>
          <w:kern w:val="0"/>
          <w:szCs w:val="21"/>
          <w:highlight w:val="none"/>
          <w:lang w:eastAsia="zh-CN"/>
        </w:rPr>
        <w:t>授权委托书</w:t>
      </w:r>
      <w:r>
        <w:rPr>
          <w:rFonts w:hint="eastAsia" w:ascii="宋体" w:hAnsi="宋体" w:eastAsia="宋体" w:cs="宋体"/>
          <w:b/>
          <w:bCs/>
          <w:snapToGrid w:val="0"/>
          <w:color w:val="auto"/>
          <w:kern w:val="0"/>
          <w:szCs w:val="21"/>
          <w:highlight w:val="none"/>
          <w:lang w:val="en-US" w:eastAsia="zh-CN"/>
        </w:rPr>
        <w:t>的</w:t>
      </w:r>
      <w:r>
        <w:rPr>
          <w:rFonts w:hint="eastAsia" w:ascii="宋体" w:hAnsi="宋体" w:eastAsia="宋体" w:cs="宋体"/>
          <w:b/>
          <w:bCs/>
          <w:snapToGrid w:val="0"/>
          <w:color w:val="auto"/>
          <w:kern w:val="0"/>
          <w:szCs w:val="21"/>
          <w:highlight w:val="none"/>
        </w:rPr>
        <w:t>格式、签字、盖章及内容均应符合</w:t>
      </w:r>
      <w:r>
        <w:rPr>
          <w:rFonts w:hint="eastAsia" w:ascii="宋体" w:hAnsi="宋体" w:eastAsia="宋体" w:cs="宋体"/>
          <w:b/>
          <w:bCs/>
          <w:snapToGrid w:val="0"/>
          <w:color w:val="auto"/>
          <w:kern w:val="0"/>
          <w:szCs w:val="21"/>
          <w:highlight w:val="none"/>
          <w:lang w:val="en-US" w:eastAsia="zh-CN"/>
        </w:rPr>
        <w:t>采购文件格式</w:t>
      </w:r>
      <w:r>
        <w:rPr>
          <w:rFonts w:hint="eastAsia" w:ascii="宋体" w:hAnsi="宋体" w:eastAsia="宋体" w:cs="宋体"/>
          <w:b/>
          <w:bCs/>
          <w:snapToGrid w:val="0"/>
          <w:color w:val="auto"/>
          <w:kern w:val="0"/>
          <w:szCs w:val="21"/>
          <w:highlight w:val="none"/>
        </w:rPr>
        <w:t>要求，否则投标文件无效。</w:t>
      </w:r>
    </w:p>
    <w:p>
      <w:pPr>
        <w:pStyle w:val="2"/>
        <w:rPr>
          <w:rFonts w:hint="eastAsia" w:eastAsia="宋体"/>
          <w:color w:val="auto"/>
          <w:sz w:val="21"/>
          <w:szCs w:val="21"/>
          <w:highlight w:val="none"/>
          <w:lang w:eastAsia="zh-CN"/>
        </w:rPr>
      </w:pPr>
      <w:r>
        <w:rPr>
          <w:rFonts w:hint="eastAsia" w:ascii="宋体" w:hAnsi="宋体" w:eastAsia="宋体" w:cs="宋体"/>
          <w:b/>
          <w:bCs/>
          <w:snapToGrid w:val="0"/>
          <w:color w:val="auto"/>
          <w:kern w:val="0"/>
          <w:sz w:val="21"/>
          <w:szCs w:val="21"/>
          <w:highlight w:val="none"/>
          <w:lang w:eastAsia="zh-CN"/>
        </w:rPr>
        <w:t>说明：凡采购文件要求投标人盖公章的部分，采用电子签章或加盖投标人公章后扫描上传的，均视为符合要求。</w:t>
      </w:r>
    </w:p>
    <w:p>
      <w:pPr>
        <w:adjustRightInd w:val="0"/>
        <w:snapToGrid w:val="0"/>
        <w:spacing w:line="360" w:lineRule="auto"/>
        <w:ind w:firstLine="422" w:firstLineChars="200"/>
        <w:jc w:val="left"/>
        <w:rPr>
          <w:rFonts w:hint="eastAsia" w:ascii="宋体" w:hAnsi="宋体" w:eastAsia="宋体" w:cs="宋体"/>
          <w:b/>
          <w:bCs/>
          <w:snapToGrid w:val="0"/>
          <w:color w:val="auto"/>
          <w:kern w:val="0"/>
          <w:szCs w:val="21"/>
          <w:highlight w:val="none"/>
          <w:lang w:eastAsia="zh-CN"/>
        </w:rPr>
      </w:pPr>
      <w:r>
        <w:rPr>
          <w:rFonts w:hint="eastAsia" w:ascii="宋体" w:hAnsi="宋体" w:eastAsia="宋体" w:cs="宋体"/>
          <w:b/>
          <w:bCs/>
          <w:snapToGrid w:val="0"/>
          <w:color w:val="auto"/>
          <w:kern w:val="0"/>
          <w:szCs w:val="21"/>
          <w:highlight w:val="none"/>
        </w:rPr>
        <w:t>15.4</w:t>
      </w:r>
      <w:r>
        <w:rPr>
          <w:rFonts w:hint="eastAsia" w:ascii="宋体" w:hAnsi="宋体" w:eastAsia="宋体" w:cs="宋体"/>
          <w:b/>
          <w:bCs/>
          <w:snapToGrid w:val="0"/>
          <w:color w:val="auto"/>
          <w:kern w:val="0"/>
          <w:szCs w:val="21"/>
          <w:highlight w:val="none"/>
          <w:lang w:eastAsia="zh-CN"/>
        </w:rPr>
        <w:t>投标人应根据“政采云供应商项目采购-电子招投标操作指南”及本招标文件规定编制电子投标文件并进行关联定位，以便评标委员会在评标时，点击评分项，可直接定位到该评分项内容。</w:t>
      </w:r>
    </w:p>
    <w:p>
      <w:pPr>
        <w:adjustRightInd w:val="0"/>
        <w:snapToGrid w:val="0"/>
        <w:spacing w:line="360" w:lineRule="auto"/>
        <w:ind w:firstLine="422" w:firstLineChars="200"/>
        <w:jc w:val="left"/>
        <w:rPr>
          <w:rFonts w:hint="eastAsia" w:ascii="宋体" w:hAnsi="宋体" w:eastAsia="宋体" w:cs="宋体"/>
          <w:b/>
          <w:bCs/>
          <w:snapToGrid w:val="0"/>
          <w:color w:val="auto"/>
          <w:kern w:val="0"/>
          <w:szCs w:val="21"/>
          <w:highlight w:val="none"/>
          <w:lang w:eastAsia="zh-CN"/>
        </w:rPr>
      </w:pPr>
      <w:r>
        <w:rPr>
          <w:rFonts w:hint="eastAsia" w:ascii="宋体" w:hAnsi="宋体" w:eastAsia="宋体" w:cs="宋体"/>
          <w:b/>
          <w:bCs/>
          <w:snapToGrid w:val="0"/>
          <w:color w:val="auto"/>
          <w:kern w:val="0"/>
          <w:szCs w:val="21"/>
          <w:highlight w:val="none"/>
          <w:lang w:eastAsia="zh-CN"/>
        </w:rPr>
        <w:t>如对招标文件的某项要求，投标人的投标响应文件未能提供相应的内容与其对应，则评标委员会在评审时会提示投标人未对此项招标要求提供相应内容。由此产生的评分影响由投标人自行承担。</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投标文件内容不完整、编排混乱导致投标文件被误读、漏读，或者在按采购文件规定的部分查找不到相关内容的，是投标人的责任。</w:t>
      </w:r>
    </w:p>
    <w:p>
      <w:pPr>
        <w:pStyle w:val="4"/>
        <w:snapToGrid w:val="0"/>
        <w:spacing w:before="120" w:beforeLines="50" w:after="120" w:afterLines="50" w:line="360" w:lineRule="auto"/>
        <w:rPr>
          <w:rFonts w:hint="eastAsia" w:ascii="宋体" w:hAnsi="宋体" w:eastAsia="宋体" w:cs="宋体"/>
          <w:color w:val="auto"/>
          <w:sz w:val="21"/>
          <w:szCs w:val="21"/>
          <w:highlight w:val="none"/>
        </w:rPr>
      </w:pPr>
      <w:bookmarkStart w:id="28" w:name="_Toc24791"/>
      <w:bookmarkStart w:id="29" w:name="_Toc11108"/>
      <w:bookmarkStart w:id="30" w:name="_Toc1575"/>
      <w:bookmarkStart w:id="31" w:name="_Toc1375"/>
      <w:bookmarkStart w:id="32" w:name="_Toc240450080"/>
      <w:bookmarkStart w:id="33" w:name="_Toc23339"/>
      <w:bookmarkStart w:id="34" w:name="_Toc251566653"/>
      <w:r>
        <w:rPr>
          <w:rFonts w:hint="eastAsia" w:ascii="宋体" w:hAnsi="宋体" w:eastAsia="宋体" w:cs="宋体"/>
          <w:color w:val="auto"/>
          <w:sz w:val="21"/>
          <w:szCs w:val="21"/>
          <w:highlight w:val="none"/>
        </w:rPr>
        <w:t>四、投标文件的递交</w:t>
      </w:r>
      <w:bookmarkEnd w:id="28"/>
      <w:bookmarkEnd w:id="29"/>
      <w:bookmarkEnd w:id="30"/>
      <w:bookmarkEnd w:id="31"/>
      <w:bookmarkEnd w:id="32"/>
      <w:bookmarkEnd w:id="33"/>
      <w:bookmarkEnd w:id="34"/>
    </w:p>
    <w:p>
      <w:pPr>
        <w:adjustRightInd w:val="0"/>
        <w:snapToGrid w:val="0"/>
        <w:spacing w:before="120" w:beforeLines="50" w:line="360" w:lineRule="auto"/>
        <w:ind w:firstLine="422" w:firstLineChars="200"/>
        <w:rPr>
          <w:rFonts w:hint="eastAsia" w:ascii="宋体" w:hAnsi="宋体" w:eastAsia="宋体" w:cs="宋体"/>
          <w:b/>
          <w:color w:val="auto"/>
          <w:szCs w:val="21"/>
          <w:highlight w:val="none"/>
          <w:lang w:eastAsia="zh-CN"/>
        </w:rPr>
      </w:pPr>
      <w:r>
        <w:rPr>
          <w:rFonts w:hint="eastAsia" w:ascii="宋体" w:hAnsi="宋体" w:eastAsia="宋体" w:cs="宋体"/>
          <w:b/>
          <w:color w:val="auto"/>
          <w:szCs w:val="21"/>
          <w:highlight w:val="none"/>
        </w:rPr>
        <w:t>16．投标文件的</w:t>
      </w:r>
      <w:r>
        <w:rPr>
          <w:rFonts w:hint="eastAsia" w:ascii="宋体" w:hAnsi="宋体" w:eastAsia="宋体" w:cs="宋体"/>
          <w:b/>
          <w:color w:val="auto"/>
          <w:szCs w:val="21"/>
          <w:highlight w:val="none"/>
          <w:lang w:val="en-US" w:eastAsia="zh-CN"/>
        </w:rPr>
        <w:t>递交</w:t>
      </w:r>
    </w:p>
    <w:p>
      <w:pPr>
        <w:pStyle w:val="11"/>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16.1 电子加密投标文件：投标文件制作完成并生成加密标书，在投标截止时间前，</w:t>
      </w: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需将加密的投标文件上传至政采云平台，到达开标时间后，解密投标文件。</w:t>
      </w:r>
    </w:p>
    <w:p>
      <w:pPr>
        <w:pStyle w:val="11"/>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a.</w:t>
      </w: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未能在投标截止时间前成功上传电子加密投标文件的投标无效。</w:t>
      </w:r>
    </w:p>
    <w:p>
      <w:pPr>
        <w:pStyle w:val="11"/>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b.</w:t>
      </w: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成功上传电子加密投标文件后，可自行打印投标文件接收回执。</w:t>
      </w:r>
    </w:p>
    <w:p>
      <w:pPr>
        <w:pStyle w:val="11"/>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16.2备份投标文件：供应商确保在投标截止时间前，将备份投标文件通过快递形式寄达采购代理机构处，以便标书解密异常时应急使用。</w:t>
      </w:r>
    </w:p>
    <w:p>
      <w:pPr>
        <w:pStyle w:val="11"/>
        <w:keepNext w:val="0"/>
        <w:keepLines w:val="0"/>
        <w:pageBreakBefore w:val="0"/>
        <w:widowControl w:val="0"/>
        <w:numPr>
          <w:ilvl w:val="0"/>
          <w:numId w:val="15"/>
        </w:numPr>
        <w:kinsoku/>
        <w:wordWrap/>
        <w:overflowPunct/>
        <w:topLinePunct w:val="0"/>
        <w:autoSpaceDE/>
        <w:autoSpaceDN/>
        <w:bidi w:val="0"/>
        <w:adjustRightInd w:val="0"/>
        <w:snapToGrid/>
        <w:spacing w:line="360" w:lineRule="auto"/>
        <w:ind w:firstLine="420" w:firstLineChars="200"/>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备份投标文件递交要求：投标人须将备份投标文件以光盘或U盘形式放在密封袋中，密封后并在密封袋上注明投标项目名称、投标单位名称并加盖公章。未密封包装或者逾期邮寄送达的“备份投标文件”将不予接收。</w:t>
      </w:r>
    </w:p>
    <w:p>
      <w:pPr>
        <w:pStyle w:val="11"/>
        <w:keepNext w:val="0"/>
        <w:keepLines w:val="0"/>
        <w:pageBreakBefore w:val="0"/>
        <w:widowControl w:val="0"/>
        <w:numPr>
          <w:ilvl w:val="0"/>
          <w:numId w:val="15"/>
        </w:numPr>
        <w:kinsoku/>
        <w:wordWrap/>
        <w:overflowPunct/>
        <w:topLinePunct w:val="0"/>
        <w:autoSpaceDE/>
        <w:autoSpaceDN/>
        <w:bidi w:val="0"/>
        <w:adjustRightInd w:val="0"/>
        <w:snapToGrid/>
        <w:spacing w:line="360" w:lineRule="auto"/>
        <w:ind w:firstLine="420" w:firstLineChars="200"/>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投标人仅提交备份投标文件的，投标无效。</w:t>
      </w:r>
    </w:p>
    <w:p>
      <w:pPr>
        <w:adjustRightInd w:val="0"/>
        <w:snapToGrid w:val="0"/>
        <w:spacing w:before="120" w:beforeLines="50"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17．投标截止期</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17.1 投标人应按前附表规定的日期、时间和</w:t>
      </w:r>
      <w:r>
        <w:rPr>
          <w:rFonts w:hint="eastAsia" w:ascii="宋体" w:hAnsi="宋体" w:eastAsia="宋体" w:cs="宋体"/>
          <w:snapToGrid w:val="0"/>
          <w:color w:val="auto"/>
          <w:kern w:val="0"/>
          <w:szCs w:val="21"/>
          <w:highlight w:val="none"/>
          <w:lang w:val="en-US" w:eastAsia="zh-CN"/>
        </w:rPr>
        <w:t>方式上传、</w:t>
      </w:r>
      <w:r>
        <w:rPr>
          <w:rFonts w:hint="eastAsia" w:ascii="宋体" w:hAnsi="宋体" w:eastAsia="宋体" w:cs="宋体"/>
          <w:snapToGrid w:val="0"/>
          <w:color w:val="auto"/>
          <w:kern w:val="0"/>
          <w:szCs w:val="21"/>
          <w:highlight w:val="none"/>
        </w:rPr>
        <w:t>递交投标文件。</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17.2 采购人可以按本须知第7条规定，通过修改采购文件适当延长投标截止日期。在此情况下，采购人与投标人受投标截止期制约的所有权利和义务均应延长至新的截止期。</w:t>
      </w:r>
    </w:p>
    <w:p>
      <w:pPr>
        <w:adjustRightInd w:val="0"/>
        <w:snapToGrid w:val="0"/>
        <w:spacing w:before="120" w:beforeLines="50"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18．迟交的投标文件</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在本须知第17条规定的截止期后收到的任何投标文件</w:t>
      </w:r>
      <w:r>
        <w:rPr>
          <w:rFonts w:hint="eastAsia" w:ascii="宋体" w:hAnsi="宋体" w:eastAsia="宋体" w:cs="宋体"/>
          <w:snapToGrid w:val="0"/>
          <w:color w:val="auto"/>
          <w:kern w:val="0"/>
          <w:szCs w:val="21"/>
          <w:highlight w:val="none"/>
          <w:lang w:eastAsia="zh-CN"/>
        </w:rPr>
        <w:t>，</w:t>
      </w:r>
      <w:r>
        <w:rPr>
          <w:rFonts w:hint="eastAsia" w:ascii="宋体" w:hAnsi="宋体" w:eastAsia="宋体" w:cs="宋体"/>
          <w:snapToGrid w:val="0"/>
          <w:color w:val="auto"/>
          <w:kern w:val="0"/>
          <w:szCs w:val="21"/>
          <w:highlight w:val="none"/>
        </w:rPr>
        <w:t>采购人将</w:t>
      </w:r>
      <w:r>
        <w:rPr>
          <w:rFonts w:hint="eastAsia" w:ascii="宋体" w:hAnsi="宋体" w:eastAsia="宋体" w:cs="宋体"/>
          <w:snapToGrid w:val="0"/>
          <w:color w:val="auto"/>
          <w:kern w:val="0"/>
          <w:szCs w:val="21"/>
          <w:highlight w:val="none"/>
          <w:lang w:val="en-US" w:eastAsia="zh-CN"/>
        </w:rPr>
        <w:t>不予接收</w:t>
      </w:r>
      <w:r>
        <w:rPr>
          <w:rFonts w:hint="eastAsia" w:ascii="宋体" w:hAnsi="宋体" w:eastAsia="宋体" w:cs="宋体"/>
          <w:snapToGrid w:val="0"/>
          <w:color w:val="auto"/>
          <w:kern w:val="0"/>
          <w:szCs w:val="21"/>
          <w:highlight w:val="none"/>
        </w:rPr>
        <w:t>。</w:t>
      </w:r>
    </w:p>
    <w:p>
      <w:pPr>
        <w:adjustRightInd w:val="0"/>
        <w:snapToGrid w:val="0"/>
        <w:spacing w:before="120" w:beforeLines="50"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19．投标文件的修改与撤回</w:t>
      </w:r>
    </w:p>
    <w:p>
      <w:pPr>
        <w:pStyle w:val="11"/>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snapToGrid w:val="0"/>
          <w:color w:val="auto"/>
          <w:kern w:val="0"/>
          <w:szCs w:val="21"/>
          <w:highlight w:val="none"/>
        </w:rPr>
        <w:t>19.1 投标人在递交投标文件后，在规定的投标截止时间前，</w:t>
      </w:r>
      <w:r>
        <w:rPr>
          <w:rFonts w:hint="eastAsia" w:ascii="宋体" w:hAnsi="宋体" w:eastAsia="宋体" w:cs="宋体"/>
          <w:color w:val="auto"/>
          <w:highlight w:val="none"/>
          <w:lang w:val="en-US" w:eastAsia="zh-CN"/>
        </w:rPr>
        <w:t>可以补充、修改或者撤回电子交易文件。补充或者修改电子交易文件的，应当先行撤回原文件，补充、修改后重新传输递交。投标截止时间前未完成传输的，视为投标文件撤回，投标无效。</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19.</w:t>
      </w:r>
      <w:r>
        <w:rPr>
          <w:rFonts w:hint="eastAsia" w:ascii="宋体" w:hAnsi="宋体" w:eastAsia="宋体" w:cs="宋体"/>
          <w:snapToGrid w:val="0"/>
          <w:color w:val="auto"/>
          <w:kern w:val="0"/>
          <w:szCs w:val="21"/>
          <w:highlight w:val="none"/>
          <w:lang w:val="en-US" w:eastAsia="zh-CN"/>
        </w:rPr>
        <w:t>2</w:t>
      </w:r>
      <w:r>
        <w:rPr>
          <w:rFonts w:hint="eastAsia" w:ascii="宋体" w:hAnsi="宋体" w:eastAsia="宋体" w:cs="宋体"/>
          <w:snapToGrid w:val="0"/>
          <w:color w:val="auto"/>
          <w:kern w:val="0"/>
          <w:szCs w:val="21"/>
          <w:highlight w:val="none"/>
        </w:rPr>
        <w:t xml:space="preserve"> 在投标截止期之后，投标人不得对其投标作任何修改。</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19.</w:t>
      </w:r>
      <w:r>
        <w:rPr>
          <w:rFonts w:hint="eastAsia" w:ascii="宋体" w:hAnsi="宋体" w:eastAsia="宋体" w:cs="宋体"/>
          <w:snapToGrid w:val="0"/>
          <w:color w:val="auto"/>
          <w:kern w:val="0"/>
          <w:szCs w:val="21"/>
          <w:highlight w:val="none"/>
          <w:lang w:val="en-US" w:eastAsia="zh-CN"/>
        </w:rPr>
        <w:t>3</w:t>
      </w:r>
      <w:r>
        <w:rPr>
          <w:rFonts w:hint="eastAsia" w:ascii="宋体" w:hAnsi="宋体" w:eastAsia="宋体" w:cs="宋体"/>
          <w:snapToGrid w:val="0"/>
          <w:color w:val="auto"/>
          <w:kern w:val="0"/>
          <w:szCs w:val="21"/>
          <w:highlight w:val="none"/>
        </w:rPr>
        <w:t xml:space="preserve"> 从投标截止期至投标人在投标函格式中确定的投标有效期期满这段时间内，投标人不得撤回其投标。</w:t>
      </w:r>
    </w:p>
    <w:p>
      <w:pPr>
        <w:pStyle w:val="4"/>
        <w:snapToGrid w:val="0"/>
        <w:spacing w:before="120" w:beforeLines="50" w:after="120" w:afterLines="50" w:line="360" w:lineRule="auto"/>
        <w:rPr>
          <w:rFonts w:hint="eastAsia" w:ascii="宋体" w:hAnsi="宋体" w:eastAsia="宋体" w:cs="宋体"/>
          <w:color w:val="auto"/>
          <w:sz w:val="21"/>
          <w:szCs w:val="21"/>
          <w:highlight w:val="none"/>
        </w:rPr>
      </w:pPr>
      <w:bookmarkStart w:id="35" w:name="_Toc251566654"/>
      <w:bookmarkStart w:id="36" w:name="_Toc240450081"/>
      <w:bookmarkStart w:id="37" w:name="_Toc14566"/>
      <w:bookmarkStart w:id="38" w:name="_Toc23779"/>
      <w:bookmarkStart w:id="39" w:name="_Toc13578"/>
      <w:bookmarkStart w:id="40" w:name="_Toc2372"/>
      <w:bookmarkStart w:id="41" w:name="_Toc16027"/>
      <w:r>
        <w:rPr>
          <w:rFonts w:hint="eastAsia" w:ascii="宋体" w:hAnsi="宋体" w:eastAsia="宋体" w:cs="宋体"/>
          <w:color w:val="auto"/>
          <w:sz w:val="21"/>
          <w:szCs w:val="21"/>
          <w:highlight w:val="none"/>
        </w:rPr>
        <w:t>五、开标与评标</w:t>
      </w:r>
      <w:bookmarkEnd w:id="35"/>
      <w:bookmarkEnd w:id="36"/>
      <w:bookmarkEnd w:id="37"/>
      <w:bookmarkEnd w:id="38"/>
      <w:bookmarkEnd w:id="39"/>
      <w:bookmarkEnd w:id="40"/>
      <w:bookmarkEnd w:id="41"/>
    </w:p>
    <w:p>
      <w:pPr>
        <w:adjustRightInd w:val="0"/>
        <w:snapToGrid w:val="0"/>
        <w:spacing w:before="120" w:beforeLines="50"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20．开标</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20.1 采购人将于前附表规定的时间和地点公开开标。若采购人按本须知第7条规定，通过修改采购文件更改了开标时间和地点的，以后者为准。</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20.2</w:t>
      </w:r>
      <w:r>
        <w:rPr>
          <w:rFonts w:hint="eastAsia" w:ascii="宋体" w:hAnsi="宋体" w:eastAsia="宋体" w:cs="宋体"/>
          <w:snapToGrid w:val="0"/>
          <w:color w:val="auto"/>
          <w:kern w:val="0"/>
          <w:szCs w:val="21"/>
          <w:highlight w:val="none"/>
          <w:lang w:val="en-US" w:eastAsia="zh-CN"/>
        </w:rPr>
        <w:t>开评标期间，投标人代表应在线操作，并关注政采云有关信息公布、澄清等情况。</w:t>
      </w:r>
      <w:r>
        <w:rPr>
          <w:rFonts w:hint="eastAsia" w:ascii="宋体" w:hAnsi="宋体" w:eastAsia="宋体" w:cs="宋体"/>
          <w:snapToGrid w:val="0"/>
          <w:color w:val="auto"/>
          <w:kern w:val="0"/>
          <w:szCs w:val="21"/>
          <w:highlight w:val="none"/>
        </w:rPr>
        <w:t>投标人代表</w:t>
      </w:r>
      <w:r>
        <w:rPr>
          <w:rFonts w:hint="eastAsia" w:ascii="宋体" w:hAnsi="宋体" w:eastAsia="宋体" w:cs="宋体"/>
          <w:snapToGrid w:val="0"/>
          <w:color w:val="auto"/>
          <w:kern w:val="0"/>
          <w:szCs w:val="21"/>
          <w:highlight w:val="none"/>
          <w:lang w:val="en-US" w:eastAsia="zh-CN"/>
        </w:rPr>
        <w:t>不</w:t>
      </w:r>
      <w:r>
        <w:rPr>
          <w:rFonts w:hint="eastAsia" w:ascii="宋体" w:hAnsi="宋体" w:eastAsia="宋体" w:cs="宋体"/>
          <w:snapToGrid w:val="0"/>
          <w:color w:val="auto"/>
          <w:kern w:val="0"/>
          <w:szCs w:val="21"/>
          <w:highlight w:val="none"/>
        </w:rPr>
        <w:t>参加开标</w:t>
      </w:r>
      <w:r>
        <w:rPr>
          <w:rFonts w:hint="eastAsia" w:ascii="宋体" w:hAnsi="宋体" w:eastAsia="宋体" w:cs="宋体"/>
          <w:snapToGrid w:val="0"/>
          <w:color w:val="auto"/>
          <w:kern w:val="0"/>
          <w:szCs w:val="21"/>
          <w:highlight w:val="none"/>
          <w:lang w:val="en-US" w:eastAsia="zh-CN"/>
        </w:rPr>
        <w:t>程序</w:t>
      </w:r>
      <w:r>
        <w:rPr>
          <w:rFonts w:hint="eastAsia" w:ascii="宋体" w:hAnsi="宋体" w:eastAsia="宋体" w:cs="宋体"/>
          <w:snapToGrid w:val="0"/>
          <w:color w:val="auto"/>
          <w:kern w:val="0"/>
          <w:szCs w:val="21"/>
          <w:highlight w:val="none"/>
        </w:rPr>
        <w:t>的，事后不得对采购相关人员、开标过程和开标结果提出异议。</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20.3 开标程序</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详见前附表序号第</w:t>
      </w:r>
      <w:r>
        <w:rPr>
          <w:rFonts w:hint="eastAsia" w:ascii="宋体" w:hAnsi="宋体" w:eastAsia="宋体" w:cs="宋体"/>
          <w:color w:val="auto"/>
          <w:szCs w:val="21"/>
          <w:highlight w:val="none"/>
          <w:lang w:val="en-US" w:eastAsia="zh-CN"/>
        </w:rPr>
        <w:t>20项</w:t>
      </w:r>
      <w:r>
        <w:rPr>
          <w:rFonts w:hint="eastAsia" w:ascii="宋体" w:hAnsi="宋体" w:eastAsia="宋体" w:cs="宋体"/>
          <w:color w:val="auto"/>
          <w:szCs w:val="21"/>
          <w:highlight w:val="none"/>
        </w:rPr>
        <w:t>。</w:t>
      </w:r>
    </w:p>
    <w:p>
      <w:pPr>
        <w:adjustRightInd w:val="0"/>
        <w:snapToGrid w:val="0"/>
        <w:spacing w:before="120" w:beforeLines="50"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21．评标</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详见采购文件第五部分“评标办法”。</w:t>
      </w:r>
    </w:p>
    <w:p>
      <w:pPr>
        <w:adjustRightInd w:val="0"/>
        <w:snapToGrid w:val="0"/>
        <w:spacing w:before="120" w:beforeLines="50"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22．串通投标</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ascii="宋体" w:hAnsi="宋体" w:cs="宋体"/>
          <w:snapToGrid w:val="0"/>
          <w:color w:val="auto"/>
          <w:kern w:val="0"/>
          <w:szCs w:val="21"/>
          <w:highlight w:val="none"/>
        </w:rPr>
        <w:t>有下列情形之一的，视为供应商串通投标，其投标无效：</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ascii="宋体" w:hAnsi="宋体" w:cs="宋体"/>
          <w:snapToGrid w:val="0"/>
          <w:color w:val="auto"/>
          <w:kern w:val="0"/>
          <w:szCs w:val="21"/>
          <w:highlight w:val="none"/>
        </w:rPr>
        <w:t>（1）不同供应商的投标文件由同一单位或者个人编制；</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ascii="宋体" w:hAnsi="宋体" w:cs="宋体"/>
          <w:snapToGrid w:val="0"/>
          <w:color w:val="auto"/>
          <w:kern w:val="0"/>
          <w:szCs w:val="21"/>
          <w:highlight w:val="none"/>
        </w:rPr>
        <w:t>（2）不同供应商委托同一单位或者个人办理投标事宜；</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ascii="宋体" w:hAnsi="宋体" w:cs="宋体"/>
          <w:snapToGrid w:val="0"/>
          <w:color w:val="auto"/>
          <w:kern w:val="0"/>
          <w:szCs w:val="21"/>
          <w:highlight w:val="none"/>
        </w:rPr>
        <w:t>（3）不同供应商的投标文件载明的项目管理成员或者联系人员为同一人；</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ascii="宋体" w:hAnsi="宋体" w:cs="宋体"/>
          <w:snapToGrid w:val="0"/>
          <w:color w:val="auto"/>
          <w:kern w:val="0"/>
          <w:szCs w:val="21"/>
          <w:highlight w:val="none"/>
        </w:rPr>
        <w:t>（4）不同供应商的投标文件异常一致或者投标报价呈规律性差异；</w:t>
      </w:r>
    </w:p>
    <w:p>
      <w:pPr>
        <w:adjustRightInd w:val="0"/>
        <w:snapToGrid w:val="0"/>
        <w:spacing w:line="360" w:lineRule="auto"/>
        <w:ind w:firstLine="420" w:firstLineChars="200"/>
        <w:jc w:val="left"/>
        <w:rPr>
          <w:rFonts w:ascii="宋体" w:hAnsi="宋体" w:cs="宋体"/>
          <w:snapToGrid w:val="0"/>
          <w:color w:val="auto"/>
          <w:kern w:val="0"/>
          <w:szCs w:val="21"/>
          <w:highlight w:val="none"/>
        </w:rPr>
      </w:pPr>
      <w:r>
        <w:rPr>
          <w:rFonts w:ascii="宋体" w:hAnsi="宋体" w:cs="宋体"/>
          <w:snapToGrid w:val="0"/>
          <w:color w:val="auto"/>
          <w:kern w:val="0"/>
          <w:szCs w:val="21"/>
          <w:highlight w:val="none"/>
        </w:rPr>
        <w:t>（5）不同供应商的投标文件相互混装。</w:t>
      </w:r>
    </w:p>
    <w:p>
      <w:pPr>
        <w:adjustRightInd w:val="0"/>
        <w:snapToGrid w:val="0"/>
        <w:spacing w:before="120" w:beforeLines="50"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23．废标</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23.1根据《中华人民共和国政府采购法》第三十六条，出现下列情形之一的，应予以废标：</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（1）符合专业条件的供应商或者对采购文件作实质响应的供应商不足三家的；</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（2）出现影响采购公正的违法、违规行为的；</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（3）所有投标人的报价均超过了采购预算，采购人不能支付的；</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（4）因重大变故，采购任务取消的。</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lang w:val="en-US" w:eastAsia="zh-CN"/>
        </w:rPr>
      </w:pPr>
      <w:r>
        <w:rPr>
          <w:rFonts w:hint="eastAsia" w:ascii="宋体" w:hAnsi="宋体" w:eastAsia="宋体" w:cs="宋体"/>
          <w:snapToGrid w:val="0"/>
          <w:color w:val="auto"/>
          <w:kern w:val="0"/>
          <w:szCs w:val="21"/>
          <w:highlight w:val="none"/>
          <w:lang w:val="en-US" w:eastAsia="zh-CN"/>
        </w:rPr>
        <w:t>23.2采购过程中出现以下情形，导致电子交易平台无法正常运行，或者无法保证电子交易的公平、公正和安全时，采购组织机构可中止电子交易活动：</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lang w:val="en-US" w:eastAsia="zh-CN"/>
        </w:rPr>
      </w:pPr>
      <w:r>
        <w:rPr>
          <w:rFonts w:hint="eastAsia" w:ascii="宋体" w:hAnsi="宋体" w:eastAsia="宋体" w:cs="宋体"/>
          <w:snapToGrid w:val="0"/>
          <w:color w:val="auto"/>
          <w:kern w:val="0"/>
          <w:szCs w:val="21"/>
          <w:highlight w:val="none"/>
          <w:lang w:val="en-US" w:eastAsia="zh-CN"/>
        </w:rPr>
        <w:t xml:space="preserve">（1）电子交易平台发生故障而无法登录访问的； </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lang w:val="en-US" w:eastAsia="zh-CN"/>
        </w:rPr>
      </w:pPr>
      <w:r>
        <w:rPr>
          <w:rFonts w:hint="eastAsia" w:ascii="宋体" w:hAnsi="宋体" w:eastAsia="宋体" w:cs="宋体"/>
          <w:snapToGrid w:val="0"/>
          <w:color w:val="auto"/>
          <w:kern w:val="0"/>
          <w:szCs w:val="21"/>
          <w:highlight w:val="none"/>
          <w:lang w:val="en-US" w:eastAsia="zh-CN"/>
        </w:rPr>
        <w:t>（2）电子交易平台应用或数据库出现错误，不能进行正常操作的；</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lang w:val="en-US" w:eastAsia="zh-CN"/>
        </w:rPr>
      </w:pPr>
      <w:r>
        <w:rPr>
          <w:rFonts w:hint="eastAsia" w:ascii="宋体" w:hAnsi="宋体" w:eastAsia="宋体" w:cs="宋体"/>
          <w:snapToGrid w:val="0"/>
          <w:color w:val="auto"/>
          <w:kern w:val="0"/>
          <w:szCs w:val="21"/>
          <w:highlight w:val="none"/>
          <w:lang w:val="en-US" w:eastAsia="zh-CN"/>
        </w:rPr>
        <w:t>（3）电子交易平台发现严重安全漏洞，有潜在泄密危险的；</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lang w:val="en-US" w:eastAsia="zh-CN"/>
        </w:rPr>
      </w:pPr>
      <w:r>
        <w:rPr>
          <w:rFonts w:hint="eastAsia" w:ascii="宋体" w:hAnsi="宋体" w:eastAsia="宋体" w:cs="宋体"/>
          <w:snapToGrid w:val="0"/>
          <w:color w:val="auto"/>
          <w:kern w:val="0"/>
          <w:szCs w:val="21"/>
          <w:highlight w:val="none"/>
          <w:lang w:val="en-US" w:eastAsia="zh-CN"/>
        </w:rPr>
        <w:t xml:space="preserve">（4）病毒发作导致不能进行正常操作的； </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lang w:val="en-US" w:eastAsia="zh-CN"/>
        </w:rPr>
      </w:pPr>
      <w:r>
        <w:rPr>
          <w:rFonts w:hint="eastAsia" w:ascii="宋体" w:hAnsi="宋体" w:eastAsia="宋体" w:cs="宋体"/>
          <w:snapToGrid w:val="0"/>
          <w:color w:val="auto"/>
          <w:kern w:val="0"/>
          <w:szCs w:val="21"/>
          <w:highlight w:val="none"/>
          <w:lang w:val="en-US" w:eastAsia="zh-CN"/>
        </w:rPr>
        <w:t>（5）其他无法保证电子交易的公平、公正和安全的情况。</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lang w:val="en-US" w:eastAsia="zh-CN"/>
        </w:rPr>
      </w:pPr>
      <w:r>
        <w:rPr>
          <w:rFonts w:hint="eastAsia" w:ascii="宋体" w:hAnsi="宋体" w:eastAsia="宋体" w:cs="宋体"/>
          <w:snapToGrid w:val="0"/>
          <w:color w:val="auto"/>
          <w:kern w:val="0"/>
          <w:szCs w:val="21"/>
          <w:highlight w:val="none"/>
          <w:lang w:val="en-US"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eastAsia="宋体" w:cs="宋体"/>
          <w:snapToGrid w:val="0"/>
          <w:color w:val="auto"/>
          <w:kern w:val="0"/>
          <w:szCs w:val="21"/>
          <w:highlight w:val="none"/>
        </w:rPr>
        <w:t>23.</w:t>
      </w:r>
      <w:r>
        <w:rPr>
          <w:rFonts w:hint="eastAsia" w:ascii="宋体" w:hAnsi="宋体" w:eastAsia="宋体" w:cs="宋体"/>
          <w:snapToGrid w:val="0"/>
          <w:color w:val="auto"/>
          <w:kern w:val="0"/>
          <w:szCs w:val="21"/>
          <w:highlight w:val="none"/>
          <w:lang w:val="en-US" w:eastAsia="zh-CN"/>
        </w:rPr>
        <w:t>3</w:t>
      </w:r>
      <w:r>
        <w:rPr>
          <w:rFonts w:hint="eastAsia" w:ascii="宋体" w:hAnsi="宋体" w:eastAsia="宋体" w:cs="宋体"/>
          <w:snapToGrid w:val="0"/>
          <w:color w:val="auto"/>
          <w:kern w:val="0"/>
          <w:szCs w:val="21"/>
          <w:highlight w:val="none"/>
        </w:rPr>
        <w:t xml:space="preserve"> 废标后，采购人应当将废标理由通知所有投标人并重新组织招标；或者经主管部门批准，采取其他方式组织采购。</w:t>
      </w:r>
    </w:p>
    <w:p>
      <w:pPr>
        <w:pStyle w:val="4"/>
        <w:snapToGrid w:val="0"/>
        <w:spacing w:before="120" w:beforeLines="50" w:after="120" w:afterLines="50" w:line="360" w:lineRule="auto"/>
        <w:rPr>
          <w:rFonts w:hint="eastAsia" w:ascii="宋体" w:hAnsi="宋体" w:eastAsia="宋体" w:cs="宋体"/>
          <w:color w:val="auto"/>
          <w:sz w:val="21"/>
          <w:szCs w:val="21"/>
          <w:highlight w:val="none"/>
        </w:rPr>
      </w:pPr>
      <w:bookmarkStart w:id="42" w:name="_Toc26186"/>
      <w:bookmarkStart w:id="43" w:name="_Toc251566655"/>
      <w:bookmarkStart w:id="44" w:name="_Toc28905"/>
      <w:bookmarkStart w:id="45" w:name="_Toc240450082"/>
      <w:bookmarkStart w:id="46" w:name="_Toc4078"/>
      <w:bookmarkStart w:id="47" w:name="_Toc20311"/>
      <w:r>
        <w:rPr>
          <w:rFonts w:hint="eastAsia" w:ascii="宋体" w:hAnsi="宋体" w:eastAsia="宋体" w:cs="宋体"/>
          <w:color w:val="auto"/>
          <w:sz w:val="21"/>
          <w:szCs w:val="21"/>
          <w:highlight w:val="none"/>
        </w:rPr>
        <w:t>六、确定中标人及授予合同</w:t>
      </w:r>
      <w:bookmarkEnd w:id="42"/>
      <w:bookmarkEnd w:id="43"/>
      <w:bookmarkEnd w:id="44"/>
      <w:bookmarkEnd w:id="45"/>
      <w:bookmarkEnd w:id="46"/>
      <w:bookmarkEnd w:id="47"/>
    </w:p>
    <w:p>
      <w:pPr>
        <w:adjustRightInd w:val="0"/>
        <w:snapToGrid w:val="0"/>
        <w:spacing w:before="120" w:beforeLines="50"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24．中标人的确定</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24.1 采购代理机构应当自评审结束之日起2个工作日内将评审报告送交采购人。</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采购人应当自收到评标报告之日起５个工作日内，在评标报告确定的中标候选人名单中按顺序确定中标人。中标候选人并列的，由采购人或者采购人委托评标委员会按照采购文件规定的方式确定中标人；采购文件未规定的，采取随机抽取的方式确定。</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采购人在收到评标报告5个工作日内未按评标报告推荐的中标候选人顺序确定中标人，又不能说明合法理由的，视同按评标报告推荐的顺序确定排名第一的中标候选人为中标人。</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采购人或者采购代理机构应当自中标人确定之日起2个工作日内，在省级以上财政部门指定的媒体上公告中标结果。中标人享受中小企业扶持政策的，采购人、采购代理机构应当随中标结果公开中标人的《中小企业声明函》。</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公告期限为1个工作日。</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24.2 除国务院财政部门规定的情形外，采购人、采购代理机构不得以任何理由组织重新评审。采购人、采购代理机构按照国务院财政部门的规定组织重新评审的，应当书面报告本级人民政府财政部门。</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24.3中标通知书发出后，采购人不得违法改变中标结果，中标人无正当理由不得放弃中标。 </w:t>
      </w:r>
    </w:p>
    <w:p>
      <w:pPr>
        <w:adjustRightInd w:val="0"/>
        <w:snapToGrid w:val="0"/>
        <w:spacing w:line="360" w:lineRule="auto"/>
        <w:ind w:firstLine="422" w:firstLineChars="200"/>
        <w:jc w:val="left"/>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24.4中标人应为浙江政府采购注册供应商，如尚未注册，必须在投标截止前按照《浙江省政府采购供应商注册及诚信管理暂行办法》（浙财采监字［2009］28号）的相关规定，及时办理更新或供应商注册事项。</w:t>
      </w:r>
    </w:p>
    <w:p>
      <w:pPr>
        <w:adjustRightInd w:val="0"/>
        <w:snapToGrid w:val="0"/>
        <w:spacing w:before="120" w:beforeLines="50"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25．合同授予</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25.1 本项目的合同将授予按本须知第24.1款所确定的中标人。</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25.2 中标或者成交供应商拒绝与采购人签订合同的，采购人可以按照评审报告推荐的中标或者成交候选人名单排序，确定下一候选人为中标或者成交供应商，也可以重新开展政府采购活动。</w:t>
      </w:r>
    </w:p>
    <w:p>
      <w:pPr>
        <w:adjustRightInd w:val="0"/>
        <w:snapToGrid w:val="0"/>
        <w:spacing w:before="120" w:beforeLines="50"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26．签订合同</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26.1 中标人应按中标通知书规定的时间与采购人签订合同</w:t>
      </w:r>
      <w:r>
        <w:rPr>
          <w:rFonts w:hint="eastAsia" w:ascii="宋体" w:hAnsi="宋体" w:cs="宋体"/>
          <w:snapToGrid w:val="0"/>
          <w:color w:val="auto"/>
          <w:kern w:val="0"/>
          <w:szCs w:val="21"/>
          <w:highlight w:val="none"/>
          <w:lang w:eastAsia="zh-CN"/>
        </w:rPr>
        <w:t>（</w:t>
      </w:r>
      <w:r>
        <w:rPr>
          <w:rFonts w:hint="eastAsia" w:ascii="宋体" w:hAnsi="宋体" w:cs="宋体"/>
          <w:snapToGrid w:val="0"/>
          <w:color w:val="auto"/>
          <w:kern w:val="0"/>
          <w:szCs w:val="21"/>
          <w:highlight w:val="none"/>
          <w:lang w:val="en-US" w:eastAsia="zh-CN"/>
        </w:rPr>
        <w:t>地市、区县根据实际情况分别签订合同</w:t>
      </w:r>
      <w:r>
        <w:rPr>
          <w:rFonts w:hint="eastAsia" w:ascii="宋体" w:hAnsi="宋体" w:cs="宋体"/>
          <w:snapToGrid w:val="0"/>
          <w:color w:val="auto"/>
          <w:kern w:val="0"/>
          <w:szCs w:val="21"/>
          <w:highlight w:val="none"/>
          <w:lang w:eastAsia="zh-CN"/>
        </w:rPr>
        <w:t>）</w:t>
      </w:r>
      <w:r>
        <w:rPr>
          <w:rFonts w:hint="eastAsia" w:ascii="宋体" w:hAnsi="宋体" w:cs="宋体"/>
          <w:snapToGrid w:val="0"/>
          <w:color w:val="auto"/>
          <w:kern w:val="0"/>
          <w:szCs w:val="21"/>
          <w:highlight w:val="none"/>
        </w:rPr>
        <w:t>。如中标人为联合体的，由联合体成员各方法定代表人或其授权代表与采购人代表签订合同。中标人在领取中标通知书时须向采购人提供一份关于本项目在实施过程中的相关人员的通讯录作为合同附件。</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26.2 中标人如不遵守采购文件或投标文件各项条款的邀约与要约，或在接到中标通知书后借故拖延，拒签合同的，采购人将依据国家和采购文件有关规定要求中标人予以赔偿，同时采购人可根据25.2的原则另行选择中标人；</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26.3 采购文件、中标人的投标文件及投标修改文件、评标过程中有关澄清文件及经投标人法定代表人或授权代表签字确认的询标回复和承诺及中标通知书均作为合同组成部分。</w:t>
      </w:r>
    </w:p>
    <w:p>
      <w:pPr>
        <w:adjustRightInd w:val="0"/>
        <w:snapToGrid w:val="0"/>
        <w:spacing w:before="120" w:beforeLines="50"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27．履约保证金</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27.1 履约保证金</w:t>
      </w:r>
      <w:r>
        <w:rPr>
          <w:rFonts w:hint="eastAsia" w:ascii="宋体" w:hAnsi="宋体" w:cs="宋体"/>
          <w:snapToGrid w:val="0"/>
          <w:color w:val="auto"/>
          <w:kern w:val="0"/>
          <w:szCs w:val="21"/>
          <w:highlight w:val="none"/>
          <w:lang w:eastAsia="zh-CN"/>
        </w:rPr>
        <w:t>具体要求详见前附表</w:t>
      </w:r>
      <w:r>
        <w:rPr>
          <w:rFonts w:hint="eastAsia" w:ascii="宋体" w:hAnsi="宋体" w:cs="宋体"/>
          <w:snapToGrid w:val="0"/>
          <w:color w:val="auto"/>
          <w:kern w:val="0"/>
          <w:szCs w:val="21"/>
          <w:highlight w:val="none"/>
        </w:rPr>
        <w:t>。</w:t>
      </w:r>
    </w:p>
    <w:p>
      <w:pPr>
        <w:adjustRightInd w:val="0"/>
        <w:snapToGrid w:val="0"/>
        <w:spacing w:before="120" w:beforeLines="50"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28.采购代理服务费</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snapToGrid w:val="0"/>
          <w:color w:val="auto"/>
          <w:kern w:val="0"/>
          <w:szCs w:val="21"/>
          <w:highlight w:val="none"/>
        </w:rPr>
        <w:t>本项目的采购代理费由中标人支付，</w:t>
      </w:r>
      <w:r>
        <w:rPr>
          <w:rFonts w:hint="eastAsia" w:ascii="宋体" w:hAnsi="宋体" w:cs="宋体"/>
          <w:color w:val="auto"/>
          <w:szCs w:val="21"/>
          <w:highlight w:val="none"/>
        </w:rPr>
        <w:t>收费标准详见前附表。</w:t>
      </w:r>
    </w:p>
    <w:p>
      <w:pPr>
        <w:adjustRightInd w:val="0"/>
        <w:snapToGrid w:val="0"/>
        <w:spacing w:line="360" w:lineRule="auto"/>
        <w:ind w:firstLine="422" w:firstLineChars="200"/>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29.质疑与投诉</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根据《中华人民共和国政府采购法》、《财政部关于加强政府采购供应商投诉受理审查工作的通知》(财库〔2007〕1号)和《政府采购质疑和投诉办法》（财政部令第94号）的规定，政府采购供应商（投标人，下同）可以依法提起质疑和投诉。</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质疑函范本、投诉书范本</w:t>
      </w:r>
      <w:r>
        <w:rPr>
          <w:rFonts w:hint="eastAsia" w:ascii="宋体" w:hAnsi="宋体" w:cs="宋体"/>
          <w:snapToGrid w:val="0"/>
          <w:color w:val="auto"/>
          <w:kern w:val="0"/>
          <w:szCs w:val="21"/>
          <w:highlight w:val="none"/>
          <w:lang w:eastAsia="zh-CN"/>
        </w:rPr>
        <w:t>详见本文件第七部分</w:t>
      </w:r>
      <w:r>
        <w:rPr>
          <w:rFonts w:hint="eastAsia" w:ascii="宋体" w:hAnsi="宋体" w:cs="宋体"/>
          <w:snapToGrid w:val="0"/>
          <w:color w:val="auto"/>
          <w:kern w:val="0"/>
          <w:szCs w:val="21"/>
          <w:highlight w:val="none"/>
        </w:rPr>
        <w:t>。</w:t>
      </w:r>
    </w:p>
    <w:p>
      <w:pPr>
        <w:adjustRightInd w:val="0"/>
        <w:snapToGrid w:val="0"/>
        <w:spacing w:line="360" w:lineRule="auto"/>
        <w:ind w:firstLine="422" w:firstLineChars="200"/>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29.1供应商询问</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供应商对政府采购活动事项有疑问的，可以向采购机构提出询问，采购人或者采购代理机构应当在3个工作日内对供应商依法提出的询问作出答复，但答复的内容不得涉及商业秘密。</w:t>
      </w:r>
    </w:p>
    <w:p>
      <w:pPr>
        <w:adjustRightInd w:val="0"/>
        <w:snapToGrid w:val="0"/>
        <w:spacing w:line="360" w:lineRule="auto"/>
        <w:ind w:firstLine="422" w:firstLineChars="200"/>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29.2供应商质疑</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29.2.1投标人认为采购文件、采购过程、中标或者成交结果使自己的权益受到损害的，可以在知道或者应知其权益受到损害之日起7个工作日内，以书面形式向采购人、采购代理机构提出质疑。</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本项目要求投标人在法定质疑期内一次性提出针对同一采购程序环节的质疑。</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29.2.2提出质疑的投标人（以下简称质疑人）应当是参与所质疑项目采购活动的投标人。</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潜在投标人已依法获取其可质疑的采购文件的，可以对该文件提出质疑。对采购文件提出质疑的，应当在获取采购文件或者采购文件公告期限届满之日起7个工作日内提出。</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29.2.3投标人提出质疑应当提交质疑函和必要的证明材料。质疑函应当包括下列内容：</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（一）投标人的姓名或者名称、地址、邮编、联系人及联系电话；</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（二）质疑项目的名称、编号；</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（三）具体、明确的质疑事项和与质疑事项相关的请求；</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（四）事实依据；</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（五）必要的法律依据；</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（六）提出质疑的日期。</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投标人为自然人的，应当由本人签字；投标人为法人或者其他组织的，应当由法定代表人、主要负责人，或者其授权代表签字或者盖章，并加盖公章。</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29.3.4采购人、采购代理机构在收到法定质疑期内发出的质疑函后7个工作日内作出答复，并以书面形式通知质疑人和其他有关投标人。质疑答复的内容不得涉及商业秘密。</w:t>
      </w:r>
    </w:p>
    <w:p>
      <w:pPr>
        <w:adjustRightInd w:val="0"/>
        <w:snapToGrid w:val="0"/>
        <w:spacing w:line="360" w:lineRule="auto"/>
        <w:ind w:firstLine="422" w:firstLineChars="200"/>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29.3供应商投诉</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质疑供应商对采购机构的答复不满意或者采购机构未在规定的时间内作出答复的，可以在答复期满后十五个工作日内向同级政府采购监督管理部门提出投诉。</w:t>
      </w:r>
    </w:p>
    <w:p>
      <w:pPr>
        <w:adjustRightInd w:val="0"/>
        <w:snapToGrid w:val="0"/>
        <w:spacing w:line="360" w:lineRule="auto"/>
        <w:ind w:firstLine="422" w:firstLineChars="200"/>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30．采购结束</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30.1中标人与采购人签订合同生效后即为采购结束。</w:t>
      </w:r>
    </w:p>
    <w:p>
      <w:pPr>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30.2本项目的投标文件不予退回。</w:t>
      </w:r>
    </w:p>
    <w:p>
      <w:pPr>
        <w:adjustRightInd w:val="0"/>
        <w:snapToGrid w:val="0"/>
        <w:spacing w:line="360" w:lineRule="auto"/>
        <w:ind w:firstLine="420" w:firstLineChars="200"/>
        <w:jc w:val="left"/>
        <w:rPr>
          <w:rFonts w:hint="eastAsia" w:ascii="宋体" w:hAnsi="宋体" w:cs="宋体"/>
          <w:snapToGrid w:val="0"/>
          <w:color w:val="auto"/>
          <w:kern w:val="0"/>
          <w:szCs w:val="21"/>
          <w:highlight w:val="none"/>
        </w:rPr>
      </w:pPr>
    </w:p>
    <w:p>
      <w:pPr>
        <w:adjustRightInd w:val="0"/>
        <w:snapToGrid w:val="0"/>
        <w:spacing w:before="120" w:beforeLines="50" w:after="120" w:afterLines="50" w:line="360" w:lineRule="auto"/>
        <w:jc w:val="center"/>
        <w:outlineLvl w:val="0"/>
        <w:rPr>
          <w:rFonts w:hint="eastAsia" w:ascii="宋体" w:hAnsi="宋体" w:cs="宋体"/>
          <w:color w:val="auto"/>
          <w:sz w:val="36"/>
          <w:highlight w:val="none"/>
        </w:rPr>
      </w:pPr>
      <w:r>
        <w:rPr>
          <w:rFonts w:hint="eastAsia" w:ascii="宋体" w:hAnsi="宋体" w:cs="宋体"/>
          <w:b/>
          <w:bCs/>
          <w:color w:val="auto"/>
          <w:sz w:val="28"/>
          <w:szCs w:val="21"/>
          <w:highlight w:val="none"/>
        </w:rPr>
        <w:br w:type="page"/>
      </w:r>
      <w:bookmarkStart w:id="48" w:name="_Toc83616202"/>
      <w:bookmarkStart w:id="49" w:name="_Toc242012796"/>
      <w:bookmarkStart w:id="50" w:name="_Toc31190"/>
      <w:bookmarkStart w:id="51" w:name="_Toc17070"/>
      <w:bookmarkStart w:id="52" w:name="_Toc26125"/>
      <w:bookmarkStart w:id="53" w:name="_Toc13011"/>
      <w:r>
        <w:rPr>
          <w:rFonts w:hint="eastAsia" w:ascii="宋体" w:hAnsi="宋体" w:cs="宋体"/>
          <w:b/>
          <w:color w:val="auto"/>
          <w:sz w:val="30"/>
          <w:szCs w:val="30"/>
          <w:highlight w:val="none"/>
        </w:rPr>
        <w:t>第三部分</w:t>
      </w:r>
      <w:bookmarkEnd w:id="48"/>
      <w:r>
        <w:rPr>
          <w:rFonts w:hint="eastAsia" w:ascii="宋体" w:hAnsi="宋体" w:cs="宋体"/>
          <w:b/>
          <w:color w:val="auto"/>
          <w:sz w:val="30"/>
          <w:szCs w:val="30"/>
          <w:highlight w:val="none"/>
        </w:rPr>
        <w:t xml:space="preserve"> </w:t>
      </w:r>
      <w:r>
        <w:rPr>
          <w:rFonts w:hint="eastAsia" w:ascii="宋体" w:hAnsi="宋体" w:cs="宋体"/>
          <w:b/>
          <w:color w:val="auto"/>
          <w:sz w:val="30"/>
          <w:szCs w:val="30"/>
          <w:highlight w:val="none"/>
          <w:lang w:eastAsia="zh-CN"/>
        </w:rPr>
        <w:t>采购</w:t>
      </w:r>
      <w:r>
        <w:rPr>
          <w:rFonts w:hint="eastAsia" w:ascii="宋体" w:hAnsi="宋体" w:cs="宋体"/>
          <w:b/>
          <w:color w:val="auto"/>
          <w:sz w:val="30"/>
          <w:szCs w:val="30"/>
          <w:highlight w:val="none"/>
        </w:rPr>
        <w:t>需求</w:t>
      </w:r>
      <w:bookmarkEnd w:id="49"/>
      <w:bookmarkEnd w:id="50"/>
      <w:bookmarkEnd w:id="51"/>
      <w:bookmarkEnd w:id="52"/>
      <w:bookmarkEnd w:id="53"/>
    </w:p>
    <w:p>
      <w:pPr>
        <w:numPr>
          <w:ilvl w:val="1"/>
          <w:numId w:val="0"/>
        </w:numPr>
        <w:spacing w:line="360" w:lineRule="auto"/>
        <w:ind w:left="2963" w:hanging="2403"/>
        <w:jc w:val="left"/>
        <w:outlineLvl w:val="0"/>
        <w:rPr>
          <w:rFonts w:hint="eastAsia" w:ascii="宋体" w:hAnsi="宋体" w:eastAsia="宋体" w:cs="宋体"/>
          <w:b/>
          <w:bCs/>
          <w:color w:val="auto"/>
          <w:sz w:val="28"/>
          <w:szCs w:val="28"/>
          <w:highlight w:val="none"/>
        </w:rPr>
      </w:pPr>
      <w:bookmarkStart w:id="54" w:name="_Toc10128"/>
      <w:bookmarkStart w:id="55" w:name="_Toc447268502"/>
      <w:bookmarkStart w:id="56" w:name="_Toc12993"/>
      <w:bookmarkStart w:id="57" w:name="_Toc116487313"/>
      <w:bookmarkStart w:id="58" w:name="_Toc13655"/>
      <w:bookmarkStart w:id="59" w:name="_Toc24102"/>
      <w:bookmarkStart w:id="60" w:name="_Toc342633574"/>
      <w:r>
        <w:rPr>
          <w:rFonts w:hint="eastAsia" w:ascii="宋体" w:hAnsi="宋体" w:eastAsia="宋体" w:cs="宋体"/>
          <w:b/>
          <w:bCs/>
          <w:color w:val="auto"/>
          <w:sz w:val="28"/>
          <w:szCs w:val="28"/>
          <w:highlight w:val="none"/>
        </w:rPr>
        <w:t>一、项目背景</w:t>
      </w:r>
      <w:bookmarkEnd w:id="54"/>
      <w:bookmarkEnd w:id="55"/>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2019年，财政部印发《财政核心业务一体化系统实施方案》《开展财政核心业务一体化系统实施工作的通知》等文件，并专门召开会议对全国各省部署落实，要求各地按照预算制度改革创新要求，在全国统一业务规范和技术标准的基础上建设省级集中的预算管理一体化系统。</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浙江省财政厅严格落实财政部预算管理一体化建设工作部署，对标全国统一的业务规范和技术标准，高质量建设全省大集中的预算管理一体化系统，努力实现全省预算管理“横向一体化、纵向集中化、系统平台化”三大目标。</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预算管理一体化系统上线运行近1年，支撑全省各级财政部门、主管部门及预算单位用户预算管理业务。根据财政部预算管理一体化有关通知新要求以及财政业务管理工作需要，在现有预算管理一体化系统基础上需进行迭代调整，为保证工作顺利衔接，需要对本系统进行运行升级和维护。为做好浙江省预算管理一体化建设工作，结合自身业务需求</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全省各级用户系统使用需求以及财政部最新标准规范要求，计划在预算管理一体化系统现有版本的基础上，开展系统升级和2023年</w:t>
      </w:r>
      <w:r>
        <w:rPr>
          <w:rFonts w:hint="eastAsia" w:ascii="宋体" w:hAnsi="宋体" w:eastAsia="宋体" w:cs="宋体"/>
          <w:color w:val="auto"/>
          <w:kern w:val="2"/>
          <w:sz w:val="21"/>
          <w:szCs w:val="21"/>
          <w:highlight w:val="none"/>
          <w:lang w:val="en-US" w:eastAsia="zh-CN"/>
        </w:rPr>
        <w:t>预算管理业务</w:t>
      </w:r>
      <w:r>
        <w:rPr>
          <w:rFonts w:hint="eastAsia" w:ascii="宋体" w:hAnsi="宋体" w:eastAsia="宋体" w:cs="宋体"/>
          <w:color w:val="auto"/>
          <w:kern w:val="2"/>
          <w:sz w:val="21"/>
          <w:szCs w:val="21"/>
          <w:highlight w:val="none"/>
        </w:rPr>
        <w:t>运维工作。</w:t>
      </w:r>
    </w:p>
    <w:p>
      <w:pPr>
        <w:pStyle w:val="29"/>
        <w:spacing w:line="360" w:lineRule="auto"/>
        <w:ind w:firstLine="420" w:firstLineChars="200"/>
        <w:rPr>
          <w:rFonts w:hint="eastAsia" w:ascii="宋体" w:hAnsi="宋体" w:eastAsia="宋体" w:cs="宋体"/>
          <w:color w:val="auto"/>
          <w:kern w:val="2"/>
          <w:sz w:val="21"/>
          <w:szCs w:val="21"/>
          <w:highlight w:val="none"/>
        </w:rPr>
      </w:pPr>
    </w:p>
    <w:p>
      <w:pPr>
        <w:numPr>
          <w:ilvl w:val="1"/>
          <w:numId w:val="0"/>
        </w:numPr>
        <w:spacing w:line="360" w:lineRule="auto"/>
        <w:ind w:left="2963" w:hanging="2403"/>
        <w:jc w:val="left"/>
        <w:outlineLvl w:val="0"/>
        <w:rPr>
          <w:rFonts w:hint="eastAsia" w:ascii="宋体" w:hAnsi="宋体" w:eastAsia="宋体" w:cs="宋体"/>
          <w:b/>
          <w:bCs/>
          <w:color w:val="auto"/>
          <w:sz w:val="28"/>
          <w:szCs w:val="28"/>
          <w:highlight w:val="none"/>
        </w:rPr>
      </w:pPr>
      <w:bookmarkStart w:id="61" w:name="_Toc115343399"/>
      <w:bookmarkStart w:id="62" w:name="_Toc17480"/>
      <w:bookmarkStart w:id="63" w:name="_Toc28027"/>
      <w:bookmarkStart w:id="64" w:name="_Toc447268504"/>
      <w:bookmarkStart w:id="65" w:name="_Toc7964"/>
      <w:bookmarkStart w:id="66" w:name="_Toc7399"/>
      <w:bookmarkStart w:id="67" w:name="_Toc20696"/>
      <w:r>
        <w:rPr>
          <w:rFonts w:hint="eastAsia" w:ascii="宋体" w:hAnsi="宋体" w:eastAsia="宋体" w:cs="宋体"/>
          <w:b/>
          <w:bCs/>
          <w:color w:val="auto"/>
          <w:sz w:val="28"/>
          <w:szCs w:val="28"/>
          <w:highlight w:val="none"/>
        </w:rPr>
        <w:t>二、建设目标</w:t>
      </w:r>
      <w:bookmarkEnd w:id="61"/>
      <w:bookmarkEnd w:id="62"/>
      <w:bookmarkEnd w:id="63"/>
      <w:bookmarkEnd w:id="64"/>
      <w:bookmarkEnd w:id="65"/>
      <w:bookmarkEnd w:id="66"/>
      <w:bookmarkEnd w:id="67"/>
    </w:p>
    <w:p>
      <w:pPr>
        <w:spacing w:line="360" w:lineRule="auto"/>
        <w:ind w:firstLine="643"/>
        <w:outlineLvl w:val="0"/>
        <w:rPr>
          <w:rFonts w:hint="eastAsia" w:ascii="宋体" w:hAnsi="宋体" w:eastAsia="宋体" w:cs="宋体"/>
          <w:b/>
          <w:color w:val="auto"/>
          <w:sz w:val="24"/>
          <w:szCs w:val="24"/>
          <w:highlight w:val="none"/>
        </w:rPr>
      </w:pPr>
      <w:bookmarkStart w:id="68" w:name="_Toc7996"/>
      <w:bookmarkStart w:id="69" w:name="_Toc28760"/>
      <w:r>
        <w:rPr>
          <w:rFonts w:hint="eastAsia" w:ascii="宋体" w:hAnsi="宋体" w:eastAsia="宋体" w:cs="宋体"/>
          <w:b/>
          <w:color w:val="auto"/>
          <w:kern w:val="2"/>
          <w:sz w:val="24"/>
          <w:szCs w:val="24"/>
          <w:highlight w:val="none"/>
          <w:lang w:eastAsia="zh-CN"/>
        </w:rPr>
        <w:t>（</w:t>
      </w:r>
      <w:r>
        <w:rPr>
          <w:rFonts w:hint="eastAsia" w:ascii="宋体" w:hAnsi="宋体" w:eastAsia="宋体" w:cs="宋体"/>
          <w:b/>
          <w:color w:val="auto"/>
          <w:kern w:val="2"/>
          <w:sz w:val="24"/>
          <w:szCs w:val="24"/>
          <w:highlight w:val="none"/>
          <w:lang w:val="en-US" w:eastAsia="zh-CN"/>
        </w:rPr>
        <w:t>一</w:t>
      </w:r>
      <w:r>
        <w:rPr>
          <w:rFonts w:hint="eastAsia" w:ascii="宋体" w:hAnsi="宋体" w:eastAsia="宋体" w:cs="宋体"/>
          <w:b/>
          <w:color w:val="auto"/>
          <w:kern w:val="2"/>
          <w:sz w:val="24"/>
          <w:szCs w:val="24"/>
          <w:highlight w:val="none"/>
          <w:lang w:eastAsia="zh-CN"/>
        </w:rPr>
        <w:t>）</w:t>
      </w:r>
      <w:r>
        <w:rPr>
          <w:rFonts w:hint="eastAsia" w:ascii="宋体" w:hAnsi="宋体" w:eastAsia="宋体" w:cs="宋体"/>
          <w:b/>
          <w:color w:val="auto"/>
          <w:kern w:val="2"/>
          <w:sz w:val="24"/>
          <w:szCs w:val="24"/>
          <w:highlight w:val="none"/>
        </w:rPr>
        <w:t>实现预算管理一体化新增需求</w:t>
      </w:r>
      <w:bookmarkEnd w:id="68"/>
      <w:bookmarkEnd w:id="69"/>
    </w:p>
    <w:p>
      <w:pPr>
        <w:pStyle w:val="29"/>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本</w:t>
      </w:r>
      <w:r>
        <w:rPr>
          <w:rFonts w:hint="eastAsia" w:ascii="宋体" w:hAnsi="宋体" w:eastAsia="宋体" w:cs="宋体"/>
          <w:color w:val="auto"/>
          <w:kern w:val="2"/>
          <w:sz w:val="21"/>
          <w:szCs w:val="21"/>
          <w:highlight w:val="none"/>
          <w:lang w:val="en-US" w:eastAsia="zh-CN"/>
        </w:rPr>
        <w:t>项目涉及</w:t>
      </w:r>
      <w:r>
        <w:rPr>
          <w:rFonts w:hint="eastAsia" w:ascii="宋体" w:hAnsi="宋体" w:eastAsia="宋体" w:cs="宋体"/>
          <w:color w:val="auto"/>
          <w:kern w:val="2"/>
          <w:sz w:val="21"/>
          <w:szCs w:val="21"/>
          <w:highlight w:val="none"/>
        </w:rPr>
        <w:t>预算管理一体化升级及实施</w:t>
      </w:r>
      <w:r>
        <w:rPr>
          <w:rFonts w:hint="eastAsia" w:ascii="宋体" w:hAnsi="宋体" w:eastAsia="宋体" w:cs="宋体"/>
          <w:color w:val="auto"/>
          <w:kern w:val="2"/>
          <w:sz w:val="21"/>
          <w:szCs w:val="21"/>
          <w:highlight w:val="none"/>
          <w:lang w:val="en-US" w:eastAsia="zh-CN"/>
        </w:rPr>
        <w:t>内容</w:t>
      </w:r>
      <w:r>
        <w:rPr>
          <w:rFonts w:hint="eastAsia" w:ascii="宋体" w:hAnsi="宋体" w:eastAsia="宋体" w:cs="宋体"/>
          <w:color w:val="auto"/>
          <w:kern w:val="2"/>
          <w:sz w:val="21"/>
          <w:szCs w:val="21"/>
          <w:highlight w:val="none"/>
        </w:rPr>
        <w:t>，新增需求部分需严格按照财政部有关文件要求及项目需求申请表组织各模块系统升级工作，系统升级各项工作需</w:t>
      </w:r>
      <w:r>
        <w:rPr>
          <w:rFonts w:hint="eastAsia" w:ascii="宋体" w:hAnsi="宋体" w:eastAsia="宋体" w:cs="宋体"/>
          <w:color w:val="auto"/>
          <w:sz w:val="21"/>
          <w:szCs w:val="21"/>
          <w:highlight w:val="none"/>
        </w:rPr>
        <w:t>在预算管理一体化系统现有版本的基础上开展，升级</w:t>
      </w:r>
      <w:r>
        <w:rPr>
          <w:rFonts w:hint="eastAsia" w:ascii="宋体" w:hAnsi="宋体" w:eastAsia="宋体" w:cs="宋体"/>
          <w:color w:val="auto"/>
          <w:kern w:val="2"/>
          <w:sz w:val="21"/>
          <w:szCs w:val="21"/>
          <w:highlight w:val="none"/>
        </w:rPr>
        <w:t>完成后由用户逐项验证，确保达到预期结果。</w:t>
      </w:r>
      <w:r>
        <w:rPr>
          <w:rFonts w:hint="eastAsia" w:ascii="宋体" w:hAnsi="宋体" w:eastAsia="宋体" w:cs="宋体"/>
          <w:color w:val="auto"/>
          <w:sz w:val="21"/>
          <w:szCs w:val="21"/>
          <w:highlight w:val="none"/>
        </w:rPr>
        <w:t xml:space="preserve"> </w:t>
      </w:r>
    </w:p>
    <w:p>
      <w:pPr>
        <w:spacing w:line="360" w:lineRule="auto"/>
        <w:ind w:firstLine="643"/>
        <w:outlineLvl w:val="0"/>
        <w:rPr>
          <w:rFonts w:hint="eastAsia" w:ascii="宋体" w:hAnsi="宋体" w:eastAsia="宋体" w:cs="宋体"/>
          <w:b/>
          <w:color w:val="auto"/>
          <w:sz w:val="24"/>
          <w:szCs w:val="24"/>
          <w:highlight w:val="none"/>
        </w:rPr>
      </w:pPr>
      <w:bookmarkStart w:id="70" w:name="_Toc15908"/>
      <w:bookmarkStart w:id="71" w:name="_Toc23114"/>
      <w:r>
        <w:rPr>
          <w:rFonts w:hint="eastAsia" w:ascii="宋体" w:hAnsi="宋体" w:eastAsia="宋体" w:cs="宋体"/>
          <w:b/>
          <w:color w:val="auto"/>
          <w:kern w:val="2"/>
          <w:sz w:val="24"/>
          <w:szCs w:val="24"/>
          <w:highlight w:val="none"/>
          <w:lang w:eastAsia="zh-CN"/>
        </w:rPr>
        <w:t>（</w:t>
      </w:r>
      <w:r>
        <w:rPr>
          <w:rFonts w:hint="eastAsia" w:ascii="宋体" w:hAnsi="宋体" w:eastAsia="宋体" w:cs="宋体"/>
          <w:b/>
          <w:color w:val="auto"/>
          <w:kern w:val="2"/>
          <w:sz w:val="24"/>
          <w:szCs w:val="24"/>
          <w:highlight w:val="none"/>
          <w:lang w:val="en-US" w:eastAsia="zh-CN"/>
        </w:rPr>
        <w:t>二</w:t>
      </w:r>
      <w:r>
        <w:rPr>
          <w:rFonts w:hint="eastAsia" w:ascii="宋体" w:hAnsi="宋体" w:eastAsia="宋体" w:cs="宋体"/>
          <w:b/>
          <w:color w:val="auto"/>
          <w:kern w:val="2"/>
          <w:sz w:val="24"/>
          <w:szCs w:val="24"/>
          <w:highlight w:val="none"/>
          <w:lang w:eastAsia="zh-CN"/>
        </w:rPr>
        <w:t>）</w:t>
      </w:r>
      <w:r>
        <w:rPr>
          <w:rFonts w:hint="eastAsia" w:ascii="宋体" w:hAnsi="宋体" w:eastAsia="宋体" w:cs="宋体"/>
          <w:b/>
          <w:color w:val="auto"/>
          <w:kern w:val="2"/>
          <w:sz w:val="24"/>
          <w:szCs w:val="24"/>
          <w:highlight w:val="none"/>
        </w:rPr>
        <w:t>完成预算管理一体化系统全省新年度服务</w:t>
      </w:r>
      <w:bookmarkEnd w:id="70"/>
      <w:bookmarkEnd w:id="71"/>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按照浙江省财政厅的统一要求，完成预算管理一体化系统及相关接口的全省服务工作。通过现场及电话服务提高全省各级财政部门、预算单位使用相关业务系统的工作效率，及时解决各级财政部门和预算单位反映的各类问题，按照服务管理要求，定期梳理、更新和提交项目文档和数据，确保在重大事项中系统能稳定高效运行，确保财政资金安全准确支出。</w:t>
      </w:r>
    </w:p>
    <w:p>
      <w:pPr>
        <w:pStyle w:val="29"/>
        <w:spacing w:line="360" w:lineRule="auto"/>
        <w:ind w:firstLine="420" w:firstLineChars="200"/>
        <w:rPr>
          <w:rFonts w:hint="eastAsia" w:ascii="宋体" w:hAnsi="宋体" w:eastAsia="宋体" w:cs="宋体"/>
          <w:color w:val="auto"/>
          <w:kern w:val="2"/>
          <w:sz w:val="21"/>
          <w:szCs w:val="21"/>
          <w:highlight w:val="none"/>
        </w:rPr>
      </w:pPr>
    </w:p>
    <w:p>
      <w:pPr>
        <w:numPr>
          <w:ilvl w:val="1"/>
          <w:numId w:val="0"/>
        </w:numPr>
        <w:spacing w:line="360" w:lineRule="auto"/>
        <w:ind w:left="2963" w:hanging="2403"/>
        <w:jc w:val="left"/>
        <w:outlineLvl w:val="0"/>
        <w:rPr>
          <w:rFonts w:hint="eastAsia" w:ascii="宋体" w:hAnsi="宋体" w:eastAsia="宋体" w:cs="宋体"/>
          <w:b/>
          <w:bCs/>
          <w:color w:val="auto"/>
          <w:sz w:val="28"/>
          <w:szCs w:val="28"/>
          <w:highlight w:val="none"/>
        </w:rPr>
      </w:pPr>
      <w:bookmarkStart w:id="72" w:name="_Toc447268503"/>
      <w:bookmarkStart w:id="73" w:name="_Toc29870"/>
      <w:bookmarkStart w:id="74" w:name="_Toc115343400"/>
      <w:bookmarkStart w:id="75" w:name="_Toc26529"/>
      <w:bookmarkStart w:id="76" w:name="_Toc6933"/>
      <w:bookmarkStart w:id="77" w:name="_Toc27998"/>
      <w:r>
        <w:rPr>
          <w:rFonts w:hint="eastAsia" w:ascii="宋体" w:hAnsi="宋体" w:cs="宋体"/>
          <w:b/>
          <w:bCs/>
          <w:color w:val="auto"/>
          <w:sz w:val="28"/>
          <w:szCs w:val="28"/>
          <w:highlight w:val="none"/>
          <w:lang w:eastAsia="zh-CN"/>
        </w:rPr>
        <w:t>三</w:t>
      </w:r>
      <w:r>
        <w:rPr>
          <w:rFonts w:hint="eastAsia" w:ascii="宋体" w:hAnsi="宋体" w:eastAsia="宋体" w:cs="宋体"/>
          <w:b/>
          <w:bCs/>
          <w:color w:val="auto"/>
          <w:sz w:val="28"/>
          <w:szCs w:val="28"/>
          <w:highlight w:val="none"/>
        </w:rPr>
        <w:t>、</w:t>
      </w:r>
      <w:bookmarkEnd w:id="72"/>
      <w:r>
        <w:rPr>
          <w:rFonts w:hint="eastAsia" w:ascii="宋体" w:hAnsi="宋体" w:eastAsia="宋体" w:cs="宋体"/>
          <w:b/>
          <w:bCs/>
          <w:color w:val="auto"/>
          <w:sz w:val="28"/>
          <w:szCs w:val="28"/>
          <w:highlight w:val="none"/>
        </w:rPr>
        <w:t>项目内容</w:t>
      </w:r>
      <w:bookmarkEnd w:id="73"/>
      <w:bookmarkEnd w:id="74"/>
      <w:bookmarkEnd w:id="75"/>
      <w:bookmarkEnd w:id="76"/>
      <w:bookmarkEnd w:id="77"/>
    </w:p>
    <w:p>
      <w:pPr>
        <w:pStyle w:val="29"/>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本项目建设内容如下：</w:t>
      </w:r>
    </w:p>
    <w:p>
      <w:pPr>
        <w:spacing w:line="360" w:lineRule="auto"/>
        <w:ind w:firstLine="643"/>
        <w:outlineLvl w:val="0"/>
        <w:rPr>
          <w:rFonts w:hint="eastAsia" w:ascii="宋体" w:hAnsi="宋体" w:eastAsia="宋体" w:cs="宋体"/>
          <w:b/>
          <w:color w:val="auto"/>
          <w:kern w:val="2"/>
          <w:sz w:val="24"/>
          <w:szCs w:val="24"/>
          <w:highlight w:val="none"/>
        </w:rPr>
      </w:pPr>
      <w:bookmarkStart w:id="78" w:name="_Toc12425"/>
      <w:bookmarkStart w:id="79" w:name="_Toc20937"/>
      <w:r>
        <w:rPr>
          <w:rFonts w:hint="eastAsia" w:ascii="宋体" w:hAnsi="宋体" w:eastAsia="宋体" w:cs="宋体"/>
          <w:b/>
          <w:color w:val="auto"/>
          <w:kern w:val="2"/>
          <w:sz w:val="24"/>
          <w:szCs w:val="24"/>
          <w:highlight w:val="none"/>
        </w:rPr>
        <w:t>（一）预算管理一体化新增需求实现</w:t>
      </w:r>
      <w:bookmarkEnd w:id="78"/>
      <w:bookmarkEnd w:id="79"/>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一是按照项目需求申请表要求完成</w:t>
      </w:r>
      <w:r>
        <w:rPr>
          <w:rFonts w:hint="eastAsia" w:ascii="宋体" w:hAnsi="宋体" w:eastAsia="宋体" w:cs="宋体"/>
          <w:color w:val="auto"/>
          <w:sz w:val="21"/>
          <w:szCs w:val="21"/>
          <w:highlight w:val="none"/>
        </w:rPr>
        <w:t>基础信息管理、项目库管理、预算编制、预算批复、预算绩效、预算调整和调剂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预算</w:t>
      </w:r>
      <w:r>
        <w:rPr>
          <w:rFonts w:hint="eastAsia" w:ascii="宋体" w:hAnsi="宋体" w:eastAsia="宋体" w:cs="宋体"/>
          <w:color w:val="auto"/>
          <w:sz w:val="21"/>
          <w:szCs w:val="21"/>
          <w:highlight w:val="none"/>
        </w:rPr>
        <w:t>指标账和预算执行</w:t>
      </w:r>
      <w:r>
        <w:rPr>
          <w:rFonts w:hint="eastAsia" w:ascii="宋体" w:hAnsi="宋体" w:eastAsia="宋体" w:cs="宋体"/>
          <w:color w:val="auto"/>
          <w:kern w:val="2"/>
          <w:sz w:val="21"/>
          <w:szCs w:val="21"/>
          <w:highlight w:val="none"/>
        </w:rPr>
        <w:t>模块升级开发工作；二是按照财政部通知文件要求，将地方财政分析评价系统财政供养人员业务纳入预算管理一体化整合。</w:t>
      </w:r>
    </w:p>
    <w:p>
      <w:pPr>
        <w:spacing w:line="360" w:lineRule="auto"/>
        <w:ind w:firstLine="643"/>
        <w:outlineLvl w:val="0"/>
        <w:rPr>
          <w:rFonts w:hint="eastAsia" w:ascii="宋体" w:hAnsi="宋体" w:eastAsia="宋体" w:cs="宋体"/>
          <w:b/>
          <w:color w:val="auto"/>
          <w:kern w:val="2"/>
          <w:sz w:val="24"/>
          <w:szCs w:val="24"/>
          <w:highlight w:val="none"/>
        </w:rPr>
      </w:pPr>
      <w:bookmarkStart w:id="80" w:name="_Toc15797"/>
      <w:bookmarkStart w:id="81" w:name="_Toc24367"/>
      <w:r>
        <w:rPr>
          <w:rFonts w:hint="eastAsia" w:ascii="宋体" w:hAnsi="宋体" w:eastAsia="宋体" w:cs="宋体"/>
          <w:b/>
          <w:color w:val="auto"/>
          <w:kern w:val="2"/>
          <w:sz w:val="24"/>
          <w:szCs w:val="24"/>
          <w:highlight w:val="none"/>
        </w:rPr>
        <w:t>（二）省级预算管理一体化系统驻场服务</w:t>
      </w:r>
      <w:bookmarkEnd w:id="80"/>
      <w:bookmarkEnd w:id="81"/>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供应商</w:t>
      </w:r>
      <w:r>
        <w:rPr>
          <w:rFonts w:hint="eastAsia" w:ascii="宋体" w:hAnsi="宋体" w:eastAsia="宋体" w:cs="宋体"/>
          <w:color w:val="auto"/>
          <w:kern w:val="2"/>
          <w:sz w:val="21"/>
          <w:szCs w:val="21"/>
          <w:highlight w:val="none"/>
        </w:rPr>
        <w:t>应为省本级做好新年度系统初始化，并为省本级财政有关服务对象（服务对象包括省本级财政用户、省本级部门及单位用户）提供相关服务支持，包括驻场维护服务、在线、热线服务及培训服务，确保省本级2023年财政预算管理一体化业务正常运行。</w:t>
      </w:r>
    </w:p>
    <w:p>
      <w:pPr>
        <w:spacing w:line="360" w:lineRule="auto"/>
        <w:ind w:firstLine="643"/>
        <w:outlineLvl w:val="0"/>
        <w:rPr>
          <w:rFonts w:hint="eastAsia" w:ascii="宋体" w:hAnsi="宋体" w:eastAsia="宋体" w:cs="宋体"/>
          <w:b/>
          <w:color w:val="auto"/>
          <w:kern w:val="2"/>
          <w:sz w:val="24"/>
          <w:szCs w:val="24"/>
          <w:highlight w:val="none"/>
        </w:rPr>
      </w:pPr>
      <w:bookmarkStart w:id="82" w:name="_Toc28280"/>
      <w:bookmarkStart w:id="83" w:name="_Toc24494"/>
      <w:r>
        <w:rPr>
          <w:rFonts w:hint="eastAsia" w:ascii="宋体" w:hAnsi="宋体" w:eastAsia="宋体" w:cs="宋体"/>
          <w:b/>
          <w:color w:val="auto"/>
          <w:kern w:val="2"/>
          <w:sz w:val="24"/>
          <w:szCs w:val="24"/>
          <w:highlight w:val="none"/>
        </w:rPr>
        <w:t>（三）市县预算管理一体化服务（费用标准）</w:t>
      </w:r>
      <w:bookmarkEnd w:id="82"/>
      <w:bookmarkEnd w:id="83"/>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服务期内，</w:t>
      </w:r>
      <w:r>
        <w:rPr>
          <w:rFonts w:hint="eastAsia" w:ascii="宋体" w:hAnsi="宋体" w:eastAsia="宋体" w:cs="宋体"/>
          <w:color w:val="auto"/>
          <w:kern w:val="2"/>
          <w:sz w:val="21"/>
          <w:szCs w:val="21"/>
          <w:highlight w:val="none"/>
          <w:lang w:eastAsia="zh-CN"/>
        </w:rPr>
        <w:t>供应商</w:t>
      </w:r>
      <w:r>
        <w:rPr>
          <w:rFonts w:hint="eastAsia" w:ascii="宋体" w:hAnsi="宋体" w:eastAsia="宋体" w:cs="宋体"/>
          <w:color w:val="auto"/>
          <w:kern w:val="2"/>
          <w:sz w:val="21"/>
          <w:szCs w:val="21"/>
          <w:highlight w:val="none"/>
        </w:rPr>
        <w:t>应派驻服务人员完成新年度系统初始化及2023年技术支持服务，包含：业务咨询、疑难问题解答、系统操作指导、系统日常配置调整、系统培训及相关技术支持服务。标准服务中每个市县单个年度中用户现场服务时间不超过2个人月，超出部分由市县（区）财政局或者部门单位与</w:t>
      </w:r>
      <w:r>
        <w:rPr>
          <w:rFonts w:hint="eastAsia" w:ascii="宋体" w:hAnsi="宋体" w:eastAsia="宋体" w:cs="宋体"/>
          <w:color w:val="auto"/>
          <w:kern w:val="2"/>
          <w:sz w:val="21"/>
          <w:szCs w:val="21"/>
          <w:highlight w:val="none"/>
          <w:lang w:eastAsia="zh-CN"/>
        </w:rPr>
        <w:t>供应商</w:t>
      </w:r>
      <w:r>
        <w:rPr>
          <w:rFonts w:hint="eastAsia" w:ascii="宋体" w:hAnsi="宋体" w:eastAsia="宋体" w:cs="宋体"/>
          <w:color w:val="auto"/>
          <w:kern w:val="2"/>
          <w:sz w:val="21"/>
          <w:szCs w:val="21"/>
          <w:highlight w:val="none"/>
        </w:rPr>
        <w:t>另行协商。</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供应商</w:t>
      </w:r>
      <w:r>
        <w:rPr>
          <w:rFonts w:hint="eastAsia" w:ascii="宋体" w:hAnsi="宋体" w:eastAsia="宋体" w:cs="宋体"/>
          <w:color w:val="auto"/>
          <w:kern w:val="2"/>
          <w:sz w:val="21"/>
          <w:szCs w:val="21"/>
          <w:highlight w:val="none"/>
        </w:rPr>
        <w:t>对市县（区）财政局的年度服务费用标准进行报价（市级服务费用</w:t>
      </w:r>
      <w:r>
        <w:rPr>
          <w:rFonts w:hint="eastAsia" w:ascii="宋体" w:hAnsi="宋体" w:eastAsia="宋体" w:cs="宋体"/>
          <w:color w:val="auto"/>
          <w:kern w:val="2"/>
          <w:sz w:val="21"/>
          <w:szCs w:val="21"/>
          <w:highlight w:val="none"/>
          <w:lang w:val="en-US" w:eastAsia="zh-CN"/>
        </w:rPr>
        <w:t>不超过60</w:t>
      </w:r>
      <w:r>
        <w:rPr>
          <w:rFonts w:hint="eastAsia" w:ascii="宋体" w:hAnsi="宋体" w:eastAsia="宋体" w:cs="宋体"/>
          <w:color w:val="auto"/>
          <w:kern w:val="2"/>
          <w:sz w:val="21"/>
          <w:szCs w:val="21"/>
          <w:highlight w:val="none"/>
        </w:rPr>
        <w:t>万元，区县服务费用</w:t>
      </w:r>
      <w:r>
        <w:rPr>
          <w:rFonts w:hint="eastAsia" w:ascii="宋体" w:hAnsi="宋体" w:eastAsia="宋体" w:cs="宋体"/>
          <w:color w:val="auto"/>
          <w:kern w:val="2"/>
          <w:sz w:val="21"/>
          <w:szCs w:val="21"/>
          <w:highlight w:val="none"/>
          <w:lang w:val="en-US" w:eastAsia="zh-CN"/>
        </w:rPr>
        <w:t>不超过40</w:t>
      </w:r>
      <w:r>
        <w:rPr>
          <w:rFonts w:hint="eastAsia" w:ascii="宋体" w:hAnsi="宋体" w:eastAsia="宋体" w:cs="宋体"/>
          <w:color w:val="auto"/>
          <w:kern w:val="2"/>
          <w:sz w:val="21"/>
          <w:szCs w:val="21"/>
          <w:highlight w:val="none"/>
        </w:rPr>
        <w:t>万元），市县（区）财政局按标准支付服务费。</w:t>
      </w:r>
      <w:r>
        <w:rPr>
          <w:rFonts w:hint="eastAsia" w:ascii="宋体" w:hAnsi="宋体" w:eastAsia="宋体" w:cs="宋体"/>
          <w:color w:val="auto"/>
          <w:kern w:val="2"/>
          <w:sz w:val="21"/>
          <w:szCs w:val="21"/>
          <w:highlight w:val="none"/>
          <w:lang w:eastAsia="zh-CN"/>
        </w:rPr>
        <w:t>供应商</w:t>
      </w:r>
      <w:r>
        <w:rPr>
          <w:rFonts w:hint="eastAsia" w:ascii="宋体" w:hAnsi="宋体" w:eastAsia="宋体" w:cs="宋体"/>
          <w:color w:val="auto"/>
          <w:kern w:val="2"/>
          <w:sz w:val="21"/>
          <w:szCs w:val="21"/>
          <w:highlight w:val="none"/>
        </w:rPr>
        <w:t>应按采购文件要求做好服务工作。</w:t>
      </w:r>
    </w:p>
    <w:p>
      <w:pPr>
        <w:numPr>
          <w:ilvl w:val="1"/>
          <w:numId w:val="0"/>
        </w:numPr>
        <w:spacing w:line="360" w:lineRule="auto"/>
        <w:ind w:left="2963" w:hanging="2403"/>
        <w:jc w:val="left"/>
        <w:outlineLvl w:val="0"/>
        <w:rPr>
          <w:rFonts w:hint="eastAsia" w:ascii="宋体" w:hAnsi="宋体" w:eastAsia="宋体" w:cs="宋体"/>
          <w:b/>
          <w:bCs/>
          <w:color w:val="auto"/>
          <w:sz w:val="28"/>
          <w:szCs w:val="28"/>
          <w:highlight w:val="none"/>
        </w:rPr>
      </w:pPr>
      <w:bookmarkStart w:id="84" w:name="_Toc7946"/>
      <w:bookmarkStart w:id="85" w:name="_Toc9118"/>
      <w:bookmarkStart w:id="86" w:name="_Toc26539"/>
      <w:bookmarkStart w:id="87" w:name="_Toc17750"/>
      <w:bookmarkStart w:id="88" w:name="_Toc115343401"/>
    </w:p>
    <w:p>
      <w:pPr>
        <w:numPr>
          <w:ilvl w:val="1"/>
          <w:numId w:val="0"/>
        </w:numPr>
        <w:spacing w:line="360" w:lineRule="auto"/>
        <w:ind w:left="2963" w:hanging="2403"/>
        <w:jc w:val="left"/>
        <w:outlineLvl w:val="0"/>
        <w:rPr>
          <w:rFonts w:hint="eastAsia" w:ascii="宋体" w:hAnsi="宋体" w:eastAsia="宋体" w:cs="宋体"/>
          <w:b/>
          <w:bCs/>
          <w:color w:val="auto"/>
          <w:sz w:val="28"/>
          <w:szCs w:val="28"/>
          <w:highlight w:val="none"/>
        </w:rPr>
      </w:pPr>
      <w:bookmarkStart w:id="89" w:name="_Toc25485"/>
      <w:r>
        <w:rPr>
          <w:rFonts w:hint="eastAsia" w:ascii="宋体" w:hAnsi="宋体" w:eastAsia="宋体" w:cs="宋体"/>
          <w:b/>
          <w:bCs/>
          <w:color w:val="auto"/>
          <w:sz w:val="28"/>
          <w:szCs w:val="28"/>
          <w:highlight w:val="none"/>
        </w:rPr>
        <w:t>四、预算管理一体化新增需求</w:t>
      </w:r>
      <w:bookmarkEnd w:id="84"/>
      <w:bookmarkEnd w:id="85"/>
      <w:bookmarkEnd w:id="86"/>
      <w:bookmarkEnd w:id="87"/>
      <w:bookmarkEnd w:id="88"/>
      <w:bookmarkEnd w:id="89"/>
    </w:p>
    <w:p>
      <w:pPr>
        <w:spacing w:line="360" w:lineRule="auto"/>
        <w:ind w:firstLine="482" w:firstLineChars="200"/>
        <w:outlineLvl w:val="0"/>
        <w:rPr>
          <w:rFonts w:hint="eastAsia" w:ascii="宋体" w:hAnsi="宋体" w:eastAsia="宋体" w:cs="宋体"/>
          <w:b/>
          <w:color w:val="auto"/>
          <w:sz w:val="24"/>
          <w:szCs w:val="24"/>
          <w:highlight w:val="none"/>
        </w:rPr>
      </w:pPr>
      <w:bookmarkStart w:id="90" w:name="_Toc32166"/>
      <w:bookmarkStart w:id="91" w:name="_Toc11673"/>
      <w:bookmarkStart w:id="92" w:name="_Toc17051"/>
      <w:bookmarkStart w:id="93" w:name="_Toc24839"/>
      <w:bookmarkStart w:id="94" w:name="_Toc16217"/>
      <w:bookmarkStart w:id="95" w:name="_Toc115343402"/>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一</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基础信息管理</w:t>
      </w:r>
      <w:bookmarkEnd w:id="90"/>
      <w:bookmarkEnd w:id="91"/>
      <w:bookmarkEnd w:id="92"/>
      <w:bookmarkEnd w:id="93"/>
      <w:bookmarkEnd w:id="94"/>
      <w:bookmarkEnd w:id="95"/>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对财政预算管理的各类基础信息进行统一的管理和维护，方便各业务环节对基础信息的共享共用。按照内容，基础信息目前实现全省单位信息、人员信息、资产信息、支出标准、政府收支分类科目、政府非税收入项目信息、账户信息、会计科目、绩效指标、政府债务信息和财政区划各类基础信息的统一管理。将不同预算管理环节共同使用的基础信息统一管理，保证一体化系统中基础信息来源的一致性，便于统一控制要素和开展联动分析。财政</w:t>
      </w:r>
      <w:r>
        <w:rPr>
          <w:rFonts w:hint="eastAsia" w:ascii="宋体" w:hAnsi="宋体" w:eastAsia="宋体" w:cs="宋体"/>
          <w:color w:val="auto"/>
          <w:kern w:val="2"/>
          <w:sz w:val="21"/>
          <w:szCs w:val="21"/>
          <w:highlight w:val="none"/>
          <w:lang w:val="en-US" w:eastAsia="zh-CN"/>
        </w:rPr>
        <w:t>部门</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主管</w:t>
      </w:r>
      <w:r>
        <w:rPr>
          <w:rFonts w:hint="eastAsia" w:ascii="宋体" w:hAnsi="宋体" w:eastAsia="宋体" w:cs="宋体"/>
          <w:color w:val="auto"/>
          <w:kern w:val="2"/>
          <w:sz w:val="21"/>
          <w:szCs w:val="21"/>
          <w:highlight w:val="none"/>
        </w:rPr>
        <w:t>部门和预算单位用户根据各自职责，分别维护各类基础信息，并完成信息的申请、报送、审核、更新相关工作。</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本次升级需完成以下工作：</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支出标准库: 新增支出标准类别和标准体系设置功能、支持用户对项目支出标准和单位支出标准进行维护，实现按级次分别录入固定标准、法定标准、暂定标准。用户能够通过“支出标准编码设置”维护支出标准层级，通过“支出标准体系设置”维护具体标准内容。</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一体化传供养接口建设:一体化中的单位信息和人员信息</w:t>
      </w:r>
      <w:r>
        <w:rPr>
          <w:rFonts w:hint="eastAsia" w:ascii="宋体" w:hAnsi="宋体" w:eastAsia="宋体" w:cs="宋体"/>
          <w:color w:val="auto"/>
          <w:kern w:val="2"/>
          <w:sz w:val="21"/>
          <w:szCs w:val="21"/>
          <w:highlight w:val="none"/>
          <w:lang w:val="en-US" w:eastAsia="zh-CN"/>
        </w:rPr>
        <w:t>支持</w:t>
      </w:r>
      <w:r>
        <w:rPr>
          <w:rFonts w:hint="eastAsia" w:ascii="宋体" w:hAnsi="宋体" w:eastAsia="宋体" w:cs="宋体"/>
          <w:color w:val="auto"/>
          <w:kern w:val="2"/>
          <w:sz w:val="21"/>
          <w:szCs w:val="21"/>
          <w:highlight w:val="none"/>
        </w:rPr>
        <w:t>与财政供养的数据对接，新增财政供养录入、采集流程、数据导入、数据导出及对应关系设置功能。</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基础库人员信息改造：在“人员基本信息表、人员扩展信息表”增加版本号字段，系统能够按照版本号区分日常维护版本、预算编制版本和财政供养版本。</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p>
    <w:p>
      <w:pPr>
        <w:tabs>
          <w:tab w:val="left" w:pos="6452"/>
        </w:tabs>
        <w:spacing w:line="360" w:lineRule="auto"/>
        <w:ind w:firstLine="482" w:firstLineChars="200"/>
        <w:outlineLvl w:val="0"/>
        <w:rPr>
          <w:rFonts w:hint="eastAsia" w:ascii="宋体" w:hAnsi="宋体" w:eastAsia="宋体" w:cs="宋体"/>
          <w:b/>
          <w:color w:val="auto"/>
          <w:sz w:val="24"/>
          <w:szCs w:val="24"/>
          <w:highlight w:val="none"/>
          <w:lang w:eastAsia="zh-CN"/>
        </w:rPr>
      </w:pPr>
      <w:bookmarkStart w:id="96" w:name="_Toc21761"/>
      <w:bookmarkStart w:id="97" w:name="_Toc115343403"/>
      <w:bookmarkStart w:id="98" w:name="_Toc29195"/>
      <w:bookmarkStart w:id="99" w:name="_Toc11978"/>
      <w:bookmarkStart w:id="100" w:name="_Toc25618"/>
      <w:bookmarkStart w:id="101" w:name="_Toc11895"/>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二</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项目库管理</w:t>
      </w:r>
      <w:bookmarkEnd w:id="96"/>
      <w:bookmarkEnd w:id="97"/>
      <w:bookmarkEnd w:id="98"/>
      <w:bookmarkEnd w:id="99"/>
      <w:bookmarkEnd w:id="100"/>
      <w:bookmarkEnd w:id="101"/>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项目是预算管理的基本单元，项目库管理是实现预算管理的基础，前期已完成对预算项目的全生命周期进行梳理和规划，将全部预算支出以预算项目的形式纳入项目库。项目库提供人员类项目、运转类项目和特定目标类项目管理功能。</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本次升级需完成以下工作：</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项目热点维护：项目明细页面提供批量维护热点和单独查询功能。</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项目生成：增加专项资金项目生成功能，能够按照用户要求生成项目。</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申报界面调整：增加申报页面暂存和提交功能。</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公共数据接口：从大数据接口获取大数据相关的基础数据。</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界面集成：定制大数据局项目申报功能，并集成到一体化项目录入页面。</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6</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大项目信息及文件上传：能够推送大项目及附表信息到大数据局接口；增加文件上传功能，能够将文件上传到大数据局。</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6</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项目评审数据接口：系统能够获取大数据局项目评审的最新数据。</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7</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项目样板库：按照用户需求完成项目样板库建设</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8</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发改委接口升级：增加“法人身份证”和“联系人身份证”接口字段。</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p>
    <w:p>
      <w:pPr>
        <w:spacing w:line="360" w:lineRule="auto"/>
        <w:ind w:firstLine="482" w:firstLineChars="200"/>
        <w:outlineLvl w:val="0"/>
        <w:rPr>
          <w:rFonts w:hint="eastAsia" w:ascii="宋体" w:hAnsi="宋体" w:eastAsia="宋体" w:cs="宋体"/>
          <w:b/>
          <w:color w:val="auto"/>
          <w:sz w:val="24"/>
          <w:szCs w:val="24"/>
          <w:highlight w:val="none"/>
        </w:rPr>
      </w:pPr>
      <w:bookmarkStart w:id="102" w:name="_Toc26861"/>
      <w:bookmarkStart w:id="103" w:name="_Toc12014"/>
      <w:bookmarkStart w:id="104" w:name="_Toc21961"/>
      <w:bookmarkStart w:id="105" w:name="_Toc115343404"/>
      <w:bookmarkStart w:id="106" w:name="_Toc23536"/>
      <w:bookmarkStart w:id="107" w:name="_Toc9145"/>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三</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预算编制</w:t>
      </w:r>
      <w:bookmarkEnd w:id="102"/>
      <w:bookmarkEnd w:id="103"/>
      <w:bookmarkEnd w:id="104"/>
      <w:bookmarkEnd w:id="105"/>
      <w:bookmarkEnd w:id="106"/>
      <w:bookmarkEnd w:id="107"/>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预算编制是对预算收支计划的拟订、确定及组织的过程，按照类型可以分为政府预算编制、转移支付预算编制、部门预算编制。</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本次升级需完成以下工作：</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资金来源控制：资金来源为1开头的，为本级财力，系统不允许挂接上级转移支付。</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取消批复：转移支付预算增加取消批复功能。</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政府预算批准：新增“政府预算批准（本级）”功能，新增”取消政府预算批准（本级）”功能。</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预算级次控制：增加预算级次和资金来源控制规则，用户必须按照控制规则填报</w:t>
      </w:r>
      <w:r>
        <w:rPr>
          <w:rFonts w:hint="eastAsia" w:ascii="宋体" w:hAnsi="宋体" w:eastAsia="宋体" w:cs="宋体"/>
          <w:color w:val="auto"/>
          <w:kern w:val="2"/>
          <w:sz w:val="21"/>
          <w:szCs w:val="21"/>
          <w:highlight w:val="none"/>
          <w:lang w:val="en-US" w:eastAsia="zh-CN"/>
        </w:rPr>
        <w:t>资金</w:t>
      </w:r>
      <w:r>
        <w:rPr>
          <w:rFonts w:hint="eastAsia" w:ascii="宋体" w:hAnsi="宋体" w:eastAsia="宋体" w:cs="宋体"/>
          <w:color w:val="auto"/>
          <w:kern w:val="2"/>
          <w:sz w:val="21"/>
          <w:szCs w:val="21"/>
          <w:highlight w:val="none"/>
        </w:rPr>
        <w:t>来源与预算级次。</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对下转支付表修改:对下转移支付预算表新增"是否已下达"字段。</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6</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流程权限控制：一上审核功能页面与一上部门上报功能页面新增新增与删除功能。</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7</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对下转移支付按项目汇总：对下转移支付年度预算能够按照项目汇总。</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8</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政府草案导入：政府草案编制功能页面增加导入功能。</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9</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预算</w:t>
      </w:r>
      <w:r>
        <w:rPr>
          <w:rFonts w:hint="eastAsia" w:ascii="宋体" w:hAnsi="宋体" w:eastAsia="宋体" w:cs="宋体"/>
          <w:color w:val="auto"/>
          <w:kern w:val="2"/>
          <w:sz w:val="21"/>
          <w:szCs w:val="21"/>
          <w:highlight w:val="none"/>
          <w:lang w:val="en-US" w:eastAsia="zh-CN"/>
        </w:rPr>
        <w:t>支出明细表自动取数</w:t>
      </w:r>
      <w:r>
        <w:rPr>
          <w:rFonts w:hint="eastAsia" w:ascii="宋体" w:hAnsi="宋体" w:eastAsia="宋体" w:cs="宋体"/>
          <w:color w:val="auto"/>
          <w:kern w:val="2"/>
          <w:sz w:val="21"/>
          <w:szCs w:val="21"/>
          <w:highlight w:val="none"/>
        </w:rPr>
        <w:t>：提取项目标准测算表金额，项目标准测算数据能够自动插入到预算支出明细表</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金额放一般公共预算列</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10</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转移支付流程修改：转移支付预笪编制需按照最新要求完成流程修改。</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11</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预算流程控制：绩效监审与预算编制需并行审核通过，才能继续下一步流程。</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12</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行转列视角界面功能：项目明细数据根据编制预算的项目自动插入行转列视角表。</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13</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政府采购功能完善：政府采购表与政府购买服务表合并为一张表。</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14</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资产表维护：申报预算时，系统调用项目库中资产存量信息表和资产配置信息表，能够在预算编制模块修改项目表数据。</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15</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 xml:space="preserve">政府过紧日子评价指标: 根据《政府过紧日子评价指标-0324》的评价标准和分值动态生成得分，系统需增加政府过紧日子录入表，能够下发填报任务，配置流程，支持指标计算公式设置。 </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16</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国资收益申报审核：新增国资收益申报任务，完成 8张录入表的数据采集、同时增加国资收益申报及审核功能，并完成企业用户功能授权。</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p>
    <w:p>
      <w:pPr>
        <w:spacing w:line="360" w:lineRule="auto"/>
        <w:ind w:firstLine="482" w:firstLineChars="200"/>
        <w:outlineLvl w:val="0"/>
        <w:rPr>
          <w:rFonts w:hint="eastAsia" w:ascii="宋体" w:hAnsi="宋体" w:eastAsia="宋体" w:cs="宋体"/>
          <w:b/>
          <w:color w:val="auto"/>
          <w:sz w:val="24"/>
          <w:szCs w:val="24"/>
          <w:highlight w:val="none"/>
        </w:rPr>
      </w:pPr>
      <w:bookmarkStart w:id="108" w:name="_Toc32352"/>
      <w:bookmarkStart w:id="109" w:name="_Toc7503"/>
      <w:bookmarkStart w:id="110" w:name="_Toc19013"/>
      <w:bookmarkStart w:id="111" w:name="_Toc22670"/>
      <w:bookmarkStart w:id="112" w:name="_Toc115343405"/>
      <w:bookmarkStart w:id="113" w:name="_Toc18197"/>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四</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预算批复</w:t>
      </w:r>
      <w:bookmarkEnd w:id="108"/>
      <w:bookmarkEnd w:id="109"/>
      <w:bookmarkEnd w:id="110"/>
      <w:bookmarkEnd w:id="111"/>
      <w:bookmarkEnd w:id="112"/>
      <w:bookmarkEnd w:id="113"/>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预算批复是指地方各级预算经由本级人大批准后，财政部门在规定时间内批复部门预算并下达转移支付预算，同时生成预算指标，登记预算指标账的过程。财政部门、预算部门和单位还应在规定时间内公开政府预算、部门预算及单位预算。系统目前提供政府预算批准、转移支付预算下达、部门预算批复、政府预算公开和部门预算公开功能， </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本次升级需完成以下工作：</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批准记账：增加政府预算批准记指标账功能，政府预算批准后可操作记账。</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政府预算批准记账界面修改：收入预算和支出预算合并为一个界面，分两个页签分别展示收入和支出明细数据。</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指标待生成页面：指标生成界面升级，能够显示上级指标信息。</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提前下达总额控制：部门预算提前下达页面增加总额控制功能。</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政府预算调整：增加政府预算调整记账功能。</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6</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政府预算批复：增加政府预算批复功能。</w:t>
      </w:r>
    </w:p>
    <w:p>
      <w:pPr>
        <w:pStyle w:val="29"/>
        <w:numPr>
          <w:ilvl w:val="-1"/>
          <w:numId w:val="0"/>
        </w:numPr>
        <w:spacing w:line="360" w:lineRule="auto"/>
        <w:ind w:left="640" w:firstLine="420" w:firstLineChars="200"/>
        <w:rPr>
          <w:rFonts w:hint="eastAsia" w:ascii="宋体" w:hAnsi="宋体" w:eastAsia="宋体" w:cs="宋体"/>
          <w:color w:val="auto"/>
          <w:kern w:val="2"/>
          <w:sz w:val="21"/>
          <w:szCs w:val="21"/>
          <w:highlight w:val="none"/>
        </w:rPr>
      </w:pPr>
    </w:p>
    <w:p>
      <w:pPr>
        <w:spacing w:line="360" w:lineRule="auto"/>
        <w:ind w:firstLine="482" w:firstLineChars="200"/>
        <w:outlineLvl w:val="0"/>
        <w:rPr>
          <w:rFonts w:hint="eastAsia" w:ascii="宋体" w:hAnsi="宋体" w:eastAsia="宋体" w:cs="宋体"/>
          <w:b/>
          <w:color w:val="auto"/>
          <w:sz w:val="24"/>
          <w:szCs w:val="24"/>
          <w:highlight w:val="none"/>
        </w:rPr>
      </w:pPr>
      <w:bookmarkStart w:id="114" w:name="_Toc28727"/>
      <w:bookmarkStart w:id="115" w:name="_Toc12981"/>
      <w:bookmarkStart w:id="116" w:name="_Toc25851"/>
      <w:bookmarkStart w:id="117" w:name="_Toc12083"/>
      <w:bookmarkStart w:id="118" w:name="_Toc115343406"/>
      <w:bookmarkStart w:id="119" w:name="_Toc11478"/>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五</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预算绩效</w:t>
      </w:r>
      <w:bookmarkEnd w:id="114"/>
      <w:bookmarkEnd w:id="115"/>
      <w:bookmarkEnd w:id="116"/>
      <w:bookmarkEnd w:id="117"/>
      <w:bookmarkEnd w:id="118"/>
      <w:bookmarkEnd w:id="119"/>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实现预算绩效全过程管理，贯穿事前、事中、事后全流程，实现事前有目标、事中有监控、事后有评价。预算绩效系统功能包含：事前绩效评估、项目绩效目标管理、部门整体绩效目标管理、绩效目标调整、绩效运行监控管理、绩效自评价和财政重点评价管理。</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本次升级需完成以下工作：</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绩效目标复用往年指标：增加复用往年指标功能，显示近三年指标值及其平均值，可选择指标进行引用。</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绩效监控功能改造</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预算执行情况手工录入模式：绩效监控中预算执行情况表增加手工录入功能，可通过配置开关在自动取数模式和手工录入模式间切换。</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财政审核附件上传：重点监控项目财政审核界面能够上传第三方监控评价报告附件材料。</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预算执行情况表手工录入模式：绩效自评价中预算执行情况表增加手工录入模式，可通过配置开关切换取数模式和手工录入模式。</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增加一级项目绩效自评价和财政抽评</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一级项目绩效自评价支持一级项目自评任务下达、一级项目自评填报、一级项目自评审核、一级项目自评查询功能；财政抽评需要提供一级项目财政抽评项目选取、一级项目财政抽评项目随机抽取、一级项目财政抽评委托、一级项目财政抽评结果上传功能。</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增加部门整体绩效自评价</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实现部门整体绩效自评任务下达、填报、审核、查询。</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6</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增加部门评价管理功能</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能够支持部门评价流程定义，对部门评价成果的分类进行维护；能够定义部门评价成果采集表，由部门按系统格式上传最终的评价成果。财政部门可查询部门评价项目和查看评价成果。</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7</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财政重点评价升级：获取入库项目列表，新增的财政评价项目能够选择入库项目进行关联。</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8</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增加部门整体财政重点评价管理功能</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系统支持部门整体财政评价流程定义、范围确定、范围审核、成果上传、整改通知、整改结果反馈、整改结果审核、接收评价通知，实现对部门整体财政重点评价全过程管理。</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9</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部门综合考评：按照2022年部门综合考评政策文件要求，开发部门综合考评，系统需支持考评表单定义、考核指标定义、考评任务下达、部门自评、业务处室复评、考评结果综合查询。</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10</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预算绩效全过程数据查询：展现项目的上年全过程预算绩效管理数据，并支持在项目库、预算编制业务模块中查询数据</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11</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第三方中介机构库管理：增加第三方中介机构入库管理功能，在财政抽评和财政重点评价中能够使用第三方机构库信息。</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p>
    <w:p>
      <w:pPr>
        <w:spacing w:line="360" w:lineRule="auto"/>
        <w:ind w:firstLine="482" w:firstLineChars="200"/>
        <w:outlineLvl w:val="0"/>
        <w:rPr>
          <w:rFonts w:hint="eastAsia" w:ascii="宋体" w:hAnsi="宋体" w:eastAsia="宋体" w:cs="宋体"/>
          <w:b/>
          <w:color w:val="auto"/>
          <w:sz w:val="24"/>
          <w:szCs w:val="24"/>
          <w:highlight w:val="none"/>
        </w:rPr>
      </w:pPr>
      <w:bookmarkStart w:id="120" w:name="_Toc28087"/>
      <w:bookmarkStart w:id="121" w:name="_Toc6748"/>
      <w:bookmarkStart w:id="122" w:name="_Toc6699"/>
      <w:bookmarkStart w:id="123" w:name="_Toc115343407"/>
      <w:bookmarkStart w:id="124" w:name="_Toc27630"/>
      <w:bookmarkStart w:id="125" w:name="_Toc4047"/>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六</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预算调整和调剂</w:t>
      </w:r>
      <w:bookmarkEnd w:id="120"/>
      <w:bookmarkEnd w:id="121"/>
      <w:bookmarkEnd w:id="122"/>
      <w:bookmarkEnd w:id="123"/>
      <w:bookmarkEnd w:id="124"/>
      <w:bookmarkEnd w:id="125"/>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各级政府、各部门、各单位的支出必须按照预算执行，不得虚假列支。预算执行中确需变动的，应当按法定程序进行预算调整或预算调剂。</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根据预算法第六十七条的规定，经全国人民代表大会批准的中央预算和经地方各级人民代表大会批准的地方各级预算，在执行中出现下列情况之一的，应当进行预算调整：（一）需要增加或者减少预算总支出的；（二）需要调入预算稳定调节基金的；（三）需要调减预算安排的重点支出数额的；（四）需要增加举借债务数额的。</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预算调剂是指在预算执行中预算总支出不变的情况下，有关支出在预算科目、预算级次或者项目之间的变动。预算调剂主要包括政府预算调剂、部门（单位）预算调剂。</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预算调整和调剂涉及改变地方政府专项债券用途的，应当将专项债券用途调整方案经省级财政部门报省级政府批准。</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新增地方政府债务外贷额度内当年未提款部分，不再结转政府债务外贷使用，报经省级人民政府批准并报财政部备案后，调剂用于当年或以后年度发行新增地方政府一般债券。其中，调剂用于当年发行新增债券的，涉及预算调整的纳入预算调整方案后实施，涉及预算调剂的由地方财政部门按程序办理；调剂用于以后年度发行新增债券的，纳入下一年度年初预算后实施。</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预算调整和调剂时须按规定进行预算指标核算。</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本次升级需完成以下工作：</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（1）登记指标功能改造：根据《预算指标核算管理办法（试行）》要求，政府预算批准时，登记政府收支预算指标账。</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（2）转移支付负指标核销：增加接收转移支付负指标与正指标核销功能。</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（3）生成二级支出项目：转移支付指标登记归口时，根据单位和转移支付项目自动生成单位二级支出项目功能。</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（4）待分配功能：分口指标录入增加待分配功能，分口指标明细待分配为否，分口指标终审后，自动生成一条新增状态的单位指标。</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（5）指标合并：分口指标实现多对一指标合并功能。</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（6）单位指标调整界面升级：实现在同一个界面部门预算支出指标、转移支付指标和单位资金指标追减，同时还支持多组预算指标核算的账务处理。</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（7）单位指标分配界面升级：实现在同一个界面部门预算支出指标、转移支付指标和单位资金指标分配及指标分配调剂功能，同时还支持多组预算指标核算的账务处理。</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（8）单位指标录入分配调剂：系统支持分配后跨处室的指标自动调剂分口指标，同时还支持多组预算指标核算的账务处理。</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（9）导入指标升级：分口指标录入、单位指标录入和无来源追加录入页面支持可编辑字段的导入，并校验字段关系。 </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10）科目关系控制：分口指标录入、单位指标录入界面和无来源追加录入界面，增加支出级次与支出功能分类科目对转移支付支出功能分类科目的关联控制；支出级次、单位类型、部门经济分类科目对政府经济分类科目的关联控制；项目类型对部门经济分类的关联控制。</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（11）指标数据回写：根据财预便[2022]32号文，升级预算调剂指标数据回写功能，能够反馈预算调剂指标数据数据到年度预算表和项目调整调剂表。</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（12）补热点分类：根据财预便[2022]32号文，提供指标登记项目热点功能。</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（13）重定来源：预算调剂系统增加重定来源功能，实现错误指标订正来源指标。</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（14）无来源追加：新增无来源追加单位资金指标和暂存款指标功能。</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（15）单位指标联动调整分口指标：调剂单位指标能够同时调整分口指标。</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（16）文号生成： 单位指标调剂界面增加文号生成方式，支持根据规则生成文号、手工录入、从来源文号引入和从来源指标引入+规则生成四种文号生成方式。</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（17）退回指定：单位指标调剂与单位指标录入能够退回指定岗或退回上一岗。</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（18）采购调剂：可以同时调部门经济分类和政府经济分类，并增加控制规则实现科研指标和三公经费控制。</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（19）合并文件主单：预算下达指标和单位指标分配业务，增加合并文件主单规则。</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（20）调剂录入界面：预算调剂录入增加调剂录入界面。 </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（21）批量收回并合并：可执行指标批量收回并合并生成分口指标。</w:t>
      </w:r>
    </w:p>
    <w:p>
      <w:pPr>
        <w:pStyle w:val="29"/>
        <w:spacing w:line="360" w:lineRule="auto"/>
        <w:ind w:firstLine="420" w:firstLineChars="200"/>
        <w:outlineLvl w:val="9"/>
        <w:rPr>
          <w:rFonts w:hint="eastAsia" w:ascii="宋体" w:hAnsi="宋体" w:eastAsia="宋体" w:cs="宋体"/>
          <w:color w:val="auto"/>
          <w:kern w:val="2"/>
          <w:sz w:val="21"/>
          <w:szCs w:val="21"/>
          <w:highlight w:val="none"/>
        </w:rPr>
      </w:pPr>
      <w:bookmarkStart w:id="126" w:name="_Toc8830"/>
      <w:r>
        <w:rPr>
          <w:rFonts w:hint="eastAsia" w:ascii="宋体" w:hAnsi="宋体" w:eastAsia="宋体" w:cs="宋体"/>
          <w:color w:val="auto"/>
          <w:kern w:val="2"/>
          <w:sz w:val="21"/>
          <w:szCs w:val="21"/>
          <w:highlight w:val="none"/>
        </w:rPr>
        <w:t>（22）与原指标系统对接：能够获取原指标系统数据。</w:t>
      </w:r>
      <w:bookmarkEnd w:id="126"/>
    </w:p>
    <w:p>
      <w:pPr>
        <w:pStyle w:val="29"/>
        <w:spacing w:line="360" w:lineRule="auto"/>
        <w:ind w:firstLine="420" w:firstLineChars="200"/>
        <w:outlineLvl w:val="9"/>
        <w:rPr>
          <w:rFonts w:hint="eastAsia" w:ascii="宋体" w:hAnsi="宋体" w:eastAsia="宋体" w:cs="宋体"/>
          <w:color w:val="auto"/>
          <w:kern w:val="2"/>
          <w:sz w:val="21"/>
          <w:szCs w:val="21"/>
          <w:highlight w:val="none"/>
        </w:rPr>
      </w:pPr>
    </w:p>
    <w:p>
      <w:pPr>
        <w:spacing w:line="360" w:lineRule="auto"/>
        <w:ind w:firstLine="482" w:firstLineChars="200"/>
        <w:outlineLvl w:val="0"/>
        <w:rPr>
          <w:rFonts w:hint="eastAsia" w:ascii="宋体" w:hAnsi="宋体" w:eastAsia="宋体" w:cs="宋体"/>
          <w:b/>
          <w:color w:val="auto"/>
          <w:sz w:val="24"/>
          <w:szCs w:val="24"/>
          <w:highlight w:val="none"/>
        </w:rPr>
      </w:pPr>
      <w:bookmarkStart w:id="127" w:name="_Toc28629"/>
      <w:bookmarkStart w:id="128" w:name="_Toc4168"/>
      <w:bookmarkStart w:id="129" w:name="_Toc10181"/>
      <w:bookmarkStart w:id="130" w:name="_Toc23096"/>
      <w:bookmarkStart w:id="131" w:name="_Toc15413"/>
      <w:bookmarkStart w:id="132" w:name="_Toc115343408"/>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七</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预算执行</w:t>
      </w:r>
      <w:bookmarkEnd w:id="127"/>
      <w:bookmarkEnd w:id="128"/>
      <w:bookmarkEnd w:id="129"/>
      <w:bookmarkEnd w:id="130"/>
      <w:bookmarkEnd w:id="131"/>
      <w:bookmarkEnd w:id="132"/>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预算执行是指经法定程序审查和批准的预算的具体实施过程，是把预算由计划变为现实的具体实施步骤。预算执行工作是实现预算收支任务的关键步骤，也是整个预算管理工作的中心环节。预算执行管理水平的高低，直接关系党和国家各项重大政策的贯彻落实，直接关系政府公共服务水平和财政管理水平。预算执行模块提供收入预算执行、部门支出预算执行、转移支付预算执行和预算执行报表功能。</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本次升级需完成以下工作：</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报销明细查询：支付申请复核页面增加查看公务卡报销明细功能。</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单位编码显示：个人公务卡消费信息核销、单位公务卡托收记录核销、授权支付申请书打印三个页面，单位改为显示单位编码与单位名称。</w:t>
      </w:r>
    </w:p>
    <w:p>
      <w:pPr>
        <w:pStyle w:val="29"/>
        <w:numPr>
          <w:ilvl w:val="-1"/>
          <w:numId w:val="0"/>
        </w:numPr>
        <w:spacing w:before="60" w:after="60" w:line="360" w:lineRule="auto"/>
        <w:ind w:left="0" w:firstLine="420" w:firstLineChars="200"/>
        <w:jc w:val="both"/>
        <w:textAlignment w:val="baseline"/>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支付更正：如果支出功能分类跨类调整，增加上传附件的提示，同时在审核时较验跨功能科目调整未上传附件则不允许审核。</w:t>
      </w:r>
    </w:p>
    <w:p>
      <w:pPr>
        <w:pStyle w:val="29"/>
        <w:numPr>
          <w:ilvl w:val="-1"/>
          <w:numId w:val="0"/>
        </w:numPr>
        <w:spacing w:before="60" w:after="60" w:line="360" w:lineRule="auto"/>
        <w:ind w:left="0" w:firstLine="420" w:firstLineChars="200"/>
        <w:jc w:val="both"/>
        <w:textAlignment w:val="baseline"/>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单位资金申请：新增单位资金与政府采购的关联功能。</w:t>
      </w:r>
    </w:p>
    <w:p>
      <w:pPr>
        <w:pStyle w:val="29"/>
        <w:numPr>
          <w:ilvl w:val="0"/>
          <w:numId w:val="16"/>
        </w:numPr>
        <w:spacing w:line="360" w:lineRule="auto"/>
        <w:ind w:left="0" w:firstLine="420" w:firstLineChars="20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rPr>
        <w:t>反向支付更正：新增反向支付更正功能，即支付凭证做支付更正后生成支付更正凭证，如需退款，则需要把支付更正凭证反向更正，对原凭证进行退款，生成退款凭证。</w:t>
      </w:r>
      <w:r>
        <w:rPr>
          <w:rFonts w:hint="eastAsia" w:ascii="宋体" w:hAnsi="宋体" w:eastAsia="宋体" w:cs="宋体"/>
          <w:color w:val="auto"/>
          <w:kern w:val="2"/>
          <w:sz w:val="21"/>
          <w:szCs w:val="21"/>
          <w:highlight w:val="none"/>
          <w:lang w:val="en-US" w:eastAsia="zh-CN"/>
        </w:rPr>
        <w:t xml:space="preserve">     </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 xml:space="preserve"> （6）</w:t>
      </w:r>
      <w:r>
        <w:rPr>
          <w:rFonts w:hint="eastAsia" w:ascii="宋体" w:hAnsi="宋体" w:eastAsia="宋体" w:cs="宋体"/>
          <w:color w:val="auto"/>
          <w:kern w:val="2"/>
          <w:sz w:val="21"/>
          <w:szCs w:val="21"/>
          <w:highlight w:val="none"/>
        </w:rPr>
        <w:t xml:space="preserve">第三方系统接口：增加第三方系统接口，如与工资统发2.0的接口能批量生成工资支付申请，支持与预算单位系统的接口，能够批量生成支付申请。浙里报功能改造，增加批量支付功能，能够批量生成支付申请。  </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7</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汇总清算额度通知单：汇总清算通知单同时支持发送人行与上报财政部两种模式。</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8</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授权支付限额录入：限额支付单支持按明细录入数据。</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9</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 xml:space="preserve">计划汇总打印：计划汇总打印界面需按资金性质汇总后展示，目前资金性质为财政部规范，需转换成老系统对应的资金性质后再进行汇总，然后进行展示。  </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10</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一般计划调剂：按照业务需求，开发一般计划调剂功能。</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11</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历史年度资金退回：升级历史年度资金退回功能，支持历史年度资金退回业务。</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12</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数据迁移：完成老系统执行数据迁移，在系统中可查询迁移的集中支付计划、申请和凭证信息。</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13</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资金退回通知书：按照用户需求，在生成退款支付申请的时候，生成国库集中支付资金退回通知书。</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14</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生成支付月报：能够按照用户要求，每个月末根据支付日报生成支付月报数据。</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15</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执行系统数据接口：增加执行数据老系统上行/下行接口。</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16</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快速响应业务部门提出的需求，按时间进度要求完成浙里报账业务应用中的有关应用系统与业务数据方面的接口。</w:t>
      </w:r>
    </w:p>
    <w:p>
      <w:pPr>
        <w:pStyle w:val="29"/>
        <w:numPr>
          <w:ilvl w:val="-1"/>
          <w:numId w:val="0"/>
        </w:numPr>
        <w:spacing w:line="360" w:lineRule="auto"/>
        <w:ind w:left="0" w:firstLine="420" w:firstLineChars="200"/>
        <w:rPr>
          <w:rFonts w:hint="eastAsia" w:ascii="宋体" w:hAnsi="宋体" w:eastAsia="宋体" w:cs="宋体"/>
          <w:color w:val="auto"/>
          <w:kern w:val="2"/>
          <w:sz w:val="21"/>
          <w:szCs w:val="21"/>
          <w:highlight w:val="none"/>
        </w:rPr>
      </w:pPr>
    </w:p>
    <w:p>
      <w:pPr>
        <w:numPr>
          <w:ilvl w:val="-1"/>
          <w:numId w:val="0"/>
        </w:numPr>
        <w:spacing w:line="360" w:lineRule="auto"/>
        <w:ind w:left="420" w:leftChars="200" w:firstLine="0" w:firstLineChars="0"/>
        <w:outlineLvl w:val="0"/>
        <w:rPr>
          <w:rFonts w:hint="eastAsia" w:ascii="宋体" w:hAnsi="宋体" w:eastAsia="宋体" w:cs="宋体"/>
          <w:color w:val="auto"/>
          <w:kern w:val="0"/>
          <w:sz w:val="24"/>
          <w:szCs w:val="24"/>
          <w:highlight w:val="none"/>
        </w:rPr>
      </w:pPr>
      <w:bookmarkStart w:id="133" w:name="_Toc30739"/>
      <w:bookmarkStart w:id="134" w:name="_Toc32750"/>
      <w:bookmarkStart w:id="135" w:name="_Toc26881"/>
      <w:bookmarkStart w:id="136" w:name="_Toc32332"/>
      <w:bookmarkStart w:id="137" w:name="_Toc31623"/>
      <w:bookmarkStart w:id="138" w:name="_Toc115343409"/>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八</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财政部试点</w:t>
      </w:r>
      <w:r>
        <w:rPr>
          <w:rFonts w:hint="eastAsia" w:ascii="宋体" w:hAnsi="宋体" w:eastAsia="宋体" w:cs="宋体"/>
          <w:b/>
          <w:color w:val="auto"/>
          <w:sz w:val="24"/>
          <w:szCs w:val="24"/>
          <w:highlight w:val="none"/>
          <w:lang w:val="en-US" w:eastAsia="zh-CN"/>
        </w:rPr>
        <w:t>预算</w:t>
      </w:r>
      <w:r>
        <w:rPr>
          <w:rFonts w:hint="eastAsia" w:ascii="宋体" w:hAnsi="宋体" w:eastAsia="宋体" w:cs="宋体"/>
          <w:b/>
          <w:color w:val="auto"/>
          <w:sz w:val="24"/>
          <w:szCs w:val="24"/>
          <w:highlight w:val="none"/>
        </w:rPr>
        <w:t>指标帐</w:t>
      </w:r>
      <w:bookmarkEnd w:id="133"/>
      <w:bookmarkEnd w:id="134"/>
      <w:bookmarkEnd w:id="135"/>
      <w:bookmarkEnd w:id="136"/>
      <w:bookmarkEnd w:id="137"/>
      <w:bookmarkEnd w:id="138"/>
    </w:p>
    <w:p>
      <w:pPr>
        <w:pStyle w:val="29"/>
        <w:numPr>
          <w:ilvl w:val="0"/>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按照2021年财政部预算指标核算试点规范要求，完成指标帐试点任务，</w:t>
      </w:r>
      <w:r>
        <w:rPr>
          <w:rFonts w:hint="eastAsia" w:ascii="宋体" w:hAnsi="宋体" w:eastAsia="宋体" w:cs="宋体"/>
          <w:color w:val="auto"/>
          <w:kern w:val="2"/>
          <w:sz w:val="21"/>
          <w:szCs w:val="21"/>
          <w:highlight w:val="none"/>
          <w:lang w:eastAsia="zh-CN"/>
        </w:rPr>
        <w:t>供应商</w:t>
      </w:r>
      <w:r>
        <w:rPr>
          <w:rFonts w:hint="eastAsia" w:ascii="宋体" w:hAnsi="宋体" w:eastAsia="宋体" w:cs="宋体"/>
          <w:color w:val="auto"/>
          <w:kern w:val="2"/>
          <w:sz w:val="21"/>
          <w:szCs w:val="21"/>
          <w:highlight w:val="none"/>
        </w:rPr>
        <w:t>需完成以下工作：</w:t>
      </w:r>
    </w:p>
    <w:p>
      <w:pPr>
        <w:pStyle w:val="29"/>
        <w:numPr>
          <w:ilvl w:val="0"/>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（1）政府预算批准登记指标账：对政府预算批准登记指标账功能升级，预算批准需根据收支预算登记收支科目数据并校验收支平衡关系。</w:t>
      </w:r>
    </w:p>
    <w:p>
      <w:pPr>
        <w:pStyle w:val="29"/>
        <w:numPr>
          <w:ilvl w:val="0"/>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（2）政府预算调整草案批准登记指标账:升级政府预算调整草案批准登记指标账功能，预算批准需根据收支预算登记收支科目数据并校验收支平衡关系。</w:t>
      </w:r>
    </w:p>
    <w:p>
      <w:pPr>
        <w:pStyle w:val="29"/>
        <w:numPr>
          <w:ilvl w:val="0"/>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（3）指标核销:年初控制数和提前下达指标核销功能进行升级，并按规范要求将预拨指标核销登记指标账。</w:t>
      </w:r>
    </w:p>
    <w:p>
      <w:pPr>
        <w:pStyle w:val="29"/>
        <w:numPr>
          <w:ilvl w:val="0"/>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（4）多组凭证记账:支持多组凭证的账务处理。</w:t>
      </w:r>
    </w:p>
    <w:p>
      <w:pPr>
        <w:pStyle w:val="29"/>
        <w:numPr>
          <w:ilvl w:val="0"/>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（5）核算科目和核算要素:按照规范要求对预算指标核算科目和核算要素进行升级。</w:t>
      </w:r>
    </w:p>
    <w:p>
      <w:pPr>
        <w:pStyle w:val="29"/>
        <w:numPr>
          <w:ilvl w:val="0"/>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（6）科目总账管理:增加预算指标账科目总账管理功能。</w:t>
      </w:r>
    </w:p>
    <w:p>
      <w:pPr>
        <w:pStyle w:val="29"/>
        <w:numPr>
          <w:ilvl w:val="0"/>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（7）科目明细账管理:增加预算指标账科目明细账管理功能。</w:t>
      </w:r>
    </w:p>
    <w:p>
      <w:pPr>
        <w:pStyle w:val="29"/>
        <w:numPr>
          <w:ilvl w:val="0"/>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（8）科目余额表管理:增加预算指标账科目余额表管理功能。</w:t>
      </w:r>
    </w:p>
    <w:p>
      <w:pPr>
        <w:pStyle w:val="29"/>
        <w:numPr>
          <w:ilvl w:val="0"/>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（9）固定报表：新增预算指标账8张固定报表包含指标核算管理总表、收入预算变动及执行情况表、支出预算变动及执行情况表和单位资金指标核算管理总表。</w:t>
      </w:r>
    </w:p>
    <w:p>
      <w:pPr>
        <w:pStyle w:val="29"/>
        <w:numPr>
          <w:ilvl w:val="0"/>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（10）财政资金平衡表和单位资金平衡表：新增预算指标账报表功能，财政资金平衡表和单位资金平衡表根据试点科目体系进行改造。</w:t>
      </w:r>
    </w:p>
    <w:p>
      <w:pPr>
        <w:pStyle w:val="29"/>
        <w:numPr>
          <w:ilvl w:val="0"/>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（11）年终结账：预算指标账年结升级，增加指标账收支科目结转结余和年终结账功能。</w:t>
      </w:r>
    </w:p>
    <w:p>
      <w:pPr>
        <w:pStyle w:val="29"/>
        <w:numPr>
          <w:ilvl w:val="0"/>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（12）总会计系统接口改造：改造预算指标账与总会计核算系统的接口，将总会计核算的收入数据，通过调用接口，进行预算指标核算的账务处理。</w:t>
      </w:r>
    </w:p>
    <w:p>
      <w:pPr>
        <w:pStyle w:val="29"/>
        <w:numPr>
          <w:ilvl w:val="0"/>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（13）预算变动表和指标平衡表：新增预算指标账预算变动表和指标平衡表。</w:t>
      </w:r>
    </w:p>
    <w:p>
      <w:pPr>
        <w:pStyle w:val="29"/>
        <w:numPr>
          <w:ilvl w:val="0"/>
          <w:numId w:val="0"/>
        </w:numPr>
        <w:spacing w:line="360" w:lineRule="auto"/>
        <w:ind w:left="0" w:firstLine="420" w:firstLineChars="200"/>
        <w:rPr>
          <w:rFonts w:hint="eastAsia" w:ascii="宋体" w:hAnsi="宋体" w:eastAsia="宋体" w:cs="宋体"/>
          <w:color w:val="auto"/>
          <w:kern w:val="2"/>
          <w:sz w:val="21"/>
          <w:szCs w:val="21"/>
          <w:highlight w:val="none"/>
        </w:rPr>
      </w:pPr>
    </w:p>
    <w:p>
      <w:pPr>
        <w:spacing w:line="360" w:lineRule="auto"/>
        <w:ind w:firstLine="482" w:firstLineChars="200"/>
        <w:outlineLvl w:val="0"/>
        <w:rPr>
          <w:rFonts w:hint="eastAsia" w:ascii="宋体" w:hAnsi="宋体" w:eastAsia="宋体" w:cs="宋体"/>
          <w:b/>
          <w:color w:val="auto"/>
          <w:sz w:val="24"/>
          <w:szCs w:val="24"/>
          <w:highlight w:val="none"/>
        </w:rPr>
      </w:pPr>
      <w:bookmarkStart w:id="139" w:name="_Toc115343410"/>
      <w:bookmarkStart w:id="140" w:name="_Toc3482"/>
      <w:bookmarkStart w:id="141" w:name="_Toc25250"/>
      <w:bookmarkStart w:id="142" w:name="_Toc14697"/>
      <w:bookmarkStart w:id="143" w:name="_Toc18056"/>
      <w:bookmarkStart w:id="144" w:name="_Toc31773"/>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九</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地方财政分析评价系统与一体化整合</w:t>
      </w:r>
      <w:bookmarkEnd w:id="139"/>
      <w:bookmarkEnd w:id="140"/>
      <w:bookmarkEnd w:id="141"/>
      <w:bookmarkEnd w:id="142"/>
      <w:bookmarkEnd w:id="143"/>
      <w:bookmarkEnd w:id="144"/>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按照财政部印发的《财政部2021年财政供给单位人员信息有关事项的通知》(财预便〔2022〕72号)和《地方财政分析评价系统一体化整合实施方案》要求，完成预算管理一体化系统对地方财政分析评价系统财政供养人员业务整合替代工作。</w:t>
      </w:r>
    </w:p>
    <w:p>
      <w:pPr>
        <w:pStyle w:val="29"/>
        <w:spacing w:line="360" w:lineRule="auto"/>
        <w:ind w:firstLine="420" w:firstLineChars="200"/>
        <w:rPr>
          <w:rFonts w:hint="eastAsia" w:ascii="宋体" w:hAnsi="宋体" w:eastAsia="宋体" w:cs="宋体"/>
          <w:color w:val="auto"/>
          <w:kern w:val="2"/>
          <w:sz w:val="21"/>
          <w:szCs w:val="21"/>
          <w:highlight w:val="none"/>
        </w:rPr>
      </w:pPr>
    </w:p>
    <w:p>
      <w:pPr>
        <w:numPr>
          <w:ilvl w:val="1"/>
          <w:numId w:val="0"/>
        </w:numPr>
        <w:spacing w:line="360" w:lineRule="auto"/>
        <w:ind w:left="2963" w:hanging="2403"/>
        <w:jc w:val="left"/>
        <w:outlineLvl w:val="0"/>
        <w:rPr>
          <w:rFonts w:hint="eastAsia" w:ascii="宋体" w:hAnsi="宋体" w:eastAsia="宋体" w:cs="宋体"/>
          <w:b/>
          <w:bCs/>
          <w:color w:val="auto"/>
          <w:sz w:val="28"/>
          <w:szCs w:val="28"/>
          <w:highlight w:val="none"/>
        </w:rPr>
      </w:pPr>
      <w:bookmarkStart w:id="145" w:name="_Toc3537"/>
      <w:bookmarkStart w:id="146" w:name="_Toc19006"/>
      <w:bookmarkStart w:id="147" w:name="_Toc17772"/>
      <w:bookmarkStart w:id="148" w:name="_Toc22548"/>
      <w:bookmarkStart w:id="149" w:name="_Toc21627"/>
      <w:bookmarkStart w:id="150" w:name="_Toc115343411"/>
      <w:r>
        <w:rPr>
          <w:rFonts w:hint="eastAsia" w:ascii="宋体" w:hAnsi="宋体" w:eastAsia="宋体" w:cs="宋体"/>
          <w:b/>
          <w:bCs/>
          <w:color w:val="auto"/>
          <w:sz w:val="28"/>
          <w:szCs w:val="28"/>
          <w:highlight w:val="none"/>
        </w:rPr>
        <w:t>五、技术需求</w:t>
      </w:r>
      <w:bookmarkEnd w:id="145"/>
      <w:bookmarkEnd w:id="146"/>
      <w:bookmarkEnd w:id="147"/>
      <w:bookmarkEnd w:id="148"/>
      <w:bookmarkEnd w:id="149"/>
      <w:bookmarkEnd w:id="150"/>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本次系统升级是浙江省预算管理统一体化系统延续，需沿用浙江省预算管理一体化系统技术路线，升级功能需适配技术底座和业务中台提供的通用技术框架。</w:t>
      </w:r>
    </w:p>
    <w:p>
      <w:pPr>
        <w:spacing w:line="360" w:lineRule="auto"/>
        <w:ind w:firstLine="482" w:firstLineChars="200"/>
        <w:outlineLvl w:val="0"/>
        <w:rPr>
          <w:rFonts w:hint="eastAsia" w:ascii="宋体" w:hAnsi="宋体" w:eastAsia="宋体" w:cs="宋体"/>
          <w:b/>
          <w:color w:val="auto"/>
          <w:kern w:val="2"/>
          <w:sz w:val="24"/>
          <w:szCs w:val="24"/>
          <w:highlight w:val="none"/>
        </w:rPr>
      </w:pPr>
      <w:bookmarkStart w:id="151" w:name="_Toc16757"/>
      <w:bookmarkStart w:id="152" w:name="_Toc15285"/>
      <w:r>
        <w:rPr>
          <w:rFonts w:hint="eastAsia" w:ascii="宋体" w:hAnsi="宋体" w:eastAsia="宋体" w:cs="宋体"/>
          <w:b/>
          <w:color w:val="auto"/>
          <w:kern w:val="2"/>
          <w:sz w:val="24"/>
          <w:szCs w:val="24"/>
          <w:highlight w:val="none"/>
          <w:lang w:eastAsia="zh-CN"/>
        </w:rPr>
        <w:t>（</w:t>
      </w:r>
      <w:r>
        <w:rPr>
          <w:rFonts w:hint="eastAsia" w:ascii="宋体" w:hAnsi="宋体" w:eastAsia="宋体" w:cs="宋体"/>
          <w:b/>
          <w:color w:val="auto"/>
          <w:kern w:val="2"/>
          <w:sz w:val="24"/>
          <w:szCs w:val="24"/>
          <w:highlight w:val="none"/>
          <w:lang w:val="en-US" w:eastAsia="zh-CN"/>
        </w:rPr>
        <w:t>一</w:t>
      </w:r>
      <w:r>
        <w:rPr>
          <w:rFonts w:hint="eastAsia" w:ascii="宋体" w:hAnsi="宋体" w:eastAsia="宋体" w:cs="宋体"/>
          <w:b/>
          <w:color w:val="auto"/>
          <w:kern w:val="2"/>
          <w:sz w:val="24"/>
          <w:szCs w:val="24"/>
          <w:highlight w:val="none"/>
          <w:lang w:eastAsia="zh-CN"/>
        </w:rPr>
        <w:t>）</w:t>
      </w:r>
      <w:r>
        <w:rPr>
          <w:rFonts w:hint="eastAsia" w:ascii="宋体" w:hAnsi="宋体" w:eastAsia="宋体" w:cs="宋体"/>
          <w:b/>
          <w:color w:val="auto"/>
          <w:kern w:val="2"/>
          <w:sz w:val="24"/>
          <w:szCs w:val="24"/>
          <w:highlight w:val="none"/>
        </w:rPr>
        <w:t>需提供技术底座适配方案</w:t>
      </w:r>
      <w:bookmarkEnd w:id="151"/>
      <w:bookmarkEnd w:id="152"/>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b w:val="0"/>
          <w:color w:val="auto"/>
          <w:kern w:val="2"/>
          <w:sz w:val="21"/>
          <w:szCs w:val="21"/>
          <w:highlight w:val="none"/>
          <w:lang w:val="en-US" w:eastAsia="zh-CN"/>
        </w:rPr>
        <w:t>适配</w:t>
      </w:r>
      <w:r>
        <w:rPr>
          <w:rFonts w:hint="eastAsia" w:ascii="宋体" w:hAnsi="宋体" w:eastAsia="宋体" w:cs="宋体"/>
          <w:color w:val="auto"/>
          <w:kern w:val="2"/>
          <w:sz w:val="21"/>
          <w:szCs w:val="21"/>
          <w:highlight w:val="none"/>
        </w:rPr>
        <w:t>包含：缓存服务适配（Redis）、消息中间件适配（RocketMQ）、云数据库适配（POLARDB11）、文件服务适配（OSS）和容器服務适配（Kubernetes）。</w:t>
      </w:r>
    </w:p>
    <w:p>
      <w:pPr>
        <w:pStyle w:val="29"/>
        <w:spacing w:line="360" w:lineRule="auto"/>
        <w:ind w:firstLine="420" w:firstLineChars="200"/>
        <w:rPr>
          <w:rFonts w:hint="eastAsia" w:ascii="宋体" w:hAnsi="宋体" w:eastAsia="宋体" w:cs="宋体"/>
          <w:color w:val="auto"/>
          <w:kern w:val="2"/>
          <w:sz w:val="21"/>
          <w:szCs w:val="21"/>
          <w:highlight w:val="none"/>
        </w:rPr>
      </w:pPr>
    </w:p>
    <w:p>
      <w:pPr>
        <w:spacing w:line="360" w:lineRule="auto"/>
        <w:ind w:firstLine="482" w:firstLineChars="200"/>
        <w:outlineLvl w:val="0"/>
        <w:rPr>
          <w:rFonts w:hint="eastAsia" w:ascii="宋体" w:hAnsi="宋体" w:eastAsia="宋体" w:cs="宋体"/>
          <w:b/>
          <w:color w:val="auto"/>
          <w:kern w:val="2"/>
          <w:sz w:val="24"/>
          <w:szCs w:val="24"/>
          <w:highlight w:val="none"/>
          <w:lang w:eastAsia="zh-CN"/>
        </w:rPr>
      </w:pPr>
      <w:bookmarkStart w:id="153" w:name="_Toc28900"/>
      <w:r>
        <w:rPr>
          <w:rFonts w:hint="eastAsia" w:ascii="宋体" w:hAnsi="宋体" w:eastAsia="宋体" w:cs="宋体"/>
          <w:b/>
          <w:color w:val="auto"/>
          <w:kern w:val="2"/>
          <w:sz w:val="24"/>
          <w:szCs w:val="24"/>
          <w:highlight w:val="none"/>
          <w:lang w:eastAsia="zh-CN"/>
        </w:rPr>
        <w:t>（</w:t>
      </w:r>
      <w:r>
        <w:rPr>
          <w:rFonts w:hint="eastAsia" w:ascii="宋体" w:hAnsi="宋体" w:eastAsia="宋体" w:cs="宋体"/>
          <w:b/>
          <w:color w:val="auto"/>
          <w:kern w:val="2"/>
          <w:sz w:val="24"/>
          <w:szCs w:val="24"/>
          <w:highlight w:val="none"/>
          <w:lang w:val="en-US" w:eastAsia="zh-CN"/>
        </w:rPr>
        <w:t>二</w:t>
      </w:r>
      <w:r>
        <w:rPr>
          <w:rFonts w:hint="eastAsia" w:ascii="宋体" w:hAnsi="宋体" w:eastAsia="宋体" w:cs="宋体"/>
          <w:b/>
          <w:color w:val="auto"/>
          <w:kern w:val="2"/>
          <w:sz w:val="24"/>
          <w:szCs w:val="24"/>
          <w:highlight w:val="none"/>
          <w:lang w:eastAsia="zh-CN"/>
        </w:rPr>
        <w:t>）需提供业务中台适配方案</w:t>
      </w:r>
      <w:bookmarkEnd w:id="153"/>
    </w:p>
    <w:p>
      <w:pPr>
        <w:pStyle w:val="29"/>
        <w:numPr>
          <w:ilvl w:val="-1"/>
          <w:numId w:val="0"/>
        </w:numPr>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业务中台实现对所有公共应用关键信息的集中管控，本次预算管理一体化系统升级功能需要使用业务中台提供的公共服务。</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业务中台适配要求如下：</w:t>
      </w:r>
    </w:p>
    <w:tbl>
      <w:tblPr>
        <w:tblStyle w:val="19"/>
        <w:tblW w:w="88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444"/>
        <w:gridCol w:w="59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457" w:type="dxa"/>
            <w:tcBorders>
              <w:tl2br w:val="nil"/>
              <w:tr2bl w:val="nil"/>
            </w:tcBorders>
            <w:shd w:val="clear" w:color="auto" w:fill="D8D8D8"/>
            <w:vAlign w:val="center"/>
          </w:tcPr>
          <w:p>
            <w:pPr>
              <w:pStyle w:val="30"/>
              <w:widowControl w:val="0"/>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2444" w:type="dxa"/>
            <w:tcBorders>
              <w:tl2br w:val="nil"/>
              <w:tr2bl w:val="nil"/>
            </w:tcBorders>
            <w:shd w:val="clear" w:color="auto" w:fill="D8D8D8"/>
            <w:vAlign w:val="center"/>
          </w:tcPr>
          <w:p>
            <w:pPr>
              <w:pStyle w:val="30"/>
              <w:widowControl w:val="0"/>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工作事项</w:t>
            </w:r>
          </w:p>
        </w:tc>
        <w:tc>
          <w:tcPr>
            <w:tcW w:w="5918" w:type="dxa"/>
            <w:tcBorders>
              <w:tl2br w:val="nil"/>
              <w:tr2bl w:val="nil"/>
            </w:tcBorders>
            <w:shd w:val="clear" w:color="auto" w:fill="D8D8D8"/>
            <w:vAlign w:val="center"/>
          </w:tcPr>
          <w:p>
            <w:pPr>
              <w:pStyle w:val="30"/>
              <w:widowControl w:val="0"/>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适配内容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457" w:type="dxa"/>
            <w:tcBorders>
              <w:tl2br w:val="nil"/>
              <w:tr2bl w:val="nil"/>
            </w:tcBorders>
            <w:vAlign w:val="center"/>
          </w:tcPr>
          <w:p>
            <w:pPr>
              <w:pStyle w:val="30"/>
              <w:widowControl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444" w:type="dxa"/>
            <w:tcBorders>
              <w:tl2br w:val="nil"/>
              <w:tr2bl w:val="nil"/>
            </w:tcBorders>
            <w:vAlign w:val="center"/>
          </w:tcPr>
          <w:p>
            <w:pPr>
              <w:pStyle w:val="30"/>
              <w:widowControl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用户中心适配</w:t>
            </w:r>
          </w:p>
        </w:tc>
        <w:tc>
          <w:tcPr>
            <w:tcW w:w="5918" w:type="dxa"/>
            <w:tcBorders>
              <w:tl2br w:val="nil"/>
              <w:tr2bl w:val="nil"/>
            </w:tcBorders>
          </w:tcPr>
          <w:p>
            <w:pPr>
              <w:pStyle w:val="30"/>
              <w:widowControl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适配用户维护服务、岗位角色管理服务、组织机构维护服务、用户查询服务。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57" w:type="dxa"/>
            <w:tcBorders>
              <w:tl2br w:val="nil"/>
              <w:tr2bl w:val="nil"/>
            </w:tcBorders>
            <w:vAlign w:val="center"/>
          </w:tcPr>
          <w:p>
            <w:pPr>
              <w:pStyle w:val="30"/>
              <w:widowControl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444" w:type="dxa"/>
            <w:tcBorders>
              <w:tl2br w:val="nil"/>
              <w:tr2bl w:val="nil"/>
            </w:tcBorders>
            <w:vAlign w:val="center"/>
          </w:tcPr>
          <w:p>
            <w:pPr>
              <w:pStyle w:val="30"/>
              <w:widowControl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功能中心适配</w:t>
            </w:r>
          </w:p>
        </w:tc>
        <w:tc>
          <w:tcPr>
            <w:tcW w:w="5918" w:type="dxa"/>
            <w:tcBorders>
              <w:tl2br w:val="nil"/>
              <w:tr2bl w:val="nil"/>
            </w:tcBorders>
            <w:vAlign w:val="center"/>
          </w:tcPr>
          <w:p>
            <w:pPr>
              <w:pStyle w:val="30"/>
              <w:widowControl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适配功能注册服务。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457" w:type="dxa"/>
            <w:tcBorders>
              <w:tl2br w:val="nil"/>
              <w:tr2bl w:val="nil"/>
            </w:tcBorders>
            <w:vAlign w:val="center"/>
          </w:tcPr>
          <w:p>
            <w:pPr>
              <w:pStyle w:val="30"/>
              <w:widowControl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2444" w:type="dxa"/>
            <w:tcBorders>
              <w:tl2br w:val="nil"/>
              <w:tr2bl w:val="nil"/>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权限中心适配</w:t>
            </w:r>
          </w:p>
        </w:tc>
        <w:tc>
          <w:tcPr>
            <w:tcW w:w="5918" w:type="dxa"/>
            <w:tcBorders>
              <w:tl2br w:val="nil"/>
              <w:tr2bl w:val="nil"/>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适配功能权限注册、权限查询服务。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57" w:type="dxa"/>
            <w:tcBorders>
              <w:tl2br w:val="nil"/>
              <w:tr2bl w:val="nil"/>
            </w:tcBorders>
            <w:vAlign w:val="center"/>
          </w:tcPr>
          <w:p>
            <w:pPr>
              <w:pStyle w:val="30"/>
              <w:widowControl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2444" w:type="dxa"/>
            <w:tcBorders>
              <w:tl2br w:val="nil"/>
              <w:tr2bl w:val="nil"/>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认证中心适配</w:t>
            </w:r>
          </w:p>
        </w:tc>
        <w:tc>
          <w:tcPr>
            <w:tcW w:w="5918" w:type="dxa"/>
            <w:tcBorders>
              <w:tl2br w:val="nil"/>
              <w:tr2bl w:val="nil"/>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适配用户认证服务。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57" w:type="dxa"/>
            <w:tcBorders>
              <w:tl2br w:val="nil"/>
              <w:tr2bl w:val="nil"/>
            </w:tcBorders>
            <w:vAlign w:val="center"/>
          </w:tcPr>
          <w:p>
            <w:pPr>
              <w:pStyle w:val="30"/>
              <w:widowControl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2444" w:type="dxa"/>
            <w:tcBorders>
              <w:tl2br w:val="nil"/>
              <w:tr2bl w:val="nil"/>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流程中心适配</w:t>
            </w:r>
          </w:p>
        </w:tc>
        <w:tc>
          <w:tcPr>
            <w:tcW w:w="5918" w:type="dxa"/>
            <w:tcBorders>
              <w:tl2br w:val="nil"/>
              <w:tr2bl w:val="nil"/>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适配工作流管理服务、工作流执行服务服务。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57" w:type="dxa"/>
            <w:tcBorders>
              <w:tl2br w:val="nil"/>
              <w:tr2bl w:val="nil"/>
            </w:tcBorders>
            <w:vAlign w:val="center"/>
          </w:tcPr>
          <w:p>
            <w:pPr>
              <w:pStyle w:val="30"/>
              <w:widowControl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2444" w:type="dxa"/>
            <w:tcBorders>
              <w:tl2br w:val="nil"/>
              <w:tr2bl w:val="nil"/>
            </w:tcBorders>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单据中心适配</w:t>
            </w:r>
          </w:p>
        </w:tc>
        <w:tc>
          <w:tcPr>
            <w:tcW w:w="5918" w:type="dxa"/>
            <w:tcBorders>
              <w:tl2br w:val="nil"/>
              <w:tr2bl w:val="nil"/>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适配单据定制服务、单据序列服务。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57" w:type="dxa"/>
            <w:tcBorders>
              <w:tl2br w:val="nil"/>
              <w:tr2bl w:val="nil"/>
            </w:tcBorders>
            <w:vAlign w:val="center"/>
          </w:tcPr>
          <w:p>
            <w:pPr>
              <w:pStyle w:val="30"/>
              <w:widowControl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2444" w:type="dxa"/>
            <w:tcBorders>
              <w:tl2br w:val="nil"/>
              <w:tr2bl w:val="nil"/>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报表中心适配</w:t>
            </w:r>
          </w:p>
        </w:tc>
        <w:tc>
          <w:tcPr>
            <w:tcW w:w="5918" w:type="dxa"/>
            <w:tcBorders>
              <w:tl2br w:val="nil"/>
              <w:tr2bl w:val="nil"/>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适配报表设计、报表发布服务、报表查询服务、报表状态监控服务。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57" w:type="dxa"/>
            <w:tcBorders>
              <w:tl2br w:val="nil"/>
              <w:tr2bl w:val="nil"/>
            </w:tcBorders>
            <w:vAlign w:val="center"/>
          </w:tcPr>
          <w:p>
            <w:pPr>
              <w:pStyle w:val="30"/>
              <w:widowControl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2444" w:type="dxa"/>
            <w:tcBorders>
              <w:tl2br w:val="nil"/>
              <w:tr2bl w:val="nil"/>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日志中心适配</w:t>
            </w:r>
          </w:p>
        </w:tc>
        <w:tc>
          <w:tcPr>
            <w:tcW w:w="5918" w:type="dxa"/>
            <w:tcBorders>
              <w:tl2br w:val="nil"/>
              <w:tr2bl w:val="nil"/>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适配操作日志采集服务、日志存储服务和日志查询分析服务。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457" w:type="dxa"/>
            <w:tcBorders>
              <w:tl2br w:val="nil"/>
              <w:tr2bl w:val="nil"/>
            </w:tcBorders>
            <w:vAlign w:val="center"/>
          </w:tcPr>
          <w:p>
            <w:pPr>
              <w:pStyle w:val="30"/>
              <w:widowControl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2444" w:type="dxa"/>
            <w:tcBorders>
              <w:tl2br w:val="nil"/>
              <w:tr2bl w:val="nil"/>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预警中心适配</w:t>
            </w:r>
          </w:p>
        </w:tc>
        <w:tc>
          <w:tcPr>
            <w:tcW w:w="5918" w:type="dxa"/>
            <w:tcBorders>
              <w:tl2br w:val="nil"/>
              <w:tr2bl w:val="nil"/>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适配资源监控服务、业务预警服务。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457" w:type="dxa"/>
            <w:tcBorders>
              <w:tl2br w:val="nil"/>
              <w:tr2bl w:val="nil"/>
            </w:tcBorders>
            <w:vAlign w:val="center"/>
          </w:tcPr>
          <w:p>
            <w:pPr>
              <w:pStyle w:val="30"/>
              <w:widowControl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2444" w:type="dxa"/>
            <w:tcBorders>
              <w:tl2br w:val="nil"/>
              <w:tr2bl w:val="nil"/>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租户管理中心</w:t>
            </w:r>
          </w:p>
        </w:tc>
        <w:tc>
          <w:tcPr>
            <w:tcW w:w="5918" w:type="dxa"/>
            <w:tcBorders>
              <w:tl2br w:val="nil"/>
              <w:tr2bl w:val="nil"/>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适配租户初始化、租户管理服务。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457" w:type="dxa"/>
            <w:tcBorders>
              <w:tl2br w:val="nil"/>
              <w:tr2bl w:val="nil"/>
            </w:tcBorders>
            <w:vAlign w:val="center"/>
          </w:tcPr>
          <w:p>
            <w:pPr>
              <w:pStyle w:val="30"/>
              <w:widowControl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2444" w:type="dxa"/>
            <w:tcBorders>
              <w:tl2br w:val="nil"/>
              <w:tr2bl w:val="nil"/>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卡片管理中心适配</w:t>
            </w:r>
          </w:p>
        </w:tc>
        <w:tc>
          <w:tcPr>
            <w:tcW w:w="5918" w:type="dxa"/>
            <w:tcBorders>
              <w:tl2br w:val="nil"/>
              <w:tr2bl w:val="nil"/>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适配卡片设计、在线开发、卡片市场服务。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457" w:type="dxa"/>
            <w:tcBorders>
              <w:tl2br w:val="nil"/>
              <w:tr2bl w:val="nil"/>
            </w:tcBorders>
            <w:vAlign w:val="center"/>
          </w:tcPr>
          <w:p>
            <w:pPr>
              <w:pStyle w:val="30"/>
              <w:widowControl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2444" w:type="dxa"/>
            <w:tcBorders>
              <w:tl2br w:val="nil"/>
              <w:tr2bl w:val="nil"/>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主数据管理中心适配</w:t>
            </w:r>
          </w:p>
        </w:tc>
        <w:tc>
          <w:tcPr>
            <w:tcW w:w="5918" w:type="dxa"/>
            <w:tcBorders>
              <w:tl2br w:val="nil"/>
              <w:tr2bl w:val="nil"/>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适配主数据接口（代码集、代码表、逻辑库表管理）服务。</w:t>
            </w:r>
          </w:p>
        </w:tc>
      </w:tr>
    </w:tbl>
    <w:p>
      <w:pPr>
        <w:spacing w:line="360" w:lineRule="auto"/>
        <w:ind w:firstLine="482" w:firstLineChars="200"/>
        <w:outlineLvl w:val="0"/>
        <w:rPr>
          <w:rFonts w:hint="eastAsia" w:ascii="宋体" w:hAnsi="宋体" w:eastAsia="宋体" w:cs="宋体"/>
          <w:b/>
          <w:color w:val="auto"/>
          <w:kern w:val="2"/>
          <w:sz w:val="24"/>
          <w:szCs w:val="24"/>
          <w:highlight w:val="none"/>
          <w:lang w:eastAsia="zh-CN"/>
        </w:rPr>
      </w:pPr>
      <w:bookmarkStart w:id="154" w:name="_Toc283"/>
    </w:p>
    <w:p>
      <w:pPr>
        <w:spacing w:line="360" w:lineRule="auto"/>
        <w:ind w:firstLine="482" w:firstLineChars="200"/>
        <w:outlineLvl w:val="0"/>
        <w:rPr>
          <w:rFonts w:hint="eastAsia" w:ascii="宋体" w:hAnsi="宋体" w:eastAsia="宋体" w:cs="宋体"/>
          <w:b/>
          <w:color w:val="auto"/>
          <w:kern w:val="2"/>
          <w:sz w:val="24"/>
          <w:szCs w:val="24"/>
          <w:highlight w:val="none"/>
          <w:lang w:eastAsia="zh-CN"/>
        </w:rPr>
      </w:pPr>
      <w:bookmarkStart w:id="155" w:name="_Toc27955"/>
      <w:r>
        <w:rPr>
          <w:rFonts w:hint="eastAsia" w:ascii="宋体" w:hAnsi="宋体" w:eastAsia="宋体" w:cs="宋体"/>
          <w:b/>
          <w:color w:val="auto"/>
          <w:kern w:val="2"/>
          <w:sz w:val="24"/>
          <w:szCs w:val="24"/>
          <w:highlight w:val="none"/>
          <w:lang w:eastAsia="zh-CN"/>
        </w:rPr>
        <w:t>（</w:t>
      </w:r>
      <w:r>
        <w:rPr>
          <w:rFonts w:hint="eastAsia" w:ascii="宋体" w:hAnsi="宋体" w:eastAsia="宋体" w:cs="宋体"/>
          <w:b/>
          <w:color w:val="auto"/>
          <w:kern w:val="2"/>
          <w:sz w:val="24"/>
          <w:szCs w:val="24"/>
          <w:highlight w:val="none"/>
          <w:lang w:val="en-US" w:eastAsia="zh-CN"/>
        </w:rPr>
        <w:t>三</w:t>
      </w:r>
      <w:r>
        <w:rPr>
          <w:rFonts w:hint="eastAsia" w:ascii="宋体" w:hAnsi="宋体" w:eastAsia="宋体" w:cs="宋体"/>
          <w:b/>
          <w:color w:val="auto"/>
          <w:kern w:val="2"/>
          <w:sz w:val="24"/>
          <w:szCs w:val="24"/>
          <w:highlight w:val="none"/>
          <w:lang w:eastAsia="zh-CN"/>
        </w:rPr>
        <w:t>）实现政府信息化创新（国产化）</w:t>
      </w:r>
      <w:bookmarkEnd w:id="154"/>
      <w:bookmarkEnd w:id="155"/>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本项目基于省信创云和电子政务云环境开展预算管理一体化系统升级及运维，应充分考虑现状和未来的发展趋势，根据用户需求优先使用国产政府信息化创新产品。</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具体内容如下：</w:t>
      </w:r>
    </w:p>
    <w:tbl>
      <w:tblPr>
        <w:tblStyle w:val="19"/>
        <w:tblW w:w="8804" w:type="dxa"/>
        <w:tblInd w:w="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75"/>
        <w:gridCol w:w="3969"/>
        <w:gridCol w:w="3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575" w:type="dxa"/>
            <w:tcBorders>
              <w:tl2br w:val="nil"/>
              <w:tr2bl w:val="nil"/>
            </w:tcBorders>
            <w:shd w:val="clear" w:color="auto" w:fill="D8D8D8"/>
            <w:vAlign w:val="center"/>
          </w:tcPr>
          <w:p>
            <w:pPr>
              <w:pStyle w:val="30"/>
              <w:widowControl w:val="0"/>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事项</w:t>
            </w:r>
          </w:p>
        </w:tc>
        <w:tc>
          <w:tcPr>
            <w:tcW w:w="3969" w:type="dxa"/>
            <w:tcBorders>
              <w:tl2br w:val="nil"/>
              <w:tr2bl w:val="nil"/>
            </w:tcBorders>
            <w:shd w:val="clear" w:color="auto" w:fill="D8D8D8"/>
            <w:vAlign w:val="center"/>
          </w:tcPr>
          <w:p>
            <w:pPr>
              <w:pStyle w:val="30"/>
              <w:widowControl w:val="0"/>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内容</w:t>
            </w:r>
          </w:p>
        </w:tc>
        <w:tc>
          <w:tcPr>
            <w:tcW w:w="3260" w:type="dxa"/>
            <w:tcBorders>
              <w:tl2br w:val="nil"/>
              <w:tr2bl w:val="nil"/>
            </w:tcBorders>
            <w:shd w:val="clear" w:color="auto" w:fill="D8D8D8"/>
            <w:vAlign w:val="center"/>
          </w:tcPr>
          <w:p>
            <w:pPr>
              <w:pStyle w:val="30"/>
              <w:widowControl w:val="0"/>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具体要求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575" w:type="dxa"/>
            <w:tcBorders>
              <w:tl2br w:val="nil"/>
              <w:tr2bl w:val="nil"/>
            </w:tcBorders>
            <w:vAlign w:val="center"/>
          </w:tcPr>
          <w:p>
            <w:pPr>
              <w:pStyle w:val="30"/>
              <w:widowControl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云计算应用</w:t>
            </w:r>
          </w:p>
        </w:tc>
        <w:tc>
          <w:tcPr>
            <w:tcW w:w="3969" w:type="dxa"/>
            <w:tcBorders>
              <w:tl2br w:val="nil"/>
              <w:tr2bl w:val="nil"/>
            </w:tcBorders>
            <w:vAlign w:val="center"/>
          </w:tcPr>
          <w:p>
            <w:pPr>
              <w:pStyle w:val="30"/>
              <w:widowControl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基于浙江省信创云和电子政务云环境完成本项目建设。</w:t>
            </w:r>
          </w:p>
        </w:tc>
        <w:tc>
          <w:tcPr>
            <w:tcW w:w="3260" w:type="dxa"/>
            <w:tcBorders>
              <w:tl2br w:val="nil"/>
              <w:tr2bl w:val="nil"/>
            </w:tcBorders>
            <w:vAlign w:val="center"/>
          </w:tcPr>
          <w:p>
            <w:pPr>
              <w:pStyle w:val="30"/>
              <w:widowControl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业务应用采用容器化部署，基于云化架构构建微服务，支持弹性伸缩和按需扩展。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1" w:hRule="atLeast"/>
        </w:trPr>
        <w:tc>
          <w:tcPr>
            <w:tcW w:w="1575" w:type="dxa"/>
            <w:tcBorders>
              <w:tl2br w:val="nil"/>
              <w:tr2bl w:val="nil"/>
            </w:tcBorders>
            <w:vAlign w:val="center"/>
          </w:tcPr>
          <w:p>
            <w:pPr>
              <w:pStyle w:val="30"/>
              <w:widowControl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数据库应用</w:t>
            </w:r>
          </w:p>
        </w:tc>
        <w:tc>
          <w:tcPr>
            <w:tcW w:w="3969" w:type="dxa"/>
            <w:tcBorders>
              <w:tl2br w:val="nil"/>
              <w:tr2bl w:val="nil"/>
            </w:tcBorders>
            <w:vAlign w:val="center"/>
          </w:tcPr>
          <w:p>
            <w:pPr>
              <w:pStyle w:val="30"/>
              <w:widowControl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使用云端PolarDB数据库完成本项目建设。</w:t>
            </w:r>
          </w:p>
        </w:tc>
        <w:tc>
          <w:tcPr>
            <w:tcW w:w="3260" w:type="dxa"/>
            <w:tcBorders>
              <w:tl2br w:val="nil"/>
              <w:tr2bl w:val="nil"/>
            </w:tcBorders>
            <w:vAlign w:val="center"/>
          </w:tcPr>
          <w:p>
            <w:pPr>
              <w:pStyle w:val="30"/>
              <w:widowControl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通过云平台云数据库服务，实现全省业务数据库统一管理，支持读写分离。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 w:hRule="atLeast"/>
        </w:trPr>
        <w:tc>
          <w:tcPr>
            <w:tcW w:w="1575" w:type="dxa"/>
            <w:tcBorders>
              <w:tl2br w:val="nil"/>
              <w:tr2bl w:val="nil"/>
            </w:tcBorders>
            <w:vAlign w:val="center"/>
          </w:tcPr>
          <w:p>
            <w:pPr>
              <w:pStyle w:val="30"/>
              <w:widowControl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国产化适配</w:t>
            </w:r>
          </w:p>
        </w:tc>
        <w:tc>
          <w:tcPr>
            <w:tcW w:w="3969" w:type="dxa"/>
            <w:tcBorders>
              <w:tl2br w:val="nil"/>
              <w:tr2bl w:val="nil"/>
            </w:tcBorders>
            <w:vAlign w:val="center"/>
          </w:tcPr>
          <w:p>
            <w:pPr>
              <w:pStyle w:val="30"/>
              <w:widowControl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优先使用国产政府信息化创新产品，需按照省政府国产化清单完成终端浏览器、操作系统、打印设备进行国产化适配。</w:t>
            </w:r>
          </w:p>
        </w:tc>
        <w:tc>
          <w:tcPr>
            <w:tcW w:w="3260" w:type="dxa"/>
            <w:tcBorders>
              <w:tl2br w:val="nil"/>
              <w:tr2bl w:val="nil"/>
            </w:tcBorders>
            <w:vAlign w:val="center"/>
          </w:tcPr>
          <w:p>
            <w:pPr>
              <w:pStyle w:val="30"/>
              <w:widowControl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满足国家及浙江省相关国产化要求，以及自主可控要求。</w:t>
            </w:r>
          </w:p>
        </w:tc>
      </w:tr>
    </w:tbl>
    <w:p>
      <w:pPr>
        <w:spacing w:line="360" w:lineRule="auto"/>
        <w:ind w:firstLine="482" w:firstLineChars="200"/>
        <w:outlineLvl w:val="0"/>
        <w:rPr>
          <w:rFonts w:hint="eastAsia" w:ascii="宋体" w:hAnsi="宋体" w:eastAsia="宋体" w:cs="宋体"/>
          <w:b/>
          <w:color w:val="auto"/>
          <w:kern w:val="2"/>
          <w:sz w:val="24"/>
          <w:szCs w:val="24"/>
          <w:highlight w:val="none"/>
          <w:lang w:eastAsia="zh-CN"/>
        </w:rPr>
      </w:pPr>
      <w:bookmarkStart w:id="156" w:name="_Toc3144"/>
      <w:bookmarkStart w:id="157" w:name="_Toc22526"/>
      <w:bookmarkStart w:id="158" w:name="_Toc10879"/>
      <w:bookmarkStart w:id="159" w:name="_Toc3180"/>
      <w:bookmarkStart w:id="160" w:name="_Toc86951116"/>
    </w:p>
    <w:p>
      <w:pPr>
        <w:spacing w:line="360" w:lineRule="auto"/>
        <w:ind w:firstLine="482" w:firstLineChars="200"/>
        <w:outlineLvl w:val="0"/>
        <w:rPr>
          <w:rFonts w:hint="eastAsia" w:ascii="宋体" w:hAnsi="宋体" w:eastAsia="宋体" w:cs="宋体"/>
          <w:b/>
          <w:color w:val="auto"/>
          <w:kern w:val="2"/>
          <w:sz w:val="24"/>
          <w:szCs w:val="24"/>
          <w:highlight w:val="none"/>
          <w:lang w:eastAsia="zh-CN"/>
        </w:rPr>
      </w:pPr>
      <w:bookmarkStart w:id="161" w:name="_Toc23389"/>
      <w:r>
        <w:rPr>
          <w:rFonts w:hint="eastAsia" w:ascii="宋体" w:hAnsi="宋体" w:eastAsia="宋体" w:cs="宋体"/>
          <w:b/>
          <w:color w:val="auto"/>
          <w:kern w:val="2"/>
          <w:sz w:val="24"/>
          <w:szCs w:val="24"/>
          <w:highlight w:val="none"/>
          <w:lang w:eastAsia="zh-CN"/>
        </w:rPr>
        <w:t>（</w:t>
      </w:r>
      <w:r>
        <w:rPr>
          <w:rFonts w:hint="eastAsia" w:ascii="宋体" w:hAnsi="宋体" w:eastAsia="宋体" w:cs="宋体"/>
          <w:b/>
          <w:color w:val="auto"/>
          <w:kern w:val="2"/>
          <w:sz w:val="24"/>
          <w:szCs w:val="24"/>
          <w:highlight w:val="none"/>
          <w:lang w:val="en-US" w:eastAsia="zh-CN"/>
        </w:rPr>
        <w:t>四</w:t>
      </w:r>
      <w:r>
        <w:rPr>
          <w:rFonts w:hint="eastAsia" w:ascii="宋体" w:hAnsi="宋体" w:eastAsia="宋体" w:cs="宋体"/>
          <w:b/>
          <w:color w:val="auto"/>
          <w:kern w:val="2"/>
          <w:sz w:val="24"/>
          <w:szCs w:val="24"/>
          <w:highlight w:val="none"/>
          <w:lang w:eastAsia="zh-CN"/>
        </w:rPr>
        <w:t>）安全服务需求</w:t>
      </w:r>
      <w:bookmarkEnd w:id="156"/>
      <w:bookmarkEnd w:id="157"/>
      <w:bookmarkEnd w:id="158"/>
      <w:bookmarkEnd w:id="159"/>
      <w:bookmarkEnd w:id="160"/>
      <w:bookmarkEnd w:id="161"/>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项目安全建设以《中华人民共和国网络安全法》、《中华人民共和国数据安全法》、《中华人民共和国个人信息保护法》、《中华人民共和国密码法》为纲要，以网络安全等级保护、密码应用安全性评估相关标准为指导，充分利用浙江省政务云、信创云安全防护资源和密码服务资源，构建以数据为核心的合规、立体安全防护体系。重点实现：</w:t>
      </w:r>
    </w:p>
    <w:p>
      <w:pPr>
        <w:pStyle w:val="29"/>
        <w:numPr>
          <w:ilvl w:val="-1"/>
          <w:numId w:val="0"/>
        </w:numPr>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数据存储安全：保障敏感数据存储安全。核心敏感数据以加密形式存储于数据库中，通过数据库导出、数据文件拷贝等文件操作均无法获取明文信息，加密后的数据仍可进行日常管理。</w:t>
      </w:r>
    </w:p>
    <w:p>
      <w:pPr>
        <w:pStyle w:val="29"/>
        <w:numPr>
          <w:ilvl w:val="-1"/>
          <w:numId w:val="0"/>
        </w:numPr>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数据传输安全：保障数据在微服务之间、系统对外提供服务时的传输安全，即使在未采取安全传输协议的前提下也可保障真实敏感数据不被监听、窃取或篡改。</w:t>
      </w:r>
    </w:p>
    <w:p>
      <w:pPr>
        <w:pStyle w:val="29"/>
        <w:numPr>
          <w:ilvl w:val="-1"/>
          <w:numId w:val="0"/>
        </w:numPr>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数据运维管理安全：提供细粒度访问控制体系，不仅可实时阻断数据库非法操作（如可疑操作、非授权访问、非办公时间操作、敏感数据操作等），还可防止有权限用户通过缓存、导出等方式截取数据，真正将数据管理权与数据所有权分离，保护数据安全。</w:t>
      </w:r>
    </w:p>
    <w:p>
      <w:pPr>
        <w:pStyle w:val="29"/>
        <w:numPr>
          <w:ilvl w:val="-1"/>
          <w:numId w:val="0"/>
        </w:numPr>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数据使用安全：提供基于应用侧的安全保护机制，不仅可以抵御来自应用层的攻击以防止窃取和篡改数据；还可防数据爬取，防自动化脚本攻击、非法访问等攻击。</w:t>
      </w:r>
    </w:p>
    <w:p>
      <w:pPr>
        <w:pStyle w:val="29"/>
        <w:numPr>
          <w:ilvl w:val="0"/>
          <w:numId w:val="0"/>
        </w:numPr>
        <w:spacing w:line="360" w:lineRule="auto"/>
        <w:ind w:left="0"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系统应满足三级等保要求。</w:t>
      </w:r>
    </w:p>
    <w:p>
      <w:pPr>
        <w:pStyle w:val="29"/>
        <w:numPr>
          <w:ilvl w:val="0"/>
          <w:numId w:val="0"/>
        </w:numPr>
        <w:spacing w:line="360" w:lineRule="auto"/>
        <w:ind w:left="0" w:firstLine="420" w:firstLineChars="200"/>
        <w:rPr>
          <w:rFonts w:hint="eastAsia" w:ascii="宋体" w:hAnsi="宋体" w:eastAsia="宋体" w:cs="宋体"/>
          <w:color w:val="auto"/>
          <w:kern w:val="2"/>
          <w:sz w:val="21"/>
          <w:szCs w:val="21"/>
          <w:highlight w:val="none"/>
        </w:rPr>
      </w:pPr>
    </w:p>
    <w:p>
      <w:pPr>
        <w:numPr>
          <w:ilvl w:val="1"/>
          <w:numId w:val="0"/>
        </w:numPr>
        <w:spacing w:line="360" w:lineRule="auto"/>
        <w:ind w:left="2963" w:hanging="2403"/>
        <w:jc w:val="left"/>
        <w:outlineLvl w:val="0"/>
        <w:rPr>
          <w:rFonts w:hint="eastAsia" w:ascii="宋体" w:hAnsi="宋体" w:eastAsia="宋体" w:cs="宋体"/>
          <w:b/>
          <w:bCs/>
          <w:color w:val="auto"/>
          <w:sz w:val="28"/>
          <w:szCs w:val="28"/>
          <w:highlight w:val="none"/>
        </w:rPr>
      </w:pPr>
      <w:bookmarkStart w:id="162" w:name="_Toc19732"/>
      <w:bookmarkStart w:id="163" w:name="_Toc12508"/>
      <w:bookmarkStart w:id="164" w:name="_Toc3721"/>
      <w:bookmarkStart w:id="165" w:name="_Toc11004"/>
      <w:bookmarkStart w:id="166" w:name="_Toc910"/>
      <w:bookmarkStart w:id="167" w:name="_Toc115343412"/>
      <w:r>
        <w:rPr>
          <w:rFonts w:hint="eastAsia" w:ascii="宋体" w:hAnsi="宋体" w:eastAsia="宋体" w:cs="宋体"/>
          <w:b/>
          <w:bCs/>
          <w:color w:val="auto"/>
          <w:sz w:val="28"/>
          <w:szCs w:val="28"/>
          <w:highlight w:val="none"/>
        </w:rPr>
        <w:t>六、省级预算管理一体化系统服务需求</w:t>
      </w:r>
      <w:bookmarkEnd w:id="162"/>
      <w:bookmarkEnd w:id="163"/>
      <w:bookmarkEnd w:id="164"/>
      <w:bookmarkEnd w:id="165"/>
      <w:bookmarkEnd w:id="166"/>
      <w:bookmarkEnd w:id="167"/>
    </w:p>
    <w:p>
      <w:pPr>
        <w:spacing w:line="360" w:lineRule="auto"/>
        <w:ind w:firstLine="643" w:firstLineChars="0"/>
        <w:outlineLvl w:val="0"/>
        <w:rPr>
          <w:rFonts w:hint="eastAsia" w:ascii="宋体" w:hAnsi="宋体" w:eastAsia="宋体" w:cs="宋体"/>
          <w:b/>
          <w:color w:val="auto"/>
          <w:sz w:val="24"/>
          <w:szCs w:val="24"/>
          <w:highlight w:val="none"/>
        </w:rPr>
      </w:pPr>
      <w:bookmarkStart w:id="168" w:name="_Toc7758"/>
      <w:bookmarkStart w:id="169" w:name="_Toc7970"/>
      <w:bookmarkStart w:id="170" w:name="_Toc16150"/>
      <w:bookmarkStart w:id="171" w:name="_Toc115343413"/>
      <w:bookmarkStart w:id="172" w:name="_Toc3793"/>
      <w:bookmarkStart w:id="173" w:name="_Toc10963"/>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一</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服务供应商要求</w:t>
      </w:r>
      <w:bookmarkEnd w:id="168"/>
      <w:bookmarkEnd w:id="169"/>
      <w:bookmarkEnd w:id="170"/>
      <w:bookmarkEnd w:id="171"/>
      <w:bookmarkEnd w:id="172"/>
      <w:bookmarkEnd w:id="173"/>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本项目基于信创云建设，需要供应商具有信息技术应用创新能力，有技术创新产品的研发能力，具有在省级电子政务云或信创云平台上开发政府信息系统的成功经验。</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承建供应商应对财政部预算管理一体化业务规范及技术标准充分了解和熟悉，具有省集中部署的预算一体化系统（需包含预算编制或预算执行模块）的建设经验(系统集中部署，支持全省各级财政通过浏览器访问使用)。</w:t>
      </w:r>
    </w:p>
    <w:p>
      <w:pPr>
        <w:pStyle w:val="29"/>
        <w:spacing w:line="360" w:lineRule="auto"/>
        <w:ind w:firstLine="420" w:firstLineChars="200"/>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为</w:t>
      </w:r>
      <w:r>
        <w:rPr>
          <w:rFonts w:hint="eastAsia" w:ascii="宋体" w:hAnsi="宋体" w:eastAsia="宋体" w:cs="宋体"/>
          <w:color w:val="auto"/>
          <w:kern w:val="2"/>
          <w:sz w:val="21"/>
          <w:szCs w:val="21"/>
          <w:highlight w:val="none"/>
        </w:rPr>
        <w:t>保障本项目系统建设</w:t>
      </w:r>
      <w:r>
        <w:rPr>
          <w:rFonts w:hint="eastAsia" w:ascii="宋体" w:hAnsi="宋体" w:eastAsia="宋体" w:cs="宋体"/>
          <w:color w:val="auto"/>
          <w:kern w:val="2"/>
          <w:sz w:val="21"/>
          <w:szCs w:val="21"/>
          <w:highlight w:val="none"/>
          <w:lang w:val="en-US" w:eastAsia="zh-CN"/>
        </w:rPr>
        <w:t>和</w:t>
      </w:r>
      <w:r>
        <w:rPr>
          <w:rFonts w:hint="eastAsia" w:ascii="宋体" w:hAnsi="宋体" w:eastAsia="宋体" w:cs="宋体"/>
          <w:color w:val="auto"/>
          <w:kern w:val="2"/>
          <w:sz w:val="21"/>
          <w:szCs w:val="21"/>
          <w:highlight w:val="none"/>
        </w:rPr>
        <w:t>服务活动顺利开展</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需</w:t>
      </w:r>
      <w:r>
        <w:rPr>
          <w:rFonts w:hint="eastAsia" w:ascii="宋体" w:hAnsi="宋体" w:eastAsia="宋体" w:cs="宋体"/>
          <w:color w:val="auto"/>
          <w:kern w:val="2"/>
          <w:sz w:val="21"/>
          <w:szCs w:val="21"/>
          <w:highlight w:val="none"/>
        </w:rPr>
        <w:t>承建供应商</w:t>
      </w:r>
      <w:r>
        <w:rPr>
          <w:rFonts w:hint="eastAsia" w:ascii="宋体" w:hAnsi="宋体" w:eastAsia="宋体" w:cs="宋体"/>
          <w:color w:val="auto"/>
          <w:kern w:val="2"/>
          <w:sz w:val="21"/>
          <w:szCs w:val="21"/>
          <w:highlight w:val="none"/>
          <w:lang w:val="en-US" w:eastAsia="zh-CN"/>
        </w:rPr>
        <w:t>具备良好的综合能力和较强的技术水平，</w:t>
      </w:r>
      <w:r>
        <w:rPr>
          <w:rFonts w:hint="eastAsia" w:ascii="宋体" w:hAnsi="宋体" w:eastAsia="宋体" w:cs="宋体"/>
          <w:color w:val="auto"/>
          <w:kern w:val="2"/>
          <w:sz w:val="21"/>
          <w:szCs w:val="21"/>
          <w:highlight w:val="none"/>
        </w:rPr>
        <w:t>提供信息系统建设和服务能力等级证书（能力达到良好级CS3以上）</w:t>
      </w:r>
      <w:r>
        <w:rPr>
          <w:rFonts w:hint="eastAsia" w:ascii="宋体" w:hAnsi="宋体" w:eastAsia="宋体" w:cs="宋体"/>
          <w:color w:val="auto"/>
          <w:kern w:val="2"/>
          <w:sz w:val="21"/>
          <w:szCs w:val="21"/>
          <w:highlight w:val="none"/>
          <w:lang w:eastAsia="zh-CN"/>
        </w:rPr>
        <w:t>。</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为保证本项目运行维护规范性，承建供应</w:t>
      </w:r>
      <w:r>
        <w:rPr>
          <w:rFonts w:hint="eastAsia" w:ascii="宋体" w:hAnsi="宋体" w:eastAsia="宋体" w:cs="宋体"/>
          <w:color w:val="auto"/>
          <w:kern w:val="2"/>
          <w:sz w:val="21"/>
          <w:szCs w:val="21"/>
          <w:highlight w:val="none"/>
          <w:lang w:val="en-US" w:eastAsia="zh-CN"/>
        </w:rPr>
        <w:t>商应</w:t>
      </w:r>
      <w:r>
        <w:rPr>
          <w:rFonts w:hint="eastAsia" w:ascii="宋体" w:hAnsi="宋体" w:eastAsia="宋体" w:cs="宋体"/>
          <w:color w:val="auto"/>
          <w:kern w:val="2"/>
          <w:sz w:val="21"/>
          <w:szCs w:val="21"/>
          <w:highlight w:val="none"/>
        </w:rPr>
        <w:t>具备有效的IT服务管理体系认证证书ISO20000和信息安全管理体系认证证书ISO27001。</w:t>
      </w:r>
    </w:p>
    <w:p>
      <w:pPr>
        <w:pStyle w:val="29"/>
        <w:spacing w:line="360" w:lineRule="auto"/>
        <w:ind w:firstLine="420" w:firstLineChars="20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rPr>
        <w:t>本项目基于云架构开展预算管理一体化系统升级，</w:t>
      </w:r>
      <w:r>
        <w:rPr>
          <w:rFonts w:hint="eastAsia" w:ascii="宋体" w:hAnsi="宋体" w:eastAsia="宋体" w:cs="宋体"/>
          <w:color w:val="auto"/>
          <w:kern w:val="2"/>
          <w:sz w:val="21"/>
          <w:szCs w:val="21"/>
          <w:highlight w:val="none"/>
          <w:lang w:val="en-US" w:eastAsia="zh-CN"/>
        </w:rPr>
        <w:t>需满足财政部关于预算管理一体化建设评估的相关要求。</w:t>
      </w:r>
      <w:r>
        <w:rPr>
          <w:rFonts w:hint="eastAsia" w:ascii="宋体" w:hAnsi="宋体" w:eastAsia="宋体" w:cs="宋体"/>
          <w:color w:val="auto"/>
          <w:kern w:val="2"/>
          <w:sz w:val="21"/>
          <w:szCs w:val="21"/>
          <w:highlight w:val="none"/>
        </w:rPr>
        <w:t>投标人需具有“基于云架构的预算管理一体化系统”</w:t>
      </w:r>
      <w:r>
        <w:rPr>
          <w:rFonts w:hint="eastAsia" w:ascii="宋体" w:hAnsi="宋体" w:eastAsia="宋体" w:cs="宋体"/>
          <w:i w:val="0"/>
          <w:color w:val="auto"/>
          <w:kern w:val="0"/>
          <w:sz w:val="21"/>
          <w:szCs w:val="21"/>
          <w:highlight w:val="none"/>
          <w:u w:val="none"/>
          <w:lang w:val="en-US" w:eastAsia="zh-CN" w:bidi="ar"/>
        </w:rPr>
        <w:t>等类似财政预算管理一体化相关的</w:t>
      </w:r>
      <w:r>
        <w:rPr>
          <w:rFonts w:hint="eastAsia" w:ascii="宋体" w:hAnsi="宋体" w:eastAsia="宋体" w:cs="宋体"/>
          <w:color w:val="auto"/>
          <w:kern w:val="2"/>
          <w:sz w:val="21"/>
          <w:szCs w:val="21"/>
          <w:highlight w:val="none"/>
        </w:rPr>
        <w:t>计算机软件著作权登记证书</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如不能通过财政部评估，采购方有权单方面终止合同。</w:t>
      </w:r>
    </w:p>
    <w:p>
      <w:pPr>
        <w:pStyle w:val="29"/>
        <w:spacing w:line="360" w:lineRule="auto"/>
        <w:ind w:firstLine="420" w:firstLineChars="200"/>
        <w:rPr>
          <w:rFonts w:hint="eastAsia" w:ascii="宋体" w:hAnsi="宋体" w:eastAsia="宋体" w:cs="宋体"/>
          <w:color w:val="auto"/>
          <w:kern w:val="2"/>
          <w:sz w:val="21"/>
          <w:szCs w:val="21"/>
          <w:highlight w:val="none"/>
          <w:lang w:val="en-US" w:eastAsia="zh-CN"/>
        </w:rPr>
      </w:pPr>
    </w:p>
    <w:p>
      <w:pPr>
        <w:spacing w:line="360" w:lineRule="auto"/>
        <w:ind w:firstLine="482" w:firstLineChars="200"/>
        <w:outlineLvl w:val="0"/>
        <w:rPr>
          <w:rFonts w:hint="eastAsia" w:ascii="宋体" w:hAnsi="宋体" w:eastAsia="宋体" w:cs="宋体"/>
          <w:b/>
          <w:color w:val="auto"/>
          <w:sz w:val="24"/>
          <w:szCs w:val="24"/>
          <w:highlight w:val="none"/>
          <w:lang w:eastAsia="zh-CN"/>
        </w:rPr>
      </w:pPr>
      <w:bookmarkStart w:id="174" w:name="_Toc10911"/>
      <w:bookmarkStart w:id="175" w:name="_Toc12398"/>
      <w:bookmarkStart w:id="176" w:name="_Toc2909"/>
      <w:bookmarkStart w:id="177" w:name="_Toc26920"/>
      <w:bookmarkStart w:id="178" w:name="_Toc12076"/>
      <w:bookmarkStart w:id="179" w:name="_Toc115343414"/>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二</w:t>
      </w:r>
      <w:r>
        <w:rPr>
          <w:rFonts w:hint="eastAsia" w:ascii="宋体" w:hAnsi="宋体" w:eastAsia="宋体" w:cs="宋体"/>
          <w:b/>
          <w:color w:val="auto"/>
          <w:sz w:val="24"/>
          <w:szCs w:val="24"/>
          <w:highlight w:val="none"/>
          <w:lang w:eastAsia="zh-CN"/>
        </w:rPr>
        <w:t>）省本级驻点服务</w:t>
      </w:r>
      <w:bookmarkEnd w:id="174"/>
      <w:bookmarkEnd w:id="175"/>
      <w:bookmarkEnd w:id="176"/>
      <w:bookmarkEnd w:id="177"/>
      <w:bookmarkEnd w:id="178"/>
      <w:bookmarkEnd w:id="179"/>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服务周期：省财政厅合同实际签订之日起1年。</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供应商应为省本级做好系统新年度初始设置，并为省本级财政有关服务对象（服务对象包括省本级财政相关处室人员、省本级部门及单位用户）提供相关服务支持，包括但不限于在线/热线服务、培训</w:t>
      </w:r>
      <w:r>
        <w:rPr>
          <w:rFonts w:hint="eastAsia" w:ascii="宋体" w:hAnsi="宋体" w:eastAsia="宋体" w:cs="宋体"/>
          <w:color w:val="auto"/>
          <w:kern w:val="2"/>
          <w:sz w:val="21"/>
          <w:szCs w:val="21"/>
          <w:highlight w:val="none"/>
          <w:lang w:val="en-US" w:eastAsia="zh-CN"/>
        </w:rPr>
        <w:t>支持</w:t>
      </w:r>
      <w:r>
        <w:rPr>
          <w:rFonts w:hint="eastAsia" w:ascii="宋体" w:hAnsi="宋体" w:eastAsia="宋体" w:cs="宋体"/>
          <w:color w:val="auto"/>
          <w:kern w:val="2"/>
          <w:sz w:val="21"/>
          <w:szCs w:val="21"/>
          <w:highlight w:val="none"/>
        </w:rPr>
        <w:t>服务，确保省本级编制2023年预算工作正常运行。</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在服务期内指派经浙江省财政厅认可的技术人员组成技术支持服务团队（其中至少3人驻场省财政厅指定地点提供现场服务），为省本级财政有关服务对象提供统一的在线/热线服务，为各类用户提供业务咨询、疑难问题解答、系统操作指导、投诉及改进意见受理有关技术支持方面的服务。同时提供尽可能的即时响应服务机构及保障措施，以保障驻场人员无法解决的疑难问题时的即时解决。</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日常运行期间提供7×24小时远程运维支持服务；问题响应在2小时之内，一般问题4小时内给予解决，复杂问题1天内给出解决办法，远程不能解决的24小时之内指派技术人员现场解决。 </w:t>
      </w:r>
    </w:p>
    <w:p>
      <w:pPr>
        <w:pStyle w:val="29"/>
        <w:spacing w:line="360" w:lineRule="auto"/>
        <w:ind w:firstLine="420" w:firstLineChars="200"/>
        <w:rPr>
          <w:rFonts w:hint="eastAsia" w:ascii="宋体" w:hAnsi="宋体" w:eastAsia="宋体" w:cs="宋体"/>
          <w:color w:val="auto"/>
          <w:kern w:val="2"/>
          <w:sz w:val="21"/>
          <w:szCs w:val="21"/>
          <w:highlight w:val="none"/>
        </w:rPr>
      </w:pPr>
    </w:p>
    <w:p>
      <w:pPr>
        <w:spacing w:line="360" w:lineRule="auto"/>
        <w:ind w:firstLine="482" w:firstLineChars="200"/>
        <w:outlineLvl w:val="0"/>
        <w:rPr>
          <w:rFonts w:hint="eastAsia" w:ascii="宋体" w:hAnsi="宋体" w:eastAsia="宋体" w:cs="宋体"/>
          <w:b/>
          <w:color w:val="auto"/>
          <w:sz w:val="24"/>
          <w:szCs w:val="24"/>
          <w:highlight w:val="none"/>
          <w:lang w:eastAsia="zh-CN"/>
        </w:rPr>
      </w:pPr>
      <w:bookmarkStart w:id="180" w:name="_Toc328"/>
      <w:bookmarkStart w:id="181" w:name="_Toc115343415"/>
      <w:bookmarkStart w:id="182" w:name="_Toc25583691"/>
      <w:bookmarkStart w:id="183" w:name="_Toc17155"/>
      <w:bookmarkStart w:id="184" w:name="_Toc22389"/>
      <w:bookmarkStart w:id="185" w:name="_Toc18537"/>
      <w:bookmarkStart w:id="186" w:name="_Toc30438"/>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三</w:t>
      </w:r>
      <w:r>
        <w:rPr>
          <w:rFonts w:hint="eastAsia" w:ascii="宋体" w:hAnsi="宋体" w:eastAsia="宋体" w:cs="宋体"/>
          <w:b/>
          <w:color w:val="auto"/>
          <w:sz w:val="24"/>
          <w:szCs w:val="24"/>
          <w:highlight w:val="none"/>
          <w:lang w:eastAsia="zh-CN"/>
        </w:rPr>
        <w:t>）服务团队要求</w:t>
      </w:r>
      <w:bookmarkEnd w:id="180"/>
      <w:bookmarkEnd w:id="181"/>
      <w:bookmarkEnd w:id="182"/>
      <w:bookmarkEnd w:id="183"/>
      <w:bookmarkEnd w:id="184"/>
      <w:bookmarkEnd w:id="185"/>
      <w:bookmarkEnd w:id="186"/>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中标后5日内，中标人指派项目团队到达浙江省财政厅要求的办公场所；应保持项目团队人员稳定，如中标人员数量及技术能力达不到采购人要求，采购人有权单方面终止合同。</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 针对项目建设内容，管理上确定项目经理负责制，负责项目建设工作的整体计划、人员及进度协调保障与质量审查，按本项目各项工作交付时间要求完成开发测试、版本交付、上线后的问题跟踪与解决。项目服务期内需保证项目核心人员对本项目建设范围提供稳定技术支持，若项目建设及服务过程中不能按时完成有关任务或者解决相关问题，应及时安排增加相应资源。</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（1）服务的工程师需熟悉系统技术架构和财政业务，具备较强的财政业务系统实施、运维能力，能够及时高效地完成用户交给的任务，团队中应具有高级系统构架设计师、高级系统分析师、高级软件工程师</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运维服务人员中应具有IT服务工程师（ITSS）认证。</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需给省财政厅提供项目经理和实施工程师的电话、邮箱联系方式，并确保每个工作日8小时的电话快速响应，及时处理相关问题；需给省财政厅提供应急服务支持人员电话，在非工作日或非上班时间的紧急事宜响应和处理。团队成员更换需至少提前1个月通知省财政厅</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经采购方同意后做好工作交接再行替换。</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（3）服务团队要严格按照省财政厅的网络安全和运维管理等要求进行服务提供，服务的工程师要严格遵守保密约定，不得将开发及运维过程中获取的数据和文档等资料泄露给第三方。</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w:t>
      </w:r>
      <w:r>
        <w:rPr>
          <w:rFonts w:hint="eastAsia" w:hAnsi="宋体" w:cs="宋体"/>
          <w:color w:val="auto"/>
          <w:kern w:val="2"/>
          <w:sz w:val="21"/>
          <w:szCs w:val="21"/>
          <w:highlight w:val="none"/>
          <w:lang w:val="en-US" w:eastAsia="zh-CN"/>
        </w:rPr>
        <w:t>本</w:t>
      </w:r>
      <w:r>
        <w:rPr>
          <w:rFonts w:hint="eastAsia" w:ascii="宋体" w:hAnsi="宋体" w:eastAsia="宋体" w:cs="宋体"/>
          <w:color w:val="auto"/>
          <w:kern w:val="2"/>
          <w:sz w:val="21"/>
          <w:szCs w:val="21"/>
          <w:highlight w:val="none"/>
        </w:rPr>
        <w:t>项目适配数据库要求较高，服务团队人员应具有较强的数据库软件管理能力，并获得高级数据库管理工程师认证。</w:t>
      </w:r>
    </w:p>
    <w:p>
      <w:pPr>
        <w:pStyle w:val="29"/>
        <w:spacing w:line="360" w:lineRule="auto"/>
        <w:ind w:firstLine="420" w:firstLineChars="200"/>
        <w:rPr>
          <w:rFonts w:hint="eastAsia" w:ascii="宋体" w:hAnsi="宋体" w:eastAsia="宋体" w:cs="宋体"/>
          <w:color w:val="auto"/>
          <w:kern w:val="2"/>
          <w:sz w:val="21"/>
          <w:szCs w:val="21"/>
          <w:highlight w:val="none"/>
        </w:rPr>
      </w:pPr>
    </w:p>
    <w:p>
      <w:pPr>
        <w:spacing w:line="360" w:lineRule="auto"/>
        <w:ind w:firstLine="482" w:firstLineChars="200"/>
        <w:outlineLvl w:val="0"/>
        <w:rPr>
          <w:rFonts w:hint="eastAsia" w:ascii="宋体" w:hAnsi="宋体" w:eastAsia="宋体" w:cs="宋体"/>
          <w:b/>
          <w:color w:val="auto"/>
          <w:sz w:val="24"/>
          <w:szCs w:val="24"/>
          <w:highlight w:val="none"/>
          <w:lang w:eastAsia="zh-CN"/>
        </w:rPr>
      </w:pPr>
      <w:bookmarkStart w:id="187" w:name="_Toc28437"/>
      <w:bookmarkStart w:id="188" w:name="_Toc115343416"/>
      <w:bookmarkStart w:id="189" w:name="_Toc24410"/>
      <w:bookmarkStart w:id="190" w:name="_Toc6084"/>
      <w:bookmarkStart w:id="191" w:name="_Toc16152"/>
      <w:bookmarkStart w:id="192" w:name="_Toc4632"/>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四</w:t>
      </w:r>
      <w:r>
        <w:rPr>
          <w:rFonts w:hint="eastAsia" w:ascii="宋体" w:hAnsi="宋体" w:eastAsia="宋体" w:cs="宋体"/>
          <w:b/>
          <w:color w:val="auto"/>
          <w:sz w:val="24"/>
          <w:szCs w:val="24"/>
          <w:highlight w:val="none"/>
          <w:lang w:eastAsia="zh-CN"/>
        </w:rPr>
        <w:t>）培训要求</w:t>
      </w:r>
      <w:bookmarkEnd w:id="187"/>
      <w:bookmarkEnd w:id="188"/>
      <w:bookmarkEnd w:id="189"/>
      <w:bookmarkEnd w:id="190"/>
      <w:bookmarkEnd w:id="191"/>
      <w:bookmarkEnd w:id="192"/>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（1）本项目的培训，是指根据省财政厅需求，为省本级财政内部处室有关用户、省本级部门单位用户提供系统操作、业务相关及系统维护培训。</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（2）培训由供应商负责师资及教材编写，由财政部门提供场地和培训设备并负责受训人员召集，组织实施。供应商必须派出浙江省财政厅认可的具有实际工作经验的教师及辅导人员进行培训。</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（3）培训教师的住宿及差旅费用由供应商承担；培训所需的场地由财政部门提供，培训场地如需费用由财政承担，参加培训的财政单位人员及部门单位人员的住宿或差旅费用由财政或部门自行安排。</w:t>
      </w:r>
    </w:p>
    <w:p>
      <w:pPr>
        <w:pStyle w:val="29"/>
        <w:spacing w:line="360" w:lineRule="auto"/>
        <w:ind w:firstLine="420" w:firstLineChars="200"/>
        <w:rPr>
          <w:rFonts w:hint="eastAsia" w:ascii="宋体" w:hAnsi="宋体" w:eastAsia="宋体" w:cs="宋体"/>
          <w:color w:val="auto"/>
          <w:kern w:val="2"/>
          <w:sz w:val="21"/>
          <w:szCs w:val="21"/>
          <w:highlight w:val="none"/>
        </w:rPr>
      </w:pPr>
    </w:p>
    <w:p>
      <w:pPr>
        <w:spacing w:line="360" w:lineRule="auto"/>
        <w:ind w:firstLine="482" w:firstLineChars="200"/>
        <w:outlineLvl w:val="0"/>
        <w:rPr>
          <w:rFonts w:hint="eastAsia" w:ascii="宋体" w:hAnsi="宋体" w:eastAsia="宋体" w:cs="宋体"/>
          <w:b/>
          <w:color w:val="auto"/>
          <w:sz w:val="24"/>
          <w:szCs w:val="24"/>
          <w:highlight w:val="none"/>
          <w:lang w:eastAsia="zh-CN"/>
        </w:rPr>
      </w:pPr>
      <w:bookmarkStart w:id="193" w:name="_Toc16686"/>
      <w:bookmarkStart w:id="194" w:name="_Toc13347"/>
      <w:bookmarkStart w:id="195" w:name="_Toc9286"/>
      <w:bookmarkStart w:id="196" w:name="_Toc31328"/>
      <w:bookmarkStart w:id="197" w:name="_Toc16461"/>
      <w:bookmarkStart w:id="198" w:name="_Toc115343417"/>
      <w:bookmarkStart w:id="199" w:name="_Toc9193"/>
      <w:bookmarkStart w:id="200" w:name="_Toc5827"/>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五</w:t>
      </w:r>
      <w:r>
        <w:rPr>
          <w:rFonts w:hint="eastAsia" w:ascii="宋体" w:hAnsi="宋体" w:eastAsia="宋体" w:cs="宋体"/>
          <w:b/>
          <w:color w:val="auto"/>
          <w:sz w:val="24"/>
          <w:szCs w:val="24"/>
          <w:highlight w:val="none"/>
          <w:lang w:eastAsia="zh-CN"/>
        </w:rPr>
        <w:t>）其他要求</w:t>
      </w:r>
      <w:bookmarkEnd w:id="193"/>
      <w:bookmarkEnd w:id="194"/>
      <w:bookmarkEnd w:id="195"/>
      <w:bookmarkEnd w:id="196"/>
      <w:bookmarkEnd w:id="197"/>
      <w:bookmarkEnd w:id="198"/>
      <w:bookmarkEnd w:id="199"/>
      <w:bookmarkEnd w:id="200"/>
    </w:p>
    <w:p>
      <w:pPr>
        <w:pStyle w:val="29"/>
        <w:spacing w:line="360" w:lineRule="auto"/>
        <w:ind w:firstLine="422" w:firstLineChars="200"/>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1</w:t>
      </w:r>
      <w:r>
        <w:rPr>
          <w:rFonts w:hint="eastAsia" w:ascii="宋体" w:hAnsi="宋体" w:eastAsia="宋体" w:cs="宋体"/>
          <w:b/>
          <w:bCs/>
          <w:color w:val="auto"/>
          <w:kern w:val="2"/>
          <w:sz w:val="21"/>
          <w:szCs w:val="21"/>
          <w:highlight w:val="none"/>
          <w:lang w:val="en-US" w:eastAsia="zh-CN"/>
        </w:rPr>
        <w:t>.</w:t>
      </w:r>
      <w:r>
        <w:rPr>
          <w:rFonts w:hint="eastAsia" w:ascii="宋体" w:hAnsi="宋体" w:eastAsia="宋体" w:cs="宋体"/>
          <w:b/>
          <w:bCs/>
          <w:color w:val="auto"/>
          <w:kern w:val="2"/>
          <w:sz w:val="21"/>
          <w:szCs w:val="21"/>
          <w:highlight w:val="none"/>
        </w:rPr>
        <w:t>报价方式要求</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供应商应根据项目建设内容和要求，对省本级系统升级及有关服务费用进行报价</w:t>
      </w:r>
      <w:r>
        <w:rPr>
          <w:rFonts w:hint="eastAsia" w:hAnsi="宋体" w:cs="宋体"/>
          <w:color w:val="auto"/>
          <w:kern w:val="2"/>
          <w:sz w:val="21"/>
          <w:szCs w:val="21"/>
          <w:highlight w:val="none"/>
          <w:lang w:eastAsia="zh-CN"/>
        </w:rPr>
        <w:t>（</w:t>
      </w:r>
      <w:r>
        <w:rPr>
          <w:rFonts w:hint="eastAsia" w:hAnsi="宋体" w:cs="宋体"/>
          <w:color w:val="auto"/>
          <w:kern w:val="2"/>
          <w:sz w:val="21"/>
          <w:szCs w:val="21"/>
          <w:highlight w:val="none"/>
          <w:lang w:val="en-US" w:eastAsia="zh-CN"/>
        </w:rPr>
        <w:t>按预算（基础信息、项目库、预算编制与批复、预算绩效、预算调整与调剂）、执行（预算执行、预算指标会计核算）、安全服务分项报价</w:t>
      </w:r>
      <w:r>
        <w:rPr>
          <w:rFonts w:hint="eastAsia" w:hAnsi="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，省本级总费用不超过300万元。费用含系统升级开发费用，服务期间系统实施服务费用、培训和日常运维支持费用，业主方不再另行支付额外费用。</w:t>
      </w:r>
    </w:p>
    <w:p>
      <w:pPr>
        <w:pStyle w:val="29"/>
        <w:spacing w:line="360" w:lineRule="auto"/>
        <w:ind w:firstLine="422" w:firstLineChars="200"/>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2</w:t>
      </w:r>
      <w:r>
        <w:rPr>
          <w:rFonts w:hint="eastAsia" w:ascii="宋体" w:hAnsi="宋体" w:eastAsia="宋体" w:cs="宋体"/>
          <w:b/>
          <w:bCs/>
          <w:color w:val="auto"/>
          <w:kern w:val="2"/>
          <w:sz w:val="21"/>
          <w:szCs w:val="21"/>
          <w:highlight w:val="none"/>
          <w:lang w:val="en-US" w:eastAsia="zh-CN"/>
        </w:rPr>
        <w:t>.</w:t>
      </w:r>
      <w:r>
        <w:rPr>
          <w:rFonts w:hint="eastAsia" w:ascii="宋体" w:hAnsi="宋体" w:eastAsia="宋体" w:cs="宋体"/>
          <w:b/>
          <w:bCs/>
          <w:color w:val="auto"/>
          <w:kern w:val="2"/>
          <w:sz w:val="21"/>
          <w:szCs w:val="21"/>
          <w:highlight w:val="none"/>
        </w:rPr>
        <w:t>付款方式要求</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省级预算管理一体化费用由省本级支付，业主方于合同签订后</w:t>
      </w:r>
      <w:r>
        <w:rPr>
          <w:rFonts w:hint="eastAsia" w:ascii="宋体" w:hAnsi="宋体" w:eastAsia="宋体" w:cs="宋体"/>
          <w:color w:val="auto"/>
          <w:kern w:val="2"/>
          <w:sz w:val="21"/>
          <w:szCs w:val="21"/>
          <w:highlight w:val="none"/>
          <w:lang w:val="en-US" w:eastAsia="zh-CN"/>
        </w:rPr>
        <w:t>30</w:t>
      </w:r>
      <w:r>
        <w:rPr>
          <w:rFonts w:hint="eastAsia" w:ascii="宋体" w:hAnsi="宋体" w:eastAsia="宋体" w:cs="宋体"/>
          <w:color w:val="auto"/>
          <w:kern w:val="2"/>
          <w:sz w:val="21"/>
          <w:szCs w:val="21"/>
          <w:highlight w:val="none"/>
        </w:rPr>
        <w:t>日内</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支付合同总价的</w:t>
      </w:r>
      <w:r>
        <w:rPr>
          <w:rFonts w:hint="eastAsia" w:hAnsi="宋体" w:cs="宋体"/>
          <w:color w:val="auto"/>
          <w:kern w:val="2"/>
          <w:sz w:val="21"/>
          <w:szCs w:val="21"/>
          <w:highlight w:val="none"/>
          <w:lang w:val="en-US" w:eastAsia="zh-CN"/>
        </w:rPr>
        <w:t>7</w:t>
      </w:r>
      <w:r>
        <w:rPr>
          <w:rFonts w:hint="eastAsia" w:ascii="宋体" w:hAnsi="宋体" w:eastAsia="宋体" w:cs="宋体"/>
          <w:color w:val="auto"/>
          <w:kern w:val="2"/>
          <w:sz w:val="21"/>
          <w:szCs w:val="21"/>
          <w:highlight w:val="none"/>
          <w:lang w:val="en-US" w:eastAsia="zh-CN"/>
        </w:rPr>
        <w:t>0</w:t>
      </w:r>
      <w:r>
        <w:rPr>
          <w:rFonts w:hint="eastAsia" w:ascii="宋体" w:hAnsi="宋体" w:eastAsia="宋体" w:cs="宋体"/>
          <w:color w:val="auto"/>
          <w:kern w:val="2"/>
          <w:sz w:val="21"/>
          <w:szCs w:val="21"/>
          <w:highlight w:val="none"/>
        </w:rPr>
        <w:t>%；省级项目验收</w:t>
      </w:r>
      <w:r>
        <w:rPr>
          <w:rFonts w:hint="eastAsia" w:hAnsi="宋体" w:cs="宋体"/>
          <w:color w:val="auto"/>
          <w:kern w:val="2"/>
          <w:sz w:val="21"/>
          <w:szCs w:val="21"/>
          <w:highlight w:val="none"/>
          <w:lang w:val="en-US" w:eastAsia="zh-CN"/>
        </w:rPr>
        <w:t>后30个工作日内</w:t>
      </w:r>
      <w:r>
        <w:rPr>
          <w:rFonts w:hint="eastAsia" w:ascii="宋体" w:hAnsi="宋体" w:eastAsia="宋体" w:cs="宋体"/>
          <w:color w:val="auto"/>
          <w:kern w:val="2"/>
          <w:sz w:val="21"/>
          <w:szCs w:val="21"/>
          <w:highlight w:val="none"/>
        </w:rPr>
        <w:t>支付合同总价的</w:t>
      </w:r>
      <w:r>
        <w:rPr>
          <w:rFonts w:hint="eastAsia" w:hAnsi="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val="en-US" w:eastAsia="zh-CN"/>
        </w:rPr>
        <w:t>0</w:t>
      </w:r>
      <w:r>
        <w:rPr>
          <w:rFonts w:hint="eastAsia" w:ascii="宋体" w:hAnsi="宋体" w:eastAsia="宋体" w:cs="宋体"/>
          <w:color w:val="auto"/>
          <w:kern w:val="2"/>
          <w:sz w:val="21"/>
          <w:szCs w:val="21"/>
          <w:highlight w:val="none"/>
        </w:rPr>
        <w:t>%；</w:t>
      </w:r>
      <w:r>
        <w:rPr>
          <w:rFonts w:hint="eastAsia" w:hAnsi="宋体" w:cs="宋体"/>
          <w:color w:val="auto"/>
          <w:kern w:val="2"/>
          <w:sz w:val="21"/>
          <w:szCs w:val="21"/>
          <w:highlight w:val="none"/>
          <w:lang w:val="en-US" w:eastAsia="zh-CN"/>
        </w:rPr>
        <w:t>运维</w:t>
      </w:r>
      <w:r>
        <w:rPr>
          <w:rFonts w:hint="eastAsia" w:ascii="宋体" w:hAnsi="宋体" w:eastAsia="宋体" w:cs="宋体"/>
          <w:color w:val="auto"/>
          <w:kern w:val="2"/>
          <w:sz w:val="21"/>
          <w:szCs w:val="21"/>
          <w:highlight w:val="none"/>
        </w:rPr>
        <w:t>服务期满后</w:t>
      </w:r>
      <w:r>
        <w:rPr>
          <w:rFonts w:hint="eastAsia" w:hAnsi="宋体" w:cs="宋体"/>
          <w:color w:val="auto"/>
          <w:kern w:val="2"/>
          <w:sz w:val="21"/>
          <w:szCs w:val="21"/>
          <w:highlight w:val="none"/>
          <w:lang w:val="en-US" w:eastAsia="zh-CN"/>
        </w:rPr>
        <w:t>30</w:t>
      </w:r>
      <w:r>
        <w:rPr>
          <w:rFonts w:hint="eastAsia" w:ascii="宋体" w:hAnsi="宋体" w:eastAsia="宋体" w:cs="宋体"/>
          <w:color w:val="auto"/>
          <w:kern w:val="2"/>
          <w:sz w:val="21"/>
          <w:szCs w:val="21"/>
          <w:highlight w:val="none"/>
        </w:rPr>
        <w:t>个工作日内业主方支付合同金额剩余的的10%。</w:t>
      </w:r>
    </w:p>
    <w:p>
      <w:pPr>
        <w:pStyle w:val="29"/>
        <w:spacing w:line="360" w:lineRule="auto"/>
        <w:ind w:firstLine="422" w:firstLineChars="200"/>
        <w:rPr>
          <w:rFonts w:hint="eastAsia"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3</w:t>
      </w:r>
      <w:r>
        <w:rPr>
          <w:rFonts w:hint="eastAsia" w:ascii="宋体" w:hAnsi="宋体" w:eastAsia="宋体" w:cs="宋体"/>
          <w:b/>
          <w:bCs/>
          <w:color w:val="auto"/>
          <w:kern w:val="2"/>
          <w:sz w:val="21"/>
          <w:szCs w:val="21"/>
          <w:highlight w:val="none"/>
          <w:lang w:val="en-US" w:eastAsia="zh-CN"/>
        </w:rPr>
        <w:t>.</w:t>
      </w:r>
      <w:r>
        <w:rPr>
          <w:rFonts w:hint="eastAsia" w:ascii="宋体" w:hAnsi="宋体" w:eastAsia="宋体" w:cs="宋体"/>
          <w:b/>
          <w:bCs/>
          <w:color w:val="auto"/>
          <w:kern w:val="2"/>
          <w:sz w:val="21"/>
          <w:szCs w:val="21"/>
          <w:highlight w:val="none"/>
        </w:rPr>
        <w:t>工期、验收及交付要求</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工期：供应商应在合同签订10个工作日内提交本项目建设</w:t>
      </w:r>
      <w:r>
        <w:rPr>
          <w:rFonts w:hint="eastAsia" w:ascii="宋体" w:hAnsi="宋体" w:eastAsia="宋体" w:cs="宋体"/>
          <w:color w:val="auto"/>
          <w:kern w:val="2"/>
          <w:sz w:val="21"/>
          <w:szCs w:val="21"/>
          <w:highlight w:val="none"/>
          <w:lang w:val="en-US" w:eastAsia="zh-CN"/>
        </w:rPr>
        <w:t>方案</w:t>
      </w:r>
      <w:r>
        <w:rPr>
          <w:rFonts w:hint="eastAsia" w:ascii="宋体" w:hAnsi="宋体" w:eastAsia="宋体" w:cs="宋体"/>
          <w:color w:val="auto"/>
          <w:kern w:val="2"/>
          <w:sz w:val="21"/>
          <w:szCs w:val="21"/>
          <w:highlight w:val="none"/>
        </w:rPr>
        <w:t>、对应实施方案，并通过采购方及其监理审核；在合同签订2个月内按采购文件要求完成系统升级，若</w:t>
      </w:r>
      <w:r>
        <w:rPr>
          <w:rFonts w:hint="eastAsia" w:ascii="宋体" w:hAnsi="宋体" w:eastAsia="宋体" w:cs="宋体"/>
          <w:color w:val="auto"/>
          <w:kern w:val="2"/>
          <w:sz w:val="21"/>
          <w:szCs w:val="21"/>
          <w:highlight w:val="none"/>
          <w:lang w:val="en-US" w:eastAsia="zh-CN"/>
        </w:rPr>
        <w:t>供应商</w:t>
      </w:r>
      <w:r>
        <w:rPr>
          <w:rFonts w:hint="eastAsia" w:ascii="宋体" w:hAnsi="宋体" w:eastAsia="宋体" w:cs="宋体"/>
          <w:color w:val="auto"/>
          <w:kern w:val="2"/>
          <w:sz w:val="21"/>
          <w:szCs w:val="21"/>
          <w:highlight w:val="none"/>
        </w:rPr>
        <w:t>提供</w:t>
      </w:r>
      <w:r>
        <w:rPr>
          <w:rFonts w:hint="eastAsia" w:ascii="宋体" w:hAnsi="宋体" w:eastAsia="宋体" w:cs="宋体"/>
          <w:color w:val="auto"/>
          <w:kern w:val="2"/>
          <w:sz w:val="21"/>
          <w:szCs w:val="21"/>
          <w:highlight w:val="none"/>
          <w:lang w:val="en-US" w:eastAsia="zh-CN"/>
        </w:rPr>
        <w:t>项目建设方案</w:t>
      </w:r>
      <w:r>
        <w:rPr>
          <w:rFonts w:hint="eastAsia" w:ascii="宋体" w:hAnsi="宋体" w:eastAsia="宋体" w:cs="宋体"/>
          <w:color w:val="auto"/>
          <w:kern w:val="2"/>
          <w:sz w:val="21"/>
          <w:szCs w:val="21"/>
          <w:highlight w:val="none"/>
        </w:rPr>
        <w:t>、实施方案等明显满足不了本项目建设要求，或者相关</w:t>
      </w:r>
      <w:r>
        <w:rPr>
          <w:rFonts w:hint="eastAsia" w:ascii="宋体" w:hAnsi="宋体" w:eastAsia="宋体" w:cs="宋体"/>
          <w:color w:val="auto"/>
          <w:kern w:val="2"/>
          <w:sz w:val="21"/>
          <w:szCs w:val="21"/>
          <w:highlight w:val="none"/>
          <w:lang w:val="en-US" w:eastAsia="zh-CN"/>
        </w:rPr>
        <w:t>开发</w:t>
      </w:r>
      <w:r>
        <w:rPr>
          <w:rFonts w:hint="eastAsia" w:ascii="宋体" w:hAnsi="宋体" w:eastAsia="宋体" w:cs="宋体"/>
          <w:color w:val="auto"/>
          <w:kern w:val="2"/>
          <w:sz w:val="21"/>
          <w:szCs w:val="21"/>
          <w:highlight w:val="none"/>
        </w:rPr>
        <w:t>工作无法按要求时间点完成，采购方有权单方面终止合同并要求</w:t>
      </w:r>
      <w:r>
        <w:rPr>
          <w:rFonts w:hint="eastAsia" w:ascii="宋体" w:hAnsi="宋体" w:eastAsia="宋体" w:cs="宋体"/>
          <w:color w:val="auto"/>
          <w:kern w:val="2"/>
          <w:sz w:val="21"/>
          <w:szCs w:val="21"/>
          <w:highlight w:val="none"/>
          <w:lang w:val="en-US" w:eastAsia="zh-CN"/>
        </w:rPr>
        <w:t>供应商</w:t>
      </w:r>
      <w:r>
        <w:rPr>
          <w:rFonts w:hint="eastAsia" w:ascii="宋体" w:hAnsi="宋体" w:eastAsia="宋体" w:cs="宋体"/>
          <w:color w:val="auto"/>
          <w:kern w:val="2"/>
          <w:sz w:val="21"/>
          <w:szCs w:val="21"/>
          <w:highlight w:val="none"/>
        </w:rPr>
        <w:t>退回相应款项。</w:t>
      </w:r>
    </w:p>
    <w:p>
      <w:pPr>
        <w:pStyle w:val="29"/>
        <w:spacing w:line="360" w:lineRule="auto"/>
        <w:ind w:firstLine="420" w:firstLineChars="20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项目升级部分内容，试行正常至少一个月后可申请验收。省本级运维</w:t>
      </w:r>
      <w:r>
        <w:rPr>
          <w:rFonts w:hint="eastAsia" w:ascii="宋体" w:hAnsi="宋体" w:eastAsia="宋体" w:cs="宋体"/>
          <w:color w:val="auto"/>
          <w:kern w:val="2"/>
          <w:sz w:val="21"/>
          <w:szCs w:val="21"/>
          <w:highlight w:val="none"/>
        </w:rPr>
        <w:t>服务</w:t>
      </w:r>
      <w:r>
        <w:rPr>
          <w:rFonts w:hint="eastAsia" w:ascii="宋体" w:hAnsi="宋体" w:eastAsia="宋体" w:cs="宋体"/>
          <w:color w:val="auto"/>
          <w:kern w:val="2"/>
          <w:sz w:val="21"/>
          <w:szCs w:val="21"/>
          <w:highlight w:val="none"/>
          <w:lang w:val="en-US" w:eastAsia="zh-CN"/>
        </w:rPr>
        <w:t>部分</w:t>
      </w:r>
      <w:r>
        <w:rPr>
          <w:rFonts w:hint="eastAsia" w:ascii="宋体" w:hAnsi="宋体" w:eastAsia="宋体" w:cs="宋体"/>
          <w:color w:val="auto"/>
          <w:kern w:val="2"/>
          <w:sz w:val="21"/>
          <w:szCs w:val="21"/>
          <w:highlight w:val="none"/>
        </w:rPr>
        <w:t>为合同签订之日起1年</w:t>
      </w:r>
      <w:r>
        <w:rPr>
          <w:rFonts w:hint="eastAsia" w:ascii="宋体" w:hAnsi="宋体" w:eastAsia="宋体" w:cs="宋体"/>
          <w:color w:val="auto"/>
          <w:kern w:val="2"/>
          <w:sz w:val="21"/>
          <w:szCs w:val="21"/>
          <w:highlight w:val="none"/>
          <w:lang w:eastAsia="zh-CN"/>
        </w:rPr>
        <w:t>。</w:t>
      </w:r>
    </w:p>
    <w:p>
      <w:pPr>
        <w:pStyle w:val="29"/>
        <w:spacing w:line="360" w:lineRule="auto"/>
        <w:ind w:left="420" w:leftChars="200" w:firstLine="0" w:firstLineChars="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验收应提供文档包括但不限于:</w:t>
      </w:r>
    </w:p>
    <w:p>
      <w:pPr>
        <w:pStyle w:val="29"/>
        <w:adjustRightInd/>
        <w:snapToGrid/>
        <w:spacing w:line="360" w:lineRule="auto"/>
        <w:ind w:left="420" w:leftChars="200" w:firstLine="0" w:firstLineChars="0"/>
        <w:rPr>
          <w:rFonts w:hint="eastAsia" w:ascii="宋体" w:hAnsi="宋体" w:eastAsia="宋体" w:cs="宋体"/>
          <w:snapToGrid/>
          <w:color w:val="auto"/>
          <w:kern w:val="2"/>
          <w:sz w:val="21"/>
          <w:szCs w:val="21"/>
          <w:highlight w:val="none"/>
        </w:rPr>
      </w:pPr>
      <w:r>
        <w:rPr>
          <w:rFonts w:hint="eastAsia" w:ascii="宋体" w:hAnsi="宋体" w:eastAsia="宋体" w:cs="宋体"/>
          <w:snapToGrid/>
          <w:color w:val="auto"/>
          <w:kern w:val="2"/>
          <w:sz w:val="21"/>
          <w:szCs w:val="21"/>
          <w:highlight w:val="none"/>
        </w:rPr>
        <w:t>《需求规格说明书》</w:t>
      </w:r>
    </w:p>
    <w:p>
      <w:pPr>
        <w:pStyle w:val="29"/>
        <w:adjustRightInd/>
        <w:snapToGrid/>
        <w:spacing w:line="360" w:lineRule="auto"/>
        <w:ind w:left="420" w:leftChars="200" w:firstLine="0" w:firstLineChars="0"/>
        <w:rPr>
          <w:rFonts w:hint="eastAsia" w:ascii="宋体" w:hAnsi="宋体" w:eastAsia="宋体" w:cs="宋体"/>
          <w:snapToGrid/>
          <w:color w:val="auto"/>
          <w:kern w:val="2"/>
          <w:sz w:val="21"/>
          <w:szCs w:val="21"/>
          <w:highlight w:val="none"/>
        </w:rPr>
      </w:pPr>
      <w:r>
        <w:rPr>
          <w:rFonts w:hint="eastAsia" w:ascii="宋体" w:hAnsi="宋体" w:eastAsia="宋体" w:cs="宋体"/>
          <w:snapToGrid/>
          <w:color w:val="auto"/>
          <w:kern w:val="2"/>
          <w:sz w:val="21"/>
          <w:szCs w:val="21"/>
          <w:highlight w:val="none"/>
        </w:rPr>
        <w:t>《详细设计说明书》</w:t>
      </w:r>
    </w:p>
    <w:p>
      <w:pPr>
        <w:pStyle w:val="29"/>
        <w:adjustRightInd/>
        <w:snapToGrid/>
        <w:spacing w:line="360" w:lineRule="auto"/>
        <w:ind w:left="420" w:leftChars="200" w:firstLine="0" w:firstLineChars="0"/>
        <w:rPr>
          <w:rFonts w:hint="eastAsia" w:ascii="宋体" w:hAnsi="宋体" w:eastAsia="宋体" w:cs="宋体"/>
          <w:snapToGrid/>
          <w:color w:val="auto"/>
          <w:kern w:val="2"/>
          <w:sz w:val="21"/>
          <w:szCs w:val="21"/>
          <w:highlight w:val="none"/>
        </w:rPr>
      </w:pPr>
      <w:r>
        <w:rPr>
          <w:rFonts w:hint="eastAsia" w:ascii="宋体" w:hAnsi="宋体" w:eastAsia="宋体" w:cs="宋体"/>
          <w:snapToGrid/>
          <w:color w:val="auto"/>
          <w:kern w:val="2"/>
          <w:sz w:val="21"/>
          <w:szCs w:val="21"/>
          <w:highlight w:val="none"/>
        </w:rPr>
        <w:t>《</w:t>
      </w:r>
      <w:r>
        <w:rPr>
          <w:rFonts w:hint="eastAsia" w:ascii="宋体" w:hAnsi="宋体" w:eastAsia="宋体" w:cs="宋体"/>
          <w:snapToGrid/>
          <w:color w:val="auto"/>
          <w:kern w:val="2"/>
          <w:sz w:val="21"/>
          <w:szCs w:val="21"/>
          <w:highlight w:val="none"/>
          <w:lang w:eastAsia="zh-CN"/>
        </w:rPr>
        <w:t>数据库</w:t>
      </w:r>
      <w:r>
        <w:rPr>
          <w:rFonts w:hint="eastAsia" w:ascii="宋体" w:hAnsi="宋体" w:eastAsia="宋体" w:cs="宋体"/>
          <w:snapToGrid/>
          <w:color w:val="auto"/>
          <w:kern w:val="2"/>
          <w:sz w:val="21"/>
          <w:szCs w:val="21"/>
          <w:highlight w:val="none"/>
        </w:rPr>
        <w:t>设计说明书》</w:t>
      </w:r>
    </w:p>
    <w:p>
      <w:pPr>
        <w:pStyle w:val="29"/>
        <w:adjustRightInd/>
        <w:snapToGrid/>
        <w:spacing w:line="360" w:lineRule="auto"/>
        <w:ind w:left="420" w:leftChars="200" w:firstLine="0" w:firstLineChars="0"/>
        <w:rPr>
          <w:rFonts w:hint="eastAsia" w:ascii="宋体" w:hAnsi="宋体" w:eastAsia="宋体" w:cs="宋体"/>
          <w:snapToGrid/>
          <w:color w:val="auto"/>
          <w:kern w:val="2"/>
          <w:sz w:val="21"/>
          <w:szCs w:val="21"/>
          <w:highlight w:val="none"/>
        </w:rPr>
      </w:pPr>
      <w:r>
        <w:rPr>
          <w:rFonts w:hint="eastAsia" w:ascii="宋体" w:hAnsi="宋体" w:eastAsia="宋体" w:cs="宋体"/>
          <w:snapToGrid/>
          <w:color w:val="auto"/>
          <w:kern w:val="2"/>
          <w:sz w:val="21"/>
          <w:szCs w:val="21"/>
          <w:highlight w:val="none"/>
        </w:rPr>
        <w:t>《测试用例及测试报告》</w:t>
      </w:r>
    </w:p>
    <w:p>
      <w:pPr>
        <w:pStyle w:val="29"/>
        <w:adjustRightInd/>
        <w:snapToGrid/>
        <w:spacing w:line="360" w:lineRule="auto"/>
        <w:ind w:left="420" w:leftChars="200" w:firstLine="0" w:firstLineChars="0"/>
        <w:rPr>
          <w:rFonts w:hint="eastAsia" w:ascii="宋体" w:hAnsi="宋体" w:eastAsia="宋体" w:cs="宋体"/>
          <w:snapToGrid/>
          <w:color w:val="auto"/>
          <w:kern w:val="2"/>
          <w:sz w:val="21"/>
          <w:szCs w:val="21"/>
          <w:highlight w:val="none"/>
        </w:rPr>
      </w:pPr>
      <w:r>
        <w:rPr>
          <w:rFonts w:hint="eastAsia" w:ascii="宋体" w:hAnsi="宋体" w:eastAsia="宋体" w:cs="宋体"/>
          <w:snapToGrid/>
          <w:color w:val="auto"/>
          <w:kern w:val="2"/>
          <w:sz w:val="21"/>
          <w:szCs w:val="21"/>
          <w:highlight w:val="none"/>
        </w:rPr>
        <w:t>《实施报告》</w:t>
      </w:r>
    </w:p>
    <w:p>
      <w:pPr>
        <w:pStyle w:val="29"/>
        <w:adjustRightInd/>
        <w:snapToGrid/>
        <w:spacing w:line="360" w:lineRule="auto"/>
        <w:ind w:left="420" w:leftChars="200" w:firstLine="0" w:firstLineChars="0"/>
        <w:rPr>
          <w:rFonts w:hint="eastAsia" w:ascii="宋体" w:hAnsi="宋体" w:eastAsia="宋体" w:cs="宋体"/>
          <w:snapToGrid/>
          <w:color w:val="auto"/>
          <w:kern w:val="2"/>
          <w:sz w:val="21"/>
          <w:szCs w:val="21"/>
          <w:highlight w:val="none"/>
        </w:rPr>
      </w:pPr>
      <w:r>
        <w:rPr>
          <w:rFonts w:hint="eastAsia" w:ascii="宋体" w:hAnsi="宋体" w:eastAsia="宋体" w:cs="宋体"/>
          <w:snapToGrid/>
          <w:color w:val="auto"/>
          <w:kern w:val="2"/>
          <w:sz w:val="21"/>
          <w:szCs w:val="21"/>
          <w:highlight w:val="none"/>
        </w:rPr>
        <w:t>《安装实施手册》</w:t>
      </w:r>
    </w:p>
    <w:p>
      <w:pPr>
        <w:pStyle w:val="29"/>
        <w:adjustRightInd/>
        <w:snapToGrid/>
        <w:spacing w:line="360" w:lineRule="auto"/>
        <w:ind w:left="420" w:leftChars="200" w:firstLine="0" w:firstLineChars="0"/>
        <w:rPr>
          <w:rFonts w:hint="eastAsia" w:ascii="宋体" w:hAnsi="宋体" w:eastAsia="宋体" w:cs="宋体"/>
          <w:snapToGrid/>
          <w:color w:val="auto"/>
          <w:kern w:val="2"/>
          <w:sz w:val="21"/>
          <w:szCs w:val="21"/>
          <w:highlight w:val="none"/>
          <w:lang w:eastAsia="zh-CN"/>
        </w:rPr>
      </w:pPr>
      <w:r>
        <w:rPr>
          <w:rFonts w:hint="eastAsia" w:ascii="宋体" w:hAnsi="宋体" w:eastAsia="宋体" w:cs="宋体"/>
          <w:snapToGrid/>
          <w:color w:val="auto"/>
          <w:kern w:val="2"/>
          <w:sz w:val="21"/>
          <w:szCs w:val="21"/>
          <w:highlight w:val="none"/>
          <w:lang w:eastAsia="zh-CN"/>
        </w:rPr>
        <w:t>源代码及对应编译文件</w:t>
      </w:r>
    </w:p>
    <w:p>
      <w:pPr>
        <w:pStyle w:val="29"/>
        <w:adjustRightInd/>
        <w:snapToGrid/>
        <w:spacing w:line="360" w:lineRule="auto"/>
        <w:ind w:left="420" w:leftChars="200" w:firstLine="0" w:firstLineChars="0"/>
        <w:rPr>
          <w:rFonts w:hint="eastAsia" w:ascii="宋体" w:hAnsi="宋体" w:eastAsia="宋体" w:cs="宋体"/>
          <w:snapToGrid/>
          <w:color w:val="auto"/>
          <w:kern w:val="2"/>
          <w:sz w:val="21"/>
          <w:szCs w:val="21"/>
          <w:highlight w:val="none"/>
        </w:rPr>
      </w:pPr>
      <w:r>
        <w:rPr>
          <w:rFonts w:hint="eastAsia" w:ascii="宋体" w:hAnsi="宋体" w:eastAsia="宋体" w:cs="宋体"/>
          <w:snapToGrid/>
          <w:color w:val="auto"/>
          <w:kern w:val="2"/>
          <w:sz w:val="21"/>
          <w:szCs w:val="21"/>
          <w:highlight w:val="none"/>
          <w:lang w:eastAsia="zh-CN"/>
        </w:rPr>
        <w:t>《源代码编译环境和编译方法说明书》</w:t>
      </w:r>
    </w:p>
    <w:p>
      <w:pPr>
        <w:pStyle w:val="29"/>
        <w:adjustRightInd/>
        <w:snapToGrid/>
        <w:spacing w:line="360" w:lineRule="auto"/>
        <w:ind w:left="420" w:leftChars="200" w:firstLine="0" w:firstLineChars="0"/>
        <w:rPr>
          <w:rFonts w:hint="eastAsia" w:ascii="宋体" w:hAnsi="宋体" w:eastAsia="宋体" w:cs="宋体"/>
          <w:snapToGrid/>
          <w:color w:val="auto"/>
          <w:kern w:val="2"/>
          <w:sz w:val="21"/>
          <w:szCs w:val="21"/>
          <w:highlight w:val="none"/>
        </w:rPr>
      </w:pPr>
      <w:r>
        <w:rPr>
          <w:rFonts w:hint="eastAsia" w:ascii="宋体" w:hAnsi="宋体" w:eastAsia="宋体" w:cs="宋体"/>
          <w:snapToGrid/>
          <w:color w:val="auto"/>
          <w:kern w:val="2"/>
          <w:sz w:val="21"/>
          <w:szCs w:val="21"/>
          <w:highlight w:val="none"/>
        </w:rPr>
        <w:t>《用户操作手册》</w:t>
      </w:r>
    </w:p>
    <w:p>
      <w:pPr>
        <w:pStyle w:val="29"/>
        <w:adjustRightInd/>
        <w:snapToGrid/>
        <w:spacing w:line="360" w:lineRule="auto"/>
        <w:ind w:left="420" w:leftChars="200" w:firstLine="0" w:firstLineChars="0"/>
        <w:rPr>
          <w:rFonts w:hint="eastAsia" w:ascii="宋体" w:hAnsi="宋体" w:eastAsia="宋体" w:cs="宋体"/>
          <w:snapToGrid/>
          <w:color w:val="auto"/>
          <w:kern w:val="2"/>
          <w:sz w:val="21"/>
          <w:szCs w:val="21"/>
          <w:highlight w:val="none"/>
        </w:rPr>
      </w:pPr>
      <w:r>
        <w:rPr>
          <w:rFonts w:hint="eastAsia" w:ascii="宋体" w:hAnsi="宋体" w:eastAsia="宋体" w:cs="宋体"/>
          <w:snapToGrid/>
          <w:color w:val="auto"/>
          <w:kern w:val="2"/>
          <w:sz w:val="21"/>
          <w:szCs w:val="21"/>
          <w:highlight w:val="none"/>
        </w:rPr>
        <w:t>《管理员操作手册》</w:t>
      </w:r>
    </w:p>
    <w:p>
      <w:pPr>
        <w:pStyle w:val="29"/>
        <w:spacing w:line="360" w:lineRule="auto"/>
        <w:ind w:firstLine="420" w:firstLineChars="200"/>
        <w:rPr>
          <w:rFonts w:hint="eastAsia" w:ascii="宋体" w:hAnsi="宋体" w:eastAsia="宋体" w:cs="宋体"/>
          <w:color w:val="auto"/>
          <w:kern w:val="2"/>
          <w:sz w:val="21"/>
          <w:szCs w:val="21"/>
          <w:highlight w:val="none"/>
        </w:rPr>
      </w:pPr>
    </w:p>
    <w:p>
      <w:pPr>
        <w:numPr>
          <w:ilvl w:val="1"/>
          <w:numId w:val="0"/>
        </w:numPr>
        <w:spacing w:line="360" w:lineRule="auto"/>
        <w:ind w:left="2963" w:hanging="2403"/>
        <w:jc w:val="left"/>
        <w:outlineLvl w:val="0"/>
        <w:rPr>
          <w:rFonts w:hint="eastAsia" w:ascii="宋体" w:hAnsi="宋体" w:eastAsia="宋体" w:cs="宋体"/>
          <w:b/>
          <w:bCs/>
          <w:color w:val="auto"/>
          <w:sz w:val="28"/>
          <w:szCs w:val="28"/>
          <w:highlight w:val="none"/>
        </w:rPr>
      </w:pPr>
      <w:bookmarkStart w:id="201" w:name="_Toc18027"/>
      <w:bookmarkStart w:id="202" w:name="_Toc115343418"/>
      <w:bookmarkStart w:id="203" w:name="_Toc2489"/>
      <w:bookmarkStart w:id="204" w:name="_Toc31702"/>
      <w:bookmarkStart w:id="205" w:name="_Toc9757"/>
    </w:p>
    <w:p>
      <w:pPr>
        <w:numPr>
          <w:ilvl w:val="1"/>
          <w:numId w:val="0"/>
        </w:numPr>
        <w:spacing w:line="360" w:lineRule="auto"/>
        <w:ind w:left="2963" w:hanging="2403"/>
        <w:jc w:val="left"/>
        <w:outlineLvl w:val="0"/>
        <w:rPr>
          <w:rFonts w:hint="eastAsia" w:ascii="宋体" w:hAnsi="宋体" w:eastAsia="宋体" w:cs="宋体"/>
          <w:b/>
          <w:bCs/>
          <w:color w:val="auto"/>
          <w:sz w:val="28"/>
          <w:szCs w:val="28"/>
          <w:highlight w:val="none"/>
        </w:rPr>
      </w:pPr>
      <w:bookmarkStart w:id="206" w:name="_Toc9437"/>
      <w:r>
        <w:rPr>
          <w:rFonts w:hint="eastAsia" w:ascii="宋体" w:hAnsi="宋体" w:eastAsia="宋体" w:cs="宋体"/>
          <w:b/>
          <w:bCs/>
          <w:color w:val="auto"/>
          <w:sz w:val="28"/>
          <w:szCs w:val="28"/>
          <w:highlight w:val="none"/>
        </w:rPr>
        <w:t>七、市县预算管理一体化服务需求（费用标准）</w:t>
      </w:r>
      <w:bookmarkEnd w:id="201"/>
      <w:bookmarkEnd w:id="202"/>
      <w:bookmarkEnd w:id="203"/>
      <w:bookmarkEnd w:id="204"/>
      <w:bookmarkEnd w:id="205"/>
      <w:bookmarkEnd w:id="206"/>
    </w:p>
    <w:p>
      <w:pPr>
        <w:spacing w:line="360" w:lineRule="auto"/>
        <w:ind w:firstLine="482" w:firstLineChars="200"/>
        <w:outlineLvl w:val="0"/>
        <w:rPr>
          <w:rFonts w:hint="eastAsia" w:ascii="宋体" w:hAnsi="宋体" w:eastAsia="宋体" w:cs="宋体"/>
          <w:b/>
          <w:color w:val="auto"/>
          <w:sz w:val="24"/>
          <w:szCs w:val="24"/>
          <w:highlight w:val="none"/>
        </w:rPr>
      </w:pPr>
      <w:bookmarkStart w:id="207" w:name="_Toc3944"/>
      <w:bookmarkStart w:id="208" w:name="_Toc115343419"/>
      <w:bookmarkStart w:id="209" w:name="_Toc27485"/>
      <w:bookmarkStart w:id="210" w:name="_Toc32411"/>
      <w:bookmarkStart w:id="211" w:name="_Toc1352"/>
      <w:bookmarkStart w:id="212" w:name="_Toc23907"/>
      <w:bookmarkStart w:id="213" w:name="_Toc17776"/>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一</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采购内容</w:t>
      </w:r>
      <w:bookmarkEnd w:id="207"/>
      <w:bookmarkEnd w:id="208"/>
      <w:bookmarkEnd w:id="209"/>
      <w:bookmarkEnd w:id="210"/>
      <w:bookmarkEnd w:id="211"/>
      <w:bookmarkEnd w:id="212"/>
      <w:bookmarkEnd w:id="213"/>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市县预算管理一体化服务内容：为市县区财政局提供新年度系统实施和技术支持服务，支撑市县区级财政局预算管理一体化系统正常运转，服务对象为市县（区）财政局用户。</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供应商按省财政厅要求做好全省各级财政区划新年度系统初始化，根据各市县需求及时组织新年度升级实施，为市县（区）财政局提供标准实施和运维服务。费用包含新年度初始化设置、培训和日常运维服务费用，市县区财政局依据采购标准与中标供应商签订合同并付费。</w:t>
      </w:r>
    </w:p>
    <w:p>
      <w:pPr>
        <w:pStyle w:val="29"/>
        <w:spacing w:line="360" w:lineRule="auto"/>
        <w:ind w:firstLine="0" w:firstLineChars="0"/>
        <w:rPr>
          <w:rFonts w:hint="eastAsia" w:ascii="宋体" w:hAnsi="宋体" w:eastAsia="宋体" w:cs="宋体"/>
          <w:color w:val="auto"/>
          <w:kern w:val="2"/>
          <w:sz w:val="21"/>
          <w:szCs w:val="21"/>
          <w:highlight w:val="none"/>
        </w:rPr>
      </w:pPr>
    </w:p>
    <w:p>
      <w:pPr>
        <w:spacing w:line="360" w:lineRule="auto"/>
        <w:ind w:firstLine="482" w:firstLineChars="200"/>
        <w:outlineLvl w:val="0"/>
        <w:rPr>
          <w:rFonts w:hint="eastAsia" w:ascii="宋体" w:hAnsi="宋体" w:eastAsia="宋体" w:cs="宋体"/>
          <w:b/>
          <w:color w:val="auto"/>
          <w:sz w:val="24"/>
          <w:szCs w:val="24"/>
          <w:highlight w:val="none"/>
        </w:rPr>
      </w:pPr>
      <w:bookmarkStart w:id="214" w:name="_Toc2533"/>
      <w:bookmarkStart w:id="215" w:name="_Toc18889"/>
      <w:bookmarkStart w:id="216" w:name="_Toc20976"/>
      <w:bookmarkStart w:id="217" w:name="_Toc115343420"/>
      <w:bookmarkStart w:id="218" w:name="_Toc19700"/>
      <w:bookmarkStart w:id="219" w:name="_Toc31213"/>
      <w:bookmarkStart w:id="220" w:name="_Toc32416"/>
      <w:bookmarkStart w:id="221" w:name="_Toc11871"/>
      <w:bookmarkStart w:id="222" w:name="_Toc7138"/>
      <w:bookmarkStart w:id="223" w:name="_Toc1458"/>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二</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服务周期</w:t>
      </w:r>
      <w:bookmarkEnd w:id="214"/>
      <w:bookmarkEnd w:id="215"/>
      <w:bookmarkEnd w:id="216"/>
      <w:bookmarkEnd w:id="217"/>
      <w:bookmarkEnd w:id="218"/>
      <w:bookmarkEnd w:id="219"/>
      <w:bookmarkEnd w:id="220"/>
      <w:bookmarkEnd w:id="221"/>
      <w:bookmarkEnd w:id="222"/>
      <w:bookmarkEnd w:id="223"/>
    </w:p>
    <w:p>
      <w:pPr>
        <w:pStyle w:val="29"/>
        <w:spacing w:line="360" w:lineRule="auto"/>
        <w:ind w:firstLine="420" w:firstLineChars="200"/>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服务期一年。</w:t>
      </w:r>
    </w:p>
    <w:p>
      <w:pPr>
        <w:pStyle w:val="29"/>
        <w:spacing w:line="360" w:lineRule="auto"/>
        <w:ind w:firstLine="0" w:firstLineChars="0"/>
        <w:rPr>
          <w:rFonts w:hint="eastAsia" w:ascii="宋体" w:hAnsi="宋体" w:eastAsia="宋体" w:cs="宋体"/>
          <w:color w:val="auto"/>
          <w:kern w:val="2"/>
          <w:sz w:val="21"/>
          <w:szCs w:val="21"/>
          <w:highlight w:val="none"/>
          <w:lang w:eastAsia="zh-CN"/>
        </w:rPr>
      </w:pPr>
    </w:p>
    <w:p>
      <w:pPr>
        <w:spacing w:line="360" w:lineRule="auto"/>
        <w:ind w:firstLine="482" w:firstLineChars="200"/>
        <w:outlineLvl w:val="0"/>
        <w:rPr>
          <w:rFonts w:hint="eastAsia" w:ascii="宋体" w:hAnsi="宋体" w:eastAsia="宋体" w:cs="宋体"/>
          <w:b/>
          <w:color w:val="auto"/>
          <w:sz w:val="24"/>
          <w:szCs w:val="24"/>
          <w:highlight w:val="none"/>
        </w:rPr>
      </w:pPr>
      <w:bookmarkStart w:id="224" w:name="_Toc6858"/>
      <w:bookmarkStart w:id="225" w:name="_Toc7157"/>
      <w:bookmarkStart w:id="226" w:name="_Toc18734"/>
      <w:bookmarkStart w:id="227" w:name="_Toc15495"/>
      <w:bookmarkStart w:id="228" w:name="_Toc12302"/>
      <w:bookmarkStart w:id="229" w:name="_Toc5034"/>
      <w:bookmarkStart w:id="230" w:name="_Toc2870"/>
      <w:bookmarkStart w:id="231" w:name="_Toc15096"/>
      <w:bookmarkStart w:id="232" w:name="_Toc115343421"/>
      <w:bookmarkStart w:id="233" w:name="_Toc4718"/>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三</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年度系统功能初始化及维护服务要求</w:t>
      </w:r>
      <w:bookmarkEnd w:id="224"/>
      <w:bookmarkEnd w:id="225"/>
      <w:bookmarkEnd w:id="226"/>
      <w:bookmarkEnd w:id="227"/>
      <w:bookmarkEnd w:id="228"/>
      <w:bookmarkEnd w:id="229"/>
      <w:bookmarkEnd w:id="230"/>
      <w:bookmarkEnd w:id="231"/>
      <w:bookmarkEnd w:id="232"/>
      <w:bookmarkEnd w:id="233"/>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服务期内，供应商根据情况安排服务人员完成系统功能初始化及日常运维支持服务，包含：业务模块新年度实施配置、系统测试、培训、年结支持。标准服务中每个市县单个年度中用户现场服务时间不超过2个人月，超出部分由市县（区）财政局与供应商另行协商。</w:t>
      </w:r>
    </w:p>
    <w:p>
      <w:pPr>
        <w:pStyle w:val="29"/>
        <w:spacing w:line="360" w:lineRule="auto"/>
        <w:ind w:firstLine="420" w:firstLineChars="200"/>
        <w:rPr>
          <w:rFonts w:hint="eastAsia" w:ascii="宋体" w:hAnsi="宋体" w:eastAsia="宋体" w:cs="宋体"/>
          <w:color w:val="auto"/>
          <w:kern w:val="2"/>
          <w:sz w:val="21"/>
          <w:szCs w:val="21"/>
          <w:highlight w:val="none"/>
        </w:rPr>
      </w:pPr>
    </w:p>
    <w:p>
      <w:pPr>
        <w:spacing w:line="360" w:lineRule="auto"/>
        <w:ind w:firstLine="482" w:firstLineChars="200"/>
        <w:outlineLvl w:val="0"/>
        <w:rPr>
          <w:rFonts w:hint="eastAsia" w:ascii="宋体" w:hAnsi="宋体" w:eastAsia="宋体" w:cs="宋体"/>
          <w:b/>
          <w:color w:val="auto"/>
          <w:sz w:val="24"/>
          <w:szCs w:val="24"/>
          <w:highlight w:val="none"/>
        </w:rPr>
      </w:pPr>
      <w:bookmarkStart w:id="234" w:name="_Toc25437"/>
      <w:bookmarkStart w:id="235" w:name="_Toc22495"/>
      <w:bookmarkStart w:id="236" w:name="_Toc16696"/>
      <w:bookmarkStart w:id="237" w:name="_Toc4091"/>
      <w:bookmarkStart w:id="238" w:name="_Toc115343422"/>
      <w:bookmarkStart w:id="239" w:name="_Toc11586"/>
      <w:bookmarkStart w:id="240" w:name="_Toc27176"/>
      <w:bookmarkStart w:id="241" w:name="_Toc27058"/>
      <w:bookmarkStart w:id="242" w:name="_Toc6300"/>
      <w:bookmarkStart w:id="243" w:name="_Toc943"/>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四</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日常技术支持服务要求</w:t>
      </w:r>
      <w:bookmarkEnd w:id="234"/>
      <w:bookmarkEnd w:id="235"/>
      <w:bookmarkEnd w:id="236"/>
      <w:bookmarkEnd w:id="237"/>
      <w:bookmarkEnd w:id="238"/>
      <w:bookmarkEnd w:id="239"/>
      <w:bookmarkEnd w:id="240"/>
      <w:bookmarkEnd w:id="241"/>
      <w:bookmarkEnd w:id="242"/>
      <w:bookmarkEnd w:id="243"/>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需根据实际服务的市县（区）财政局范围，配备相应的技术人员组成技术支持服务团队，为市县财政相关用户提供统一的在线/热线服务，提供业务咨询、疑难问题解答、系统操作指导、系统日常配置调整、投诉及改进意见受理、有关技术支持方面的服务。</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日常运行期间提供5×8小时远程运维支持服务；问题响应在2小时之内，一般问题4小时内给予解决，复杂问题1天内给出解决办法，远程不能解决的24小时之内指派技术人员现场解决。 </w:t>
      </w:r>
    </w:p>
    <w:p>
      <w:pPr>
        <w:pStyle w:val="29"/>
        <w:spacing w:line="360" w:lineRule="auto"/>
        <w:ind w:firstLine="420" w:firstLineChars="200"/>
        <w:rPr>
          <w:rFonts w:hint="eastAsia" w:ascii="宋体" w:hAnsi="宋体" w:eastAsia="宋体" w:cs="宋体"/>
          <w:color w:val="auto"/>
          <w:kern w:val="2"/>
          <w:sz w:val="21"/>
          <w:szCs w:val="21"/>
          <w:highlight w:val="none"/>
        </w:rPr>
      </w:pPr>
    </w:p>
    <w:p>
      <w:pPr>
        <w:spacing w:line="360" w:lineRule="auto"/>
        <w:ind w:firstLine="482" w:firstLineChars="200"/>
        <w:outlineLvl w:val="0"/>
        <w:rPr>
          <w:rFonts w:hint="eastAsia" w:ascii="宋体" w:hAnsi="宋体" w:eastAsia="宋体" w:cs="宋体"/>
          <w:b/>
          <w:color w:val="auto"/>
          <w:sz w:val="24"/>
          <w:szCs w:val="24"/>
          <w:highlight w:val="none"/>
        </w:rPr>
      </w:pPr>
      <w:bookmarkStart w:id="244" w:name="_Toc30869"/>
      <w:bookmarkStart w:id="245" w:name="_Toc25583697"/>
      <w:bookmarkStart w:id="246" w:name="_Toc21069"/>
      <w:bookmarkStart w:id="247" w:name="_Toc217"/>
      <w:bookmarkStart w:id="248" w:name="_Toc115343423"/>
      <w:bookmarkStart w:id="249" w:name="_Toc17067"/>
      <w:bookmarkStart w:id="250" w:name="_Toc32561"/>
      <w:bookmarkStart w:id="251" w:name="_Toc14368"/>
      <w:bookmarkStart w:id="252" w:name="_Toc20215"/>
      <w:bookmarkStart w:id="253" w:name="_Toc18507"/>
      <w:bookmarkStart w:id="254" w:name="_Toc12840"/>
      <w:bookmarkStart w:id="255" w:name="_Toc17161"/>
      <w:bookmarkStart w:id="256" w:name="_Toc15258"/>
      <w:bookmarkStart w:id="257" w:name="_Toc16125"/>
      <w:bookmarkStart w:id="258" w:name="_Toc13624"/>
      <w:bookmarkStart w:id="259" w:name="_Toc4698"/>
      <w:bookmarkStart w:id="260" w:name="_Toc28047"/>
      <w:bookmarkStart w:id="261" w:name="_Toc103"/>
      <w:bookmarkStart w:id="262" w:name="_Toc1506"/>
      <w:bookmarkStart w:id="263" w:name="_Toc30899"/>
      <w:bookmarkStart w:id="264" w:name="_Toc8543"/>
      <w:bookmarkStart w:id="265" w:name="_Toc4106"/>
      <w:bookmarkStart w:id="266" w:name="_Toc28209"/>
      <w:bookmarkStart w:id="267" w:name="_Toc11935"/>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五</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服务团队要求</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rPr>
        <w:t>供应商应根据服务的市县范围提供相应的服务团队，需要为每个服务的市县（区）财政局配置项目经理，负责整体事宜协调、联络和进度把控，确保每个市县（区）财政局能实时联系到服务人员并解决问题。</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rPr>
        <w:t>服务的工程师需熟悉系统功能和财政业务，具备较强的系统实施、运维能力，能够及时高效地完成市县财政用户交办的服务内容。</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rPr>
        <w:t>需给服务的财政部门提供实施工程师电话、邮箱联系方式，并确保每个工作日8小时的电话快速响应，及时处理相关问题；需给服务的财政部门提供应急服务支持人员电话，在非工作日或非上班时间的紧急事宜响应和处理。</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rPr>
        <w:t>供应商应确保服务团队成员严格按照省财政厅和市县（区）财政局的网络安全和运维管理要求进行服务提供，服务的工程师要严格遵守保密约定，不得将开发及运维过程中获取的数据和文档等资料泄露给第三方。</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5</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rPr>
        <w:t>服务团队人员更换需至少提前一个月通知到对应的市县（区）财政局，内部做好培训和工作交接，征得财政同意后方可更换。如因人员更换影响预算管理一体化系统运转，财政部门有权拒绝更换。</w:t>
      </w:r>
    </w:p>
    <w:p>
      <w:pPr>
        <w:pStyle w:val="29"/>
        <w:spacing w:line="360" w:lineRule="auto"/>
        <w:ind w:firstLine="420" w:firstLineChars="200"/>
        <w:rPr>
          <w:rFonts w:hint="eastAsia" w:ascii="宋体" w:hAnsi="宋体" w:eastAsia="宋体" w:cs="宋体"/>
          <w:color w:val="auto"/>
          <w:kern w:val="2"/>
          <w:sz w:val="21"/>
          <w:szCs w:val="21"/>
          <w:highlight w:val="none"/>
        </w:rPr>
      </w:pPr>
    </w:p>
    <w:p>
      <w:pPr>
        <w:spacing w:line="360" w:lineRule="auto"/>
        <w:ind w:firstLine="482" w:firstLineChars="200"/>
        <w:outlineLvl w:val="0"/>
        <w:rPr>
          <w:rFonts w:hint="eastAsia" w:ascii="宋体" w:hAnsi="宋体" w:eastAsia="宋体" w:cs="宋体"/>
          <w:b/>
          <w:color w:val="auto"/>
          <w:sz w:val="24"/>
          <w:szCs w:val="24"/>
          <w:highlight w:val="none"/>
        </w:rPr>
      </w:pPr>
      <w:bookmarkStart w:id="268" w:name="_Toc18687"/>
      <w:bookmarkStart w:id="269" w:name="_Toc21745"/>
      <w:bookmarkStart w:id="270" w:name="_Toc20194"/>
      <w:bookmarkStart w:id="271" w:name="_Toc15458"/>
      <w:bookmarkStart w:id="272" w:name="_Toc28639"/>
      <w:bookmarkStart w:id="273" w:name="_Toc13417"/>
      <w:bookmarkStart w:id="274" w:name="_Toc21963"/>
      <w:bookmarkStart w:id="275" w:name="_Toc18513"/>
      <w:bookmarkStart w:id="276" w:name="_Toc14439"/>
      <w:bookmarkStart w:id="277" w:name="_Toc30002"/>
      <w:bookmarkStart w:id="278" w:name="_Toc22165"/>
      <w:bookmarkStart w:id="279" w:name="_Toc20997"/>
      <w:bookmarkStart w:id="280" w:name="_Toc23227"/>
      <w:bookmarkStart w:id="281" w:name="_Toc26341"/>
      <w:bookmarkStart w:id="282" w:name="_Toc22335"/>
      <w:bookmarkStart w:id="283" w:name="_Toc17973"/>
      <w:bookmarkStart w:id="284" w:name="_Toc23122"/>
      <w:bookmarkStart w:id="285" w:name="_Toc1660"/>
      <w:bookmarkStart w:id="286" w:name="_Toc22332"/>
      <w:bookmarkStart w:id="287" w:name="_Toc24843"/>
      <w:bookmarkStart w:id="288" w:name="_Toc32199"/>
      <w:bookmarkStart w:id="289" w:name="_Toc9387"/>
      <w:bookmarkStart w:id="290" w:name="_Toc25583698"/>
      <w:bookmarkStart w:id="291" w:name="_Toc115343424"/>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六</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培训要求</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rPr>
        <w:t>根据各市县（区）财政局需求，为各市县（区）财政局用户提供系统操作培训。</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rPr>
        <w:t>培训由供应商负责师资及教材编写，现场培训由财政部门提供场地和培训设备并负责受训人员召集，组织实施。供应商必须派出具有实际工作经验的讲师进行培训。</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rPr>
        <w:t>培训讲师的住宿及差旅费用由中标供应商承担；培训所需的场地由市县（区）财政局提供，培训场地如需费用由市县（区）财政局承担，参加培训的用户的住宿或差旅费用由财政或部门自行安排。</w:t>
      </w:r>
    </w:p>
    <w:p>
      <w:pPr>
        <w:pStyle w:val="29"/>
        <w:spacing w:line="360" w:lineRule="auto"/>
        <w:ind w:firstLine="420" w:firstLineChars="200"/>
        <w:rPr>
          <w:rFonts w:hint="eastAsia" w:ascii="宋体" w:hAnsi="宋体" w:eastAsia="宋体" w:cs="宋体"/>
          <w:color w:val="auto"/>
          <w:kern w:val="2"/>
          <w:sz w:val="21"/>
          <w:szCs w:val="21"/>
          <w:highlight w:val="none"/>
        </w:rPr>
      </w:pPr>
    </w:p>
    <w:p>
      <w:pPr>
        <w:spacing w:line="360" w:lineRule="auto"/>
        <w:ind w:firstLine="482" w:firstLineChars="200"/>
        <w:outlineLvl w:val="0"/>
        <w:rPr>
          <w:rFonts w:hint="eastAsia" w:ascii="宋体" w:hAnsi="宋体" w:eastAsia="宋体" w:cs="宋体"/>
          <w:b/>
          <w:color w:val="auto"/>
          <w:sz w:val="24"/>
          <w:szCs w:val="24"/>
          <w:highlight w:val="none"/>
        </w:rPr>
      </w:pPr>
      <w:bookmarkStart w:id="292" w:name="_Toc7510"/>
      <w:bookmarkStart w:id="293" w:name="_Toc5284"/>
      <w:bookmarkStart w:id="294" w:name="_Toc29741"/>
      <w:bookmarkStart w:id="295" w:name="_Toc7874"/>
      <w:bookmarkStart w:id="296" w:name="_Toc9046"/>
      <w:bookmarkStart w:id="297" w:name="_Toc21728"/>
      <w:bookmarkStart w:id="298" w:name="_Toc5651"/>
      <w:bookmarkStart w:id="299" w:name="_Toc8185"/>
      <w:bookmarkStart w:id="300" w:name="_Toc12313"/>
      <w:bookmarkStart w:id="301" w:name="_Toc1424"/>
      <w:bookmarkStart w:id="302" w:name="_Toc8339"/>
      <w:bookmarkStart w:id="303" w:name="_Toc31079"/>
      <w:bookmarkStart w:id="304" w:name="_Toc20242"/>
      <w:bookmarkStart w:id="305" w:name="_Toc115343425"/>
      <w:bookmarkStart w:id="306" w:name="_Toc17354"/>
      <w:bookmarkStart w:id="307" w:name="_Toc29874"/>
      <w:bookmarkStart w:id="308" w:name="_Toc1782"/>
      <w:bookmarkStart w:id="309" w:name="_Toc28855"/>
      <w:bookmarkStart w:id="310" w:name="_Toc17700"/>
      <w:bookmarkStart w:id="311" w:name="_Toc25583699"/>
      <w:bookmarkStart w:id="312" w:name="_Toc14433"/>
      <w:bookmarkStart w:id="313" w:name="_Toc1376"/>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七</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其他要求</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29"/>
        <w:spacing w:line="360" w:lineRule="auto"/>
        <w:ind w:firstLine="420" w:firstLineChars="200"/>
        <w:rPr>
          <w:rFonts w:hint="eastAsia" w:ascii="宋体" w:hAnsi="宋体" w:eastAsia="宋体" w:cs="宋体"/>
          <w:color w:val="auto"/>
          <w:kern w:val="2"/>
          <w:sz w:val="21"/>
          <w:szCs w:val="21"/>
          <w:highlight w:val="none"/>
        </w:rPr>
      </w:pPr>
      <w:bookmarkStart w:id="314" w:name="_Toc30182"/>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rPr>
        <w:t>报价方式</w:t>
      </w:r>
      <w:bookmarkEnd w:id="314"/>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供应商应根据市县（区）财政局预算管理一体化服务内容和要求，对市县标准年度服务费用进行报价</w:t>
      </w:r>
      <w:r>
        <w:rPr>
          <w:rFonts w:hint="eastAsia" w:hAnsi="宋体" w:cs="宋体"/>
          <w:color w:val="auto"/>
          <w:kern w:val="2"/>
          <w:sz w:val="21"/>
          <w:szCs w:val="21"/>
          <w:highlight w:val="none"/>
          <w:lang w:eastAsia="zh-CN"/>
        </w:rPr>
        <w:t>（</w:t>
      </w:r>
      <w:r>
        <w:rPr>
          <w:rFonts w:hint="eastAsia" w:hAnsi="宋体" w:cs="宋体"/>
          <w:color w:val="auto"/>
          <w:kern w:val="2"/>
          <w:sz w:val="21"/>
          <w:szCs w:val="21"/>
          <w:highlight w:val="none"/>
          <w:lang w:val="en-US" w:eastAsia="zh-CN"/>
        </w:rPr>
        <w:t>按预算（基础信息、项目库、预算编制与批复、预算绩效、预算调整与调剂）、执行（预算执行、预算指标会计核算）、安全服务分项报价</w:t>
      </w:r>
      <w:r>
        <w:rPr>
          <w:rFonts w:hint="eastAsia" w:hAnsi="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，地市级年度服务总价不超过 60万元，区县级年度服务总价不超过40万元。</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服务费用含系统新年度初始化实施，培训、现场服务和远程服务统一标准的服务，市县（区）财政局不再另行支付额外费用。市县的个性需求服务费用另行与供应商商议。</w:t>
      </w:r>
    </w:p>
    <w:p>
      <w:pPr>
        <w:pStyle w:val="29"/>
        <w:spacing w:line="360" w:lineRule="auto"/>
        <w:ind w:firstLine="420" w:firstLineChars="200"/>
        <w:rPr>
          <w:rFonts w:hint="eastAsia" w:ascii="宋体" w:hAnsi="宋体" w:eastAsia="宋体" w:cs="宋体"/>
          <w:color w:val="auto"/>
          <w:kern w:val="2"/>
          <w:sz w:val="21"/>
          <w:szCs w:val="21"/>
          <w:highlight w:val="none"/>
        </w:rPr>
      </w:pPr>
      <w:bookmarkStart w:id="315" w:name="_Toc19498"/>
      <w:r>
        <w:rPr>
          <w:rFonts w:hint="eastAsia" w:ascii="宋体" w:hAnsi="宋体" w:eastAsia="宋体" w:cs="宋体"/>
          <w:color w:val="auto"/>
          <w:kern w:val="2"/>
          <w:sz w:val="21"/>
          <w:szCs w:val="21"/>
          <w:highlight w:val="none"/>
        </w:rPr>
        <w:t>2</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rPr>
        <w:t>付款方式</w:t>
      </w:r>
      <w:bookmarkEnd w:id="315"/>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市县服务费由各市县（区）财政局支付，市县（区）财政局根据实际情况与供应商签订合同并约定付款方式。</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rPr>
        <w:t>验收要求</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市县服务验收由各市县（区）财政局自行组织，</w:t>
      </w:r>
      <w:r>
        <w:rPr>
          <w:rFonts w:hint="eastAsia" w:hAnsi="宋体" w:cs="宋体"/>
          <w:color w:val="auto"/>
          <w:kern w:val="2"/>
          <w:sz w:val="21"/>
          <w:szCs w:val="21"/>
          <w:highlight w:val="none"/>
          <w:lang w:val="en-US" w:eastAsia="zh-CN"/>
        </w:rPr>
        <w:t>供应商</w:t>
      </w:r>
      <w:r>
        <w:rPr>
          <w:rFonts w:hint="eastAsia" w:ascii="宋体" w:hAnsi="宋体" w:eastAsia="宋体" w:cs="宋体"/>
          <w:color w:val="auto"/>
          <w:kern w:val="2"/>
          <w:sz w:val="21"/>
          <w:szCs w:val="21"/>
          <w:highlight w:val="none"/>
        </w:rPr>
        <w:t>配合提供电子版用户操作手册及服务过程相关文档。</w:t>
      </w:r>
    </w:p>
    <w:p>
      <w:pPr>
        <w:pStyle w:val="29"/>
        <w:spacing w:line="360" w:lineRule="auto"/>
        <w:ind w:firstLine="420" w:firstLineChars="200"/>
        <w:rPr>
          <w:rFonts w:hint="eastAsia" w:ascii="宋体" w:hAnsi="宋体" w:eastAsia="宋体" w:cs="宋体"/>
          <w:color w:val="auto"/>
          <w:kern w:val="2"/>
          <w:sz w:val="21"/>
          <w:szCs w:val="21"/>
          <w:highlight w:val="none"/>
        </w:rPr>
      </w:pPr>
    </w:p>
    <w:p>
      <w:pPr>
        <w:spacing w:line="360" w:lineRule="auto"/>
        <w:ind w:firstLine="482" w:firstLineChars="200"/>
        <w:outlineLvl w:val="0"/>
        <w:rPr>
          <w:rFonts w:hint="eastAsia" w:ascii="宋体" w:hAnsi="宋体" w:eastAsia="宋体" w:cs="宋体"/>
          <w:b/>
          <w:color w:val="auto"/>
          <w:sz w:val="24"/>
          <w:szCs w:val="24"/>
          <w:highlight w:val="none"/>
        </w:rPr>
      </w:pPr>
      <w:bookmarkStart w:id="316" w:name="_Toc27619"/>
      <w:bookmarkStart w:id="317" w:name="_Toc32708"/>
      <w:r>
        <w:rPr>
          <w:rFonts w:hint="eastAsia" w:ascii="宋体" w:hAnsi="宋体" w:eastAsia="宋体" w:cs="宋体"/>
          <w:b/>
          <w:color w:val="auto"/>
          <w:kern w:val="2"/>
          <w:sz w:val="24"/>
          <w:szCs w:val="24"/>
          <w:highlight w:val="none"/>
          <w:lang w:eastAsia="zh-CN"/>
        </w:rPr>
        <w:t>（</w:t>
      </w:r>
      <w:r>
        <w:rPr>
          <w:rFonts w:hint="eastAsia" w:ascii="宋体" w:hAnsi="宋体" w:eastAsia="宋体" w:cs="宋体"/>
          <w:b/>
          <w:color w:val="auto"/>
          <w:kern w:val="2"/>
          <w:sz w:val="24"/>
          <w:szCs w:val="24"/>
          <w:highlight w:val="none"/>
          <w:lang w:val="en-US" w:eastAsia="zh-CN"/>
        </w:rPr>
        <w:t>八</w:t>
      </w:r>
      <w:r>
        <w:rPr>
          <w:rFonts w:hint="eastAsia" w:ascii="宋体" w:hAnsi="宋体" w:eastAsia="宋体" w:cs="宋体"/>
          <w:b/>
          <w:color w:val="auto"/>
          <w:kern w:val="2"/>
          <w:sz w:val="24"/>
          <w:szCs w:val="24"/>
          <w:highlight w:val="none"/>
          <w:lang w:eastAsia="zh-CN"/>
        </w:rPr>
        <w:t>）</w:t>
      </w:r>
      <w:bookmarkEnd w:id="316"/>
      <w:bookmarkStart w:id="318" w:name="_Toc31973"/>
      <w:bookmarkStart w:id="319" w:name="_Toc86951128"/>
      <w:bookmarkStart w:id="320" w:name="_Toc25963"/>
      <w:bookmarkStart w:id="321" w:name="_Toc22835"/>
      <w:bookmarkStart w:id="322" w:name="_Toc115343426"/>
      <w:bookmarkStart w:id="323" w:name="_Toc25237"/>
      <w:bookmarkStart w:id="324" w:name="_Toc23752"/>
      <w:bookmarkStart w:id="325" w:name="_Toc28654"/>
      <w:r>
        <w:rPr>
          <w:rFonts w:hint="eastAsia" w:ascii="宋体" w:hAnsi="宋体" w:eastAsia="宋体" w:cs="宋体"/>
          <w:b/>
          <w:color w:val="auto"/>
          <w:sz w:val="24"/>
          <w:szCs w:val="24"/>
          <w:highlight w:val="none"/>
        </w:rPr>
        <w:t>服务验收考核办法</w:t>
      </w:r>
      <w:bookmarkEnd w:id="317"/>
      <w:bookmarkEnd w:id="318"/>
      <w:bookmarkEnd w:id="319"/>
      <w:bookmarkEnd w:id="320"/>
      <w:bookmarkEnd w:id="321"/>
      <w:bookmarkEnd w:id="322"/>
      <w:bookmarkEnd w:id="323"/>
      <w:bookmarkEnd w:id="324"/>
      <w:bookmarkEnd w:id="325"/>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合同服务期满后，由各市县分别组织对本区划服务进行合同验收，主要从运维服务情况进行验收。</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验收指标明细如下表：</w:t>
      </w:r>
    </w:p>
    <w:tbl>
      <w:tblPr>
        <w:tblStyle w:val="19"/>
        <w:tblW w:w="8998" w:type="dxa"/>
        <w:tblInd w:w="-53" w:type="dxa"/>
        <w:tblLayout w:type="fixed"/>
        <w:tblCellMar>
          <w:top w:w="15" w:type="dxa"/>
          <w:left w:w="15" w:type="dxa"/>
          <w:bottom w:w="15" w:type="dxa"/>
          <w:right w:w="15" w:type="dxa"/>
        </w:tblCellMar>
      </w:tblPr>
      <w:tblGrid>
        <w:gridCol w:w="1034"/>
        <w:gridCol w:w="1458"/>
        <w:gridCol w:w="5554"/>
        <w:gridCol w:w="952"/>
      </w:tblGrid>
      <w:tr>
        <w:tblPrEx>
          <w:tblCellMar>
            <w:top w:w="15" w:type="dxa"/>
            <w:left w:w="15" w:type="dxa"/>
            <w:bottom w:w="15" w:type="dxa"/>
            <w:right w:w="15" w:type="dxa"/>
          </w:tblCellMar>
        </w:tblPrEx>
        <w:trPr>
          <w:trHeight w:val="640" w:hRule="atLeast"/>
        </w:trPr>
        <w:tc>
          <w:tcPr>
            <w:tcW w:w="1034" w:type="dxa"/>
            <w:tcBorders>
              <w:top w:val="single" w:color="000000" w:sz="12" w:space="0"/>
              <w:left w:val="single" w:color="000000" w:sz="12" w:space="0"/>
              <w:bottom w:val="single" w:color="000000" w:sz="6" w:space="0"/>
              <w:right w:val="single" w:color="000000" w:sz="6" w:space="0"/>
            </w:tcBorders>
            <w:shd w:val="clear" w:color="auto" w:fill="BEBEBE"/>
            <w:vAlign w:val="center"/>
          </w:tcPr>
          <w:p>
            <w:pPr>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验收点</w:t>
            </w:r>
          </w:p>
        </w:tc>
        <w:tc>
          <w:tcPr>
            <w:tcW w:w="1458" w:type="dxa"/>
            <w:tcBorders>
              <w:top w:val="single" w:color="000000" w:sz="12" w:space="0"/>
              <w:left w:val="single" w:color="000000" w:sz="6" w:space="0"/>
              <w:bottom w:val="single" w:color="000000" w:sz="6" w:space="0"/>
              <w:right w:val="single" w:color="000000" w:sz="6" w:space="0"/>
            </w:tcBorders>
            <w:shd w:val="clear" w:color="auto" w:fill="BEBEBE"/>
            <w:vAlign w:val="center"/>
          </w:tcPr>
          <w:p>
            <w:pPr>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验收指标</w:t>
            </w:r>
          </w:p>
        </w:tc>
        <w:tc>
          <w:tcPr>
            <w:tcW w:w="5554" w:type="dxa"/>
            <w:tcBorders>
              <w:top w:val="single" w:color="000000" w:sz="12" w:space="0"/>
              <w:left w:val="single" w:color="000000" w:sz="6" w:space="0"/>
              <w:bottom w:val="single" w:color="000000" w:sz="6" w:space="0"/>
              <w:right w:val="single" w:color="000000" w:sz="6" w:space="0"/>
            </w:tcBorders>
            <w:shd w:val="clear" w:color="auto" w:fill="BEBEBE"/>
            <w:vAlign w:val="center"/>
          </w:tcPr>
          <w:p>
            <w:pPr>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具体指标要求</w:t>
            </w:r>
          </w:p>
        </w:tc>
        <w:tc>
          <w:tcPr>
            <w:tcW w:w="952" w:type="dxa"/>
            <w:tcBorders>
              <w:top w:val="single" w:color="000000" w:sz="12" w:space="0"/>
              <w:left w:val="single" w:color="000000" w:sz="6" w:space="0"/>
              <w:bottom w:val="single" w:color="000000" w:sz="6" w:space="0"/>
              <w:right w:val="single" w:color="000000" w:sz="12" w:space="0"/>
            </w:tcBorders>
            <w:shd w:val="clear" w:color="auto" w:fill="BEBEBE"/>
            <w:vAlign w:val="center"/>
          </w:tcPr>
          <w:p>
            <w:pPr>
              <w:spacing w:line="360" w:lineRule="auto"/>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满分</w:t>
            </w:r>
          </w:p>
        </w:tc>
      </w:tr>
      <w:tr>
        <w:tblPrEx>
          <w:tblCellMar>
            <w:top w:w="15" w:type="dxa"/>
            <w:left w:w="15" w:type="dxa"/>
            <w:bottom w:w="15" w:type="dxa"/>
            <w:right w:w="15" w:type="dxa"/>
          </w:tblCellMar>
        </w:tblPrEx>
        <w:trPr>
          <w:trHeight w:val="1361" w:hRule="atLeast"/>
        </w:trPr>
        <w:tc>
          <w:tcPr>
            <w:tcW w:w="1034"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新年度初始化配置服务</w:t>
            </w:r>
          </w:p>
        </w:tc>
        <w:tc>
          <w:tcPr>
            <w:tcW w:w="1458"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满足新年度业务管理要求</w:t>
            </w:r>
          </w:p>
        </w:tc>
        <w:tc>
          <w:tcPr>
            <w:tcW w:w="5554"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1.应</w:t>
            </w:r>
            <w:r>
              <w:rPr>
                <w:rFonts w:hint="eastAsia" w:ascii="宋体" w:hAnsi="宋体" w:eastAsia="宋体" w:cs="宋体"/>
                <w:color w:val="auto"/>
                <w:sz w:val="21"/>
                <w:szCs w:val="21"/>
                <w:highlight w:val="none"/>
              </w:rPr>
              <w:t>根据财政厅统一部署及要求，为各市县提供新年度初始化配置服务，确保系统正常使用。</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2.系统稳定性：平均无故障时间﹥99.9%。</w:t>
            </w:r>
          </w:p>
        </w:tc>
        <w:tc>
          <w:tcPr>
            <w:tcW w:w="952"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r>
      <w:tr>
        <w:tblPrEx>
          <w:tblCellMar>
            <w:top w:w="15" w:type="dxa"/>
            <w:left w:w="15" w:type="dxa"/>
            <w:bottom w:w="15" w:type="dxa"/>
            <w:right w:w="15" w:type="dxa"/>
          </w:tblCellMar>
        </w:tblPrEx>
        <w:trPr>
          <w:trHeight w:val="1374" w:hRule="atLeast"/>
        </w:trPr>
        <w:tc>
          <w:tcPr>
            <w:tcW w:w="1034" w:type="dxa"/>
            <w:vMerge w:val="restart"/>
            <w:tcBorders>
              <w:top w:val="single" w:color="000000" w:sz="6" w:space="0"/>
              <w:left w:val="single" w:color="000000" w:sz="12" w:space="0"/>
              <w:bottom w:val="single" w:color="000000" w:sz="6" w:space="0"/>
              <w:right w:val="single" w:color="000000" w:sz="6" w:space="0"/>
            </w:tcBorders>
            <w:vAlign w:val="center"/>
          </w:tcPr>
          <w:p>
            <w:pPr>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服务工作安排</w:t>
            </w:r>
          </w:p>
        </w:tc>
        <w:tc>
          <w:tcPr>
            <w:tcW w:w="1458"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专员服务</w:t>
            </w:r>
          </w:p>
        </w:tc>
        <w:tc>
          <w:tcPr>
            <w:tcW w:w="5554"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确定各市、县（市、区、功能区）至少1名服务专员，并将人员名单及联系方式提供给各地财政，确保能5*12联系到人，并实时解决问题。人员变更应及时通知到各地财政。</w:t>
            </w:r>
          </w:p>
        </w:tc>
        <w:tc>
          <w:tcPr>
            <w:tcW w:w="952"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w:t>
            </w:r>
          </w:p>
        </w:tc>
      </w:tr>
      <w:tr>
        <w:tblPrEx>
          <w:tblCellMar>
            <w:top w:w="15" w:type="dxa"/>
            <w:left w:w="15" w:type="dxa"/>
            <w:bottom w:w="15" w:type="dxa"/>
            <w:right w:w="15" w:type="dxa"/>
          </w:tblCellMar>
        </w:tblPrEx>
        <w:trPr>
          <w:trHeight w:val="1174" w:hRule="atLeast"/>
        </w:trPr>
        <w:tc>
          <w:tcPr>
            <w:tcW w:w="1034" w:type="dxa"/>
            <w:vMerge w:val="continue"/>
            <w:tcBorders>
              <w:top w:val="single" w:color="000000" w:sz="6" w:space="0"/>
              <w:left w:val="single" w:color="000000" w:sz="12" w:space="0"/>
              <w:bottom w:val="single" w:color="000000" w:sz="6" w:space="0"/>
              <w:right w:val="single" w:color="000000" w:sz="6" w:space="0"/>
            </w:tcBorders>
            <w:vAlign w:val="center"/>
          </w:tcPr>
          <w:p>
            <w:pPr>
              <w:spacing w:line="360" w:lineRule="auto"/>
              <w:jc w:val="center"/>
              <w:textAlignment w:val="center"/>
              <w:rPr>
                <w:rFonts w:hint="eastAsia" w:ascii="宋体" w:hAnsi="宋体" w:eastAsia="宋体" w:cs="宋体"/>
                <w:color w:val="auto"/>
                <w:sz w:val="21"/>
                <w:szCs w:val="21"/>
                <w:highlight w:val="none"/>
              </w:rPr>
            </w:pPr>
          </w:p>
        </w:tc>
        <w:tc>
          <w:tcPr>
            <w:tcW w:w="1458"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客户热线服务</w:t>
            </w:r>
          </w:p>
        </w:tc>
        <w:tc>
          <w:tcPr>
            <w:tcW w:w="5554"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人工客户服务热线服务时间：5×12小时（指工作日，周一至周五，节假日除外，甲方可根据工作需要，要求延长服务时间）；</w:t>
            </w:r>
          </w:p>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7×24小时的在线通讯工具和邮箱受理服务；</w:t>
            </w:r>
          </w:p>
          <w:p>
            <w:pPr>
              <w:spacing w:line="360" w:lineRule="auto"/>
              <w:ind w:firstLine="420" w:firstLineChars="200"/>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sz w:val="21"/>
                <w:szCs w:val="21"/>
                <w:highlight w:val="none"/>
              </w:rPr>
              <w:t>可以根据在线接通率、热线接通率、用户投诉核实等综合情况考核。</w:t>
            </w:r>
          </w:p>
        </w:tc>
        <w:tc>
          <w:tcPr>
            <w:tcW w:w="952"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10</w:t>
            </w:r>
          </w:p>
        </w:tc>
      </w:tr>
      <w:tr>
        <w:tblPrEx>
          <w:tblCellMar>
            <w:top w:w="15" w:type="dxa"/>
            <w:left w:w="15" w:type="dxa"/>
            <w:bottom w:w="15" w:type="dxa"/>
            <w:right w:w="15" w:type="dxa"/>
          </w:tblCellMar>
        </w:tblPrEx>
        <w:trPr>
          <w:trHeight w:val="1592" w:hRule="atLeast"/>
        </w:trPr>
        <w:tc>
          <w:tcPr>
            <w:tcW w:w="1034" w:type="dxa"/>
            <w:vMerge w:val="restart"/>
            <w:tcBorders>
              <w:top w:val="single" w:color="000000" w:sz="6" w:space="0"/>
              <w:left w:val="single" w:color="000000" w:sz="12" w:space="0"/>
              <w:bottom w:val="single" w:color="000000" w:sz="6" w:space="0"/>
              <w:right w:val="single" w:color="000000" w:sz="6" w:space="0"/>
            </w:tcBorders>
            <w:vAlign w:val="center"/>
          </w:tcPr>
          <w:p>
            <w:pPr>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运维服务支持</w:t>
            </w:r>
          </w:p>
        </w:tc>
        <w:tc>
          <w:tcPr>
            <w:tcW w:w="1458"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运维工单响应支持</w:t>
            </w:r>
          </w:p>
        </w:tc>
        <w:tc>
          <w:tcPr>
            <w:tcW w:w="5554"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针对基础数据类问题修订，需在1个工作日内完成处理并反馈结果；针对一体化系统相关业务流程、用户权限提供维护，需在2个工作日内完成，以满足人员变动及业务管理需要。</w:t>
            </w:r>
          </w:p>
        </w:tc>
        <w:tc>
          <w:tcPr>
            <w:tcW w:w="952"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10</w:t>
            </w:r>
          </w:p>
        </w:tc>
      </w:tr>
      <w:tr>
        <w:tblPrEx>
          <w:tblCellMar>
            <w:top w:w="15" w:type="dxa"/>
            <w:left w:w="15" w:type="dxa"/>
            <w:bottom w:w="15" w:type="dxa"/>
            <w:right w:w="15" w:type="dxa"/>
          </w:tblCellMar>
        </w:tblPrEx>
        <w:trPr>
          <w:trHeight w:val="875" w:hRule="atLeast"/>
        </w:trPr>
        <w:tc>
          <w:tcPr>
            <w:tcW w:w="1034" w:type="dxa"/>
            <w:vMerge w:val="continue"/>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hint="eastAsia" w:ascii="宋体" w:hAnsi="宋体" w:eastAsia="宋体" w:cs="宋体"/>
                <w:color w:val="auto"/>
                <w:sz w:val="21"/>
                <w:szCs w:val="21"/>
                <w:highlight w:val="none"/>
              </w:rPr>
            </w:pPr>
          </w:p>
        </w:tc>
        <w:tc>
          <w:tcPr>
            <w:tcW w:w="1458"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数据交互支持</w:t>
            </w:r>
          </w:p>
        </w:tc>
        <w:tc>
          <w:tcPr>
            <w:tcW w:w="5554"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提供采购文件要求的第三方衔接系统的对接维护、数据核对工作，并积极配合第三方公司解决其他相关的问题。</w:t>
            </w:r>
          </w:p>
        </w:tc>
        <w:tc>
          <w:tcPr>
            <w:tcW w:w="952"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10</w:t>
            </w:r>
          </w:p>
        </w:tc>
      </w:tr>
      <w:tr>
        <w:tblPrEx>
          <w:tblCellMar>
            <w:top w:w="15" w:type="dxa"/>
            <w:left w:w="15" w:type="dxa"/>
            <w:bottom w:w="15" w:type="dxa"/>
            <w:right w:w="15" w:type="dxa"/>
          </w:tblCellMar>
        </w:tblPrEx>
        <w:trPr>
          <w:trHeight w:val="953" w:hRule="atLeast"/>
        </w:trPr>
        <w:tc>
          <w:tcPr>
            <w:tcW w:w="1034" w:type="dxa"/>
            <w:vMerge w:val="continue"/>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hint="eastAsia" w:ascii="宋体" w:hAnsi="宋体" w:eastAsia="宋体" w:cs="宋体"/>
                <w:color w:val="auto"/>
                <w:sz w:val="21"/>
                <w:szCs w:val="21"/>
                <w:highlight w:val="none"/>
              </w:rPr>
            </w:pPr>
          </w:p>
        </w:tc>
        <w:tc>
          <w:tcPr>
            <w:tcW w:w="1458"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故障排查支持</w:t>
            </w:r>
          </w:p>
        </w:tc>
        <w:tc>
          <w:tcPr>
            <w:tcW w:w="5554"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对于出现如断电、设备故障、更换服务器或其他原因导致系统瘫痪，运维服务人员给予及时响应，并配合用户排除故障</w:t>
            </w:r>
          </w:p>
        </w:tc>
        <w:tc>
          <w:tcPr>
            <w:tcW w:w="952"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10</w:t>
            </w:r>
          </w:p>
        </w:tc>
      </w:tr>
      <w:tr>
        <w:tblPrEx>
          <w:tblCellMar>
            <w:top w:w="15" w:type="dxa"/>
            <w:left w:w="15" w:type="dxa"/>
            <w:bottom w:w="15" w:type="dxa"/>
            <w:right w:w="15" w:type="dxa"/>
          </w:tblCellMar>
        </w:tblPrEx>
        <w:trPr>
          <w:trHeight w:val="643" w:hRule="atLeast"/>
        </w:trPr>
        <w:tc>
          <w:tcPr>
            <w:tcW w:w="1034" w:type="dxa"/>
            <w:vMerge w:val="continue"/>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hint="eastAsia" w:ascii="宋体" w:hAnsi="宋体" w:eastAsia="宋体" w:cs="宋体"/>
                <w:color w:val="auto"/>
                <w:sz w:val="21"/>
                <w:szCs w:val="21"/>
                <w:highlight w:val="none"/>
              </w:rPr>
            </w:pPr>
          </w:p>
        </w:tc>
        <w:tc>
          <w:tcPr>
            <w:tcW w:w="1458"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培训支持</w:t>
            </w:r>
          </w:p>
        </w:tc>
        <w:tc>
          <w:tcPr>
            <w:tcW w:w="5554"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协助财政组织一体化系统相关培训，并提供培训教材及课件。</w:t>
            </w:r>
          </w:p>
        </w:tc>
        <w:tc>
          <w:tcPr>
            <w:tcW w:w="952"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10</w:t>
            </w:r>
          </w:p>
        </w:tc>
      </w:tr>
      <w:tr>
        <w:tblPrEx>
          <w:tblCellMar>
            <w:top w:w="15" w:type="dxa"/>
            <w:left w:w="15" w:type="dxa"/>
            <w:bottom w:w="15" w:type="dxa"/>
            <w:right w:w="15" w:type="dxa"/>
          </w:tblCellMar>
        </w:tblPrEx>
        <w:trPr>
          <w:trHeight w:val="545" w:hRule="atLeast"/>
        </w:trPr>
        <w:tc>
          <w:tcPr>
            <w:tcW w:w="1034" w:type="dxa"/>
            <w:vMerge w:val="continue"/>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hint="eastAsia" w:ascii="宋体" w:hAnsi="宋体" w:eastAsia="宋体" w:cs="宋体"/>
                <w:color w:val="auto"/>
                <w:sz w:val="21"/>
                <w:szCs w:val="21"/>
                <w:highlight w:val="none"/>
              </w:rPr>
            </w:pPr>
          </w:p>
        </w:tc>
        <w:tc>
          <w:tcPr>
            <w:tcW w:w="1458"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日常业务数据的校验和异常数据的处理</w:t>
            </w:r>
          </w:p>
        </w:tc>
        <w:tc>
          <w:tcPr>
            <w:tcW w:w="5554"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定期对各接入系统传入一体化的数据与原业务系统数据进行校验。一旦出现异常情况，立即对异常数据进行应急处理，并着手分析排查问题原因。</w:t>
            </w:r>
          </w:p>
        </w:tc>
        <w:tc>
          <w:tcPr>
            <w:tcW w:w="952"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10</w:t>
            </w:r>
          </w:p>
        </w:tc>
      </w:tr>
      <w:tr>
        <w:tblPrEx>
          <w:tblCellMar>
            <w:top w:w="15" w:type="dxa"/>
            <w:left w:w="15" w:type="dxa"/>
            <w:bottom w:w="15" w:type="dxa"/>
            <w:right w:w="15" w:type="dxa"/>
          </w:tblCellMar>
        </w:tblPrEx>
        <w:trPr>
          <w:trHeight w:val="1401" w:hRule="atLeast"/>
        </w:trPr>
        <w:tc>
          <w:tcPr>
            <w:tcW w:w="1034" w:type="dxa"/>
            <w:vMerge w:val="continue"/>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hint="eastAsia" w:ascii="宋体" w:hAnsi="宋体" w:eastAsia="宋体" w:cs="宋体"/>
                <w:color w:val="auto"/>
                <w:sz w:val="21"/>
                <w:szCs w:val="21"/>
                <w:highlight w:val="none"/>
              </w:rPr>
            </w:pPr>
          </w:p>
        </w:tc>
        <w:tc>
          <w:tcPr>
            <w:tcW w:w="1458"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专项数据服务</w:t>
            </w:r>
          </w:p>
        </w:tc>
        <w:tc>
          <w:tcPr>
            <w:tcW w:w="5554" w:type="dxa"/>
            <w:tcBorders>
              <w:top w:val="single" w:color="000000" w:sz="6" w:space="0"/>
              <w:left w:val="single" w:color="000000" w:sz="6" w:space="0"/>
              <w:bottom w:val="single" w:color="000000" w:sz="6" w:space="0"/>
              <w:right w:val="single" w:color="000000" w:sz="6" w:space="0"/>
            </w:tcBorders>
            <w:vAlign w:val="center"/>
          </w:tcPr>
          <w:p>
            <w:pPr>
              <w:spacing w:line="360" w:lineRule="auto"/>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协助用户处理非常规、临时性的、工作量比较大的、专门用途的专项数据服务，主要服务内容包括：特殊数据进行特殊的维护处理、人工对账处理、特殊修改，特殊数据维护需按照省厅的标准流程要求提供服务。</w:t>
            </w:r>
          </w:p>
        </w:tc>
        <w:tc>
          <w:tcPr>
            <w:tcW w:w="952"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10</w:t>
            </w:r>
          </w:p>
        </w:tc>
      </w:tr>
      <w:tr>
        <w:tblPrEx>
          <w:tblCellMar>
            <w:top w:w="15" w:type="dxa"/>
            <w:left w:w="15" w:type="dxa"/>
            <w:bottom w:w="15" w:type="dxa"/>
            <w:right w:w="15" w:type="dxa"/>
          </w:tblCellMar>
        </w:tblPrEx>
        <w:trPr>
          <w:trHeight w:val="1011" w:hRule="atLeast"/>
        </w:trPr>
        <w:tc>
          <w:tcPr>
            <w:tcW w:w="1034" w:type="dxa"/>
            <w:vMerge w:val="continue"/>
            <w:tcBorders>
              <w:top w:val="single" w:color="000000" w:sz="6" w:space="0"/>
              <w:left w:val="single" w:color="000000" w:sz="12" w:space="0"/>
              <w:bottom w:val="single" w:color="000000" w:sz="12" w:space="0"/>
              <w:right w:val="single" w:color="000000" w:sz="6" w:space="0"/>
            </w:tcBorders>
            <w:vAlign w:val="center"/>
          </w:tcPr>
          <w:p>
            <w:pPr>
              <w:spacing w:line="360" w:lineRule="auto"/>
              <w:jc w:val="center"/>
              <w:rPr>
                <w:rFonts w:hint="eastAsia" w:ascii="宋体" w:hAnsi="宋体" w:eastAsia="宋体" w:cs="宋体"/>
                <w:color w:val="auto"/>
                <w:sz w:val="21"/>
                <w:szCs w:val="21"/>
                <w:highlight w:val="none"/>
              </w:rPr>
            </w:pPr>
          </w:p>
        </w:tc>
        <w:tc>
          <w:tcPr>
            <w:tcW w:w="1458" w:type="dxa"/>
            <w:tcBorders>
              <w:top w:val="single" w:color="000000" w:sz="6" w:space="0"/>
              <w:left w:val="single" w:color="000000" w:sz="6" w:space="0"/>
              <w:bottom w:val="single" w:color="000000" w:sz="12" w:space="0"/>
              <w:right w:val="single" w:color="000000" w:sz="6" w:space="0"/>
            </w:tcBorders>
            <w:vAlign w:val="center"/>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年终结转服务</w:t>
            </w:r>
          </w:p>
        </w:tc>
        <w:tc>
          <w:tcPr>
            <w:tcW w:w="5554" w:type="dxa"/>
            <w:tcBorders>
              <w:top w:val="single" w:color="000000" w:sz="6" w:space="0"/>
              <w:left w:val="single" w:color="000000" w:sz="6" w:space="0"/>
              <w:bottom w:val="single" w:color="000000" w:sz="12" w:space="0"/>
              <w:right w:val="single" w:color="000000" w:sz="6" w:space="0"/>
            </w:tcBorders>
            <w:vAlign w:val="center"/>
          </w:tcPr>
          <w:p>
            <w:pPr>
              <w:spacing w:line="360" w:lineRule="auto"/>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协助财政用户成年底对账、结转结余处理、新年度基础信息变动维护及流程权限变动维护年终结转工作。</w:t>
            </w:r>
          </w:p>
        </w:tc>
        <w:tc>
          <w:tcPr>
            <w:tcW w:w="952" w:type="dxa"/>
            <w:tcBorders>
              <w:top w:val="single" w:color="000000" w:sz="6" w:space="0"/>
              <w:left w:val="single" w:color="000000" w:sz="6" w:space="0"/>
              <w:bottom w:val="single" w:color="000000" w:sz="12" w:space="0"/>
              <w:right w:val="single" w:color="000000" w:sz="12" w:space="0"/>
            </w:tcBorders>
            <w:vAlign w:val="center"/>
          </w:tcPr>
          <w:p>
            <w:pPr>
              <w:spacing w:line="360" w:lineRule="auto"/>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10</w:t>
            </w:r>
          </w:p>
        </w:tc>
      </w:tr>
    </w:tbl>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各区划结合本地实际情况，组织对当年服务进行验收评分。考核结果值分为四档：满意（90(含）-100分）；比较满意（80(含）-90）；一般（70（含）-80分）；不满意（70分以下）。</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其中验收结果为满意的，费用标准按100%支付；验收结果为比较满意的，费用标准按90%支付；验收结果为一般的，费用标准按80%支付；验收结果为不满意的，费用标准按70%支付。</w:t>
      </w:r>
    </w:p>
    <w:p>
      <w:pPr>
        <w:pStyle w:val="29"/>
        <w:spacing w:line="360" w:lineRule="auto"/>
        <w:ind w:firstLine="420" w:firstLineChars="200"/>
        <w:rPr>
          <w:rFonts w:hint="eastAsia" w:ascii="宋体" w:hAnsi="宋体" w:eastAsia="宋体" w:cs="宋体"/>
          <w:color w:val="auto"/>
          <w:kern w:val="2"/>
          <w:sz w:val="21"/>
          <w:szCs w:val="21"/>
          <w:highlight w:val="none"/>
        </w:rPr>
      </w:pPr>
    </w:p>
    <w:p>
      <w:pPr>
        <w:numPr>
          <w:ilvl w:val="1"/>
          <w:numId w:val="0"/>
        </w:numPr>
        <w:spacing w:line="360" w:lineRule="auto"/>
        <w:ind w:firstLine="562" w:firstLineChars="200"/>
        <w:jc w:val="left"/>
        <w:outlineLvl w:val="0"/>
        <w:rPr>
          <w:rFonts w:hint="eastAsia" w:ascii="宋体" w:hAnsi="宋体" w:eastAsia="宋体" w:cs="宋体"/>
          <w:b/>
          <w:bCs/>
          <w:color w:val="auto"/>
          <w:sz w:val="28"/>
          <w:szCs w:val="28"/>
          <w:highlight w:val="none"/>
        </w:rPr>
      </w:pPr>
      <w:bookmarkStart w:id="326" w:name="_Toc20642"/>
      <w:bookmarkStart w:id="327" w:name="_Toc14285"/>
      <w:bookmarkStart w:id="328" w:name="_Toc116586035"/>
      <w:bookmarkStart w:id="329" w:name="_Toc15405"/>
      <w:r>
        <w:rPr>
          <w:rFonts w:hint="eastAsia" w:ascii="宋体" w:hAnsi="宋体" w:eastAsia="宋体" w:cs="宋体"/>
          <w:b/>
          <w:bCs/>
          <w:color w:val="auto"/>
          <w:sz w:val="28"/>
          <w:szCs w:val="28"/>
          <w:highlight w:val="none"/>
        </w:rPr>
        <w:t>八、系统演示要求</w:t>
      </w:r>
      <w:bookmarkEnd w:id="326"/>
      <w:bookmarkEnd w:id="327"/>
      <w:bookmarkEnd w:id="328"/>
      <w:bookmarkEnd w:id="329"/>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本项目建设周期短、任务重、涉及范围广，</w:t>
      </w:r>
      <w:r>
        <w:rPr>
          <w:rFonts w:hint="eastAsia" w:ascii="宋体" w:hAnsi="宋体" w:eastAsia="宋体" w:cs="宋体"/>
          <w:color w:val="auto"/>
          <w:kern w:val="2"/>
          <w:sz w:val="21"/>
          <w:szCs w:val="21"/>
          <w:highlight w:val="none"/>
          <w:lang w:val="en-US" w:eastAsia="zh-CN"/>
        </w:rPr>
        <w:t>升级建设要</w:t>
      </w:r>
      <w:r>
        <w:rPr>
          <w:rFonts w:hint="eastAsia" w:ascii="宋体" w:hAnsi="宋体" w:eastAsia="宋体" w:cs="宋体"/>
          <w:color w:val="auto"/>
          <w:kern w:val="2"/>
          <w:sz w:val="21"/>
          <w:szCs w:val="21"/>
          <w:highlight w:val="none"/>
        </w:rPr>
        <w:t>保证</w:t>
      </w:r>
      <w:r>
        <w:rPr>
          <w:rFonts w:hint="eastAsia" w:ascii="宋体" w:hAnsi="宋体" w:eastAsia="宋体" w:cs="宋体"/>
          <w:color w:val="auto"/>
          <w:kern w:val="2"/>
          <w:sz w:val="21"/>
          <w:szCs w:val="21"/>
          <w:highlight w:val="none"/>
          <w:lang w:val="en-US" w:eastAsia="zh-CN"/>
        </w:rPr>
        <w:t>原有功能兼容，升级上线要确保全省</w:t>
      </w:r>
      <w:r>
        <w:rPr>
          <w:rFonts w:hint="eastAsia" w:ascii="宋体" w:hAnsi="宋体" w:eastAsia="宋体" w:cs="宋体"/>
          <w:color w:val="auto"/>
          <w:kern w:val="2"/>
          <w:sz w:val="21"/>
          <w:szCs w:val="21"/>
          <w:highlight w:val="none"/>
        </w:rPr>
        <w:t>业务应用不中断，用户无需改变使用习惯</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平滑过渡。</w:t>
      </w:r>
    </w:p>
    <w:p>
      <w:pPr>
        <w:pStyle w:val="29"/>
        <w:spacing w:line="360" w:lineRule="auto"/>
        <w:ind w:firstLine="420" w:firstLineChars="20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为保证系统能够按时顺利上线，投标人需采用可交互的实际系统完成以下关键点演示：</w:t>
      </w:r>
    </w:p>
    <w:p>
      <w:pPr>
        <w:pStyle w:val="29"/>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基础信息管理演示</w:t>
      </w:r>
    </w:p>
    <w:p>
      <w:pPr>
        <w:pStyle w:val="29"/>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预算管理一体化系统演示支出标准维护，通过“支出标准编码设置”界面维护支出标准层级，演示通过“支出标准体系设置”界面维护具体标准内容，支出标准维护完成后能够在部门预算编制界面项目标准测算表生效。</w:t>
      </w:r>
    </w:p>
    <w:p>
      <w:pPr>
        <w:pStyle w:val="29"/>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项目库管理演示</w:t>
      </w:r>
    </w:p>
    <w:p>
      <w:pPr>
        <w:pStyle w:val="29"/>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在预算管理一体化系统申报运转类项目，通过PLDB数据库连接工具（pgAdmn4）在项目表查询该笔运转类项目信息。</w:t>
      </w:r>
    </w:p>
    <w:p>
      <w:pPr>
        <w:pStyle w:val="29"/>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预算编制管理演示</w:t>
      </w:r>
    </w:p>
    <w:p>
      <w:pPr>
        <w:pStyle w:val="29"/>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（1）在金财2.0业务中台修改转移支付预笪编制工作流配置，在一体化系统展示工作流修改生效。</w:t>
      </w:r>
    </w:p>
    <w:p>
      <w:pPr>
        <w:pStyle w:val="29"/>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（2）在预算管理一体化系统演示政府过紧日子录入表，能够查询评价标准和分值，根据审核表动态生成得分情况表。</w:t>
      </w:r>
    </w:p>
    <w:p>
      <w:pPr>
        <w:pStyle w:val="29"/>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预算调整和调剂演示</w:t>
      </w:r>
    </w:p>
    <w:p>
      <w:pPr>
        <w:pStyle w:val="29"/>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（1）在预算管理一体化系统演示政府预算批准，政府预算批准能够登记预算指标账和收入指标，在PLDB数据库连接工具（pgAdmn4）验证指标帐记账数据和收入指标业务数据一致。</w:t>
      </w:r>
    </w:p>
    <w:p>
      <w:pPr>
        <w:pStyle w:val="29"/>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（2）在预算管理一体化系统演示多组预算指标账的记账模板规则设置，演示单位指标分配功能，能够在同一个界面实现部门预算支出指标、转移支付指标和单位资金指标的分配和分配调剂功能。</w:t>
      </w:r>
    </w:p>
    <w:p>
      <w:pPr>
        <w:pStyle w:val="29"/>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预算绩效</w:t>
      </w:r>
    </w:p>
    <w:p>
      <w:pPr>
        <w:pStyle w:val="29"/>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（1）在预算管理一体化系统演示绩效目标复用往年指标功能，绩效目标录入时能够显示往年指标值，可选择指标进行引用。</w:t>
      </w:r>
    </w:p>
    <w:p>
      <w:pPr>
        <w:pStyle w:val="29"/>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（2）在金财2.0业务中台修改部门综合考评表单配置，在一体化系统展示部门综合考评表单修改生效。</w:t>
      </w:r>
    </w:p>
    <w:p>
      <w:pPr>
        <w:pStyle w:val="29"/>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预算执行</w:t>
      </w:r>
    </w:p>
    <w:p>
      <w:pPr>
        <w:pStyle w:val="29"/>
        <w:numPr>
          <w:ilvl w:val="-1"/>
          <w:numId w:val="0"/>
        </w:numPr>
        <w:spacing w:line="360" w:lineRule="auto"/>
        <w:ind w:left="0" w:firstLine="420" w:firstLineChars="2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在金财2.0业务中台修改个人公务卡申请报销明细表单配置，在一体化系统个人公务卡复核界面能查看报销明细表单修改生效。</w:t>
      </w:r>
    </w:p>
    <w:p>
      <w:pPr>
        <w:pStyle w:val="29"/>
        <w:numPr>
          <w:ilvl w:val="-1"/>
          <w:numId w:val="0"/>
        </w:numPr>
        <w:spacing w:line="360" w:lineRule="auto"/>
        <w:ind w:left="0" w:firstLine="420" w:firstLineChars="200"/>
        <w:outlineLvl w:val="9"/>
        <w:rPr>
          <w:rFonts w:hint="eastAsia" w:ascii="宋体" w:hAnsi="宋体" w:eastAsia="宋体" w:cs="宋体"/>
          <w:color w:val="auto"/>
          <w:kern w:val="2"/>
          <w:sz w:val="21"/>
          <w:szCs w:val="21"/>
          <w:highlight w:val="none"/>
        </w:rPr>
      </w:pPr>
      <w:bookmarkStart w:id="330" w:name="_Toc23442"/>
      <w:r>
        <w:rPr>
          <w:rFonts w:hint="eastAsia" w:ascii="宋体" w:hAnsi="宋体" w:eastAsia="宋体" w:cs="宋体"/>
          <w:color w:val="auto"/>
          <w:kern w:val="2"/>
          <w:sz w:val="21"/>
          <w:szCs w:val="21"/>
          <w:highlight w:val="none"/>
        </w:rPr>
        <w:t>注：</w:t>
      </w:r>
      <w:bookmarkEnd w:id="330"/>
    </w:p>
    <w:p>
      <w:pPr>
        <w:pStyle w:val="29"/>
        <w:numPr>
          <w:ilvl w:val="-1"/>
          <w:numId w:val="0"/>
        </w:numPr>
        <w:spacing w:line="360" w:lineRule="auto"/>
        <w:ind w:left="0" w:firstLine="420" w:firstLineChars="200"/>
        <w:outlineLvl w:val="9"/>
        <w:rPr>
          <w:rFonts w:hint="eastAsia" w:ascii="宋体" w:hAnsi="宋体" w:eastAsia="宋体" w:cs="宋体"/>
          <w:color w:val="auto"/>
          <w:kern w:val="2"/>
          <w:sz w:val="21"/>
          <w:szCs w:val="21"/>
          <w:highlight w:val="none"/>
        </w:rPr>
      </w:pPr>
      <w:bookmarkStart w:id="331" w:name="_Toc32136"/>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投标人应采用可交互的实际系统演示；</w:t>
      </w:r>
      <w:bookmarkEnd w:id="331"/>
    </w:p>
    <w:p>
      <w:pPr>
        <w:pStyle w:val="29"/>
        <w:numPr>
          <w:ilvl w:val="-1"/>
          <w:numId w:val="0"/>
        </w:numPr>
        <w:spacing w:line="360" w:lineRule="auto"/>
        <w:ind w:left="0" w:firstLine="420" w:firstLineChars="200"/>
        <w:outlineLvl w:val="9"/>
        <w:rPr>
          <w:rFonts w:hint="eastAsia" w:ascii="宋体" w:hAnsi="宋体" w:eastAsia="宋体" w:cs="宋体"/>
          <w:color w:val="auto"/>
          <w:kern w:val="2"/>
          <w:sz w:val="21"/>
          <w:szCs w:val="21"/>
          <w:highlight w:val="none"/>
        </w:rPr>
      </w:pPr>
      <w:bookmarkStart w:id="332" w:name="_Toc17944"/>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演示顺序以投标人加密电子投标文件送达时间依次进行，各投标人演示时间不超过30分钟（不含演示准备时间）；</w:t>
      </w:r>
      <w:bookmarkEnd w:id="332"/>
      <w:r>
        <w:rPr>
          <w:rFonts w:hint="eastAsia" w:ascii="宋体" w:hAnsi="宋体" w:eastAsia="宋体" w:cs="宋体"/>
          <w:color w:val="auto"/>
          <w:kern w:val="2"/>
          <w:sz w:val="21"/>
          <w:szCs w:val="21"/>
          <w:highlight w:val="none"/>
        </w:rPr>
        <w:t xml:space="preserve"> </w:t>
      </w:r>
    </w:p>
    <w:p>
      <w:pPr>
        <w:pStyle w:val="29"/>
        <w:numPr>
          <w:ilvl w:val="-1"/>
          <w:numId w:val="0"/>
        </w:numPr>
        <w:spacing w:line="360" w:lineRule="auto"/>
        <w:ind w:left="0" w:firstLine="420" w:firstLineChars="200"/>
        <w:outlineLvl w:val="9"/>
        <w:rPr>
          <w:rFonts w:hint="eastAsia" w:ascii="宋体" w:hAnsi="宋体" w:eastAsia="宋体" w:cs="宋体"/>
          <w:color w:val="auto"/>
          <w:kern w:val="2"/>
          <w:sz w:val="21"/>
          <w:szCs w:val="21"/>
          <w:highlight w:val="none"/>
        </w:rPr>
      </w:pPr>
      <w:bookmarkStart w:id="333" w:name="_Toc2497"/>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评标现场只提供场地、网络、电源、投影接入设备，演示所需要的电脑投标人自备；</w:t>
      </w:r>
      <w:bookmarkEnd w:id="333"/>
    </w:p>
    <w:p>
      <w:pPr>
        <w:pStyle w:val="29"/>
        <w:numPr>
          <w:ilvl w:val="-1"/>
          <w:numId w:val="0"/>
        </w:numPr>
        <w:spacing w:line="360" w:lineRule="auto"/>
        <w:ind w:left="0" w:firstLine="420" w:firstLineChars="200"/>
        <w:outlineLvl w:val="9"/>
        <w:rPr>
          <w:rFonts w:hint="eastAsia" w:ascii="宋体" w:hAnsi="宋体" w:eastAsia="宋体" w:cs="宋体"/>
          <w:color w:val="auto"/>
          <w:kern w:val="2"/>
          <w:sz w:val="21"/>
          <w:szCs w:val="21"/>
          <w:highlight w:val="none"/>
        </w:rPr>
      </w:pPr>
      <w:bookmarkStart w:id="334" w:name="_Toc11434"/>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投标人的演示环境需使用POLARDB11数据库。</w:t>
      </w:r>
      <w:bookmarkEnd w:id="334"/>
    </w:p>
    <w:bookmarkEnd w:id="56"/>
    <w:bookmarkEnd w:id="57"/>
    <w:bookmarkEnd w:id="58"/>
    <w:p>
      <w:pPr>
        <w:pStyle w:val="8"/>
        <w:rPr>
          <w:color w:val="auto"/>
          <w:highlight w:val="none"/>
        </w:rPr>
      </w:pPr>
      <w:bookmarkStart w:id="335" w:name="_Toc7152"/>
    </w:p>
    <w:bookmarkEnd w:id="59"/>
    <w:bookmarkEnd w:id="335"/>
    <w:p>
      <w:pPr>
        <w:pageBreakBefore w:val="0"/>
        <w:widowControl w:val="0"/>
        <w:kinsoku/>
        <w:wordWrap/>
        <w:topLinePunct w:val="0"/>
        <w:bidi w:val="0"/>
        <w:adjustRightInd w:val="0"/>
        <w:snapToGrid w:val="0"/>
        <w:spacing w:before="120" w:beforeLines="50" w:after="120" w:afterLines="50" w:line="360" w:lineRule="auto"/>
        <w:jc w:val="center"/>
        <w:textAlignment w:val="auto"/>
        <w:outlineLvl w:val="0"/>
        <w:rPr>
          <w:rFonts w:hint="eastAsia" w:ascii="宋体" w:hAnsi="宋体" w:cs="宋体"/>
          <w:color w:val="auto"/>
          <w:sz w:val="36"/>
          <w:highlight w:val="none"/>
        </w:rPr>
      </w:pPr>
      <w:r>
        <w:rPr>
          <w:rFonts w:hint="eastAsia" w:ascii="宋体" w:hAnsi="宋体" w:eastAsia="宋体" w:cs="宋体"/>
          <w:b/>
          <w:bCs/>
          <w:color w:val="auto"/>
          <w:sz w:val="24"/>
          <w:szCs w:val="24"/>
          <w:highlight w:val="none"/>
        </w:rPr>
        <w:br w:type="page"/>
      </w:r>
      <w:bookmarkEnd w:id="60"/>
      <w:bookmarkStart w:id="336" w:name="_Toc19271"/>
      <w:bookmarkStart w:id="337" w:name="_Toc19650"/>
      <w:bookmarkStart w:id="338" w:name="_Toc242012824"/>
      <w:bookmarkStart w:id="339" w:name="_Toc2997"/>
      <w:bookmarkStart w:id="340" w:name="_Toc17883"/>
      <w:r>
        <w:rPr>
          <w:rFonts w:hint="eastAsia" w:ascii="宋体" w:hAnsi="宋体" w:cs="宋体"/>
          <w:b/>
          <w:color w:val="auto"/>
          <w:sz w:val="30"/>
          <w:szCs w:val="30"/>
          <w:highlight w:val="none"/>
        </w:rPr>
        <w:t>第四部分  合同条款</w:t>
      </w:r>
      <w:bookmarkEnd w:id="336"/>
      <w:bookmarkEnd w:id="337"/>
      <w:bookmarkEnd w:id="338"/>
      <w:bookmarkEnd w:id="339"/>
      <w:bookmarkEnd w:id="340"/>
    </w:p>
    <w:p>
      <w:pPr>
        <w:pStyle w:val="9"/>
        <w:jc w:val="center"/>
        <w:rPr>
          <w:rFonts w:hint="eastAsia" w:eastAsia="宋体"/>
          <w:color w:val="auto"/>
          <w:highlight w:val="none"/>
          <w:lang w:eastAsia="zh-CN"/>
        </w:rPr>
      </w:pPr>
      <w:bookmarkStart w:id="341" w:name="_Hlk534720381"/>
      <w:bookmarkStart w:id="342" w:name="_Toc251566661"/>
      <w:bookmarkStart w:id="343" w:name="_Toc249760790"/>
      <w:r>
        <w:rPr>
          <w:rFonts w:hint="eastAsia"/>
          <w:color w:val="auto"/>
          <w:highlight w:val="none"/>
          <w:lang w:eastAsia="zh-CN"/>
        </w:rPr>
        <w:t>（省本级按</w:t>
      </w:r>
      <w:r>
        <w:rPr>
          <w:rFonts w:hint="eastAsia"/>
          <w:color w:val="auto"/>
          <w:highlight w:val="none"/>
          <w:lang w:val="en-US" w:eastAsia="zh-CN"/>
        </w:rPr>
        <w:t>本</w:t>
      </w:r>
      <w:r>
        <w:rPr>
          <w:rFonts w:hint="eastAsia"/>
          <w:color w:val="auto"/>
          <w:highlight w:val="none"/>
          <w:lang w:eastAsia="zh-CN"/>
        </w:rPr>
        <w:t>政府采购合同签订，市县财政局以各自签订合同为准）</w:t>
      </w:r>
    </w:p>
    <w:p>
      <w:pPr>
        <w:spacing w:line="360" w:lineRule="auto"/>
        <w:ind w:firstLine="420" w:firstLineChars="200"/>
        <w:rPr>
          <w:rFonts w:hint="eastAsia" w:ascii="宋体" w:hAnsi="宋体" w:cs="宋体"/>
          <w:color w:val="auto"/>
          <w:highlight w:val="none"/>
        </w:rPr>
      </w:pPr>
    </w:p>
    <w:p>
      <w:pPr>
        <w:adjustRightInd w:val="0"/>
        <w:snapToGrid w:val="0"/>
        <w:spacing w:line="360" w:lineRule="auto"/>
        <w:jc w:val="center"/>
        <w:rPr>
          <w:rFonts w:hint="eastAsia" w:ascii="宋体" w:hAnsi="宋体" w:cs="宋体"/>
          <w:color w:val="auto"/>
          <w:sz w:val="24"/>
          <w:highlight w:val="none"/>
        </w:rPr>
      </w:pPr>
    </w:p>
    <w:p>
      <w:pPr>
        <w:spacing w:line="360" w:lineRule="auto"/>
        <w:jc w:val="center"/>
        <w:rPr>
          <w:rFonts w:hint="eastAsia" w:ascii="黑体" w:hAnsi="黑体" w:eastAsia="黑体" w:cs="黑体"/>
          <w:bCs/>
          <w:snapToGrid w:val="0"/>
          <w:color w:val="auto"/>
          <w:kern w:val="0"/>
          <w:sz w:val="30"/>
          <w:szCs w:val="30"/>
          <w:highlight w:val="none"/>
        </w:rPr>
      </w:pPr>
      <w:r>
        <w:rPr>
          <w:rFonts w:hint="eastAsia" w:ascii="黑体" w:hAnsi="黑体" w:eastAsia="黑体" w:cs="黑体"/>
          <w:bCs/>
          <w:snapToGrid w:val="0"/>
          <w:color w:val="auto"/>
          <w:kern w:val="0"/>
          <w:sz w:val="30"/>
          <w:szCs w:val="30"/>
          <w:highlight w:val="none"/>
          <w:lang w:val="en-US" w:eastAsia="zh-CN"/>
        </w:rPr>
        <w:t xml:space="preserve">                       </w:t>
      </w:r>
      <w:r>
        <w:rPr>
          <w:rFonts w:hint="eastAsia" w:ascii="黑体" w:hAnsi="黑体" w:eastAsia="黑体" w:cs="黑体"/>
          <w:bCs/>
          <w:snapToGrid w:val="0"/>
          <w:color w:val="auto"/>
          <w:kern w:val="0"/>
          <w:sz w:val="30"/>
          <w:szCs w:val="30"/>
          <w:highlight w:val="none"/>
          <w:lang w:val="en-US" w:eastAsia="zh-CN"/>
        </w:rPr>
        <w:tab/>
      </w:r>
      <w:r>
        <w:rPr>
          <w:rFonts w:hint="eastAsia" w:ascii="黑体" w:hAnsi="黑体" w:eastAsia="黑体" w:cs="黑体"/>
          <w:bCs/>
          <w:snapToGrid w:val="0"/>
          <w:color w:val="auto"/>
          <w:kern w:val="0"/>
          <w:sz w:val="30"/>
          <w:szCs w:val="30"/>
          <w:highlight w:val="none"/>
        </w:rPr>
        <w:t>项目</w:t>
      </w:r>
    </w:p>
    <w:p>
      <w:pPr>
        <w:spacing w:line="360" w:lineRule="auto"/>
        <w:jc w:val="center"/>
        <w:rPr>
          <w:rFonts w:ascii="黑体" w:hAnsi="黑体" w:eastAsia="黑体" w:cs="黑体"/>
          <w:bCs/>
          <w:snapToGrid w:val="0"/>
          <w:color w:val="auto"/>
          <w:kern w:val="0"/>
          <w:sz w:val="30"/>
          <w:szCs w:val="30"/>
          <w:highlight w:val="none"/>
        </w:rPr>
      </w:pPr>
      <w:r>
        <w:rPr>
          <w:rFonts w:hint="eastAsia" w:ascii="黑体" w:hAnsi="黑体" w:eastAsia="黑体" w:cs="黑体"/>
          <w:bCs/>
          <w:snapToGrid w:val="0"/>
          <w:color w:val="auto"/>
          <w:kern w:val="0"/>
          <w:sz w:val="30"/>
          <w:szCs w:val="30"/>
          <w:highlight w:val="none"/>
        </w:rPr>
        <w:t>政府采购合同</w:t>
      </w:r>
    </w:p>
    <w:p>
      <w:pPr>
        <w:wordWrap w:val="0"/>
        <w:spacing w:line="360" w:lineRule="auto"/>
        <w:ind w:firstLine="480" w:firstLineChars="200"/>
        <w:jc w:val="right"/>
        <w:rPr>
          <w:rFonts w:hint="eastAsia" w:ascii="宋体" w:hAnsi="宋体" w:eastAsia="宋体" w:cs="宋体"/>
          <w:b/>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rPr>
        <w:t>采购编号：</w:t>
      </w:r>
      <w:r>
        <w:rPr>
          <w:rFonts w:hint="eastAsia" w:ascii="宋体" w:hAnsi="宋体" w:eastAsia="宋体" w:cs="宋体"/>
          <w:b/>
          <w:snapToGrid w:val="0"/>
          <w:color w:val="auto"/>
          <w:kern w:val="0"/>
          <w:sz w:val="24"/>
          <w:szCs w:val="24"/>
          <w:highlight w:val="none"/>
        </w:rPr>
        <w:t>ZJ-</w:t>
      </w:r>
      <w:r>
        <w:rPr>
          <w:rFonts w:hint="eastAsia" w:ascii="宋体" w:hAnsi="宋体" w:eastAsia="宋体" w:cs="宋体"/>
          <w:b/>
          <w:snapToGrid w:val="0"/>
          <w:color w:val="auto"/>
          <w:kern w:val="0"/>
          <w:sz w:val="24"/>
          <w:szCs w:val="24"/>
          <w:highlight w:val="none"/>
          <w:lang w:val="en-US" w:eastAsia="zh-CN"/>
        </w:rPr>
        <w:t xml:space="preserve">       </w:t>
      </w:r>
    </w:p>
    <w:p>
      <w:pPr>
        <w:spacing w:line="360" w:lineRule="auto"/>
        <w:ind w:firstLine="482" w:firstLineChars="200"/>
        <w:jc w:val="right"/>
        <w:rPr>
          <w:rFonts w:hint="eastAsia" w:ascii="宋体" w:hAnsi="宋体" w:eastAsia="宋体" w:cs="宋体"/>
          <w:b/>
          <w:snapToGrid w:val="0"/>
          <w:color w:val="auto"/>
          <w:kern w:val="0"/>
          <w:sz w:val="24"/>
          <w:szCs w:val="24"/>
          <w:highlight w:val="none"/>
        </w:rPr>
      </w:pPr>
    </w:p>
    <w:p>
      <w:pPr>
        <w:spacing w:line="360" w:lineRule="auto"/>
        <w:ind w:firstLine="643" w:firstLineChars="200"/>
        <w:jc w:val="right"/>
        <w:rPr>
          <w:rFonts w:ascii="仿宋" w:hAnsi="仿宋" w:eastAsia="仿宋" w:cs="Times New Roman"/>
          <w:b/>
          <w:snapToGrid w:val="0"/>
          <w:color w:val="auto"/>
          <w:kern w:val="0"/>
          <w:sz w:val="32"/>
          <w:szCs w:val="32"/>
          <w:highlight w:val="none"/>
        </w:rPr>
      </w:pPr>
    </w:p>
    <w:p>
      <w:pPr>
        <w:spacing w:line="360" w:lineRule="auto"/>
        <w:ind w:right="1280"/>
        <w:rPr>
          <w:rFonts w:hint="eastAsia" w:ascii="宋体" w:hAnsi="宋体" w:eastAsia="宋体" w:cs="宋体"/>
          <w:bCs/>
          <w:snapToGrid w:val="0"/>
          <w:color w:val="auto"/>
          <w:kern w:val="0"/>
          <w:sz w:val="21"/>
          <w:szCs w:val="21"/>
          <w:highlight w:val="none"/>
          <w:lang w:eastAsia="zh-CN"/>
        </w:rPr>
      </w:pPr>
      <w:r>
        <w:rPr>
          <w:rFonts w:hint="eastAsia" w:ascii="宋体" w:hAnsi="宋体" w:eastAsia="宋体" w:cs="宋体"/>
          <w:bCs/>
          <w:snapToGrid w:val="0"/>
          <w:color w:val="auto"/>
          <w:kern w:val="0"/>
          <w:sz w:val="21"/>
          <w:szCs w:val="21"/>
          <w:highlight w:val="none"/>
        </w:rPr>
        <w:t>甲</w:t>
      </w:r>
      <w:r>
        <w:rPr>
          <w:rFonts w:hint="eastAsia" w:ascii="宋体" w:hAnsi="宋体" w:eastAsia="宋体" w:cs="宋体"/>
          <w:bCs/>
          <w:snapToGrid w:val="0"/>
          <w:color w:val="auto"/>
          <w:kern w:val="0"/>
          <w:sz w:val="21"/>
          <w:szCs w:val="21"/>
          <w:highlight w:val="none"/>
          <w:lang w:val="en-US" w:eastAsia="zh-CN"/>
        </w:rPr>
        <w:t xml:space="preserve">  </w:t>
      </w:r>
      <w:r>
        <w:rPr>
          <w:rFonts w:hint="eastAsia" w:ascii="宋体" w:hAnsi="宋体" w:eastAsia="宋体" w:cs="宋体"/>
          <w:bCs/>
          <w:snapToGrid w:val="0"/>
          <w:color w:val="auto"/>
          <w:kern w:val="0"/>
          <w:sz w:val="21"/>
          <w:szCs w:val="21"/>
          <w:highlight w:val="none"/>
        </w:rPr>
        <w:t>方：（采购人）</w:t>
      </w:r>
      <w:r>
        <w:rPr>
          <w:rFonts w:hint="eastAsia" w:ascii="宋体" w:hAnsi="宋体" w:eastAsia="宋体" w:cs="宋体"/>
          <w:bCs/>
          <w:snapToGrid w:val="0"/>
          <w:color w:val="auto"/>
          <w:kern w:val="0"/>
          <w:sz w:val="21"/>
          <w:szCs w:val="21"/>
          <w:highlight w:val="none"/>
          <w:lang w:eastAsia="zh-CN"/>
        </w:rPr>
        <w:t>浙江省</w:t>
      </w:r>
      <w:r>
        <w:rPr>
          <w:rFonts w:hint="eastAsia" w:ascii="宋体" w:hAnsi="宋体" w:eastAsia="宋体" w:cs="宋体"/>
          <w:bCs/>
          <w:snapToGrid w:val="0"/>
          <w:color w:val="auto"/>
          <w:kern w:val="0"/>
          <w:sz w:val="21"/>
          <w:szCs w:val="21"/>
          <w:highlight w:val="none"/>
          <w:lang w:val="en-US" w:eastAsia="zh-CN"/>
        </w:rPr>
        <w:t>数字</w:t>
      </w:r>
      <w:r>
        <w:rPr>
          <w:rFonts w:hint="eastAsia" w:ascii="宋体" w:hAnsi="宋体" w:eastAsia="宋体" w:cs="宋体"/>
          <w:bCs/>
          <w:snapToGrid w:val="0"/>
          <w:color w:val="auto"/>
          <w:kern w:val="0"/>
          <w:sz w:val="21"/>
          <w:szCs w:val="21"/>
          <w:highlight w:val="none"/>
          <w:lang w:eastAsia="zh-CN"/>
        </w:rPr>
        <w:t>财政管理中心</w:t>
      </w:r>
    </w:p>
    <w:p>
      <w:pPr>
        <w:spacing w:line="660" w:lineRule="exact"/>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乙</w:t>
      </w:r>
      <w:r>
        <w:rPr>
          <w:rFonts w:hint="eastAsia" w:ascii="宋体" w:hAnsi="宋体" w:eastAsia="宋体" w:cs="宋体"/>
          <w:bCs/>
          <w:snapToGrid w:val="0"/>
          <w:color w:val="auto"/>
          <w:kern w:val="0"/>
          <w:sz w:val="21"/>
          <w:szCs w:val="21"/>
          <w:highlight w:val="none"/>
          <w:lang w:val="en-US" w:eastAsia="zh-CN"/>
        </w:rPr>
        <w:t xml:space="preserve">  </w:t>
      </w:r>
      <w:r>
        <w:rPr>
          <w:rFonts w:hint="eastAsia" w:ascii="宋体" w:hAnsi="宋体" w:eastAsia="宋体" w:cs="宋体"/>
          <w:bCs/>
          <w:snapToGrid w:val="0"/>
          <w:color w:val="auto"/>
          <w:kern w:val="0"/>
          <w:sz w:val="21"/>
          <w:szCs w:val="21"/>
          <w:highlight w:val="none"/>
        </w:rPr>
        <w:t>方：（供应商）</w:t>
      </w:r>
      <w:r>
        <w:rPr>
          <w:rFonts w:hint="eastAsia" w:ascii="宋体" w:hAnsi="宋体" w:eastAsia="宋体" w:cs="宋体"/>
          <w:bCs/>
          <w:snapToGrid w:val="0"/>
          <w:color w:val="auto"/>
          <w:kern w:val="0"/>
          <w:sz w:val="21"/>
          <w:szCs w:val="21"/>
          <w:highlight w:val="none"/>
          <w:lang w:val="en-US" w:eastAsia="zh-CN"/>
        </w:rPr>
        <w:t xml:space="preserve">                      </w:t>
      </w:r>
    </w:p>
    <w:p>
      <w:pPr>
        <w:spacing w:line="660" w:lineRule="exact"/>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鉴证方：</w:t>
      </w:r>
      <w:r>
        <w:rPr>
          <w:rFonts w:hint="eastAsia" w:ascii="宋体" w:hAnsi="宋体" w:eastAsia="宋体" w:cs="宋体"/>
          <w:bCs/>
          <w:snapToGrid w:val="0"/>
          <w:color w:val="auto"/>
          <w:kern w:val="0"/>
          <w:sz w:val="21"/>
          <w:szCs w:val="21"/>
          <w:highlight w:val="none"/>
          <w:lang w:eastAsia="zh-CN"/>
        </w:rPr>
        <w:t>浙江国际招投标有限公司</w:t>
      </w:r>
    </w:p>
    <w:p>
      <w:pPr>
        <w:spacing w:line="660" w:lineRule="exact"/>
        <w:ind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根据《中华人民共和国政府采购法》《中华人民共和国民法典》的规定，经鉴证方组织</w:t>
      </w:r>
      <w:r>
        <w:rPr>
          <w:rFonts w:hint="eastAsia" w:ascii="宋体" w:hAnsi="宋体" w:eastAsia="宋体" w:cs="宋体"/>
          <w:snapToGrid w:val="0"/>
          <w:color w:val="auto"/>
          <w:kern w:val="0"/>
          <w:sz w:val="21"/>
          <w:szCs w:val="21"/>
          <w:highlight w:val="none"/>
          <w:lang w:val="en-US" w:eastAsia="zh-CN"/>
        </w:rPr>
        <w:t>公开招标/竞争性磋商/</w:t>
      </w:r>
      <w:r>
        <w:rPr>
          <w:rFonts w:hint="eastAsia" w:ascii="宋体" w:hAnsi="宋体" w:eastAsia="宋体" w:cs="宋体"/>
          <w:snapToGrid w:val="0"/>
          <w:color w:val="auto"/>
          <w:kern w:val="0"/>
          <w:sz w:val="21"/>
          <w:szCs w:val="21"/>
          <w:highlight w:val="none"/>
        </w:rPr>
        <w:t>单一来源采购，确定乙方为“</w:t>
      </w:r>
      <w:r>
        <w:rPr>
          <w:rFonts w:hint="eastAsia" w:ascii="宋体" w:hAnsi="宋体" w:eastAsia="宋体" w:cs="宋体"/>
          <w:snapToGrid w:val="0"/>
          <w:color w:val="auto"/>
          <w:kern w:val="0"/>
          <w:sz w:val="21"/>
          <w:szCs w:val="21"/>
          <w:highlight w:val="none"/>
          <w:u w:val="single"/>
          <w:lang w:val="en-US" w:eastAsia="zh-CN"/>
        </w:rPr>
        <w:t xml:space="preserve">                          </w:t>
      </w:r>
      <w:r>
        <w:rPr>
          <w:rFonts w:hint="eastAsia" w:ascii="宋体" w:hAnsi="宋体" w:eastAsia="宋体" w:cs="宋体"/>
          <w:snapToGrid w:val="0"/>
          <w:color w:val="auto"/>
          <w:kern w:val="0"/>
          <w:sz w:val="21"/>
          <w:szCs w:val="21"/>
          <w:highlight w:val="none"/>
        </w:rPr>
        <w:t>”项目（编号：</w:t>
      </w:r>
      <w:r>
        <w:rPr>
          <w:rFonts w:hint="eastAsia" w:ascii="宋体" w:hAnsi="宋体" w:eastAsia="宋体" w:cs="宋体"/>
          <w:snapToGrid w:val="0"/>
          <w:color w:val="auto"/>
          <w:kern w:val="0"/>
          <w:sz w:val="21"/>
          <w:szCs w:val="21"/>
          <w:highlight w:val="none"/>
          <w:u w:val="single"/>
        </w:rPr>
        <w:t>ZJ-</w:t>
      </w:r>
      <w:r>
        <w:rPr>
          <w:rFonts w:hint="eastAsia" w:ascii="宋体" w:hAnsi="宋体" w:eastAsia="宋体" w:cs="宋体"/>
          <w:snapToGrid w:val="0"/>
          <w:color w:val="auto"/>
          <w:kern w:val="0"/>
          <w:sz w:val="21"/>
          <w:szCs w:val="21"/>
          <w:highlight w:val="none"/>
          <w:u w:val="single"/>
          <w:lang w:val="en-US" w:eastAsia="zh-CN"/>
        </w:rPr>
        <w:t xml:space="preserve">      </w:t>
      </w:r>
      <w:r>
        <w:rPr>
          <w:rFonts w:hint="eastAsia" w:ascii="宋体" w:hAnsi="宋体" w:eastAsia="宋体" w:cs="宋体"/>
          <w:snapToGrid w:val="0"/>
          <w:color w:val="auto"/>
          <w:kern w:val="0"/>
          <w:sz w:val="21"/>
          <w:szCs w:val="21"/>
          <w:highlight w:val="none"/>
        </w:rPr>
        <w:t>）</w:t>
      </w:r>
      <w:r>
        <w:rPr>
          <w:rFonts w:hint="eastAsia" w:ascii="宋体" w:hAnsi="宋体" w:eastAsia="宋体" w:cs="宋体"/>
          <w:snapToGrid w:val="0"/>
          <w:color w:val="auto"/>
          <w:kern w:val="0"/>
          <w:sz w:val="21"/>
          <w:szCs w:val="21"/>
          <w:highlight w:val="none"/>
          <w:lang w:val="en-US" w:eastAsia="zh-CN"/>
        </w:rPr>
        <w:t>公开招标/竞争性磋商/</w:t>
      </w:r>
      <w:r>
        <w:rPr>
          <w:rFonts w:hint="eastAsia" w:ascii="宋体" w:hAnsi="宋体" w:eastAsia="宋体" w:cs="宋体"/>
          <w:snapToGrid w:val="0"/>
          <w:color w:val="auto"/>
          <w:kern w:val="0"/>
          <w:sz w:val="21"/>
          <w:szCs w:val="21"/>
          <w:highlight w:val="none"/>
        </w:rPr>
        <w:t>单一来源采购的成交单位。按照采购文件（编号为</w:t>
      </w:r>
      <w:r>
        <w:rPr>
          <w:rFonts w:hint="eastAsia" w:ascii="宋体" w:hAnsi="宋体" w:eastAsia="宋体" w:cs="宋体"/>
          <w:snapToGrid w:val="0"/>
          <w:color w:val="auto"/>
          <w:kern w:val="0"/>
          <w:sz w:val="21"/>
          <w:szCs w:val="21"/>
          <w:highlight w:val="none"/>
          <w:u w:val="single"/>
        </w:rPr>
        <w:t>ZJ-</w:t>
      </w:r>
      <w:r>
        <w:rPr>
          <w:rFonts w:hint="eastAsia" w:ascii="宋体" w:hAnsi="宋体" w:eastAsia="宋体" w:cs="宋体"/>
          <w:snapToGrid w:val="0"/>
          <w:color w:val="auto"/>
          <w:kern w:val="0"/>
          <w:sz w:val="21"/>
          <w:szCs w:val="21"/>
          <w:highlight w:val="none"/>
          <w:u w:val="single"/>
          <w:lang w:val="en-US" w:eastAsia="zh-CN"/>
        </w:rPr>
        <w:t xml:space="preserve">      </w:t>
      </w:r>
      <w:r>
        <w:rPr>
          <w:rFonts w:hint="eastAsia" w:ascii="宋体" w:hAnsi="宋体" w:eastAsia="宋体" w:cs="宋体"/>
          <w:snapToGrid w:val="0"/>
          <w:color w:val="auto"/>
          <w:kern w:val="0"/>
          <w:sz w:val="21"/>
          <w:szCs w:val="21"/>
          <w:highlight w:val="none"/>
        </w:rPr>
        <w:t>）</w:t>
      </w:r>
      <w:r>
        <w:rPr>
          <w:rFonts w:hint="eastAsia" w:ascii="宋体" w:hAnsi="宋体" w:eastAsia="宋体" w:cs="宋体"/>
          <w:snapToGrid w:val="0"/>
          <w:color w:val="auto"/>
          <w:kern w:val="0"/>
          <w:sz w:val="21"/>
          <w:szCs w:val="21"/>
          <w:highlight w:val="none"/>
          <w:lang w:val="en-US" w:eastAsia="zh-CN"/>
        </w:rPr>
        <w:t>和</w:t>
      </w:r>
      <w:r>
        <w:rPr>
          <w:rFonts w:hint="eastAsia" w:ascii="宋体" w:hAnsi="宋体" w:eastAsia="宋体" w:cs="宋体"/>
          <w:snapToGrid w:val="0"/>
          <w:color w:val="auto"/>
          <w:kern w:val="0"/>
          <w:sz w:val="21"/>
          <w:szCs w:val="21"/>
          <w:highlight w:val="none"/>
        </w:rPr>
        <w:t>谈判结果，为明确双方的权利和义务，经甲乙双方协商达成合同如下：</w:t>
      </w:r>
    </w:p>
    <w:p>
      <w:pPr>
        <w:numPr>
          <w:ilvl w:val="0"/>
          <w:numId w:val="17"/>
        </w:numPr>
        <w:spacing w:line="660" w:lineRule="exact"/>
        <w:ind w:firstLine="420" w:firstLineChars="200"/>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采购标的和数量</w:t>
      </w:r>
    </w:p>
    <w:tbl>
      <w:tblPr>
        <w:tblStyle w:val="20"/>
        <w:tblW w:w="8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6"/>
        <w:gridCol w:w="1075"/>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5846" w:type="dxa"/>
            <w:noWrap w:val="0"/>
            <w:vAlign w:val="top"/>
          </w:tcPr>
          <w:p>
            <w:pPr>
              <w:numPr>
                <w:ilvl w:val="0"/>
                <w:numId w:val="0"/>
              </w:numPr>
              <w:spacing w:line="240" w:lineRule="auto"/>
              <w:jc w:val="center"/>
              <w:rPr>
                <w:rFonts w:hint="eastAsia" w:ascii="宋体" w:hAnsi="宋体" w:eastAsia="宋体" w:cs="宋体"/>
                <w:bCs/>
                <w:snapToGrid w:val="0"/>
                <w:color w:val="auto"/>
                <w:kern w:val="0"/>
                <w:sz w:val="21"/>
                <w:szCs w:val="21"/>
                <w:highlight w:val="none"/>
                <w:vertAlign w:val="baseline"/>
                <w:lang w:val="en-US" w:eastAsia="zh-CN"/>
              </w:rPr>
            </w:pPr>
            <w:r>
              <w:rPr>
                <w:rFonts w:hint="eastAsia" w:ascii="宋体" w:hAnsi="宋体" w:eastAsia="宋体" w:cs="宋体"/>
                <w:bCs/>
                <w:snapToGrid w:val="0"/>
                <w:color w:val="auto"/>
                <w:kern w:val="0"/>
                <w:sz w:val="21"/>
                <w:szCs w:val="21"/>
                <w:highlight w:val="none"/>
                <w:vertAlign w:val="baseline"/>
                <w:lang w:val="en-US" w:eastAsia="zh-CN"/>
              </w:rPr>
              <w:t>标的名称</w:t>
            </w:r>
          </w:p>
        </w:tc>
        <w:tc>
          <w:tcPr>
            <w:tcW w:w="1075" w:type="dxa"/>
            <w:noWrap w:val="0"/>
            <w:vAlign w:val="top"/>
          </w:tcPr>
          <w:p>
            <w:pPr>
              <w:numPr>
                <w:ilvl w:val="0"/>
                <w:numId w:val="0"/>
              </w:numPr>
              <w:spacing w:line="240" w:lineRule="auto"/>
              <w:jc w:val="center"/>
              <w:rPr>
                <w:rFonts w:hint="eastAsia" w:ascii="宋体" w:hAnsi="宋体" w:eastAsia="宋体" w:cs="宋体"/>
                <w:bCs/>
                <w:snapToGrid w:val="0"/>
                <w:color w:val="auto"/>
                <w:kern w:val="0"/>
                <w:sz w:val="21"/>
                <w:szCs w:val="21"/>
                <w:highlight w:val="none"/>
                <w:vertAlign w:val="baseline"/>
                <w:lang w:val="en-US" w:eastAsia="zh-CN"/>
              </w:rPr>
            </w:pPr>
            <w:r>
              <w:rPr>
                <w:rFonts w:hint="eastAsia" w:ascii="宋体" w:hAnsi="宋体" w:eastAsia="宋体" w:cs="宋体"/>
                <w:bCs/>
                <w:snapToGrid w:val="0"/>
                <w:color w:val="auto"/>
                <w:kern w:val="0"/>
                <w:sz w:val="21"/>
                <w:szCs w:val="21"/>
                <w:highlight w:val="none"/>
                <w:vertAlign w:val="baseline"/>
                <w:lang w:val="en-US" w:eastAsia="zh-CN"/>
              </w:rPr>
              <w:t>数量</w:t>
            </w:r>
          </w:p>
        </w:tc>
        <w:tc>
          <w:tcPr>
            <w:tcW w:w="1877" w:type="dxa"/>
            <w:noWrap w:val="0"/>
            <w:vAlign w:val="top"/>
          </w:tcPr>
          <w:p>
            <w:pPr>
              <w:numPr>
                <w:ilvl w:val="0"/>
                <w:numId w:val="0"/>
              </w:numPr>
              <w:spacing w:line="240" w:lineRule="auto"/>
              <w:jc w:val="center"/>
              <w:rPr>
                <w:rFonts w:hint="eastAsia" w:ascii="宋体" w:hAnsi="宋体" w:eastAsia="宋体" w:cs="宋体"/>
                <w:bCs/>
                <w:snapToGrid w:val="0"/>
                <w:color w:val="auto"/>
                <w:kern w:val="0"/>
                <w:sz w:val="21"/>
                <w:szCs w:val="21"/>
                <w:highlight w:val="none"/>
                <w:vertAlign w:val="baseline"/>
                <w:lang w:val="en-US" w:eastAsia="zh-CN"/>
              </w:rPr>
            </w:pPr>
            <w:r>
              <w:rPr>
                <w:rFonts w:hint="eastAsia" w:ascii="宋体" w:hAnsi="宋体" w:eastAsia="宋体" w:cs="宋体"/>
                <w:bCs/>
                <w:snapToGrid w:val="0"/>
                <w:color w:val="auto"/>
                <w:kern w:val="0"/>
                <w:sz w:val="21"/>
                <w:szCs w:val="21"/>
                <w:highlight w:val="none"/>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5846" w:type="dxa"/>
            <w:noWrap w:val="0"/>
            <w:vAlign w:val="top"/>
          </w:tcPr>
          <w:p>
            <w:pPr>
              <w:numPr>
                <w:ilvl w:val="0"/>
                <w:numId w:val="0"/>
              </w:numPr>
              <w:spacing w:line="240" w:lineRule="auto"/>
              <w:jc w:val="center"/>
              <w:rPr>
                <w:rFonts w:hint="eastAsia" w:ascii="宋体" w:hAnsi="宋体" w:eastAsia="宋体" w:cs="宋体"/>
                <w:bCs/>
                <w:snapToGrid w:val="0"/>
                <w:color w:val="auto"/>
                <w:kern w:val="0"/>
                <w:sz w:val="21"/>
                <w:szCs w:val="21"/>
                <w:highlight w:val="none"/>
                <w:vertAlign w:val="baseline"/>
                <w:lang w:val="en-US" w:eastAsia="zh-CN"/>
              </w:rPr>
            </w:pPr>
            <w:r>
              <w:rPr>
                <w:rFonts w:hint="eastAsia" w:ascii="宋体" w:hAnsi="宋体" w:eastAsia="宋体" w:cs="宋体"/>
                <w:bCs/>
                <w:snapToGrid w:val="0"/>
                <w:color w:val="auto"/>
                <w:kern w:val="0"/>
                <w:sz w:val="21"/>
                <w:szCs w:val="21"/>
                <w:highlight w:val="none"/>
                <w:vertAlign w:val="baseline"/>
                <w:lang w:val="en-US" w:eastAsia="zh-CN"/>
              </w:rPr>
              <w:t xml:space="preserve">                项目</w:t>
            </w:r>
          </w:p>
        </w:tc>
        <w:tc>
          <w:tcPr>
            <w:tcW w:w="1075" w:type="dxa"/>
            <w:noWrap w:val="0"/>
            <w:vAlign w:val="top"/>
          </w:tcPr>
          <w:p>
            <w:pPr>
              <w:numPr>
                <w:ilvl w:val="0"/>
                <w:numId w:val="0"/>
              </w:numPr>
              <w:spacing w:line="240" w:lineRule="auto"/>
              <w:jc w:val="center"/>
              <w:rPr>
                <w:rFonts w:hint="eastAsia" w:ascii="宋体" w:hAnsi="宋体" w:eastAsia="宋体" w:cs="宋体"/>
                <w:bCs/>
                <w:snapToGrid w:val="0"/>
                <w:color w:val="auto"/>
                <w:kern w:val="0"/>
                <w:sz w:val="21"/>
                <w:szCs w:val="21"/>
                <w:highlight w:val="none"/>
                <w:vertAlign w:val="baseline"/>
                <w:lang w:val="en-US" w:eastAsia="zh-CN"/>
              </w:rPr>
            </w:pPr>
            <w:r>
              <w:rPr>
                <w:rFonts w:hint="eastAsia" w:ascii="宋体" w:hAnsi="宋体" w:eastAsia="宋体" w:cs="宋体"/>
                <w:bCs/>
                <w:snapToGrid w:val="0"/>
                <w:color w:val="auto"/>
                <w:kern w:val="0"/>
                <w:sz w:val="21"/>
                <w:szCs w:val="21"/>
                <w:highlight w:val="none"/>
                <w:vertAlign w:val="baseline"/>
                <w:lang w:val="en-US" w:eastAsia="zh-CN"/>
              </w:rPr>
              <w:t>1</w:t>
            </w:r>
          </w:p>
        </w:tc>
        <w:tc>
          <w:tcPr>
            <w:tcW w:w="1877" w:type="dxa"/>
            <w:noWrap w:val="0"/>
            <w:vAlign w:val="top"/>
          </w:tcPr>
          <w:p>
            <w:pPr>
              <w:numPr>
                <w:ilvl w:val="0"/>
                <w:numId w:val="0"/>
              </w:numPr>
              <w:spacing w:line="240" w:lineRule="auto"/>
              <w:jc w:val="center"/>
              <w:rPr>
                <w:rFonts w:hint="eastAsia" w:ascii="宋体" w:hAnsi="宋体" w:eastAsia="宋体" w:cs="宋体"/>
                <w:bCs/>
                <w:snapToGrid w:val="0"/>
                <w:color w:val="auto"/>
                <w:kern w:val="0"/>
                <w:sz w:val="21"/>
                <w:szCs w:val="21"/>
                <w:highlight w:val="none"/>
                <w:vertAlign w:val="baseline"/>
                <w:lang w:val="en-US" w:eastAsia="zh-CN"/>
              </w:rPr>
            </w:pPr>
            <w:r>
              <w:rPr>
                <w:rFonts w:hint="eastAsia" w:ascii="宋体" w:hAnsi="宋体" w:eastAsia="宋体" w:cs="宋体"/>
                <w:bCs/>
                <w:snapToGrid w:val="0"/>
                <w:color w:val="auto"/>
                <w:kern w:val="0"/>
                <w:sz w:val="21"/>
                <w:szCs w:val="21"/>
                <w:highlight w:val="none"/>
                <w:vertAlign w:val="baseline"/>
                <w:lang w:val="en-US" w:eastAsia="zh-CN"/>
              </w:rPr>
              <w:t>套、年、项</w:t>
            </w:r>
          </w:p>
        </w:tc>
      </w:tr>
    </w:tbl>
    <w:p>
      <w:pPr>
        <w:numPr>
          <w:ilvl w:val="0"/>
          <w:numId w:val="17"/>
        </w:numPr>
        <w:spacing w:line="660" w:lineRule="exact"/>
        <w:ind w:firstLine="420" w:firstLineChars="200"/>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合同金额</w:t>
      </w:r>
    </w:p>
    <w:p>
      <w:pPr>
        <w:spacing w:line="660" w:lineRule="exact"/>
        <w:ind w:firstLine="642"/>
        <w:rPr>
          <w:rFonts w:hint="eastAsia" w:ascii="宋体" w:hAnsi="宋体" w:eastAsia="宋体" w:cs="宋体"/>
          <w:color w:val="auto"/>
          <w:kern w:val="0"/>
          <w:sz w:val="21"/>
          <w:szCs w:val="21"/>
          <w:highlight w:val="none"/>
          <w:lang w:val="zh-CN"/>
        </w:rPr>
      </w:pPr>
      <w:r>
        <w:rPr>
          <w:rFonts w:hint="eastAsia" w:ascii="宋体" w:hAnsi="宋体" w:eastAsia="宋体" w:cs="宋体"/>
          <w:snapToGrid w:val="0"/>
          <w:color w:val="auto"/>
          <w:kern w:val="0"/>
          <w:sz w:val="21"/>
          <w:szCs w:val="21"/>
          <w:highlight w:val="none"/>
        </w:rPr>
        <w:t>人民币（大写）</w:t>
      </w:r>
      <w:r>
        <w:rPr>
          <w:rFonts w:hint="eastAsia" w:ascii="宋体" w:hAnsi="宋体" w:eastAsia="宋体" w:cs="宋体"/>
          <w:snapToGrid w:val="0"/>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u w:val="single"/>
          <w:lang w:val="zh-CN"/>
        </w:rPr>
        <w:t>整</w:t>
      </w:r>
      <w:r>
        <w:rPr>
          <w:rFonts w:hint="eastAsia" w:ascii="宋体" w:hAnsi="宋体" w:eastAsia="宋体" w:cs="宋体"/>
          <w:color w:val="auto"/>
          <w:kern w:val="0"/>
          <w:sz w:val="21"/>
          <w:szCs w:val="21"/>
          <w:highlight w:val="none"/>
          <w:lang w:val="zh-CN"/>
        </w:rPr>
        <w:t>（小写：￥</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lang w:val="zh-CN"/>
        </w:rPr>
        <w:t>元）。</w:t>
      </w:r>
    </w:p>
    <w:p>
      <w:pPr>
        <w:numPr>
          <w:ilvl w:val="0"/>
          <w:numId w:val="17"/>
        </w:numPr>
        <w:spacing w:line="660" w:lineRule="exact"/>
        <w:ind w:firstLine="420" w:firstLineChars="200"/>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履行期限、地点和方式</w:t>
      </w:r>
    </w:p>
    <w:p>
      <w:pPr>
        <w:pStyle w:val="29"/>
        <w:spacing w:line="360" w:lineRule="auto"/>
        <w:ind w:firstLine="420" w:firstLineChars="200"/>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乙方在合同签订10个工作日内提交本项目建设方案、对应实施方案，并通过采购方及其监理审核，在合同签订2个月内按采购文件要求完成系统升级部署；自合同签订之日起1年，为省本级提供系统初始化及日常技术支撑服务，确保省本级预算管理业务正常运转。</w:t>
      </w:r>
    </w:p>
    <w:p>
      <w:pPr>
        <w:pStyle w:val="24"/>
        <w:spacing w:line="660" w:lineRule="exact"/>
        <w:ind w:firstLine="64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地点：用户指定地点。</w:t>
      </w:r>
    </w:p>
    <w:p>
      <w:pPr>
        <w:numPr>
          <w:ilvl w:val="0"/>
          <w:numId w:val="17"/>
        </w:numPr>
        <w:spacing w:line="660" w:lineRule="exact"/>
        <w:ind w:firstLine="420" w:firstLineChars="200"/>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建设</w:t>
      </w:r>
      <w:r>
        <w:rPr>
          <w:rFonts w:hint="eastAsia" w:ascii="宋体" w:hAnsi="宋体" w:eastAsia="宋体" w:cs="宋体"/>
          <w:bCs/>
          <w:snapToGrid w:val="0"/>
          <w:color w:val="auto"/>
          <w:kern w:val="0"/>
          <w:sz w:val="21"/>
          <w:szCs w:val="21"/>
          <w:highlight w:val="none"/>
          <w:lang w:eastAsia="zh-CN"/>
        </w:rPr>
        <w:t>（服务）</w:t>
      </w:r>
      <w:r>
        <w:rPr>
          <w:rFonts w:hint="eastAsia" w:ascii="宋体" w:hAnsi="宋体" w:eastAsia="宋体" w:cs="宋体"/>
          <w:bCs/>
          <w:snapToGrid w:val="0"/>
          <w:color w:val="auto"/>
          <w:kern w:val="0"/>
          <w:sz w:val="21"/>
          <w:szCs w:val="21"/>
          <w:highlight w:val="none"/>
        </w:rPr>
        <w:t>内容</w:t>
      </w:r>
    </w:p>
    <w:p>
      <w:pPr>
        <w:pStyle w:val="29"/>
        <w:spacing w:line="360" w:lineRule="auto"/>
        <w:ind w:firstLine="420" w:firstLineChars="200"/>
        <w:outlineLvl w:val="0"/>
        <w:rPr>
          <w:rFonts w:hint="eastAsia" w:ascii="宋体" w:hAnsi="宋体" w:eastAsia="宋体" w:cs="宋体"/>
          <w:snapToGrid w:val="0"/>
          <w:color w:val="auto"/>
          <w:kern w:val="0"/>
          <w:sz w:val="21"/>
          <w:szCs w:val="21"/>
          <w:highlight w:val="none"/>
          <w:lang w:val="en-US" w:eastAsia="zh-CN" w:bidi="ar-SA"/>
        </w:rPr>
      </w:pPr>
      <w:bookmarkStart w:id="344" w:name="_Toc32067"/>
      <w:bookmarkStart w:id="345" w:name="_Toc1043"/>
      <w:r>
        <w:rPr>
          <w:rFonts w:hint="eastAsia" w:ascii="宋体" w:hAnsi="宋体" w:eastAsia="宋体" w:cs="宋体"/>
          <w:snapToGrid w:val="0"/>
          <w:color w:val="auto"/>
          <w:kern w:val="0"/>
          <w:sz w:val="21"/>
          <w:szCs w:val="21"/>
          <w:highlight w:val="none"/>
          <w:lang w:val="en-US" w:eastAsia="zh-CN" w:bidi="ar-SA"/>
        </w:rPr>
        <w:t>（一）预算管理一体化新增需求实现</w:t>
      </w:r>
    </w:p>
    <w:p>
      <w:pPr>
        <w:pStyle w:val="29"/>
        <w:spacing w:line="360" w:lineRule="auto"/>
        <w:ind w:firstLine="420" w:firstLineChars="200"/>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基于现有浙江省预算管理一体化系统，完成基础信息管理、项目库管理、预算编制、预算批复、预算绩效、预算调整和调剂、预算指标账和预算执行模块升级开发工作；按照财政部通知文件要求，将地方财政分析评价系统财政供养人员业务纳入预算管理一体化整合。以上开发升级需在合同签订2个月内完成，试行稳定至少1个月后可申请项目验收。</w:t>
      </w:r>
    </w:p>
    <w:p>
      <w:pPr>
        <w:pStyle w:val="29"/>
        <w:spacing w:line="360" w:lineRule="auto"/>
        <w:ind w:firstLine="420" w:firstLineChars="200"/>
        <w:outlineLvl w:val="0"/>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（二）省级预算管理一体化系统驻场服务</w:t>
      </w:r>
    </w:p>
    <w:p>
      <w:pPr>
        <w:pStyle w:val="29"/>
        <w:spacing w:line="360" w:lineRule="auto"/>
        <w:ind w:firstLine="420" w:firstLineChars="200"/>
        <w:rPr>
          <w:rFonts w:hint="eastAsia" w:ascii="宋体" w:hAnsi="宋体" w:eastAsia="宋体" w:cs="宋体"/>
          <w:snapToGrid w:val="0"/>
          <w:color w:val="auto"/>
          <w:kern w:val="0"/>
          <w:sz w:val="21"/>
          <w:szCs w:val="21"/>
          <w:highlight w:val="none"/>
          <w:lang w:val="en-US" w:eastAsia="zh-CN" w:bidi="ar-SA"/>
        </w:rPr>
      </w:pPr>
      <w:r>
        <w:rPr>
          <w:rFonts w:hint="eastAsia" w:ascii="宋体" w:hAnsi="宋体" w:eastAsia="宋体" w:cs="宋体"/>
          <w:snapToGrid w:val="0"/>
          <w:color w:val="auto"/>
          <w:kern w:val="0"/>
          <w:sz w:val="21"/>
          <w:szCs w:val="21"/>
          <w:highlight w:val="none"/>
          <w:lang w:val="en-US" w:eastAsia="zh-CN" w:bidi="ar-SA"/>
        </w:rPr>
        <w:t>为省本级做好新年度系统初始化，并为省本级财政有关服务对象（服务对象包括省本级财政用户、省本级部门及单位用户）提供相关服务支持，包括驻场维护服务、在线、热线服务及培训服务，确保省本级2023年财政预算管理一体化业务正常运行。服务期自合同签订之日起1年。</w:t>
      </w:r>
    </w:p>
    <w:p>
      <w:pPr>
        <w:pStyle w:val="29"/>
        <w:spacing w:line="360" w:lineRule="auto"/>
        <w:ind w:firstLine="420" w:firstLineChars="200"/>
        <w:jc w:val="left"/>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在服务期内指派经浙江省财政厅认可的技术人员组成技术支持服务团队（其中至少3人驻场省财政厅指定地点提供现场服务），为省本级财政有关服务对象提供统一的在线/热线服务，为各类用户提供业务咨询、疑难问题解答、系统操作指导、投诉及改进意见受理、有关技术支持等方面的服务。同时提供尽可能的即时响应服务机构及保障措施，以保障驻场人员无法解决的疑难问题时的即时解决。</w:t>
      </w:r>
    </w:p>
    <w:p>
      <w:pPr>
        <w:pStyle w:val="29"/>
        <w:spacing w:line="360" w:lineRule="auto"/>
        <w:ind w:firstLine="420" w:firstLineChars="200"/>
        <w:jc w:val="left"/>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对于省财政厅用户提出的服务需求要求半小时内响应，服务方式为现场。一般问题4小时内给予解决，复杂问题1天内给出解决办法，远程不能解决的24小时之内指派</w:t>
      </w:r>
      <w:r>
        <w:rPr>
          <w:rFonts w:hint="eastAsia" w:ascii="宋体" w:hAnsi="宋体" w:eastAsia="宋体" w:cs="宋体"/>
          <w:snapToGrid w:val="0"/>
          <w:color w:val="auto"/>
          <w:kern w:val="0"/>
          <w:sz w:val="21"/>
          <w:szCs w:val="21"/>
          <w:highlight w:val="none"/>
          <w:lang w:val="en-US" w:eastAsia="zh-CN"/>
        </w:rPr>
        <w:t>能解决问题的</w:t>
      </w:r>
      <w:r>
        <w:rPr>
          <w:rFonts w:hint="eastAsia" w:ascii="宋体" w:hAnsi="宋体" w:eastAsia="宋体" w:cs="宋体"/>
          <w:snapToGrid w:val="0"/>
          <w:color w:val="auto"/>
          <w:kern w:val="0"/>
          <w:sz w:val="21"/>
          <w:szCs w:val="21"/>
          <w:highlight w:val="none"/>
        </w:rPr>
        <w:t xml:space="preserve">技术人员现场解决。 </w:t>
      </w:r>
    </w:p>
    <w:p>
      <w:pPr>
        <w:pStyle w:val="29"/>
        <w:spacing w:line="360" w:lineRule="auto"/>
        <w:ind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详见</w:t>
      </w:r>
      <w:r>
        <w:rPr>
          <w:rFonts w:hint="eastAsia" w:ascii="宋体" w:hAnsi="宋体" w:eastAsia="宋体" w:cs="宋体"/>
          <w:snapToGrid w:val="0"/>
          <w:color w:val="auto"/>
          <w:kern w:val="0"/>
          <w:sz w:val="21"/>
          <w:szCs w:val="21"/>
          <w:highlight w:val="none"/>
          <w:lang w:val="en-US" w:eastAsia="zh-CN"/>
        </w:rPr>
        <w:t>招标文件中</w:t>
      </w:r>
      <w:r>
        <w:rPr>
          <w:rFonts w:hint="eastAsia" w:ascii="宋体" w:hAnsi="宋体" w:eastAsia="宋体" w:cs="宋体"/>
          <w:snapToGrid w:val="0"/>
          <w:color w:val="auto"/>
          <w:kern w:val="0"/>
          <w:sz w:val="21"/>
          <w:szCs w:val="21"/>
          <w:highlight w:val="none"/>
        </w:rPr>
        <w:t>《省级预算管理一体化系统服务需求</w:t>
      </w:r>
      <w:r>
        <w:rPr>
          <w:rFonts w:hint="eastAsia" w:ascii="宋体" w:hAnsi="宋体" w:eastAsia="宋体" w:cs="宋体"/>
          <w:snapToGrid w:val="0"/>
          <w:color w:val="auto"/>
          <w:kern w:val="0"/>
          <w:sz w:val="21"/>
          <w:szCs w:val="21"/>
          <w:highlight w:val="none"/>
          <w:lang w:eastAsia="zh-CN"/>
        </w:rPr>
        <w:t>》</w:t>
      </w:r>
      <w:r>
        <w:rPr>
          <w:rFonts w:hint="eastAsia" w:ascii="宋体" w:hAnsi="宋体" w:eastAsia="宋体" w:cs="宋体"/>
          <w:snapToGrid w:val="0"/>
          <w:color w:val="auto"/>
          <w:kern w:val="0"/>
          <w:sz w:val="21"/>
          <w:szCs w:val="21"/>
          <w:highlight w:val="none"/>
        </w:rPr>
        <w:t>。</w:t>
      </w:r>
    </w:p>
    <w:bookmarkEnd w:id="344"/>
    <w:bookmarkEnd w:id="345"/>
    <w:p>
      <w:pPr>
        <w:numPr>
          <w:ilvl w:val="0"/>
          <w:numId w:val="17"/>
        </w:numPr>
        <w:spacing w:line="660" w:lineRule="exact"/>
        <w:ind w:firstLine="420" w:firstLineChars="200"/>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质量及服务要求</w:t>
      </w:r>
    </w:p>
    <w:p>
      <w:pPr>
        <w:pStyle w:val="29"/>
        <w:spacing w:beforeLines="0" w:afterLines="0" w:line="360" w:lineRule="auto"/>
        <w:ind w:firstLine="420" w:firstLineChars="200"/>
        <w:rPr>
          <w:rFonts w:hint="eastAsia" w:ascii="宋体" w:hAnsi="宋体" w:eastAsia="宋体" w:cs="宋体"/>
          <w:b w:val="0"/>
          <w:bCs w:val="0"/>
          <w:snapToGrid w:val="0"/>
          <w:color w:val="auto"/>
          <w:kern w:val="0"/>
          <w:sz w:val="21"/>
          <w:szCs w:val="21"/>
          <w:highlight w:val="none"/>
        </w:rPr>
      </w:pPr>
      <w:r>
        <w:rPr>
          <w:rFonts w:hint="eastAsia" w:ascii="宋体" w:hAnsi="宋体" w:eastAsia="宋体" w:cs="宋体"/>
          <w:b w:val="0"/>
          <w:bCs w:val="0"/>
          <w:snapToGrid w:val="0"/>
          <w:color w:val="auto"/>
          <w:kern w:val="0"/>
          <w:sz w:val="21"/>
          <w:szCs w:val="21"/>
          <w:highlight w:val="none"/>
        </w:rPr>
        <w:t>（一）售后服务</w:t>
      </w:r>
    </w:p>
    <w:p>
      <w:pPr>
        <w:pStyle w:val="29"/>
        <w:spacing w:beforeLines="0" w:afterLines="0" w:line="360" w:lineRule="auto"/>
        <w:ind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lang w:val="en-US" w:eastAsia="zh-CN"/>
        </w:rPr>
        <w:t>针对新增开发升级部分功能，</w:t>
      </w:r>
      <w:r>
        <w:rPr>
          <w:rFonts w:hint="eastAsia" w:ascii="宋体" w:hAnsi="宋体" w:eastAsia="宋体" w:cs="宋体"/>
          <w:snapToGrid w:val="0"/>
          <w:color w:val="auto"/>
          <w:kern w:val="0"/>
          <w:sz w:val="21"/>
          <w:szCs w:val="21"/>
          <w:highlight w:val="none"/>
        </w:rPr>
        <w:t>自验收通过后1年</w:t>
      </w:r>
      <w:r>
        <w:rPr>
          <w:rFonts w:hint="eastAsia" w:ascii="宋体" w:hAnsi="宋体" w:eastAsia="宋体" w:cs="宋体"/>
          <w:snapToGrid w:val="0"/>
          <w:color w:val="auto"/>
          <w:kern w:val="0"/>
          <w:sz w:val="21"/>
          <w:szCs w:val="21"/>
          <w:highlight w:val="none"/>
          <w:lang w:eastAsia="zh-CN"/>
        </w:rPr>
        <w:t>，乙方需</w:t>
      </w:r>
      <w:r>
        <w:rPr>
          <w:rFonts w:hint="eastAsia" w:ascii="宋体" w:hAnsi="宋体" w:eastAsia="宋体" w:cs="宋体"/>
          <w:snapToGrid w:val="0"/>
          <w:color w:val="auto"/>
          <w:kern w:val="0"/>
          <w:sz w:val="21"/>
          <w:szCs w:val="21"/>
          <w:highlight w:val="none"/>
        </w:rPr>
        <w:t>保证项目核心人员对本项目提供免费</w:t>
      </w:r>
      <w:r>
        <w:rPr>
          <w:rFonts w:hint="eastAsia" w:ascii="宋体" w:hAnsi="宋体" w:eastAsia="宋体" w:cs="宋体"/>
          <w:snapToGrid w:val="0"/>
          <w:color w:val="auto"/>
          <w:kern w:val="0"/>
          <w:sz w:val="21"/>
          <w:szCs w:val="21"/>
          <w:highlight w:val="none"/>
          <w:lang w:eastAsia="zh-CN"/>
        </w:rPr>
        <w:t>的</w:t>
      </w:r>
      <w:r>
        <w:rPr>
          <w:rFonts w:hint="eastAsia" w:ascii="宋体" w:hAnsi="宋体" w:eastAsia="宋体" w:cs="宋体"/>
          <w:snapToGrid w:val="0"/>
          <w:color w:val="auto"/>
          <w:kern w:val="0"/>
          <w:sz w:val="21"/>
          <w:szCs w:val="21"/>
          <w:highlight w:val="none"/>
        </w:rPr>
        <w:t>技术支持</w:t>
      </w:r>
      <w:r>
        <w:rPr>
          <w:rFonts w:hint="eastAsia" w:ascii="宋体" w:hAnsi="宋体" w:eastAsia="宋体" w:cs="宋体"/>
          <w:snapToGrid w:val="0"/>
          <w:color w:val="auto"/>
          <w:kern w:val="0"/>
          <w:sz w:val="21"/>
          <w:szCs w:val="21"/>
          <w:highlight w:val="none"/>
          <w:lang w:eastAsia="zh-CN"/>
        </w:rPr>
        <w:t>，</w:t>
      </w:r>
      <w:r>
        <w:rPr>
          <w:rFonts w:hint="eastAsia" w:ascii="宋体" w:hAnsi="宋体" w:eastAsia="宋体" w:cs="宋体"/>
          <w:snapToGrid w:val="0"/>
          <w:color w:val="auto"/>
          <w:kern w:val="0"/>
          <w:sz w:val="21"/>
          <w:szCs w:val="21"/>
          <w:highlight w:val="none"/>
        </w:rPr>
        <w:t>以</w:t>
      </w:r>
      <w:r>
        <w:rPr>
          <w:rFonts w:hint="eastAsia" w:ascii="宋体" w:hAnsi="宋体" w:eastAsia="宋体" w:cs="宋体"/>
          <w:snapToGrid w:val="0"/>
          <w:color w:val="auto"/>
          <w:kern w:val="0"/>
          <w:sz w:val="21"/>
          <w:szCs w:val="21"/>
          <w:highlight w:val="none"/>
          <w:lang w:eastAsia="zh-CN"/>
        </w:rPr>
        <w:t>解决系统使用过程中出现的问题，保障系统</w:t>
      </w:r>
      <w:r>
        <w:rPr>
          <w:rFonts w:hint="eastAsia" w:ascii="宋体" w:hAnsi="宋体" w:eastAsia="宋体" w:cs="宋体"/>
          <w:snapToGrid w:val="0"/>
          <w:color w:val="auto"/>
          <w:kern w:val="0"/>
          <w:sz w:val="21"/>
          <w:szCs w:val="21"/>
          <w:highlight w:val="none"/>
        </w:rPr>
        <w:t>正常使用，对甲方提出的</w:t>
      </w:r>
      <w:r>
        <w:rPr>
          <w:rFonts w:hint="eastAsia" w:ascii="宋体" w:hAnsi="宋体" w:eastAsia="宋体" w:cs="宋体"/>
          <w:snapToGrid w:val="0"/>
          <w:color w:val="auto"/>
          <w:kern w:val="0"/>
          <w:sz w:val="21"/>
          <w:szCs w:val="21"/>
          <w:highlight w:val="none"/>
          <w:lang w:val="en-US" w:eastAsia="zh-CN"/>
        </w:rPr>
        <w:t>系统</w:t>
      </w:r>
      <w:r>
        <w:rPr>
          <w:rFonts w:hint="eastAsia" w:ascii="宋体" w:hAnsi="宋体" w:eastAsia="宋体" w:cs="宋体"/>
          <w:snapToGrid w:val="0"/>
          <w:color w:val="auto"/>
          <w:kern w:val="0"/>
          <w:sz w:val="21"/>
          <w:szCs w:val="21"/>
          <w:highlight w:val="none"/>
        </w:rPr>
        <w:t>维护要求提供7×24小时响应服务，服务方式包括：电话热线支持，远程协助，远程登录。如远程无法解决的，在4小时内到达现场进行维护排障。</w:t>
      </w:r>
    </w:p>
    <w:p>
      <w:pPr>
        <w:pStyle w:val="29"/>
        <w:spacing w:beforeLines="0" w:afterLines="0" w:line="360" w:lineRule="auto"/>
        <w:ind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lang w:eastAsia="zh-CN"/>
        </w:rPr>
        <w:t>乙方</w:t>
      </w:r>
      <w:r>
        <w:rPr>
          <w:rFonts w:hint="eastAsia" w:ascii="宋体" w:hAnsi="宋体" w:eastAsia="宋体" w:cs="宋体"/>
          <w:snapToGrid w:val="0"/>
          <w:color w:val="auto"/>
          <w:kern w:val="0"/>
          <w:sz w:val="21"/>
          <w:szCs w:val="21"/>
          <w:highlight w:val="none"/>
        </w:rPr>
        <w:t>提供日常安全运维服务，提供应用与数据安全接入保障（定期进行漏洞扫描分析），提供安全突发性事件应急响应。</w:t>
      </w:r>
    </w:p>
    <w:p>
      <w:pPr>
        <w:pStyle w:val="29"/>
        <w:spacing w:beforeLines="0" w:afterLines="0" w:line="360" w:lineRule="auto"/>
        <w:ind w:firstLine="420" w:firstLineChars="200"/>
        <w:rPr>
          <w:rFonts w:hint="eastAsia" w:ascii="宋体" w:hAnsi="宋体" w:eastAsia="宋体" w:cs="宋体"/>
          <w:b w:val="0"/>
          <w:bCs w:val="0"/>
          <w:snapToGrid w:val="0"/>
          <w:color w:val="auto"/>
          <w:kern w:val="0"/>
          <w:sz w:val="21"/>
          <w:szCs w:val="21"/>
          <w:highlight w:val="none"/>
        </w:rPr>
      </w:pPr>
      <w:r>
        <w:rPr>
          <w:rFonts w:hint="eastAsia" w:ascii="宋体" w:hAnsi="宋体" w:eastAsia="宋体" w:cs="宋体"/>
          <w:b w:val="0"/>
          <w:bCs w:val="0"/>
          <w:snapToGrid w:val="0"/>
          <w:color w:val="auto"/>
          <w:kern w:val="0"/>
          <w:sz w:val="21"/>
          <w:szCs w:val="21"/>
          <w:highlight w:val="none"/>
        </w:rPr>
        <w:t>（二）培训服务要求</w:t>
      </w:r>
    </w:p>
    <w:p>
      <w:pPr>
        <w:pStyle w:val="29"/>
        <w:spacing w:beforeLines="0" w:afterLines="0" w:line="360" w:lineRule="auto"/>
        <w:ind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合同履行中乙方</w:t>
      </w:r>
      <w:r>
        <w:rPr>
          <w:rFonts w:hint="eastAsia" w:ascii="宋体" w:hAnsi="宋体" w:eastAsia="宋体" w:cs="宋体"/>
          <w:snapToGrid w:val="0"/>
          <w:color w:val="auto"/>
          <w:kern w:val="0"/>
          <w:sz w:val="21"/>
          <w:szCs w:val="21"/>
          <w:highlight w:val="none"/>
          <w:lang w:val="en-US" w:eastAsia="zh-CN"/>
        </w:rPr>
        <w:t>根据甲方需要</w:t>
      </w:r>
      <w:r>
        <w:rPr>
          <w:rFonts w:hint="eastAsia" w:ascii="宋体" w:hAnsi="宋体" w:eastAsia="宋体" w:cs="宋体"/>
          <w:snapToGrid w:val="0"/>
          <w:color w:val="auto"/>
          <w:kern w:val="0"/>
          <w:sz w:val="21"/>
          <w:szCs w:val="21"/>
          <w:highlight w:val="none"/>
        </w:rPr>
        <w:t>提供专题培训</w:t>
      </w:r>
      <w:r>
        <w:rPr>
          <w:rFonts w:hint="eastAsia" w:ascii="宋体" w:hAnsi="宋体" w:eastAsia="宋体" w:cs="宋体"/>
          <w:snapToGrid w:val="0"/>
          <w:color w:val="auto"/>
          <w:kern w:val="0"/>
          <w:sz w:val="21"/>
          <w:szCs w:val="21"/>
          <w:highlight w:val="none"/>
          <w:lang w:val="en-US" w:eastAsia="zh-CN"/>
        </w:rPr>
        <w:t>或者培训支持</w:t>
      </w:r>
      <w:r>
        <w:rPr>
          <w:rFonts w:hint="eastAsia" w:ascii="宋体" w:hAnsi="宋体" w:eastAsia="宋体" w:cs="宋体"/>
          <w:snapToGrid w:val="0"/>
          <w:color w:val="auto"/>
          <w:kern w:val="0"/>
          <w:sz w:val="21"/>
          <w:szCs w:val="21"/>
          <w:highlight w:val="none"/>
        </w:rPr>
        <w:t>，培训内容涵盖</w:t>
      </w:r>
      <w:r>
        <w:rPr>
          <w:rFonts w:hint="eastAsia" w:ascii="宋体" w:hAnsi="宋体" w:eastAsia="宋体" w:cs="宋体"/>
          <w:snapToGrid w:val="0"/>
          <w:color w:val="auto"/>
          <w:kern w:val="0"/>
          <w:sz w:val="21"/>
          <w:szCs w:val="21"/>
          <w:highlight w:val="none"/>
          <w:lang w:val="en-US" w:eastAsia="zh-CN"/>
        </w:rPr>
        <w:t>系统部署或者实施配置、功能操作</w:t>
      </w:r>
      <w:r>
        <w:rPr>
          <w:rFonts w:hint="eastAsia" w:ascii="宋体" w:hAnsi="宋体" w:eastAsia="宋体" w:cs="宋体"/>
          <w:snapToGrid w:val="0"/>
          <w:color w:val="auto"/>
          <w:kern w:val="0"/>
          <w:sz w:val="21"/>
          <w:szCs w:val="21"/>
          <w:highlight w:val="none"/>
        </w:rPr>
        <w:t>，以确保甲方和相关技术团队能够高效熟练的进行运维和使用。培训对象</w:t>
      </w:r>
      <w:r>
        <w:rPr>
          <w:rFonts w:hint="eastAsia" w:ascii="宋体" w:hAnsi="宋体" w:eastAsia="宋体" w:cs="宋体"/>
          <w:snapToGrid w:val="0"/>
          <w:color w:val="auto"/>
          <w:kern w:val="0"/>
          <w:sz w:val="21"/>
          <w:szCs w:val="21"/>
          <w:highlight w:val="none"/>
          <w:lang w:val="en-US" w:eastAsia="zh-CN"/>
        </w:rPr>
        <w:t>由甲方召集</w:t>
      </w:r>
      <w:r>
        <w:rPr>
          <w:rFonts w:hint="eastAsia" w:ascii="宋体" w:hAnsi="宋体" w:eastAsia="宋体" w:cs="宋体"/>
          <w:snapToGrid w:val="0"/>
          <w:color w:val="auto"/>
          <w:kern w:val="0"/>
          <w:sz w:val="21"/>
          <w:szCs w:val="21"/>
          <w:highlight w:val="none"/>
        </w:rPr>
        <w:t>。培训时间和地点由甲方指定。</w:t>
      </w:r>
    </w:p>
    <w:p>
      <w:pPr>
        <w:pStyle w:val="29"/>
        <w:spacing w:beforeLines="0" w:afterLines="0" w:line="360" w:lineRule="auto"/>
        <w:ind w:firstLine="420" w:firstLineChars="200"/>
        <w:rPr>
          <w:rFonts w:hint="eastAsia" w:ascii="宋体" w:hAnsi="宋体" w:eastAsia="宋体" w:cs="宋体"/>
          <w:b w:val="0"/>
          <w:bCs w:val="0"/>
          <w:snapToGrid w:val="0"/>
          <w:color w:val="auto"/>
          <w:kern w:val="0"/>
          <w:sz w:val="21"/>
          <w:szCs w:val="21"/>
          <w:highlight w:val="none"/>
        </w:rPr>
      </w:pPr>
      <w:r>
        <w:rPr>
          <w:rFonts w:hint="eastAsia" w:ascii="宋体" w:hAnsi="宋体" w:eastAsia="宋体" w:cs="宋体"/>
          <w:b w:val="0"/>
          <w:bCs w:val="0"/>
          <w:snapToGrid w:val="0"/>
          <w:color w:val="auto"/>
          <w:kern w:val="0"/>
          <w:sz w:val="21"/>
          <w:szCs w:val="21"/>
          <w:highlight w:val="none"/>
        </w:rPr>
        <w:t>（三）安全运维服务</w:t>
      </w:r>
      <w:r>
        <w:rPr>
          <w:rFonts w:hint="eastAsia" w:ascii="宋体" w:hAnsi="宋体" w:eastAsia="宋体" w:cs="宋体"/>
          <w:b w:val="0"/>
          <w:bCs w:val="0"/>
          <w:snapToGrid w:val="0"/>
          <w:color w:val="auto"/>
          <w:kern w:val="0"/>
          <w:sz w:val="21"/>
          <w:szCs w:val="21"/>
          <w:highlight w:val="none"/>
          <w:lang w:eastAsia="zh-CN"/>
        </w:rPr>
        <w:t>机制</w:t>
      </w:r>
      <w:r>
        <w:rPr>
          <w:rFonts w:hint="eastAsia" w:ascii="宋体" w:hAnsi="宋体" w:eastAsia="宋体" w:cs="宋体"/>
          <w:b w:val="0"/>
          <w:bCs w:val="0"/>
          <w:snapToGrid w:val="0"/>
          <w:color w:val="auto"/>
          <w:kern w:val="0"/>
          <w:sz w:val="21"/>
          <w:szCs w:val="21"/>
          <w:highlight w:val="none"/>
        </w:rPr>
        <w:t>要求</w:t>
      </w:r>
    </w:p>
    <w:p>
      <w:pPr>
        <w:pStyle w:val="29"/>
        <w:spacing w:beforeLines="0" w:afterLines="0" w:line="360" w:lineRule="auto"/>
        <w:ind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乙方为项目建立一套完整地安全运维服务机制，通过定期对系统运维发现并修复信息系统中所存在的安全隐患，降低安全隐患被非法利用的可能性，并在安全隐患被利用后及时加以响应。</w:t>
      </w:r>
    </w:p>
    <w:p>
      <w:pPr>
        <w:numPr>
          <w:ilvl w:val="0"/>
          <w:numId w:val="17"/>
        </w:numPr>
        <w:spacing w:line="660" w:lineRule="exact"/>
        <w:ind w:firstLine="420" w:firstLineChars="200"/>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验收标准和方式</w:t>
      </w:r>
    </w:p>
    <w:p>
      <w:pPr>
        <w:pStyle w:val="29"/>
        <w:spacing w:line="360" w:lineRule="auto"/>
        <w:ind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本项目验收以乙方交付并实施完成本合同第四条中</w:t>
      </w:r>
      <w:r>
        <w:rPr>
          <w:rFonts w:hint="eastAsia" w:ascii="宋体" w:hAnsi="宋体" w:eastAsia="宋体" w:cs="宋体"/>
          <w:snapToGrid w:val="0"/>
          <w:color w:val="auto"/>
          <w:kern w:val="0"/>
          <w:sz w:val="21"/>
          <w:szCs w:val="21"/>
          <w:highlight w:val="none"/>
          <w:lang w:val="en-US" w:eastAsia="zh-CN" w:bidi="ar-SA"/>
        </w:rPr>
        <w:t>预算管理一体化新增需求实现</w:t>
      </w:r>
      <w:r>
        <w:rPr>
          <w:rFonts w:hint="eastAsia" w:ascii="宋体" w:hAnsi="宋体" w:eastAsia="宋体" w:cs="宋体"/>
          <w:snapToGrid w:val="0"/>
          <w:color w:val="auto"/>
          <w:kern w:val="0"/>
          <w:sz w:val="21"/>
          <w:szCs w:val="21"/>
          <w:highlight w:val="none"/>
        </w:rPr>
        <w:t>，</w:t>
      </w:r>
      <w:r>
        <w:rPr>
          <w:rFonts w:hint="eastAsia" w:ascii="宋体" w:hAnsi="宋体" w:eastAsia="宋体" w:cs="宋体"/>
          <w:snapToGrid w:val="0"/>
          <w:color w:val="auto"/>
          <w:kern w:val="0"/>
          <w:sz w:val="21"/>
          <w:szCs w:val="21"/>
          <w:highlight w:val="none"/>
          <w:lang w:val="en-US" w:eastAsia="zh-CN"/>
        </w:rPr>
        <w:t>试运行稳定至少1个月，</w:t>
      </w:r>
      <w:r>
        <w:rPr>
          <w:rFonts w:hint="eastAsia" w:ascii="宋体" w:hAnsi="宋体" w:eastAsia="宋体" w:cs="宋体"/>
          <w:snapToGrid w:val="0"/>
          <w:color w:val="auto"/>
          <w:kern w:val="0"/>
          <w:sz w:val="21"/>
          <w:szCs w:val="21"/>
          <w:highlight w:val="none"/>
        </w:rPr>
        <w:t>经甲方确认后由乙方提出验收申请，由甲方组织验收并出具验收报告。</w:t>
      </w:r>
    </w:p>
    <w:p>
      <w:pPr>
        <w:pStyle w:val="29"/>
        <w:spacing w:line="360" w:lineRule="auto"/>
        <w:ind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验收提供的资料</w:t>
      </w:r>
      <w:r>
        <w:rPr>
          <w:rFonts w:hint="eastAsia" w:ascii="宋体" w:hAnsi="宋体" w:eastAsia="宋体" w:cs="宋体"/>
          <w:snapToGrid w:val="0"/>
          <w:color w:val="auto"/>
          <w:kern w:val="0"/>
          <w:sz w:val="21"/>
          <w:szCs w:val="21"/>
          <w:highlight w:val="none"/>
          <w:lang w:eastAsia="zh-CN"/>
        </w:rPr>
        <w:t>（</w:t>
      </w:r>
      <w:r>
        <w:rPr>
          <w:rFonts w:hint="eastAsia" w:ascii="宋体" w:hAnsi="宋体" w:eastAsia="宋体" w:cs="宋体"/>
          <w:snapToGrid w:val="0"/>
          <w:color w:val="auto"/>
          <w:kern w:val="0"/>
          <w:sz w:val="21"/>
          <w:szCs w:val="21"/>
          <w:highlight w:val="none"/>
          <w:lang w:val="en-US" w:eastAsia="zh-CN"/>
        </w:rPr>
        <w:t>包括但不限于</w:t>
      </w:r>
      <w:r>
        <w:rPr>
          <w:rFonts w:hint="eastAsia" w:ascii="宋体" w:hAnsi="宋体" w:eastAsia="宋体" w:cs="宋体"/>
          <w:snapToGrid w:val="0"/>
          <w:color w:val="auto"/>
          <w:kern w:val="0"/>
          <w:sz w:val="21"/>
          <w:szCs w:val="21"/>
          <w:highlight w:val="none"/>
          <w:lang w:eastAsia="zh-CN"/>
        </w:rPr>
        <w:t>）（纸质和电子）</w:t>
      </w:r>
      <w:r>
        <w:rPr>
          <w:rFonts w:hint="eastAsia" w:ascii="宋体" w:hAnsi="宋体" w:eastAsia="宋体" w:cs="宋体"/>
          <w:snapToGrid w:val="0"/>
          <w:color w:val="auto"/>
          <w:kern w:val="0"/>
          <w:sz w:val="21"/>
          <w:szCs w:val="21"/>
          <w:highlight w:val="none"/>
        </w:rPr>
        <w:t>：</w:t>
      </w:r>
    </w:p>
    <w:p>
      <w:pPr>
        <w:pStyle w:val="29"/>
        <w:adjustRightInd w:val="0"/>
        <w:snapToGrid w:val="0"/>
        <w:spacing w:line="360" w:lineRule="auto"/>
        <w:ind w:left="105" w:leftChars="50"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《需求规格说明书》</w:t>
      </w:r>
    </w:p>
    <w:p>
      <w:pPr>
        <w:pStyle w:val="29"/>
        <w:adjustRightInd w:val="0"/>
        <w:snapToGrid w:val="0"/>
        <w:spacing w:line="360" w:lineRule="auto"/>
        <w:ind w:left="105" w:leftChars="50"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《详细设计说明书》</w:t>
      </w:r>
    </w:p>
    <w:p>
      <w:pPr>
        <w:pStyle w:val="29"/>
        <w:adjustRightInd w:val="0"/>
        <w:snapToGrid w:val="0"/>
        <w:spacing w:line="360" w:lineRule="auto"/>
        <w:ind w:left="105" w:leftChars="50"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w:t>
      </w:r>
      <w:r>
        <w:rPr>
          <w:rFonts w:hint="eastAsia" w:ascii="宋体" w:hAnsi="宋体" w:eastAsia="宋体" w:cs="宋体"/>
          <w:snapToGrid w:val="0"/>
          <w:color w:val="auto"/>
          <w:kern w:val="0"/>
          <w:sz w:val="21"/>
          <w:szCs w:val="21"/>
          <w:highlight w:val="none"/>
          <w:lang w:eastAsia="zh-CN"/>
        </w:rPr>
        <w:t>数据库</w:t>
      </w:r>
      <w:r>
        <w:rPr>
          <w:rFonts w:hint="eastAsia" w:ascii="宋体" w:hAnsi="宋体" w:eastAsia="宋体" w:cs="宋体"/>
          <w:snapToGrid w:val="0"/>
          <w:color w:val="auto"/>
          <w:kern w:val="0"/>
          <w:sz w:val="21"/>
          <w:szCs w:val="21"/>
          <w:highlight w:val="none"/>
        </w:rPr>
        <w:t>设计说明书》</w:t>
      </w:r>
    </w:p>
    <w:p>
      <w:pPr>
        <w:pStyle w:val="29"/>
        <w:adjustRightInd w:val="0"/>
        <w:snapToGrid w:val="0"/>
        <w:spacing w:line="360" w:lineRule="auto"/>
        <w:ind w:left="105" w:leftChars="50"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《测试用例及测试报告》</w:t>
      </w:r>
    </w:p>
    <w:p>
      <w:pPr>
        <w:pStyle w:val="29"/>
        <w:adjustRightInd w:val="0"/>
        <w:snapToGrid w:val="0"/>
        <w:spacing w:line="360" w:lineRule="auto"/>
        <w:ind w:left="105" w:leftChars="50"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《实施报告》</w:t>
      </w:r>
    </w:p>
    <w:p>
      <w:pPr>
        <w:pStyle w:val="29"/>
        <w:adjustRightInd w:val="0"/>
        <w:snapToGrid w:val="0"/>
        <w:spacing w:line="360" w:lineRule="auto"/>
        <w:ind w:left="105" w:leftChars="50"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《安装实施手册》</w:t>
      </w:r>
    </w:p>
    <w:p>
      <w:pPr>
        <w:pStyle w:val="29"/>
        <w:adjustRightInd w:val="0"/>
        <w:snapToGrid w:val="0"/>
        <w:spacing w:line="360" w:lineRule="auto"/>
        <w:ind w:firstLine="420" w:firstLineChars="200"/>
        <w:rPr>
          <w:rFonts w:hint="eastAsia" w:ascii="宋体" w:hAnsi="宋体" w:eastAsia="宋体" w:cs="宋体"/>
          <w:snapToGrid w:val="0"/>
          <w:color w:val="auto"/>
          <w:kern w:val="0"/>
          <w:sz w:val="21"/>
          <w:szCs w:val="21"/>
          <w:highlight w:val="none"/>
          <w:lang w:eastAsia="zh-CN"/>
        </w:rPr>
      </w:pPr>
      <w:r>
        <w:rPr>
          <w:rFonts w:hint="eastAsia" w:ascii="宋体" w:hAnsi="宋体" w:eastAsia="宋体" w:cs="宋体"/>
          <w:snapToGrid w:val="0"/>
          <w:color w:val="auto"/>
          <w:kern w:val="0"/>
          <w:sz w:val="21"/>
          <w:szCs w:val="21"/>
          <w:highlight w:val="none"/>
          <w:lang w:eastAsia="zh-CN"/>
        </w:rPr>
        <w:t>源代码及对应编译文件</w:t>
      </w:r>
    </w:p>
    <w:p>
      <w:pPr>
        <w:pStyle w:val="29"/>
        <w:adjustRightInd w:val="0"/>
        <w:snapToGrid w:val="0"/>
        <w:spacing w:line="360" w:lineRule="auto"/>
        <w:ind w:left="105" w:leftChars="50"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lang w:eastAsia="zh-CN"/>
        </w:rPr>
        <w:t>《源代码编译环境和编译方法说明书》</w:t>
      </w:r>
    </w:p>
    <w:p>
      <w:pPr>
        <w:pStyle w:val="29"/>
        <w:adjustRightInd w:val="0"/>
        <w:snapToGrid w:val="0"/>
        <w:spacing w:line="360" w:lineRule="auto"/>
        <w:ind w:left="105" w:leftChars="50"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《用户操作手册》</w:t>
      </w:r>
    </w:p>
    <w:p>
      <w:pPr>
        <w:pStyle w:val="29"/>
        <w:adjustRightInd w:val="0"/>
        <w:snapToGrid w:val="0"/>
        <w:spacing w:line="360" w:lineRule="auto"/>
        <w:ind w:left="105" w:leftChars="50"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《管理员操作手册》</w:t>
      </w:r>
    </w:p>
    <w:p>
      <w:pPr>
        <w:numPr>
          <w:ilvl w:val="0"/>
          <w:numId w:val="17"/>
        </w:numPr>
        <w:spacing w:line="660" w:lineRule="exact"/>
        <w:ind w:firstLine="420" w:firstLineChars="200"/>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资金结算和支付方式</w:t>
      </w:r>
    </w:p>
    <w:p>
      <w:pPr>
        <w:pStyle w:val="29"/>
        <w:snapToGrid w:val="0"/>
        <w:spacing w:line="360" w:lineRule="auto"/>
        <w:ind w:firstLine="420" w:firstLineChars="200"/>
        <w:outlineLvl w:val="2"/>
        <w:rPr>
          <w:rFonts w:hint="eastAsia" w:ascii="宋体" w:hAnsi="宋体" w:eastAsia="宋体" w:cs="宋体"/>
          <w:snapToGrid w:val="0"/>
          <w:color w:val="auto"/>
          <w:kern w:val="0"/>
          <w:sz w:val="21"/>
          <w:szCs w:val="21"/>
          <w:highlight w:val="none"/>
          <w:lang w:val="zh-CN"/>
        </w:rPr>
      </w:pPr>
      <w:r>
        <w:rPr>
          <w:rFonts w:hint="eastAsia" w:ascii="宋体" w:hAnsi="宋体" w:eastAsia="宋体" w:cs="宋体"/>
          <w:snapToGrid w:val="0"/>
          <w:color w:val="auto"/>
          <w:kern w:val="0"/>
          <w:sz w:val="21"/>
          <w:szCs w:val="21"/>
          <w:highlight w:val="none"/>
        </w:rPr>
        <w:t>（一）合同签订后</w:t>
      </w:r>
      <w:r>
        <w:rPr>
          <w:rFonts w:hint="eastAsia" w:ascii="宋体" w:hAnsi="宋体" w:eastAsia="宋体" w:cs="宋体"/>
          <w:snapToGrid w:val="0"/>
          <w:color w:val="auto"/>
          <w:kern w:val="0"/>
          <w:sz w:val="21"/>
          <w:szCs w:val="21"/>
          <w:highlight w:val="none"/>
          <w:lang w:eastAsia="zh-CN"/>
        </w:rPr>
        <w:t>三十个工作日内</w:t>
      </w:r>
      <w:r>
        <w:rPr>
          <w:rFonts w:hint="eastAsia" w:ascii="宋体" w:hAnsi="宋体" w:eastAsia="宋体" w:cs="宋体"/>
          <w:snapToGrid w:val="0"/>
          <w:color w:val="auto"/>
          <w:kern w:val="0"/>
          <w:sz w:val="21"/>
          <w:szCs w:val="21"/>
          <w:highlight w:val="none"/>
        </w:rPr>
        <w:t>甲方支付合同总价款的</w:t>
      </w:r>
      <w:r>
        <w:rPr>
          <w:rFonts w:hint="eastAsia" w:ascii="宋体" w:hAnsi="宋体" w:eastAsia="宋体" w:cs="宋体"/>
          <w:snapToGrid w:val="0"/>
          <w:color w:val="auto"/>
          <w:kern w:val="0"/>
          <w:sz w:val="21"/>
          <w:szCs w:val="21"/>
          <w:highlight w:val="none"/>
          <w:lang w:val="en-US" w:eastAsia="zh-CN"/>
        </w:rPr>
        <w:t>7</w:t>
      </w:r>
      <w:r>
        <w:rPr>
          <w:rFonts w:hint="eastAsia" w:ascii="宋体" w:hAnsi="宋体" w:eastAsia="宋体" w:cs="宋体"/>
          <w:snapToGrid w:val="0"/>
          <w:color w:val="auto"/>
          <w:kern w:val="0"/>
          <w:sz w:val="21"/>
          <w:szCs w:val="21"/>
          <w:highlight w:val="none"/>
        </w:rPr>
        <w:t>0%，计人民币（大写）</w:t>
      </w:r>
      <w:r>
        <w:rPr>
          <w:rFonts w:hint="eastAsia" w:ascii="宋体" w:hAnsi="宋体" w:eastAsia="宋体" w:cs="宋体"/>
          <w:snapToGrid w:val="0"/>
          <w:color w:val="auto"/>
          <w:kern w:val="0"/>
          <w:sz w:val="21"/>
          <w:szCs w:val="21"/>
          <w:highlight w:val="none"/>
          <w:lang w:val="en-US" w:eastAsia="zh-CN"/>
        </w:rPr>
        <w:t>XXXXXX</w:t>
      </w:r>
      <w:r>
        <w:rPr>
          <w:rFonts w:hint="eastAsia" w:ascii="宋体" w:hAnsi="宋体" w:eastAsia="宋体" w:cs="宋体"/>
          <w:snapToGrid w:val="0"/>
          <w:color w:val="auto"/>
          <w:kern w:val="0"/>
          <w:sz w:val="21"/>
          <w:szCs w:val="21"/>
          <w:highlight w:val="none"/>
          <w:u w:val="none"/>
        </w:rPr>
        <w:t>元整</w:t>
      </w:r>
      <w:r>
        <w:rPr>
          <w:rFonts w:hint="eastAsia" w:ascii="宋体" w:hAnsi="宋体" w:eastAsia="宋体" w:cs="宋体"/>
          <w:snapToGrid w:val="0"/>
          <w:color w:val="auto"/>
          <w:kern w:val="0"/>
          <w:sz w:val="21"/>
          <w:szCs w:val="21"/>
          <w:highlight w:val="none"/>
          <w:lang w:val="zh-CN"/>
        </w:rPr>
        <w:t>（小写：￥</w:t>
      </w:r>
      <w:r>
        <w:rPr>
          <w:rFonts w:hint="eastAsia" w:ascii="宋体" w:hAnsi="宋体" w:eastAsia="宋体" w:cs="宋体"/>
          <w:snapToGrid w:val="0"/>
          <w:color w:val="auto"/>
          <w:kern w:val="0"/>
          <w:sz w:val="21"/>
          <w:szCs w:val="21"/>
          <w:highlight w:val="none"/>
          <w:lang w:val="en-US" w:eastAsia="zh-CN"/>
        </w:rPr>
        <w:t>XXXXXX.XX</w:t>
      </w:r>
      <w:r>
        <w:rPr>
          <w:rFonts w:hint="eastAsia" w:ascii="宋体" w:hAnsi="宋体" w:eastAsia="宋体" w:cs="宋体"/>
          <w:snapToGrid w:val="0"/>
          <w:color w:val="auto"/>
          <w:kern w:val="0"/>
          <w:sz w:val="21"/>
          <w:szCs w:val="21"/>
          <w:highlight w:val="none"/>
          <w:lang w:val="zh-CN"/>
        </w:rPr>
        <w:t>元）；</w:t>
      </w:r>
    </w:p>
    <w:p>
      <w:pPr>
        <w:pStyle w:val="29"/>
        <w:snapToGrid w:val="0"/>
        <w:spacing w:line="360" w:lineRule="auto"/>
        <w:ind w:firstLine="420" w:firstLineChars="200"/>
        <w:outlineLvl w:val="2"/>
        <w:rPr>
          <w:rFonts w:hint="eastAsia" w:ascii="宋体" w:hAnsi="宋体" w:eastAsia="宋体" w:cs="宋体"/>
          <w:snapToGrid w:val="0"/>
          <w:color w:val="auto"/>
          <w:kern w:val="0"/>
          <w:sz w:val="21"/>
          <w:szCs w:val="21"/>
          <w:highlight w:val="none"/>
          <w:lang w:val="zh-CN"/>
        </w:rPr>
      </w:pPr>
      <w:r>
        <w:rPr>
          <w:rFonts w:hint="eastAsia" w:ascii="宋体" w:hAnsi="宋体" w:eastAsia="宋体" w:cs="宋体"/>
          <w:snapToGrid w:val="0"/>
          <w:color w:val="auto"/>
          <w:kern w:val="0"/>
          <w:sz w:val="21"/>
          <w:szCs w:val="21"/>
          <w:highlight w:val="none"/>
          <w:lang w:val="zh-CN"/>
        </w:rPr>
        <w:t>（二）</w:t>
      </w:r>
      <w:r>
        <w:rPr>
          <w:rFonts w:hint="eastAsia" w:ascii="宋体" w:hAnsi="宋体" w:eastAsia="宋体" w:cs="宋体"/>
          <w:snapToGrid w:val="0"/>
          <w:color w:val="auto"/>
          <w:kern w:val="0"/>
          <w:sz w:val="21"/>
          <w:szCs w:val="21"/>
          <w:highlight w:val="none"/>
        </w:rPr>
        <w:t>项目通过验收后</w:t>
      </w:r>
      <w:r>
        <w:rPr>
          <w:rFonts w:hint="eastAsia" w:ascii="宋体" w:hAnsi="宋体" w:eastAsia="宋体" w:cs="宋体"/>
          <w:snapToGrid w:val="0"/>
          <w:color w:val="auto"/>
          <w:kern w:val="0"/>
          <w:sz w:val="21"/>
          <w:szCs w:val="21"/>
          <w:highlight w:val="none"/>
          <w:lang w:eastAsia="zh-CN"/>
        </w:rPr>
        <w:t>三十个工作日内</w:t>
      </w:r>
      <w:r>
        <w:rPr>
          <w:rFonts w:hint="eastAsia" w:ascii="宋体" w:hAnsi="宋体" w:eastAsia="宋体" w:cs="宋体"/>
          <w:snapToGrid w:val="0"/>
          <w:color w:val="auto"/>
          <w:kern w:val="0"/>
          <w:sz w:val="21"/>
          <w:szCs w:val="21"/>
          <w:highlight w:val="none"/>
        </w:rPr>
        <w:t xml:space="preserve">，甲方支付合同总价款的 </w:t>
      </w:r>
      <w:r>
        <w:rPr>
          <w:rFonts w:hint="eastAsia" w:ascii="宋体" w:hAnsi="宋体" w:eastAsia="宋体" w:cs="宋体"/>
          <w:snapToGrid w:val="0"/>
          <w:color w:val="auto"/>
          <w:kern w:val="0"/>
          <w:sz w:val="21"/>
          <w:szCs w:val="21"/>
          <w:highlight w:val="none"/>
          <w:lang w:val="en-US" w:eastAsia="zh-CN"/>
        </w:rPr>
        <w:t>2</w:t>
      </w:r>
      <w:r>
        <w:rPr>
          <w:rFonts w:hint="eastAsia" w:ascii="宋体" w:hAnsi="宋体" w:eastAsia="宋体" w:cs="宋体"/>
          <w:snapToGrid w:val="0"/>
          <w:color w:val="auto"/>
          <w:kern w:val="0"/>
          <w:sz w:val="21"/>
          <w:szCs w:val="21"/>
          <w:highlight w:val="none"/>
        </w:rPr>
        <w:t>0%，计人民币（大写）</w:t>
      </w:r>
      <w:r>
        <w:rPr>
          <w:rFonts w:hint="eastAsia" w:ascii="宋体" w:hAnsi="宋体" w:eastAsia="宋体" w:cs="宋体"/>
          <w:snapToGrid w:val="0"/>
          <w:color w:val="auto"/>
          <w:kern w:val="0"/>
          <w:sz w:val="21"/>
          <w:szCs w:val="21"/>
          <w:highlight w:val="none"/>
          <w:lang w:val="en-US" w:eastAsia="zh-CN"/>
        </w:rPr>
        <w:t>XXXXXX</w:t>
      </w:r>
      <w:r>
        <w:rPr>
          <w:rFonts w:hint="eastAsia" w:ascii="宋体" w:hAnsi="宋体" w:eastAsia="宋体" w:cs="宋体"/>
          <w:snapToGrid w:val="0"/>
          <w:color w:val="auto"/>
          <w:kern w:val="0"/>
          <w:sz w:val="21"/>
          <w:szCs w:val="21"/>
          <w:highlight w:val="none"/>
          <w:u w:val="none"/>
        </w:rPr>
        <w:t>元整</w:t>
      </w:r>
      <w:r>
        <w:rPr>
          <w:rFonts w:hint="eastAsia" w:ascii="宋体" w:hAnsi="宋体" w:eastAsia="宋体" w:cs="宋体"/>
          <w:snapToGrid w:val="0"/>
          <w:color w:val="auto"/>
          <w:kern w:val="0"/>
          <w:sz w:val="21"/>
          <w:szCs w:val="21"/>
          <w:highlight w:val="none"/>
          <w:lang w:val="zh-CN"/>
        </w:rPr>
        <w:t>（小写：￥</w:t>
      </w:r>
      <w:r>
        <w:rPr>
          <w:rFonts w:hint="eastAsia" w:ascii="宋体" w:hAnsi="宋体" w:eastAsia="宋体" w:cs="宋体"/>
          <w:snapToGrid w:val="0"/>
          <w:color w:val="auto"/>
          <w:kern w:val="0"/>
          <w:sz w:val="21"/>
          <w:szCs w:val="21"/>
          <w:highlight w:val="none"/>
          <w:lang w:val="en-US" w:eastAsia="zh-CN"/>
        </w:rPr>
        <w:t>XXXXXX.XX</w:t>
      </w:r>
      <w:r>
        <w:rPr>
          <w:rFonts w:hint="eastAsia" w:ascii="宋体" w:hAnsi="宋体" w:eastAsia="宋体" w:cs="宋体"/>
          <w:snapToGrid w:val="0"/>
          <w:color w:val="auto"/>
          <w:kern w:val="0"/>
          <w:sz w:val="21"/>
          <w:szCs w:val="21"/>
          <w:highlight w:val="none"/>
          <w:lang w:val="zh-CN"/>
        </w:rPr>
        <w:t>元）；</w:t>
      </w:r>
    </w:p>
    <w:p>
      <w:pPr>
        <w:pStyle w:val="29"/>
        <w:snapToGrid w:val="0"/>
        <w:spacing w:line="360" w:lineRule="auto"/>
        <w:ind w:firstLine="420" w:firstLineChars="200"/>
        <w:outlineLvl w:val="2"/>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lang w:val="zh-CN"/>
        </w:rPr>
        <w:t>（三）</w:t>
      </w:r>
      <w:r>
        <w:rPr>
          <w:rFonts w:hint="eastAsia" w:ascii="宋体" w:hAnsi="宋体" w:eastAsia="宋体" w:cs="宋体"/>
          <w:snapToGrid w:val="0"/>
          <w:color w:val="auto"/>
          <w:kern w:val="0"/>
          <w:sz w:val="21"/>
          <w:szCs w:val="21"/>
          <w:highlight w:val="none"/>
        </w:rPr>
        <w:t>1年运维服务期满后</w:t>
      </w:r>
      <w:r>
        <w:rPr>
          <w:rFonts w:hint="eastAsia" w:ascii="宋体" w:hAnsi="宋体" w:eastAsia="宋体" w:cs="宋体"/>
          <w:snapToGrid w:val="0"/>
          <w:color w:val="auto"/>
          <w:kern w:val="0"/>
          <w:sz w:val="21"/>
          <w:szCs w:val="21"/>
          <w:highlight w:val="none"/>
          <w:lang w:eastAsia="zh-CN"/>
        </w:rPr>
        <w:t>三十个工作日内</w:t>
      </w:r>
      <w:r>
        <w:rPr>
          <w:rFonts w:hint="eastAsia" w:ascii="宋体" w:hAnsi="宋体" w:eastAsia="宋体" w:cs="宋体"/>
          <w:snapToGrid w:val="0"/>
          <w:color w:val="auto"/>
          <w:kern w:val="0"/>
          <w:sz w:val="21"/>
          <w:szCs w:val="21"/>
          <w:highlight w:val="none"/>
        </w:rPr>
        <w:t>甲方支付合同总价款的10%，计人民币（大写）</w:t>
      </w:r>
      <w:r>
        <w:rPr>
          <w:rFonts w:hint="eastAsia" w:ascii="宋体" w:hAnsi="宋体" w:eastAsia="宋体" w:cs="宋体"/>
          <w:snapToGrid w:val="0"/>
          <w:color w:val="auto"/>
          <w:kern w:val="0"/>
          <w:sz w:val="21"/>
          <w:szCs w:val="21"/>
          <w:highlight w:val="none"/>
          <w:lang w:val="en-US" w:eastAsia="zh-CN"/>
        </w:rPr>
        <w:t>XXXXXX</w:t>
      </w:r>
      <w:r>
        <w:rPr>
          <w:rFonts w:hint="eastAsia" w:ascii="宋体" w:hAnsi="宋体" w:eastAsia="宋体" w:cs="宋体"/>
          <w:snapToGrid w:val="0"/>
          <w:color w:val="auto"/>
          <w:kern w:val="0"/>
          <w:sz w:val="21"/>
          <w:szCs w:val="21"/>
          <w:highlight w:val="none"/>
          <w:u w:val="none"/>
        </w:rPr>
        <w:t>元整</w:t>
      </w:r>
      <w:r>
        <w:rPr>
          <w:rFonts w:hint="eastAsia" w:ascii="宋体" w:hAnsi="宋体" w:eastAsia="宋体" w:cs="宋体"/>
          <w:snapToGrid w:val="0"/>
          <w:color w:val="auto"/>
          <w:kern w:val="0"/>
          <w:sz w:val="21"/>
          <w:szCs w:val="21"/>
          <w:highlight w:val="none"/>
          <w:lang w:val="zh-CN"/>
        </w:rPr>
        <w:t>（小写：￥</w:t>
      </w:r>
      <w:r>
        <w:rPr>
          <w:rFonts w:hint="eastAsia" w:ascii="宋体" w:hAnsi="宋体" w:eastAsia="宋体" w:cs="宋体"/>
          <w:snapToGrid w:val="0"/>
          <w:color w:val="auto"/>
          <w:kern w:val="0"/>
          <w:sz w:val="21"/>
          <w:szCs w:val="21"/>
          <w:highlight w:val="none"/>
          <w:lang w:val="en-US" w:eastAsia="zh-CN"/>
        </w:rPr>
        <w:t>XXXXXX.XX</w:t>
      </w:r>
      <w:r>
        <w:rPr>
          <w:rFonts w:hint="eastAsia" w:ascii="宋体" w:hAnsi="宋体" w:eastAsia="宋体" w:cs="宋体"/>
          <w:snapToGrid w:val="0"/>
          <w:color w:val="auto"/>
          <w:kern w:val="0"/>
          <w:sz w:val="21"/>
          <w:szCs w:val="21"/>
          <w:highlight w:val="none"/>
          <w:lang w:val="zh-CN"/>
        </w:rPr>
        <w:t>元）</w:t>
      </w:r>
      <w:r>
        <w:rPr>
          <w:rFonts w:hint="eastAsia" w:ascii="宋体" w:hAnsi="宋体" w:eastAsia="宋体" w:cs="宋体"/>
          <w:snapToGrid w:val="0"/>
          <w:color w:val="auto"/>
          <w:kern w:val="0"/>
          <w:sz w:val="21"/>
          <w:szCs w:val="21"/>
          <w:highlight w:val="none"/>
        </w:rPr>
        <w:t>。</w:t>
      </w:r>
    </w:p>
    <w:p>
      <w:pPr>
        <w:pStyle w:val="29"/>
        <w:snapToGrid w:val="0"/>
        <w:spacing w:line="360" w:lineRule="auto"/>
        <w:ind w:firstLine="420" w:firstLineChars="200"/>
        <w:outlineLvl w:val="2"/>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（四）合同款项支付前，乙方应开具等同付款金额的税务正式发票给甲方。</w:t>
      </w:r>
    </w:p>
    <w:p>
      <w:pPr>
        <w:pStyle w:val="29"/>
        <w:snapToGrid w:val="0"/>
        <w:spacing w:line="360" w:lineRule="auto"/>
        <w:ind w:firstLine="420" w:firstLineChars="200"/>
        <w:outlineLvl w:val="2"/>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（五）乙方收款账户</w:t>
      </w:r>
      <w:r>
        <w:rPr>
          <w:rFonts w:hint="eastAsia" w:ascii="宋体" w:hAnsi="宋体" w:eastAsia="宋体" w:cs="宋体"/>
          <w:snapToGrid w:val="0"/>
          <w:color w:val="auto"/>
          <w:kern w:val="0"/>
          <w:sz w:val="21"/>
          <w:szCs w:val="21"/>
          <w:highlight w:val="none"/>
          <w:lang w:eastAsia="zh-CN"/>
        </w:rPr>
        <w:t>（乙方承诺与发票中信息一致）</w:t>
      </w:r>
    </w:p>
    <w:p>
      <w:pPr>
        <w:pStyle w:val="29"/>
        <w:snapToGrid w:val="0"/>
        <w:spacing w:line="360" w:lineRule="auto"/>
        <w:ind w:firstLine="420" w:firstLineChars="200"/>
        <w:outlineLvl w:val="2"/>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账户名称：</w:t>
      </w:r>
      <w:r>
        <w:rPr>
          <w:rFonts w:hint="eastAsia" w:ascii="宋体" w:hAnsi="宋体" w:eastAsia="宋体" w:cs="宋体"/>
          <w:snapToGrid w:val="0"/>
          <w:color w:val="auto"/>
          <w:kern w:val="0"/>
          <w:sz w:val="21"/>
          <w:szCs w:val="21"/>
          <w:highlight w:val="none"/>
          <w:lang w:val="en-US" w:eastAsia="zh-CN"/>
        </w:rPr>
        <w:t>XXXXXX</w:t>
      </w:r>
    </w:p>
    <w:p>
      <w:pPr>
        <w:pStyle w:val="29"/>
        <w:snapToGrid w:val="0"/>
        <w:spacing w:line="360" w:lineRule="auto"/>
        <w:ind w:firstLine="420" w:firstLineChars="200"/>
        <w:outlineLvl w:val="2"/>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银行开户行：</w:t>
      </w:r>
      <w:r>
        <w:rPr>
          <w:rFonts w:hint="eastAsia" w:ascii="宋体" w:hAnsi="宋体" w:eastAsia="宋体" w:cs="宋体"/>
          <w:snapToGrid w:val="0"/>
          <w:color w:val="auto"/>
          <w:kern w:val="0"/>
          <w:sz w:val="21"/>
          <w:szCs w:val="21"/>
          <w:highlight w:val="none"/>
          <w:lang w:val="en-US" w:eastAsia="zh-CN"/>
        </w:rPr>
        <w:t>XXXXXX</w:t>
      </w:r>
    </w:p>
    <w:p>
      <w:pPr>
        <w:pStyle w:val="29"/>
        <w:snapToGrid w:val="0"/>
        <w:spacing w:line="360" w:lineRule="auto"/>
        <w:ind w:firstLine="420" w:firstLineChars="200"/>
        <w:outlineLvl w:val="2"/>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rPr>
        <w:t>银行账号：</w:t>
      </w:r>
      <w:r>
        <w:rPr>
          <w:rFonts w:hint="eastAsia" w:ascii="宋体" w:hAnsi="宋体" w:eastAsia="宋体" w:cs="宋体"/>
          <w:snapToGrid w:val="0"/>
          <w:color w:val="auto"/>
          <w:kern w:val="0"/>
          <w:sz w:val="21"/>
          <w:szCs w:val="21"/>
          <w:highlight w:val="none"/>
          <w:lang w:val="en-US" w:eastAsia="zh-CN"/>
        </w:rPr>
        <w:t>XXXXXX</w:t>
      </w:r>
    </w:p>
    <w:p>
      <w:pPr>
        <w:pStyle w:val="29"/>
        <w:snapToGrid w:val="0"/>
        <w:spacing w:line="360" w:lineRule="auto"/>
        <w:ind w:firstLine="420" w:firstLineChars="200"/>
        <w:outlineLvl w:val="2"/>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bCs w:val="0"/>
          <w:snapToGrid w:val="0"/>
          <w:color w:val="auto"/>
          <w:kern w:val="0"/>
          <w:sz w:val="21"/>
          <w:szCs w:val="21"/>
          <w:highlight w:val="none"/>
        </w:rPr>
        <w:t>统一社会信用代码：</w:t>
      </w:r>
      <w:r>
        <w:rPr>
          <w:rFonts w:hint="eastAsia" w:ascii="宋体" w:hAnsi="宋体" w:eastAsia="宋体" w:cs="宋体"/>
          <w:snapToGrid w:val="0"/>
          <w:color w:val="auto"/>
          <w:kern w:val="0"/>
          <w:sz w:val="21"/>
          <w:szCs w:val="21"/>
          <w:highlight w:val="none"/>
          <w:lang w:val="en-US" w:eastAsia="zh-CN"/>
        </w:rPr>
        <w:t xml:space="preserve">XXXXXX       </w:t>
      </w:r>
    </w:p>
    <w:p>
      <w:pPr>
        <w:numPr>
          <w:ilvl w:val="0"/>
          <w:numId w:val="17"/>
        </w:numPr>
        <w:spacing w:line="660" w:lineRule="exact"/>
        <w:ind w:firstLine="420" w:firstLineChars="200"/>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责任和义务</w:t>
      </w:r>
    </w:p>
    <w:p>
      <w:pPr>
        <w:spacing w:line="66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（一）乙方应与甲方签订《网络与数据安全保密协议》，作为本合同的组成部分，并严格遵守。</w:t>
      </w:r>
    </w:p>
    <w:p>
      <w:pPr>
        <w:spacing w:line="66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（二）乙方必须在规定期间内完成招标文件要求和投标文件承诺的服务内容，并通过甲方验收，否则甲方有权终止合同。</w:t>
      </w:r>
    </w:p>
    <w:p>
      <w:pPr>
        <w:spacing w:line="66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（三）甲方在规定时间内，及时足额向乙方支付项目款项。</w:t>
      </w:r>
    </w:p>
    <w:p>
      <w:pPr>
        <w:numPr>
          <w:ilvl w:val="0"/>
          <w:numId w:val="17"/>
        </w:numPr>
        <w:spacing w:line="660" w:lineRule="exact"/>
        <w:ind w:firstLine="420" w:firstLineChars="200"/>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知识产权</w:t>
      </w:r>
    </w:p>
    <w:p>
      <w:pPr>
        <w:numPr>
          <w:ilvl w:val="-1"/>
          <w:numId w:val="0"/>
        </w:numPr>
        <w:adjustRightInd/>
        <w:snapToGrid/>
        <w:spacing w:line="6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（一）</w:t>
      </w:r>
      <w:r>
        <w:rPr>
          <w:rFonts w:hint="eastAsia" w:ascii="宋体" w:hAnsi="宋体" w:eastAsia="宋体" w:cs="宋体"/>
          <w:color w:val="auto"/>
          <w:sz w:val="21"/>
          <w:szCs w:val="21"/>
          <w:highlight w:val="none"/>
        </w:rPr>
        <w:t>乙方保证在其为甲方履行本合同过程中所涉及的知识产权不具有侵犯第三方知识产权的行为，如若存在，则与甲方无关，由乙方承担相应责任。</w:t>
      </w:r>
    </w:p>
    <w:p>
      <w:pPr>
        <w:numPr>
          <w:ilvl w:val="-1"/>
          <w:numId w:val="0"/>
        </w:numPr>
        <w:adjustRightInd/>
        <w:snapToGrid/>
        <w:spacing w:line="6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（二）为完成合同建设内容和要求，全过程中产生的源代码及相关知识产权归甲方所有，乙方若要在合同范围之外使用源代码及相关知识产权，需经过甲方同意。</w:t>
      </w:r>
    </w:p>
    <w:p>
      <w:pPr>
        <w:numPr>
          <w:ilvl w:val="0"/>
          <w:numId w:val="17"/>
        </w:numPr>
        <w:spacing w:line="660" w:lineRule="exact"/>
        <w:ind w:firstLine="420" w:firstLineChars="200"/>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不可抗力</w:t>
      </w:r>
    </w:p>
    <w:p>
      <w:pPr>
        <w:spacing w:line="66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（一）如果双方中任何一方由于战争、严重火灾、水灾、台风和地震以及其它经双方同意属于不可抗力的事故，致使合同履行受阻时，履行合同的期限应予延长，延长的期限应相当于事故所影响的时间。</w:t>
      </w:r>
    </w:p>
    <w:p>
      <w:pPr>
        <w:spacing w:line="66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（二）受事故影响的一方应在不可抗力的事故发生后尽快以书面形式通知另一方，并在事故发生后14天内，将有关部门出具的证明文件送给另一方。</w:t>
      </w:r>
    </w:p>
    <w:p>
      <w:pPr>
        <w:numPr>
          <w:ilvl w:val="0"/>
          <w:numId w:val="17"/>
        </w:numPr>
        <w:spacing w:line="660" w:lineRule="exact"/>
        <w:ind w:firstLine="420" w:firstLineChars="200"/>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违约责任</w:t>
      </w:r>
    </w:p>
    <w:p>
      <w:pPr>
        <w:spacing w:line="66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（一）甲方无理由情况下未向乙方支付合同款的，乙方有权申请仲裁或起诉，提出主张要求甲方支付合同款。</w:t>
      </w:r>
    </w:p>
    <w:p>
      <w:pPr>
        <w:spacing w:line="66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（二）乙方未及时向甲方提供相关服务的，</w:t>
      </w:r>
      <w:r>
        <w:rPr>
          <w:rFonts w:hint="eastAsia" w:ascii="宋体" w:hAnsi="宋体" w:eastAsia="宋体" w:cs="宋体"/>
          <w:color w:val="auto"/>
          <w:sz w:val="21"/>
          <w:szCs w:val="21"/>
          <w:highlight w:val="none"/>
        </w:rPr>
        <w:t>甲方有权索回全部已支付但乙方未实际履行部分对应的合同款，并保留后续索赔经济损失的权利。</w:t>
      </w:r>
    </w:p>
    <w:p>
      <w:pPr>
        <w:numPr>
          <w:ilvl w:val="0"/>
          <w:numId w:val="17"/>
        </w:numPr>
        <w:spacing w:line="660" w:lineRule="exact"/>
        <w:ind w:firstLine="420" w:firstLineChars="200"/>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争议的解决办法</w:t>
      </w:r>
    </w:p>
    <w:p>
      <w:pPr>
        <w:spacing w:line="66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在本合同履行过程中发生争议，双方应当协商解决。调解不成的，可申请甲方所在地仲裁委员会进行仲裁或向人民法院提起诉讼。</w:t>
      </w:r>
    </w:p>
    <w:p>
      <w:pPr>
        <w:numPr>
          <w:ilvl w:val="0"/>
          <w:numId w:val="17"/>
        </w:numPr>
        <w:spacing w:line="660" w:lineRule="exact"/>
        <w:ind w:firstLine="420" w:firstLineChars="200"/>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合同生效及其他</w:t>
      </w:r>
    </w:p>
    <w:p>
      <w:pPr>
        <w:autoSpaceDE w:val="0"/>
        <w:autoSpaceDN w:val="0"/>
        <w:spacing w:line="660" w:lineRule="exact"/>
        <w:ind w:left="0" w:leftChars="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snapToGrid w:val="0"/>
          <w:color w:val="auto"/>
          <w:kern w:val="0"/>
          <w:sz w:val="21"/>
          <w:szCs w:val="21"/>
          <w:highlight w:val="none"/>
        </w:rPr>
        <w:t>（一）本合同一式</w:t>
      </w:r>
      <w:r>
        <w:rPr>
          <w:rFonts w:hint="eastAsia" w:ascii="宋体" w:hAnsi="宋体" w:eastAsia="宋体" w:cs="宋体"/>
          <w:snapToGrid w:val="0"/>
          <w:color w:val="auto"/>
          <w:kern w:val="0"/>
          <w:sz w:val="21"/>
          <w:szCs w:val="21"/>
          <w:highlight w:val="none"/>
          <w:u w:val="single"/>
        </w:rPr>
        <w:t xml:space="preserve"> 陆 </w:t>
      </w:r>
      <w:r>
        <w:rPr>
          <w:rFonts w:hint="eastAsia" w:ascii="宋体" w:hAnsi="宋体" w:eastAsia="宋体" w:cs="宋体"/>
          <w:snapToGrid w:val="0"/>
          <w:color w:val="auto"/>
          <w:kern w:val="0"/>
          <w:sz w:val="21"/>
          <w:szCs w:val="21"/>
          <w:highlight w:val="none"/>
        </w:rPr>
        <w:t>份，甲方执</w:t>
      </w:r>
      <w:r>
        <w:rPr>
          <w:rFonts w:hint="eastAsia" w:ascii="宋体" w:hAnsi="宋体" w:eastAsia="宋体" w:cs="宋体"/>
          <w:snapToGrid w:val="0"/>
          <w:color w:val="auto"/>
          <w:kern w:val="0"/>
          <w:sz w:val="21"/>
          <w:szCs w:val="21"/>
          <w:highlight w:val="none"/>
          <w:u w:val="single"/>
        </w:rPr>
        <w:t xml:space="preserve"> 贰 </w:t>
      </w:r>
      <w:r>
        <w:rPr>
          <w:rFonts w:hint="eastAsia" w:ascii="宋体" w:hAnsi="宋体" w:eastAsia="宋体" w:cs="宋体"/>
          <w:snapToGrid w:val="0"/>
          <w:color w:val="auto"/>
          <w:kern w:val="0"/>
          <w:sz w:val="21"/>
          <w:szCs w:val="21"/>
          <w:highlight w:val="none"/>
        </w:rPr>
        <w:t>份、乙方执</w:t>
      </w:r>
      <w:r>
        <w:rPr>
          <w:rFonts w:hint="eastAsia" w:ascii="宋体" w:hAnsi="宋体" w:eastAsia="宋体" w:cs="宋体"/>
          <w:snapToGrid w:val="0"/>
          <w:color w:val="auto"/>
          <w:kern w:val="0"/>
          <w:sz w:val="21"/>
          <w:szCs w:val="21"/>
          <w:highlight w:val="none"/>
          <w:u w:val="single"/>
        </w:rPr>
        <w:t xml:space="preserve"> 贰 </w:t>
      </w:r>
      <w:r>
        <w:rPr>
          <w:rFonts w:hint="eastAsia" w:ascii="宋体" w:hAnsi="宋体" w:eastAsia="宋体" w:cs="宋体"/>
          <w:snapToGrid w:val="0"/>
          <w:color w:val="auto"/>
          <w:kern w:val="0"/>
          <w:sz w:val="21"/>
          <w:szCs w:val="21"/>
          <w:highlight w:val="none"/>
        </w:rPr>
        <w:t>份、鉴证方执</w:t>
      </w:r>
      <w:r>
        <w:rPr>
          <w:rFonts w:hint="eastAsia" w:ascii="宋体" w:hAnsi="宋体" w:eastAsia="宋体" w:cs="宋体"/>
          <w:snapToGrid w:val="0"/>
          <w:color w:val="auto"/>
          <w:kern w:val="0"/>
          <w:sz w:val="21"/>
          <w:szCs w:val="21"/>
          <w:highlight w:val="none"/>
          <w:u w:val="single"/>
        </w:rPr>
        <w:t xml:space="preserve"> 贰 </w:t>
      </w:r>
      <w:r>
        <w:rPr>
          <w:rFonts w:hint="eastAsia" w:ascii="宋体" w:hAnsi="宋体" w:eastAsia="宋体" w:cs="宋体"/>
          <w:snapToGrid w:val="0"/>
          <w:color w:val="auto"/>
          <w:kern w:val="0"/>
          <w:sz w:val="21"/>
          <w:szCs w:val="21"/>
          <w:highlight w:val="none"/>
        </w:rPr>
        <w:t>份。</w:t>
      </w:r>
      <w:r>
        <w:rPr>
          <w:rFonts w:hint="eastAsia" w:ascii="宋体" w:hAnsi="宋体" w:eastAsia="宋体" w:cs="宋体"/>
          <w:color w:val="auto"/>
          <w:sz w:val="21"/>
          <w:szCs w:val="21"/>
          <w:highlight w:val="none"/>
        </w:rPr>
        <w:t>经叁方签字盖章后生效。</w:t>
      </w:r>
    </w:p>
    <w:p>
      <w:pPr>
        <w:spacing w:line="66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（二）项目采购中甲方招标文件和乙方应标文件，以及采购过程相关材料均作为合同组成部分，具有同等约束效力。</w:t>
      </w:r>
    </w:p>
    <w:p>
      <w:pPr>
        <w:autoSpaceDE w:val="0"/>
        <w:autoSpaceDN w:val="0"/>
        <w:spacing w:line="660" w:lineRule="exact"/>
        <w:ind w:left="0" w:leftChars="0" w:firstLine="0" w:firstLineChars="0"/>
        <w:jc w:val="center"/>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---------------以下无合同具体款项-----------------</w:t>
      </w:r>
    </w:p>
    <w:p>
      <w:pPr>
        <w:spacing w:line="6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spacing w:line="66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甲方（盖章）：</w:t>
      </w:r>
      <w:r>
        <w:rPr>
          <w:rFonts w:hint="eastAsia" w:ascii="宋体" w:hAnsi="宋体" w:eastAsia="宋体" w:cs="宋体"/>
          <w:color w:val="auto"/>
          <w:sz w:val="21"/>
          <w:szCs w:val="21"/>
          <w:highlight w:val="none"/>
          <w:lang w:eastAsia="zh-CN"/>
        </w:rPr>
        <w:t>浙江省</w:t>
      </w:r>
      <w:r>
        <w:rPr>
          <w:rFonts w:hint="eastAsia" w:ascii="宋体" w:hAnsi="宋体" w:eastAsia="宋体" w:cs="宋体"/>
          <w:color w:val="auto"/>
          <w:sz w:val="21"/>
          <w:szCs w:val="21"/>
          <w:highlight w:val="none"/>
          <w:lang w:val="en-US" w:eastAsia="zh-CN"/>
        </w:rPr>
        <w:t>数字</w:t>
      </w:r>
      <w:r>
        <w:rPr>
          <w:rFonts w:hint="eastAsia" w:ascii="宋体" w:hAnsi="宋体" w:eastAsia="宋体" w:cs="宋体"/>
          <w:color w:val="auto"/>
          <w:sz w:val="21"/>
          <w:szCs w:val="21"/>
          <w:highlight w:val="none"/>
          <w:lang w:eastAsia="zh-CN"/>
        </w:rPr>
        <w:t>财政管理中心</w:t>
      </w:r>
    </w:p>
    <w:p>
      <w:pPr>
        <w:spacing w:line="6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受委托人（签字）：</w:t>
      </w:r>
    </w:p>
    <w:p>
      <w:pPr>
        <w:spacing w:line="6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地址：杭州市环城西路37号</w:t>
      </w:r>
    </w:p>
    <w:p>
      <w:pPr>
        <w:spacing w:line="66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电话：0571-</w:t>
      </w:r>
      <w:r>
        <w:rPr>
          <w:rFonts w:hint="eastAsia" w:ascii="宋体" w:hAnsi="宋体" w:eastAsia="宋体" w:cs="宋体"/>
          <w:color w:val="auto"/>
          <w:sz w:val="21"/>
          <w:szCs w:val="21"/>
          <w:highlight w:val="none"/>
          <w:lang w:val="en-US" w:eastAsia="zh-CN"/>
        </w:rPr>
        <w:t>85160657-1111</w:t>
      </w:r>
    </w:p>
    <w:p>
      <w:pPr>
        <w:spacing w:line="6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签订地点：杭州市西湖区</w:t>
      </w:r>
    </w:p>
    <w:p>
      <w:pPr>
        <w:spacing w:line="6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签订日期：</w:t>
      </w:r>
    </w:p>
    <w:p>
      <w:pPr>
        <w:spacing w:line="660" w:lineRule="exact"/>
        <w:ind w:firstLine="420" w:firstLineChars="200"/>
        <w:rPr>
          <w:rFonts w:hint="eastAsia" w:ascii="宋体" w:hAnsi="宋体" w:eastAsia="宋体" w:cs="宋体"/>
          <w:color w:val="auto"/>
          <w:sz w:val="21"/>
          <w:szCs w:val="21"/>
          <w:highlight w:val="none"/>
        </w:rPr>
      </w:pPr>
    </w:p>
    <w:p>
      <w:pPr>
        <w:spacing w:line="66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乙方（盖章）：</w:t>
      </w:r>
      <w:r>
        <w:rPr>
          <w:rFonts w:hint="eastAsia" w:ascii="宋体" w:hAnsi="宋体" w:eastAsia="宋体" w:cs="宋体"/>
          <w:color w:val="auto"/>
          <w:sz w:val="21"/>
          <w:szCs w:val="21"/>
          <w:highlight w:val="none"/>
          <w:lang w:val="en-US" w:eastAsia="zh-CN"/>
        </w:rPr>
        <w:t xml:space="preserve">                         </w:t>
      </w:r>
    </w:p>
    <w:p>
      <w:pPr>
        <w:spacing w:line="6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受委托人（签字）：</w:t>
      </w:r>
    </w:p>
    <w:p>
      <w:pPr>
        <w:spacing w:line="66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lang w:val="en-US" w:eastAsia="zh-CN"/>
        </w:rPr>
        <w:t xml:space="preserve">                                 </w:t>
      </w:r>
    </w:p>
    <w:p>
      <w:pPr>
        <w:spacing w:line="66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lang w:val="en-US" w:eastAsia="zh-CN"/>
        </w:rPr>
        <w:t xml:space="preserve">                                 </w:t>
      </w:r>
    </w:p>
    <w:p>
      <w:pPr>
        <w:spacing w:line="6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签订地点：杭州市西湖区</w:t>
      </w:r>
    </w:p>
    <w:p>
      <w:pPr>
        <w:spacing w:line="6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签订日期：</w:t>
      </w:r>
    </w:p>
    <w:p>
      <w:pPr>
        <w:spacing w:line="660" w:lineRule="exact"/>
        <w:ind w:firstLine="420" w:firstLineChars="200"/>
        <w:rPr>
          <w:rFonts w:hint="eastAsia" w:ascii="宋体" w:hAnsi="宋体" w:eastAsia="宋体" w:cs="宋体"/>
          <w:color w:val="auto"/>
          <w:sz w:val="21"/>
          <w:szCs w:val="21"/>
          <w:highlight w:val="none"/>
        </w:rPr>
      </w:pPr>
    </w:p>
    <w:p>
      <w:pPr>
        <w:spacing w:line="6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鉴证方（盖章）：</w:t>
      </w:r>
      <w:r>
        <w:rPr>
          <w:rFonts w:hint="eastAsia" w:ascii="宋体" w:hAnsi="宋体" w:eastAsia="宋体" w:cs="宋体"/>
          <w:color w:val="auto"/>
          <w:sz w:val="21"/>
          <w:szCs w:val="21"/>
          <w:highlight w:val="none"/>
          <w:lang w:eastAsia="zh-CN"/>
        </w:rPr>
        <w:t>浙江国际招投标有限公司</w:t>
      </w:r>
    </w:p>
    <w:p>
      <w:pPr>
        <w:spacing w:line="6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受委托人（签字）：</w:t>
      </w:r>
    </w:p>
    <w:p>
      <w:pPr>
        <w:spacing w:line="6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地址：杭州市文三路90号东部软件园</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号楼</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楼</w:t>
      </w:r>
    </w:p>
    <w:p>
      <w:pPr>
        <w:spacing w:line="6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电话：0571-81061843</w:t>
      </w:r>
    </w:p>
    <w:p>
      <w:pPr>
        <w:spacing w:line="6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签订地点：杭州市西湖区</w:t>
      </w:r>
    </w:p>
    <w:p>
      <w:pPr>
        <w:spacing w:line="6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签订日期：</w:t>
      </w:r>
    </w:p>
    <w:p>
      <w:pPr>
        <w:jc w:val="center"/>
        <w:rPr>
          <w:rFonts w:hint="eastAsia"/>
          <w:i/>
          <w:iCs/>
          <w:color w:val="auto"/>
          <w:highlight w:val="none"/>
          <w:lang w:eastAsia="zh-CN"/>
        </w:rPr>
      </w:pPr>
    </w:p>
    <w:bookmarkEnd w:id="341"/>
    <w:p>
      <w:pPr>
        <w:adjustRightInd w:val="0"/>
        <w:snapToGrid w:val="0"/>
        <w:spacing w:before="120" w:beforeLines="50" w:after="120" w:afterLines="50" w:line="360" w:lineRule="auto"/>
        <w:jc w:val="center"/>
        <w:outlineLvl w:val="0"/>
        <w:rPr>
          <w:rFonts w:hint="eastAsia" w:ascii="宋体" w:hAnsi="宋体" w:cs="宋体"/>
          <w:b/>
          <w:color w:val="auto"/>
          <w:sz w:val="30"/>
          <w:szCs w:val="30"/>
          <w:highlight w:val="none"/>
        </w:rPr>
      </w:pPr>
      <w:r>
        <w:rPr>
          <w:rFonts w:hint="eastAsia" w:ascii="宋体" w:hAnsi="宋体" w:cs="宋体"/>
          <w:b/>
          <w:color w:val="auto"/>
          <w:sz w:val="30"/>
          <w:szCs w:val="30"/>
          <w:highlight w:val="none"/>
        </w:rPr>
        <w:br w:type="page"/>
      </w:r>
      <w:bookmarkStart w:id="346" w:name="_Toc20466"/>
      <w:bookmarkStart w:id="347" w:name="_Toc30435"/>
      <w:bookmarkStart w:id="348" w:name="_Toc23378"/>
      <w:bookmarkStart w:id="349" w:name="_Toc14349"/>
      <w:r>
        <w:rPr>
          <w:rFonts w:hint="eastAsia" w:ascii="宋体" w:hAnsi="宋体" w:cs="宋体"/>
          <w:b/>
          <w:color w:val="auto"/>
          <w:sz w:val="30"/>
          <w:szCs w:val="30"/>
          <w:highlight w:val="none"/>
        </w:rPr>
        <w:t>第五部分  评标办法（综合评分法）</w:t>
      </w:r>
      <w:bookmarkEnd w:id="342"/>
      <w:bookmarkEnd w:id="343"/>
      <w:bookmarkEnd w:id="346"/>
      <w:bookmarkEnd w:id="347"/>
      <w:bookmarkEnd w:id="348"/>
      <w:bookmarkEnd w:id="349"/>
    </w:p>
    <w:p>
      <w:pPr>
        <w:tabs>
          <w:tab w:val="left" w:pos="735"/>
        </w:tabs>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snapToGrid w:val="0"/>
          <w:color w:val="auto"/>
          <w:kern w:val="0"/>
          <w:szCs w:val="21"/>
          <w:highlight w:val="none"/>
        </w:rPr>
        <w:t>根据《中华人民共和国政府采购法》、《中华人民共和国政府采购法实施条例》、《政府采购货物和服务招标投标管理办法》、《浙江省政府采购活动现场组织管理办法》等有关规定，结合本项目的实际情况，按照公平、公正、科学、择优的原则，制定本评标办法</w:t>
      </w:r>
      <w:r>
        <w:rPr>
          <w:rFonts w:hint="eastAsia" w:ascii="宋体" w:hAnsi="宋体" w:cs="宋体"/>
          <w:color w:val="auto"/>
          <w:szCs w:val="21"/>
          <w:highlight w:val="none"/>
        </w:rPr>
        <w:t>。</w:t>
      </w:r>
    </w:p>
    <w:p>
      <w:pPr>
        <w:pStyle w:val="4"/>
        <w:snapToGrid w:val="0"/>
        <w:spacing w:before="120" w:beforeLines="50" w:after="120" w:afterLines="50" w:line="360" w:lineRule="auto"/>
        <w:rPr>
          <w:rFonts w:hint="eastAsia" w:ascii="宋体" w:hAnsi="宋体" w:eastAsia="宋体" w:cs="宋体"/>
          <w:color w:val="auto"/>
          <w:sz w:val="21"/>
          <w:szCs w:val="21"/>
          <w:highlight w:val="none"/>
        </w:rPr>
      </w:pPr>
      <w:bookmarkStart w:id="350" w:name="_Toc249760791"/>
      <w:bookmarkStart w:id="351" w:name="_Toc24061"/>
      <w:bookmarkStart w:id="352" w:name="_Toc6433"/>
      <w:bookmarkStart w:id="353" w:name="_Toc251566662"/>
      <w:bookmarkStart w:id="354" w:name="_Toc798"/>
      <w:bookmarkStart w:id="355" w:name="_Toc9435"/>
      <w:r>
        <w:rPr>
          <w:rFonts w:hint="eastAsia" w:ascii="宋体" w:hAnsi="宋体" w:eastAsia="宋体" w:cs="宋体"/>
          <w:color w:val="auto"/>
          <w:sz w:val="21"/>
          <w:szCs w:val="21"/>
          <w:highlight w:val="none"/>
        </w:rPr>
        <w:t>一、总则</w:t>
      </w:r>
      <w:bookmarkEnd w:id="350"/>
      <w:bookmarkEnd w:id="351"/>
      <w:bookmarkEnd w:id="352"/>
      <w:bookmarkEnd w:id="353"/>
      <w:bookmarkEnd w:id="354"/>
      <w:bookmarkEnd w:id="355"/>
    </w:p>
    <w:p>
      <w:pPr>
        <w:adjustRightInd w:val="0"/>
        <w:snapToGrid w:val="0"/>
        <w:spacing w:line="360" w:lineRule="auto"/>
        <w:ind w:firstLine="420" w:firstLineChars="200"/>
        <w:rPr>
          <w:rFonts w:hint="eastAsia" w:ascii="宋体" w:hAnsi="宋体" w:cs="宋体"/>
          <w:snapToGrid w:val="0"/>
          <w:color w:val="auto"/>
          <w:kern w:val="0"/>
          <w:szCs w:val="21"/>
          <w:highlight w:val="none"/>
        </w:rPr>
      </w:pPr>
      <w:bookmarkStart w:id="356" w:name="_Toc249760792"/>
      <w:bookmarkStart w:id="357" w:name="_Toc251566663"/>
      <w:r>
        <w:rPr>
          <w:rFonts w:hint="eastAsia" w:ascii="宋体" w:hAnsi="宋体" w:cs="宋体"/>
          <w:snapToGrid w:val="0"/>
          <w:color w:val="auto"/>
          <w:kern w:val="0"/>
          <w:szCs w:val="21"/>
          <w:highlight w:val="none"/>
        </w:rPr>
        <w:t>评标工作必须遵循公平、公正的竞争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4"/>
        <w:snapToGrid w:val="0"/>
        <w:spacing w:before="120" w:beforeLines="50" w:after="120" w:afterLines="50" w:line="360" w:lineRule="auto"/>
        <w:rPr>
          <w:rFonts w:hint="eastAsia" w:ascii="宋体" w:hAnsi="宋体" w:eastAsia="宋体" w:cs="宋体"/>
          <w:color w:val="auto"/>
          <w:sz w:val="21"/>
          <w:szCs w:val="21"/>
          <w:highlight w:val="none"/>
        </w:rPr>
      </w:pPr>
      <w:bookmarkStart w:id="358" w:name="_Toc22739"/>
      <w:bookmarkStart w:id="359" w:name="_Toc7187"/>
      <w:bookmarkStart w:id="360" w:name="_Toc27782"/>
      <w:bookmarkStart w:id="361" w:name="_Toc14698"/>
      <w:r>
        <w:rPr>
          <w:rFonts w:hint="eastAsia" w:ascii="宋体" w:hAnsi="宋体" w:eastAsia="宋体" w:cs="宋体"/>
          <w:color w:val="auto"/>
          <w:sz w:val="21"/>
          <w:szCs w:val="21"/>
          <w:highlight w:val="none"/>
        </w:rPr>
        <w:t>二、评标组织</w:t>
      </w:r>
      <w:bookmarkEnd w:id="356"/>
      <w:bookmarkEnd w:id="357"/>
      <w:bookmarkEnd w:id="358"/>
      <w:bookmarkEnd w:id="359"/>
      <w:bookmarkEnd w:id="360"/>
      <w:bookmarkEnd w:id="361"/>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snapToGrid w:val="0"/>
          <w:color w:val="auto"/>
          <w:kern w:val="0"/>
          <w:szCs w:val="21"/>
          <w:highlight w:val="none"/>
        </w:rPr>
        <w:t>评标委员会由采购人代表和评审专家组成，成员人数应当为 5 人（含）以上单数，其中评审专家不得少于成员总数的三分之二。采购</w:t>
      </w:r>
      <w:r>
        <w:rPr>
          <w:rFonts w:hint="eastAsia" w:ascii="宋体" w:hAnsi="宋体" w:cs="宋体"/>
          <w:snapToGrid w:val="0"/>
          <w:color w:val="auto"/>
          <w:kern w:val="0"/>
          <w:szCs w:val="21"/>
          <w:highlight w:val="none"/>
          <w:lang w:eastAsia="zh-CN"/>
        </w:rPr>
        <w:t>预算金额</w:t>
      </w:r>
      <w:r>
        <w:rPr>
          <w:rFonts w:hint="eastAsia" w:ascii="宋体" w:hAnsi="宋体" w:cs="宋体"/>
          <w:snapToGrid w:val="0"/>
          <w:color w:val="auto"/>
          <w:kern w:val="0"/>
          <w:szCs w:val="21"/>
          <w:highlight w:val="none"/>
        </w:rPr>
        <w:t>在 1000 万元以上、技术复杂、社会影响较大的项目，评标委员会成员人数应当为 7 人（含）以上单数</w:t>
      </w:r>
      <w:r>
        <w:rPr>
          <w:rFonts w:hint="eastAsia" w:ascii="宋体" w:hAnsi="宋体" w:cs="宋体"/>
          <w:snapToGrid w:val="0"/>
          <w:color w:val="auto"/>
          <w:kern w:val="0"/>
          <w:szCs w:val="21"/>
          <w:highlight w:val="none"/>
          <w:lang w:eastAsia="zh-CN"/>
        </w:rPr>
        <w:t>。评标委员会</w:t>
      </w:r>
      <w:r>
        <w:rPr>
          <w:rFonts w:hint="eastAsia" w:ascii="宋体" w:hAnsi="宋体" w:cs="宋体"/>
          <w:snapToGrid w:val="0"/>
          <w:color w:val="auto"/>
          <w:kern w:val="0"/>
          <w:szCs w:val="21"/>
          <w:highlight w:val="none"/>
        </w:rPr>
        <w:t>负责对投标文件进行审查、质询、评审等。</w:t>
      </w:r>
    </w:p>
    <w:p>
      <w:pPr>
        <w:pStyle w:val="4"/>
        <w:snapToGrid w:val="0"/>
        <w:spacing w:before="120" w:beforeLines="50" w:after="120" w:afterLines="50" w:line="360" w:lineRule="auto"/>
        <w:rPr>
          <w:rFonts w:hint="eastAsia" w:ascii="宋体" w:hAnsi="宋体" w:eastAsia="宋体" w:cs="宋体"/>
          <w:color w:val="auto"/>
          <w:sz w:val="21"/>
          <w:szCs w:val="21"/>
          <w:highlight w:val="none"/>
        </w:rPr>
      </w:pPr>
      <w:bookmarkStart w:id="362" w:name="_Toc18788"/>
      <w:bookmarkStart w:id="363" w:name="_Toc249760793"/>
      <w:bookmarkStart w:id="364" w:name="_Toc31018"/>
      <w:bookmarkStart w:id="365" w:name="_Toc251566664"/>
      <w:bookmarkStart w:id="366" w:name="_Toc24538"/>
      <w:bookmarkStart w:id="367" w:name="_Toc31345"/>
      <w:r>
        <w:rPr>
          <w:rFonts w:hint="eastAsia" w:ascii="宋体" w:hAnsi="宋体" w:eastAsia="宋体" w:cs="宋体"/>
          <w:color w:val="auto"/>
          <w:sz w:val="21"/>
          <w:szCs w:val="21"/>
          <w:highlight w:val="none"/>
        </w:rPr>
        <w:t>三、评标纪律</w:t>
      </w:r>
      <w:bookmarkEnd w:id="362"/>
      <w:bookmarkEnd w:id="363"/>
      <w:bookmarkEnd w:id="364"/>
      <w:bookmarkEnd w:id="365"/>
      <w:bookmarkEnd w:id="366"/>
      <w:bookmarkEnd w:id="367"/>
    </w:p>
    <w:p>
      <w:pPr>
        <w:adjustRightInd w:val="0"/>
        <w:snapToGrid w:val="0"/>
        <w:spacing w:line="360" w:lineRule="auto"/>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1．评标是招标工作的重要环节，评标工作在评标委员会内独立进行。评标委员会将按照评标原则的要求，公正、平等地对待所有投标人。</w:t>
      </w:r>
    </w:p>
    <w:p>
      <w:pPr>
        <w:adjustRightInd w:val="0"/>
        <w:snapToGrid w:val="0"/>
        <w:spacing w:line="360" w:lineRule="auto"/>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2．所有评标人员应忠于职守、廉洁自律、秉公办事、不徇私情。</w:t>
      </w:r>
    </w:p>
    <w:p>
      <w:pPr>
        <w:adjustRightInd w:val="0"/>
        <w:snapToGrid w:val="0"/>
        <w:spacing w:line="360" w:lineRule="auto"/>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3．评标人员不得接受或参加投标人或与投标有关的单位、组织或个人的有碍公务的宴请、娱乐活动等，不得以任何形式弄虚作假。</w:t>
      </w:r>
    </w:p>
    <w:p>
      <w:pPr>
        <w:adjustRightInd w:val="0"/>
        <w:snapToGrid w:val="0"/>
        <w:spacing w:line="360" w:lineRule="auto"/>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4．评标期间，评标人员不得随意出入评标地点、与外界通讯、会客等。</w:t>
      </w:r>
    </w:p>
    <w:p>
      <w:pPr>
        <w:adjustRightInd w:val="0"/>
        <w:snapToGrid w:val="0"/>
        <w:spacing w:line="360" w:lineRule="auto"/>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5．在投标文件的审查、澄清、评价和比较以及授予合同的过程中，投标人对采购人、采购代理机构人员及评标委员会成员施加影响的任何行为，都将导致被取消投标资格。</w:t>
      </w:r>
    </w:p>
    <w:p>
      <w:pPr>
        <w:adjustRightInd w:val="0"/>
        <w:snapToGrid w:val="0"/>
        <w:spacing w:line="360" w:lineRule="auto"/>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6．为保证评标的公正性，在评标过程中，评标委员会成员不得与投标人或与中标结果有利害关系的人进行私下接触。在评标工作结束后，凡与评标情况有接触的任何人，不得将评标情况扩散出评标委员会以外。</w:t>
      </w:r>
    </w:p>
    <w:p>
      <w:pPr>
        <w:adjustRightInd w:val="0"/>
        <w:snapToGrid w:val="0"/>
        <w:spacing w:line="360" w:lineRule="auto"/>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7．评标过程中，当发表结论性意见时，先听取专家评委意见，用户评委随后发表意见；评标专家对投标人的优劣情况，以及认为差异较大的情况等，应以书面意见作出真实、专业、诚恳负责的表述，不得违背客观、公正的原则。</w:t>
      </w:r>
    </w:p>
    <w:p>
      <w:pPr>
        <w:adjustRightInd w:val="0"/>
        <w:snapToGrid w:val="0"/>
        <w:spacing w:line="360" w:lineRule="auto"/>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8．评标结束后，各评标人员应将全部资料整理上交采购人，严禁将评标过程中的任何资料带出评标现场向投标人或其他单位提供。</w:t>
      </w:r>
    </w:p>
    <w:p>
      <w:pPr>
        <w:adjustRightInd w:val="0"/>
        <w:snapToGrid w:val="0"/>
        <w:spacing w:line="360" w:lineRule="auto"/>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9．在中标结果公布前应对评标委员会成员名单予以保密。</w:t>
      </w:r>
    </w:p>
    <w:p>
      <w:pPr>
        <w:adjustRightInd w:val="0"/>
        <w:snapToGrid w:val="0"/>
        <w:spacing w:line="360" w:lineRule="auto"/>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10．评标委员会对各投标人的商业秘密予以保密。</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11．评标委员会成员应当客观、公正地履行职责，遵守职业道德，对所提出的评审意见承担个人责任。</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12．在整个评标过程中，投标人企图影响招标结果的任何活动，可能导致其投标失败。如有违法行为，将依法追究其法律责任。</w:t>
      </w:r>
    </w:p>
    <w:p>
      <w:pPr>
        <w:pStyle w:val="4"/>
        <w:snapToGrid w:val="0"/>
        <w:spacing w:before="120" w:beforeLines="50" w:after="120" w:afterLines="50" w:line="360" w:lineRule="auto"/>
        <w:rPr>
          <w:rFonts w:hint="eastAsia" w:ascii="宋体" w:hAnsi="宋体" w:eastAsia="宋体" w:cs="宋体"/>
          <w:b w:val="0"/>
          <w:color w:val="auto"/>
          <w:sz w:val="21"/>
          <w:szCs w:val="21"/>
          <w:highlight w:val="none"/>
        </w:rPr>
      </w:pPr>
      <w:bookmarkStart w:id="368" w:name="_Toc1872"/>
      <w:bookmarkStart w:id="369" w:name="_Toc249760794"/>
      <w:bookmarkStart w:id="370" w:name="_Toc23013"/>
      <w:bookmarkStart w:id="371" w:name="_Toc16742"/>
      <w:bookmarkStart w:id="372" w:name="_Toc5877"/>
      <w:bookmarkStart w:id="373" w:name="_Toc251566665"/>
      <w:r>
        <w:rPr>
          <w:rFonts w:hint="eastAsia" w:ascii="宋体" w:hAnsi="宋体" w:eastAsia="宋体" w:cs="宋体"/>
          <w:color w:val="auto"/>
          <w:sz w:val="21"/>
          <w:szCs w:val="21"/>
          <w:highlight w:val="none"/>
        </w:rPr>
        <w:t>四、评标程序</w:t>
      </w:r>
      <w:bookmarkEnd w:id="368"/>
      <w:bookmarkEnd w:id="369"/>
      <w:bookmarkEnd w:id="370"/>
      <w:bookmarkEnd w:id="371"/>
      <w:bookmarkEnd w:id="372"/>
      <w:bookmarkEnd w:id="373"/>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1．本项目采用不公开方式评标，评标的依据为采购文件和投标文件。</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2．熟悉采购文件和评标办法。</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3．采购代理机构按照采购文件规定的时间、地点及程序组织评审。流程如下：</w:t>
      </w:r>
    </w:p>
    <w:p>
      <w:pPr>
        <w:numPr>
          <w:ilvl w:val="1"/>
          <w:numId w:val="18"/>
        </w:numPr>
        <w:tabs>
          <w:tab w:val="left" w:pos="851"/>
          <w:tab w:val="left" w:pos="993"/>
        </w:tabs>
        <w:adjustRightInd w:val="0"/>
        <w:snapToGrid w:val="0"/>
        <w:spacing w:line="360" w:lineRule="auto"/>
        <w:ind w:left="0" w:firstLine="426"/>
        <w:rPr>
          <w:rFonts w:hint="eastAsia" w:ascii="宋体" w:hAnsi="宋体" w:cs="宋体"/>
          <w:color w:val="auto"/>
          <w:szCs w:val="21"/>
          <w:highlight w:val="none"/>
        </w:rPr>
      </w:pPr>
      <w:r>
        <w:rPr>
          <w:rFonts w:hint="eastAsia" w:ascii="宋体" w:hAnsi="宋体" w:cs="宋体"/>
          <w:color w:val="auto"/>
          <w:szCs w:val="21"/>
          <w:highlight w:val="none"/>
        </w:rPr>
        <w:t>开启评审场地的录音录像采集设备，并确保其正常运行。</w:t>
      </w:r>
    </w:p>
    <w:p>
      <w:pPr>
        <w:numPr>
          <w:ilvl w:val="1"/>
          <w:numId w:val="18"/>
        </w:numPr>
        <w:tabs>
          <w:tab w:val="left" w:pos="851"/>
          <w:tab w:val="left" w:pos="993"/>
        </w:tabs>
        <w:adjustRightInd w:val="0"/>
        <w:snapToGrid w:val="0"/>
        <w:spacing w:line="360" w:lineRule="auto"/>
        <w:ind w:left="0" w:firstLine="426"/>
        <w:rPr>
          <w:rFonts w:hint="eastAsia" w:ascii="宋体" w:hAnsi="宋体" w:cs="宋体"/>
          <w:color w:val="auto"/>
          <w:szCs w:val="21"/>
          <w:highlight w:val="none"/>
        </w:rPr>
      </w:pPr>
      <w:r>
        <w:rPr>
          <w:rFonts w:hint="eastAsia" w:ascii="宋体" w:hAnsi="宋体" w:cs="宋体"/>
          <w:color w:val="auto"/>
          <w:szCs w:val="21"/>
          <w:highlight w:val="none"/>
        </w:rPr>
        <w:t>核验出席评审活动现场的评审小组各成员和相关监督人员身份，并要求其分别登记、签到，按规定统一收缴、保存其通讯工具，无关人员一律拒绝其进入评审现场。</w:t>
      </w:r>
    </w:p>
    <w:p>
      <w:pPr>
        <w:numPr>
          <w:ilvl w:val="1"/>
          <w:numId w:val="18"/>
        </w:numPr>
        <w:tabs>
          <w:tab w:val="left" w:pos="851"/>
          <w:tab w:val="left" w:pos="993"/>
        </w:tabs>
        <w:adjustRightInd w:val="0"/>
        <w:snapToGrid w:val="0"/>
        <w:spacing w:line="360" w:lineRule="auto"/>
        <w:ind w:left="0" w:firstLine="426"/>
        <w:rPr>
          <w:rFonts w:hint="eastAsia" w:ascii="宋体" w:hAnsi="宋体" w:cs="宋体"/>
          <w:color w:val="auto"/>
          <w:szCs w:val="21"/>
          <w:highlight w:val="none"/>
        </w:rPr>
      </w:pPr>
      <w:r>
        <w:rPr>
          <w:rFonts w:hint="eastAsia" w:ascii="宋体" w:hAnsi="宋体" w:cs="宋体"/>
          <w:color w:val="auto"/>
          <w:szCs w:val="21"/>
          <w:highlight w:val="none"/>
        </w:rPr>
        <w:t>介绍评审现场的人员情况，宣布评审工作纪律，告知评审人员应当回避情形；组织推选评审小组组长。</w:t>
      </w:r>
    </w:p>
    <w:p>
      <w:pPr>
        <w:numPr>
          <w:ilvl w:val="1"/>
          <w:numId w:val="18"/>
        </w:numPr>
        <w:tabs>
          <w:tab w:val="left" w:pos="851"/>
          <w:tab w:val="left" w:pos="993"/>
        </w:tabs>
        <w:adjustRightInd w:val="0"/>
        <w:snapToGrid w:val="0"/>
        <w:spacing w:line="360" w:lineRule="auto"/>
        <w:ind w:left="0" w:firstLine="426"/>
        <w:rPr>
          <w:rFonts w:hint="eastAsia" w:ascii="宋体" w:hAnsi="宋体" w:cs="宋体"/>
          <w:color w:val="auto"/>
          <w:szCs w:val="21"/>
          <w:highlight w:val="none"/>
        </w:rPr>
      </w:pPr>
      <w:r>
        <w:rPr>
          <w:rFonts w:hint="eastAsia" w:ascii="宋体" w:hAnsi="宋体" w:cs="宋体"/>
          <w:color w:val="auto"/>
          <w:szCs w:val="21"/>
          <w:highlight w:val="none"/>
        </w:rPr>
        <w:t>通报报名参加本项目采购的投标人名单及资格预审情况（如有），宣读最终提交采购响应文件的投标人名单，组织评审小组各位成员签订《政府采购评审人员廉洁自律承诺书》。</w:t>
      </w:r>
    </w:p>
    <w:p>
      <w:pPr>
        <w:numPr>
          <w:ilvl w:val="1"/>
          <w:numId w:val="18"/>
        </w:numPr>
        <w:tabs>
          <w:tab w:val="left" w:pos="851"/>
          <w:tab w:val="left" w:pos="993"/>
        </w:tabs>
        <w:adjustRightInd w:val="0"/>
        <w:snapToGrid w:val="0"/>
        <w:spacing w:line="360" w:lineRule="auto"/>
        <w:ind w:left="0" w:firstLine="426"/>
        <w:rPr>
          <w:rFonts w:hint="eastAsia" w:ascii="宋体" w:hAnsi="宋体" w:cs="宋体"/>
          <w:color w:val="auto"/>
          <w:szCs w:val="21"/>
          <w:highlight w:val="none"/>
        </w:rPr>
      </w:pPr>
      <w:r>
        <w:rPr>
          <w:rFonts w:hint="eastAsia" w:ascii="宋体" w:hAnsi="宋体" w:cs="宋体"/>
          <w:color w:val="auto"/>
          <w:szCs w:val="21"/>
          <w:highlight w:val="none"/>
        </w:rPr>
        <w:t>根据需要简要介绍采购文件（含补充文件）制定及质疑答复情况、按书面陈述项目基本情况及评审工作需注意事项等。</w:t>
      </w:r>
    </w:p>
    <w:p>
      <w:pPr>
        <w:numPr>
          <w:ilvl w:val="1"/>
          <w:numId w:val="18"/>
        </w:numPr>
        <w:tabs>
          <w:tab w:val="left" w:pos="851"/>
          <w:tab w:val="left" w:pos="993"/>
        </w:tabs>
        <w:adjustRightInd w:val="0"/>
        <w:snapToGrid w:val="0"/>
        <w:spacing w:line="360" w:lineRule="auto"/>
        <w:ind w:left="0" w:firstLine="426"/>
        <w:rPr>
          <w:rFonts w:hint="eastAsia" w:ascii="宋体" w:hAnsi="宋体" w:cs="宋体"/>
          <w:color w:val="auto"/>
          <w:szCs w:val="21"/>
          <w:highlight w:val="none"/>
        </w:rPr>
      </w:pPr>
      <w:r>
        <w:rPr>
          <w:rFonts w:hint="eastAsia" w:ascii="宋体" w:hAnsi="宋体" w:cs="宋体"/>
          <w:color w:val="auto"/>
          <w:szCs w:val="21"/>
          <w:highlight w:val="none"/>
        </w:rPr>
        <w:t>评审小组组长组织评审人员独立评审。</w:t>
      </w:r>
    </w:p>
    <w:p>
      <w:pPr>
        <w:tabs>
          <w:tab w:val="left" w:pos="851"/>
          <w:tab w:val="left" w:pos="993"/>
        </w:tabs>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评审小组对拟认定为采购响应文件无效、投标人资格不符合的，应组织相关投标人代表进行陈述、澄清或申辩；采购代理机构可协助评审小组组长对打分结果进行校对、核对并汇总统计；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numPr>
          <w:ilvl w:val="1"/>
          <w:numId w:val="18"/>
        </w:numPr>
        <w:tabs>
          <w:tab w:val="left" w:pos="851"/>
          <w:tab w:val="left" w:pos="993"/>
        </w:tabs>
        <w:adjustRightInd w:val="0"/>
        <w:snapToGrid w:val="0"/>
        <w:spacing w:line="360" w:lineRule="auto"/>
        <w:ind w:left="0" w:firstLine="426"/>
        <w:rPr>
          <w:rFonts w:hint="eastAsia" w:ascii="宋体" w:hAnsi="宋体" w:cs="宋体"/>
          <w:color w:val="auto"/>
          <w:szCs w:val="21"/>
          <w:highlight w:val="none"/>
        </w:rPr>
      </w:pPr>
      <w:r>
        <w:rPr>
          <w:rFonts w:hint="eastAsia" w:ascii="宋体" w:hAnsi="宋体" w:cs="宋体"/>
          <w:color w:val="auto"/>
          <w:szCs w:val="21"/>
          <w:highlight w:val="none"/>
        </w:rPr>
        <w:t>评审小组根据评审汇总情况和采购文件规定确定中标（成交）候选供应商排序名单。</w:t>
      </w:r>
    </w:p>
    <w:p>
      <w:pPr>
        <w:numPr>
          <w:ilvl w:val="1"/>
          <w:numId w:val="18"/>
        </w:numPr>
        <w:tabs>
          <w:tab w:val="left" w:pos="851"/>
          <w:tab w:val="left" w:pos="993"/>
        </w:tabs>
        <w:adjustRightInd w:val="0"/>
        <w:snapToGrid w:val="0"/>
        <w:spacing w:line="360" w:lineRule="auto"/>
        <w:ind w:left="0" w:firstLine="426"/>
        <w:rPr>
          <w:rFonts w:hint="eastAsia" w:ascii="宋体" w:hAnsi="宋体" w:cs="宋体"/>
          <w:color w:val="auto"/>
          <w:szCs w:val="21"/>
          <w:highlight w:val="none"/>
        </w:rPr>
      </w:pPr>
      <w:r>
        <w:rPr>
          <w:rFonts w:hint="eastAsia" w:ascii="宋体" w:hAnsi="宋体" w:cs="宋体"/>
          <w:color w:val="auto"/>
          <w:szCs w:val="21"/>
          <w:highlight w:val="none"/>
        </w:rPr>
        <w:t>起草评审报告，所有评审人员须在评审报告上签字确认。</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评审人员对有关采购文件、投标文件、样品</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如有</w:t>
      </w:r>
      <w:r>
        <w:rPr>
          <w:rFonts w:hint="eastAsia" w:ascii="宋体" w:hAnsi="宋体" w:cs="宋体"/>
          <w:color w:val="auto"/>
          <w:szCs w:val="21"/>
          <w:highlight w:val="none"/>
          <w:lang w:eastAsia="zh-CN"/>
        </w:rPr>
        <w:t>）</w:t>
      </w:r>
      <w:r>
        <w:rPr>
          <w:rFonts w:hint="eastAsia" w:ascii="宋体" w:hAnsi="宋体" w:cs="宋体"/>
          <w:color w:val="auto"/>
          <w:szCs w:val="21"/>
          <w:highlight w:val="none"/>
        </w:rPr>
        <w:t>、现场演示（如有）的说明、解释、要求、标准存在不同意见的，持不同意见的评审人员及其意见或理由应予以完整记录，并在评审过程中按照少数服从多数的原则表决执行。对采购文件本身不明确或存在歧义、矛盾的内容，应作对供应商而非采购人有利的解释；对因采购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评标报告是评标委员会根据全体评标成员签字的原始评标记录和评标结果编写的报告，其主要内容包括：</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（1）采购公告刊登的媒体名称、开标日期和地点；</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获取</w:t>
      </w:r>
      <w:r>
        <w:rPr>
          <w:rFonts w:hint="eastAsia" w:ascii="宋体" w:hAnsi="宋体" w:cs="宋体"/>
          <w:color w:val="auto"/>
          <w:szCs w:val="21"/>
          <w:highlight w:val="none"/>
        </w:rPr>
        <w:t>采购文件的投标人名单和评标委员会成员名单；</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（3）评标方法和标准；</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（4）开标记录和评标情况及说明，包括投标无效投标人名单及原因；</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（5）评标结果和中标候选人排序；</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（6）评标委员会的授标建议。</w:t>
      </w:r>
    </w:p>
    <w:p>
      <w:pPr>
        <w:adjustRightInd w:val="0"/>
        <w:snapToGrid w:val="0"/>
        <w:spacing w:line="360" w:lineRule="auto"/>
        <w:ind w:firstLine="422" w:firstLineChars="200"/>
        <w:rPr>
          <w:rFonts w:hint="eastAsia" w:ascii="宋体" w:hAnsi="宋体" w:cs="宋体"/>
          <w:b/>
          <w:bCs/>
          <w:color w:val="auto"/>
          <w:szCs w:val="21"/>
          <w:highlight w:val="none"/>
          <w:lang w:val="en-US" w:eastAsia="zh-CN"/>
        </w:rPr>
      </w:pPr>
      <w:r>
        <w:rPr>
          <w:rFonts w:hint="eastAsia" w:ascii="宋体" w:hAnsi="宋体" w:cs="宋体"/>
          <w:b/>
          <w:bCs/>
          <w:color w:val="auto"/>
          <w:szCs w:val="21"/>
          <w:highlight w:val="none"/>
          <w:lang w:val="en-US" w:eastAsia="zh-CN"/>
        </w:rPr>
        <w:t>4.评标程序</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4.1投标文件初审。初审分为资格性检查和符合性检查。</w:t>
      </w:r>
    </w:p>
    <w:p>
      <w:pPr>
        <w:numPr>
          <w:ilvl w:val="0"/>
          <w:numId w:val="19"/>
        </w:num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资格性检查。</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开标后，采购人或采购代理机构将依据法律法规和本须知第9.1条规定对投标人的基本资格条件、落实政府采购政策需满足的资格要求</w:t>
      </w:r>
      <w:r>
        <w:rPr>
          <w:rFonts w:hint="eastAsia" w:ascii="宋体" w:hAnsi="宋体" w:eastAsia="宋体" w:cs="宋体"/>
          <w:snapToGrid w:val="0"/>
          <w:color w:val="auto"/>
          <w:kern w:val="0"/>
          <w:szCs w:val="21"/>
          <w:highlight w:val="none"/>
          <w:lang w:eastAsia="zh-CN"/>
        </w:rPr>
        <w:t>及</w:t>
      </w:r>
      <w:r>
        <w:rPr>
          <w:rFonts w:hint="eastAsia" w:ascii="宋体" w:hAnsi="宋体" w:eastAsia="宋体" w:cs="宋体"/>
          <w:snapToGrid w:val="0"/>
          <w:color w:val="auto"/>
          <w:kern w:val="0"/>
          <w:szCs w:val="21"/>
          <w:highlight w:val="none"/>
        </w:rPr>
        <w:t>特定资格条件进行审查。</w:t>
      </w:r>
    </w:p>
    <w:p>
      <w:pPr>
        <w:numPr>
          <w:ilvl w:val="0"/>
          <w:numId w:val="19"/>
        </w:num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符合性检查。依据采购文件的规定，从投标文件的有效性、完整性和对采购文件的响应程度进行审查，以确定是否对采购文件的实质性要求作出响应。具体审查内容见“无效投标的认定”。</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评标委员会决定投标文件的响应性只根据投标文件本身的内容，而不寻求外部证据。</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如果投标文件没有实质上响应采购文件的要求，评标委员会将判定无效，投标人不得通过修改或撤销不合要求的偏离或保留而使其投标成为实质性响应的投标。</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4.2澄清有关问题。在评标期间，对投标文件中含义不明确、同类问题表述不一致或者有明显文字和计算错误的内容，</w:t>
      </w:r>
      <w:r>
        <w:rPr>
          <w:rFonts w:hint="eastAsia" w:ascii="宋体" w:hAnsi="宋体" w:eastAsia="宋体" w:cs="宋体"/>
          <w:color w:val="auto"/>
          <w:szCs w:val="21"/>
          <w:highlight w:val="none"/>
          <w:lang w:eastAsia="zh-CN"/>
        </w:rPr>
        <w:t>可</w:t>
      </w:r>
      <w:r>
        <w:rPr>
          <w:rFonts w:hint="eastAsia" w:ascii="宋体" w:hAnsi="宋体" w:eastAsia="宋体" w:cs="宋体"/>
          <w:color w:val="auto"/>
          <w:szCs w:val="21"/>
          <w:highlight w:val="none"/>
        </w:rPr>
        <w:t>由评审组长将问题汇总后发起询标</w:t>
      </w:r>
      <w:r>
        <w:rPr>
          <w:rFonts w:hint="eastAsia" w:ascii="宋体" w:hAnsi="宋体" w:eastAsia="宋体" w:cs="宋体"/>
          <w:color w:val="auto"/>
          <w:szCs w:val="21"/>
          <w:highlight w:val="none"/>
          <w:lang w:eastAsia="zh-CN"/>
        </w:rPr>
        <w:t>澄清</w:t>
      </w:r>
      <w:r>
        <w:rPr>
          <w:rFonts w:hint="eastAsia" w:ascii="宋体" w:hAnsi="宋体" w:eastAsia="宋体" w:cs="宋体"/>
          <w:color w:val="auto"/>
          <w:szCs w:val="21"/>
          <w:highlight w:val="none"/>
        </w:rPr>
        <w:t>函</w:t>
      </w:r>
      <w:r>
        <w:rPr>
          <w:rFonts w:hint="eastAsia" w:ascii="宋体" w:hAnsi="宋体" w:eastAsia="宋体" w:cs="宋体"/>
          <w:color w:val="auto"/>
          <w:szCs w:val="21"/>
          <w:highlight w:val="none"/>
          <w:lang w:eastAsia="zh-CN"/>
        </w:rPr>
        <w:t>（或由采购代理机构代替评审组长发起询标澄清函）</w:t>
      </w:r>
      <w:r>
        <w:rPr>
          <w:rFonts w:hint="eastAsia" w:ascii="宋体" w:hAnsi="宋体" w:eastAsia="宋体" w:cs="宋体"/>
          <w:color w:val="auto"/>
          <w:szCs w:val="21"/>
          <w:highlight w:val="none"/>
        </w:rPr>
        <w:t>。投标人的澄清、说明或者补正不得超出投标文件的范围或者改变投标文件的实质性内容。</w:t>
      </w:r>
    </w:p>
    <w:p>
      <w:pPr>
        <w:adjustRightInd w:val="0"/>
        <w:snapToGrid w:val="0"/>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投标供应商的澄清、说明或者补正应当</w:t>
      </w:r>
      <w:r>
        <w:rPr>
          <w:rFonts w:hint="eastAsia" w:ascii="宋体" w:hAnsi="宋体" w:eastAsia="宋体" w:cs="宋体"/>
          <w:color w:val="auto"/>
          <w:szCs w:val="21"/>
          <w:highlight w:val="none"/>
          <w:lang w:eastAsia="zh-CN"/>
        </w:rPr>
        <w:t>加盖供应商电子签章后上传提交（或通过平台上传经授权代表签字或加盖公章的扫描件）</w:t>
      </w:r>
      <w:r>
        <w:rPr>
          <w:rFonts w:hint="eastAsia" w:ascii="宋体" w:hAnsi="宋体" w:eastAsia="宋体" w:cs="宋体"/>
          <w:color w:val="auto"/>
          <w:szCs w:val="21"/>
          <w:highlight w:val="none"/>
          <w:lang w:val="en-US" w:eastAsia="zh-CN"/>
        </w:rPr>
        <w:t>。</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授权代表对澄清、说明或者补正内容未签字确认的，将自行承担由此可能导致的对其不利的评审结果，评标委员会按少数服从多数原则对相关内容进行评判。</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除邮件交互外，如政采云平台提供信息发布、澄清说明、数据交换等操作方式的，或者政采云系统平台有新的操作流程的，按其规定。</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4.3修正原则</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投标文件报价出现前后不一致的，按照下列规定修正：</w:t>
      </w:r>
    </w:p>
    <w:p>
      <w:pPr>
        <w:numPr>
          <w:ilvl w:val="0"/>
          <w:numId w:val="20"/>
        </w:numPr>
        <w:tabs>
          <w:tab w:val="left" w:pos="630"/>
          <w:tab w:val="left" w:pos="840"/>
          <w:tab w:val="left" w:pos="1050"/>
        </w:tabs>
        <w:adjustRightInd w:val="0"/>
        <w:snapToGrid w:val="0"/>
        <w:spacing w:line="360" w:lineRule="auto"/>
        <w:ind w:left="5" w:firstLine="635"/>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投标文件中开标一览表(报价表)内容与投标文件中相应内容不一致的，以开标一览表(报价表)为准；</w:t>
      </w:r>
    </w:p>
    <w:p>
      <w:pPr>
        <w:numPr>
          <w:ilvl w:val="0"/>
          <w:numId w:val="20"/>
        </w:numPr>
        <w:tabs>
          <w:tab w:val="left" w:pos="630"/>
          <w:tab w:val="left" w:pos="840"/>
          <w:tab w:val="left" w:pos="1050"/>
        </w:tabs>
        <w:adjustRightInd w:val="0"/>
        <w:snapToGrid w:val="0"/>
        <w:spacing w:line="360" w:lineRule="auto"/>
        <w:ind w:left="5" w:firstLine="635"/>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大写金额和小写金额不一致的，以大写金额为准；</w:t>
      </w:r>
    </w:p>
    <w:p>
      <w:pPr>
        <w:numPr>
          <w:ilvl w:val="0"/>
          <w:numId w:val="20"/>
        </w:numPr>
        <w:tabs>
          <w:tab w:val="left" w:pos="630"/>
          <w:tab w:val="left" w:pos="840"/>
          <w:tab w:val="left" w:pos="1050"/>
        </w:tabs>
        <w:adjustRightInd w:val="0"/>
        <w:snapToGrid w:val="0"/>
        <w:spacing w:line="360" w:lineRule="auto"/>
        <w:ind w:left="5" w:firstLine="635"/>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单价金额小数点或者百分比有明显错位的，以开标一览表的总价为准，并修改单价；</w:t>
      </w:r>
    </w:p>
    <w:p>
      <w:pPr>
        <w:numPr>
          <w:ilvl w:val="0"/>
          <w:numId w:val="20"/>
        </w:numPr>
        <w:tabs>
          <w:tab w:val="left" w:pos="630"/>
          <w:tab w:val="left" w:pos="840"/>
          <w:tab w:val="left" w:pos="1050"/>
        </w:tabs>
        <w:adjustRightInd w:val="0"/>
        <w:snapToGrid w:val="0"/>
        <w:spacing w:line="360" w:lineRule="auto"/>
        <w:ind w:left="5" w:firstLine="635"/>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总价金额与按单价汇总金额不一致的，以单价金额计算结果为准。</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adjustRightInd w:val="0"/>
        <w:snapToGrid w:val="0"/>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(5)政采云平台填报的开标一览表中的价格与上传的报价响应文件中开标一览表的报价不一致的，以上传的报价响应文件中开标一览表的价格为准，修正平台上的投标报价</w:t>
      </w:r>
      <w:r>
        <w:rPr>
          <w:rFonts w:hint="eastAsia" w:ascii="宋体" w:hAnsi="宋体" w:eastAsia="宋体" w:cs="宋体"/>
          <w:color w:val="auto"/>
          <w:szCs w:val="21"/>
          <w:highlight w:val="none"/>
          <w:lang w:eastAsia="zh-CN"/>
        </w:rPr>
        <w:t>。</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4.4比较与评价。</w:t>
      </w:r>
    </w:p>
    <w:p>
      <w:pPr>
        <w:adjustRightInd w:val="0"/>
        <w:snapToGrid w:val="0"/>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按采购文件中规定的评标方法和标准，对资格性检查和符合性检查合格的投标文件进行商务和技术评估，综合比较与评价</w:t>
      </w:r>
      <w:r>
        <w:rPr>
          <w:rFonts w:hint="eastAsia" w:ascii="宋体" w:hAnsi="宋体" w:eastAsia="宋体" w:cs="宋体"/>
          <w:color w:val="auto"/>
          <w:szCs w:val="21"/>
          <w:highlight w:val="none"/>
          <w:lang w:eastAsia="zh-CN"/>
        </w:rPr>
        <w:t>。</w:t>
      </w:r>
    </w:p>
    <w:p>
      <w:pPr>
        <w:adjustRightInd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4.5按采购文件中规定的评标方法和标准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对投标人进行排序，并</w:t>
      </w:r>
      <w:r>
        <w:rPr>
          <w:rFonts w:hint="eastAsia" w:ascii="宋体" w:hAnsi="宋体" w:eastAsia="宋体" w:cs="宋体"/>
          <w:color w:val="auto"/>
          <w:szCs w:val="21"/>
          <w:highlight w:val="none"/>
        </w:rPr>
        <w:t>推荐中标候选人。</w:t>
      </w:r>
    </w:p>
    <w:p>
      <w:pPr>
        <w:adjustRightInd w:val="0"/>
        <w:snapToGrid w:val="0"/>
        <w:spacing w:line="360" w:lineRule="auto"/>
        <w:ind w:firstLine="420" w:firstLineChars="200"/>
        <w:jc w:val="left"/>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4.6编写评标报告</w:t>
      </w:r>
      <w:r>
        <w:rPr>
          <w:rFonts w:hint="eastAsia" w:ascii="宋体" w:hAnsi="宋体" w:eastAsia="宋体" w:cs="宋体"/>
          <w:b/>
          <w:color w:val="auto"/>
          <w:szCs w:val="21"/>
          <w:highlight w:val="none"/>
        </w:rPr>
        <w:t>。</w:t>
      </w:r>
    </w:p>
    <w:p>
      <w:pPr>
        <w:adjustRightInd w:val="0"/>
        <w:snapToGrid w:val="0"/>
        <w:spacing w:before="120" w:beforeLines="50"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5</w:t>
      </w:r>
      <w:r>
        <w:rPr>
          <w:rFonts w:hint="eastAsia" w:ascii="宋体" w:hAnsi="宋体" w:eastAsia="宋体" w:cs="宋体"/>
          <w:b/>
          <w:color w:val="auto"/>
          <w:szCs w:val="21"/>
          <w:highlight w:val="none"/>
        </w:rPr>
        <w:t>．无效投标的认定</w:t>
      </w:r>
    </w:p>
    <w:p>
      <w:pPr>
        <w:adjustRightInd w:val="0"/>
        <w:snapToGrid w:val="0"/>
        <w:spacing w:line="360" w:lineRule="auto"/>
        <w:ind w:firstLine="422" w:firstLineChars="200"/>
        <w:jc w:val="left"/>
        <w:rPr>
          <w:rFonts w:hint="eastAsia" w:ascii="宋体" w:hAnsi="宋体" w:eastAsia="宋体" w:cs="宋体"/>
          <w:b/>
          <w:bCs/>
          <w:snapToGrid w:val="0"/>
          <w:color w:val="auto"/>
          <w:kern w:val="0"/>
          <w:szCs w:val="21"/>
          <w:highlight w:val="none"/>
          <w:lang w:val="en-US" w:eastAsia="zh-CN"/>
        </w:rPr>
      </w:pPr>
      <w:r>
        <w:rPr>
          <w:rFonts w:hint="eastAsia" w:ascii="宋体" w:hAnsi="宋体" w:eastAsia="宋体" w:cs="宋体"/>
          <w:b/>
          <w:bCs/>
          <w:snapToGrid w:val="0"/>
          <w:color w:val="auto"/>
          <w:kern w:val="0"/>
          <w:szCs w:val="21"/>
          <w:highlight w:val="none"/>
          <w:lang w:val="en-US" w:eastAsia="zh-CN"/>
        </w:rPr>
        <w:t>5.1资格审查阶段</w:t>
      </w:r>
    </w:p>
    <w:p>
      <w:pPr>
        <w:adjustRightInd w:val="0"/>
        <w:snapToGrid w:val="0"/>
        <w:spacing w:line="360" w:lineRule="auto"/>
        <w:ind w:firstLine="420" w:firstLineChars="200"/>
        <w:jc w:val="left"/>
        <w:rPr>
          <w:rFonts w:hint="default" w:ascii="宋体" w:hAnsi="宋体" w:eastAsia="宋体" w:cs="宋体"/>
          <w:snapToGrid w:val="0"/>
          <w:color w:val="auto"/>
          <w:kern w:val="0"/>
          <w:szCs w:val="21"/>
          <w:highlight w:val="none"/>
          <w:lang w:val="en-US" w:eastAsia="zh-CN"/>
        </w:rPr>
      </w:pPr>
      <w:r>
        <w:rPr>
          <w:rFonts w:hint="eastAsia" w:ascii="宋体" w:hAnsi="宋体" w:eastAsia="宋体" w:cs="宋体"/>
          <w:snapToGrid w:val="0"/>
          <w:color w:val="auto"/>
          <w:kern w:val="0"/>
          <w:szCs w:val="21"/>
          <w:highlight w:val="none"/>
          <w:lang w:val="en-US" w:eastAsia="zh-CN"/>
        </w:rPr>
        <w:t>投标人未按照采购文件投标须知9.1条要求提供与基本资格条件、落实政府采购政策需满足的资格要求及特定资格条件相应的有效资格证明材料的，视为投标人不具备采购文件中规定的资格要求，其资格审查不通过。</w:t>
      </w:r>
    </w:p>
    <w:p>
      <w:pPr>
        <w:adjustRightInd w:val="0"/>
        <w:snapToGrid w:val="0"/>
        <w:spacing w:line="360" w:lineRule="auto"/>
        <w:ind w:firstLine="422" w:firstLineChars="200"/>
        <w:jc w:val="left"/>
        <w:rPr>
          <w:rFonts w:hint="default" w:ascii="宋体" w:hAnsi="宋体" w:eastAsia="宋体" w:cs="宋体"/>
          <w:b/>
          <w:bCs/>
          <w:snapToGrid w:val="0"/>
          <w:color w:val="auto"/>
          <w:kern w:val="0"/>
          <w:szCs w:val="21"/>
          <w:highlight w:val="none"/>
          <w:lang w:val="en-US" w:eastAsia="zh-CN"/>
        </w:rPr>
      </w:pPr>
      <w:r>
        <w:rPr>
          <w:rFonts w:hint="eastAsia" w:ascii="宋体" w:hAnsi="宋体" w:eastAsia="宋体" w:cs="宋体"/>
          <w:b/>
          <w:bCs/>
          <w:snapToGrid w:val="0"/>
          <w:color w:val="auto"/>
          <w:kern w:val="0"/>
          <w:szCs w:val="21"/>
          <w:highlight w:val="none"/>
          <w:lang w:val="en-US" w:eastAsia="zh-CN"/>
        </w:rPr>
        <w:t>5.2商务技术文件评审阶段</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评审时，对投标人的技术文件、商务资信和其他评审要求等，评标委员会将逐项进行审查、比较，对于实质性偏离或符合无效条款的，应当询问投标人，并允许投标人进行陈述申辩，但不允许其对偏离条款进行补充、修正或撤回。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adjustRightInd w:val="0"/>
        <w:snapToGrid w:val="0"/>
        <w:spacing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lang w:val="en-US" w:eastAsia="zh-CN"/>
        </w:rPr>
        <w:t>5.2.1</w:t>
      </w:r>
      <w:r>
        <w:rPr>
          <w:rFonts w:hint="eastAsia" w:ascii="宋体" w:hAnsi="宋体" w:eastAsia="宋体" w:cs="宋体"/>
          <w:snapToGrid w:val="0"/>
          <w:color w:val="auto"/>
          <w:kern w:val="0"/>
          <w:szCs w:val="21"/>
          <w:highlight w:val="none"/>
        </w:rPr>
        <w:t>如发现下列情形之一的，</w:t>
      </w:r>
      <w:r>
        <w:rPr>
          <w:rFonts w:hint="eastAsia" w:ascii="宋体" w:hAnsi="宋体" w:eastAsia="宋体" w:cs="宋体"/>
          <w:snapToGrid w:val="0"/>
          <w:color w:val="auto"/>
          <w:kern w:val="0"/>
          <w:szCs w:val="21"/>
          <w:highlight w:val="none"/>
          <w:lang w:eastAsia="zh-CN"/>
        </w:rPr>
        <w:t>商务</w:t>
      </w:r>
      <w:r>
        <w:rPr>
          <w:rFonts w:hint="eastAsia" w:ascii="宋体" w:hAnsi="宋体" w:eastAsia="宋体" w:cs="宋体"/>
          <w:snapToGrid w:val="0"/>
          <w:color w:val="auto"/>
          <w:kern w:val="0"/>
          <w:szCs w:val="21"/>
          <w:highlight w:val="none"/>
        </w:rPr>
        <w:t>文件将被视为无效投标：</w:t>
      </w:r>
    </w:p>
    <w:p>
      <w:pPr>
        <w:numPr>
          <w:ilvl w:val="0"/>
          <w:numId w:val="21"/>
        </w:numPr>
        <w:tabs>
          <w:tab w:val="left" w:pos="900"/>
          <w:tab w:val="clear" w:pos="1273"/>
        </w:tabs>
        <w:adjustRightInd w:val="0"/>
        <w:snapToGrid w:val="0"/>
        <w:spacing w:line="360" w:lineRule="auto"/>
        <w:ind w:left="0" w:firstLine="360"/>
        <w:jc w:val="left"/>
        <w:rPr>
          <w:rFonts w:hint="eastAsia" w:ascii="宋体" w:hAnsi="宋体" w:eastAsia="宋体" w:cs="宋体"/>
          <w:b/>
          <w:snapToGrid w:val="0"/>
          <w:color w:val="auto"/>
          <w:kern w:val="0"/>
          <w:szCs w:val="21"/>
          <w:highlight w:val="none"/>
        </w:rPr>
      </w:pPr>
      <w:r>
        <w:rPr>
          <w:rFonts w:hint="eastAsia" w:ascii="宋体" w:hAnsi="宋体" w:eastAsia="宋体" w:cs="宋体"/>
          <w:b/>
          <w:snapToGrid w:val="0"/>
          <w:color w:val="auto"/>
          <w:kern w:val="0"/>
          <w:szCs w:val="21"/>
          <w:highlight w:val="none"/>
        </w:rPr>
        <w:t>投标文件中</w:t>
      </w:r>
      <w:r>
        <w:rPr>
          <w:rFonts w:hint="eastAsia" w:ascii="宋体" w:hAnsi="宋体" w:eastAsia="宋体" w:cs="宋体"/>
          <w:b/>
          <w:snapToGrid w:val="0"/>
          <w:color w:val="auto"/>
          <w:kern w:val="0"/>
          <w:szCs w:val="21"/>
          <w:highlight w:val="none"/>
          <w:lang w:eastAsia="zh-CN"/>
        </w:rPr>
        <w:t>授权委托</w:t>
      </w:r>
      <w:r>
        <w:rPr>
          <w:rFonts w:hint="eastAsia" w:ascii="宋体" w:hAnsi="宋体" w:eastAsia="宋体" w:cs="宋体"/>
          <w:b/>
          <w:snapToGrid w:val="0"/>
          <w:color w:val="auto"/>
          <w:kern w:val="0"/>
          <w:szCs w:val="21"/>
          <w:highlight w:val="none"/>
        </w:rPr>
        <w:t>书所载内容与本项目内容有异的或者</w:t>
      </w:r>
      <w:r>
        <w:rPr>
          <w:rFonts w:hint="eastAsia" w:ascii="宋体" w:hAnsi="宋体" w:eastAsia="宋体" w:cs="宋体"/>
          <w:b/>
          <w:snapToGrid w:val="0"/>
          <w:color w:val="auto"/>
          <w:kern w:val="0"/>
          <w:szCs w:val="21"/>
          <w:highlight w:val="none"/>
          <w:lang w:eastAsia="zh-CN"/>
        </w:rPr>
        <w:t>授权委托</w:t>
      </w:r>
      <w:r>
        <w:rPr>
          <w:rFonts w:hint="eastAsia" w:ascii="宋体" w:hAnsi="宋体" w:eastAsia="宋体" w:cs="宋体"/>
          <w:b/>
          <w:snapToGrid w:val="0"/>
          <w:color w:val="auto"/>
          <w:kern w:val="0"/>
          <w:szCs w:val="21"/>
          <w:highlight w:val="none"/>
        </w:rPr>
        <w:t>书未按照采购文件要求签署、盖章的；</w:t>
      </w:r>
    </w:p>
    <w:p>
      <w:pPr>
        <w:numPr>
          <w:ilvl w:val="0"/>
          <w:numId w:val="21"/>
        </w:numPr>
        <w:tabs>
          <w:tab w:val="left" w:pos="900"/>
          <w:tab w:val="clear" w:pos="1273"/>
        </w:tabs>
        <w:adjustRightInd w:val="0"/>
        <w:snapToGrid w:val="0"/>
        <w:spacing w:line="360" w:lineRule="auto"/>
        <w:ind w:left="0" w:firstLine="360"/>
        <w:jc w:val="left"/>
        <w:rPr>
          <w:rFonts w:hint="eastAsia" w:ascii="宋体" w:hAnsi="宋体" w:eastAsia="宋体" w:cs="宋体"/>
          <w:b/>
          <w:snapToGrid w:val="0"/>
          <w:color w:val="auto"/>
          <w:kern w:val="0"/>
          <w:szCs w:val="21"/>
          <w:highlight w:val="none"/>
        </w:rPr>
      </w:pPr>
      <w:r>
        <w:rPr>
          <w:rFonts w:hint="eastAsia" w:ascii="宋体" w:hAnsi="宋体" w:eastAsia="宋体" w:cs="宋体"/>
          <w:b/>
          <w:snapToGrid w:val="0"/>
          <w:color w:val="auto"/>
          <w:kern w:val="0"/>
          <w:szCs w:val="21"/>
          <w:highlight w:val="none"/>
        </w:rPr>
        <w:t>投标文件内容弄虚作假的；</w:t>
      </w:r>
    </w:p>
    <w:p>
      <w:pPr>
        <w:numPr>
          <w:ilvl w:val="0"/>
          <w:numId w:val="21"/>
        </w:numPr>
        <w:tabs>
          <w:tab w:val="left" w:pos="900"/>
          <w:tab w:val="clear" w:pos="1273"/>
        </w:tabs>
        <w:adjustRightInd w:val="0"/>
        <w:snapToGrid w:val="0"/>
        <w:spacing w:line="360" w:lineRule="auto"/>
        <w:ind w:left="0" w:firstLine="360"/>
        <w:jc w:val="left"/>
        <w:rPr>
          <w:rFonts w:hint="eastAsia" w:ascii="宋体" w:hAnsi="宋体" w:eastAsia="宋体" w:cs="宋体"/>
          <w:b/>
          <w:snapToGrid w:val="0"/>
          <w:color w:val="auto"/>
          <w:kern w:val="0"/>
          <w:szCs w:val="21"/>
          <w:highlight w:val="none"/>
        </w:rPr>
      </w:pPr>
      <w:r>
        <w:rPr>
          <w:rFonts w:hint="eastAsia" w:ascii="宋体" w:hAnsi="宋体" w:eastAsia="宋体" w:cs="宋体"/>
          <w:b/>
          <w:snapToGrid w:val="0"/>
          <w:color w:val="auto"/>
          <w:kern w:val="0"/>
          <w:szCs w:val="21"/>
          <w:highlight w:val="none"/>
          <w:lang w:eastAsia="zh-CN"/>
        </w:rPr>
        <w:t>商务文件</w:t>
      </w:r>
      <w:r>
        <w:rPr>
          <w:rFonts w:hint="eastAsia" w:ascii="宋体" w:hAnsi="宋体" w:eastAsia="宋体" w:cs="宋体"/>
          <w:b/>
          <w:snapToGrid w:val="0"/>
          <w:color w:val="auto"/>
          <w:kern w:val="0"/>
          <w:szCs w:val="21"/>
          <w:highlight w:val="none"/>
        </w:rPr>
        <w:t>未按采购文件要求盖章的；</w:t>
      </w:r>
    </w:p>
    <w:p>
      <w:pPr>
        <w:numPr>
          <w:ilvl w:val="0"/>
          <w:numId w:val="21"/>
        </w:numPr>
        <w:tabs>
          <w:tab w:val="left" w:pos="900"/>
          <w:tab w:val="left" w:pos="1080"/>
          <w:tab w:val="clear" w:pos="1273"/>
        </w:tabs>
        <w:adjustRightInd w:val="0"/>
        <w:snapToGrid w:val="0"/>
        <w:spacing w:line="360" w:lineRule="auto"/>
        <w:ind w:left="0" w:firstLine="360"/>
        <w:jc w:val="left"/>
        <w:rPr>
          <w:rFonts w:hint="eastAsia" w:ascii="宋体" w:hAnsi="宋体" w:eastAsia="宋体" w:cs="宋体"/>
          <w:b/>
          <w:snapToGrid w:val="0"/>
          <w:color w:val="auto"/>
          <w:kern w:val="0"/>
          <w:szCs w:val="21"/>
          <w:highlight w:val="none"/>
        </w:rPr>
      </w:pPr>
      <w:r>
        <w:rPr>
          <w:rFonts w:hint="eastAsia" w:ascii="宋体" w:hAnsi="宋体" w:eastAsia="宋体" w:cs="宋体"/>
          <w:b/>
          <w:bCs/>
          <w:color w:val="auto"/>
          <w:szCs w:val="21"/>
          <w:highlight w:val="none"/>
        </w:rPr>
        <w:t>不响应采购文件标注“▲”条款要求的；</w:t>
      </w:r>
    </w:p>
    <w:p>
      <w:pPr>
        <w:numPr>
          <w:ilvl w:val="0"/>
          <w:numId w:val="21"/>
        </w:numPr>
        <w:tabs>
          <w:tab w:val="left" w:pos="900"/>
          <w:tab w:val="left" w:pos="1080"/>
          <w:tab w:val="clear" w:pos="1273"/>
        </w:tabs>
        <w:adjustRightInd w:val="0"/>
        <w:snapToGrid w:val="0"/>
        <w:spacing w:line="360" w:lineRule="auto"/>
        <w:ind w:left="0" w:firstLine="36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投标有效期不满足采购文件要求的；</w:t>
      </w:r>
    </w:p>
    <w:p>
      <w:pPr>
        <w:numPr>
          <w:ilvl w:val="0"/>
          <w:numId w:val="21"/>
        </w:numPr>
        <w:tabs>
          <w:tab w:val="left" w:pos="900"/>
          <w:tab w:val="left" w:pos="1080"/>
          <w:tab w:val="clear" w:pos="1273"/>
        </w:tabs>
        <w:adjustRightInd w:val="0"/>
        <w:snapToGrid w:val="0"/>
        <w:spacing w:line="360" w:lineRule="auto"/>
        <w:ind w:left="0" w:firstLine="36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存在法律、法规规定及采购文件规定的其它无效情形的。</w:t>
      </w:r>
    </w:p>
    <w:p>
      <w:pPr>
        <w:adjustRightInd w:val="0"/>
        <w:snapToGrid w:val="0"/>
        <w:spacing w:line="360" w:lineRule="auto"/>
        <w:ind w:firstLine="422" w:firstLineChars="200"/>
        <w:jc w:val="left"/>
        <w:rPr>
          <w:rFonts w:hint="eastAsia" w:ascii="宋体" w:hAnsi="宋体" w:eastAsia="宋体" w:cs="宋体"/>
          <w:b/>
          <w:bCs/>
          <w:snapToGrid w:val="0"/>
          <w:color w:val="auto"/>
          <w:kern w:val="0"/>
          <w:szCs w:val="21"/>
          <w:highlight w:val="none"/>
          <w:lang w:val="en-US" w:eastAsia="zh-CN"/>
        </w:rPr>
      </w:pPr>
      <w:r>
        <w:rPr>
          <w:rFonts w:hint="eastAsia" w:ascii="宋体" w:hAnsi="宋体" w:eastAsia="宋体" w:cs="宋体"/>
          <w:b/>
          <w:bCs/>
          <w:snapToGrid w:val="0"/>
          <w:color w:val="auto"/>
          <w:kern w:val="0"/>
          <w:szCs w:val="21"/>
          <w:highlight w:val="none"/>
          <w:lang w:val="en-US" w:eastAsia="zh-CN"/>
        </w:rPr>
        <w:t>5.2.2如发现下列情形之一的，技术文件将被视为无效投标：</w:t>
      </w:r>
    </w:p>
    <w:p>
      <w:pPr>
        <w:numPr>
          <w:ilvl w:val="0"/>
          <w:numId w:val="22"/>
        </w:numPr>
        <w:tabs>
          <w:tab w:val="left" w:pos="900"/>
          <w:tab w:val="left" w:pos="1080"/>
          <w:tab w:val="clear" w:pos="1273"/>
        </w:tabs>
        <w:adjustRightInd w:val="0"/>
        <w:snapToGrid w:val="0"/>
        <w:spacing w:line="360" w:lineRule="auto"/>
        <w:ind w:left="0" w:firstLine="360"/>
        <w:jc w:val="left"/>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技术文件未按采购文件要求盖章的；</w:t>
      </w:r>
    </w:p>
    <w:p>
      <w:pPr>
        <w:numPr>
          <w:ilvl w:val="0"/>
          <w:numId w:val="22"/>
        </w:numPr>
        <w:tabs>
          <w:tab w:val="left" w:pos="900"/>
          <w:tab w:val="left" w:pos="1080"/>
          <w:tab w:val="clear" w:pos="1273"/>
        </w:tabs>
        <w:adjustRightInd w:val="0"/>
        <w:snapToGrid w:val="0"/>
        <w:spacing w:line="360" w:lineRule="auto"/>
        <w:ind w:left="0" w:firstLine="360"/>
        <w:jc w:val="left"/>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技术文件标明的响应或偏离与事实不符或虚假投标的；</w:t>
      </w:r>
    </w:p>
    <w:p>
      <w:pPr>
        <w:numPr>
          <w:ilvl w:val="0"/>
          <w:numId w:val="22"/>
        </w:numPr>
        <w:tabs>
          <w:tab w:val="left" w:pos="900"/>
          <w:tab w:val="left" w:pos="1080"/>
          <w:tab w:val="clear" w:pos="1273"/>
        </w:tabs>
        <w:adjustRightInd w:val="0"/>
        <w:snapToGrid w:val="0"/>
        <w:spacing w:line="360" w:lineRule="auto"/>
        <w:ind w:left="0" w:firstLine="360"/>
        <w:jc w:val="left"/>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服务期等条款不能满足采购文件要求的；</w:t>
      </w:r>
    </w:p>
    <w:p>
      <w:pPr>
        <w:numPr>
          <w:ilvl w:val="0"/>
          <w:numId w:val="22"/>
        </w:numPr>
        <w:tabs>
          <w:tab w:val="left" w:pos="900"/>
          <w:tab w:val="left" w:pos="1080"/>
          <w:tab w:val="clear" w:pos="1273"/>
        </w:tabs>
        <w:adjustRightInd w:val="0"/>
        <w:snapToGrid w:val="0"/>
        <w:spacing w:line="360" w:lineRule="auto"/>
        <w:ind w:left="0" w:firstLine="360"/>
        <w:jc w:val="left"/>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明显不符合采购内容、质量标准，或者与采购文件中标注“▲”条款存在实质性偏离的；</w:t>
      </w:r>
    </w:p>
    <w:p>
      <w:pPr>
        <w:numPr>
          <w:ilvl w:val="0"/>
          <w:numId w:val="22"/>
        </w:numPr>
        <w:tabs>
          <w:tab w:val="left" w:pos="900"/>
          <w:tab w:val="left" w:pos="1080"/>
          <w:tab w:val="clear" w:pos="1273"/>
        </w:tabs>
        <w:adjustRightInd w:val="0"/>
        <w:snapToGrid w:val="0"/>
        <w:spacing w:line="360" w:lineRule="auto"/>
        <w:ind w:left="0" w:firstLine="360"/>
        <w:jc w:val="left"/>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投标文件含有采购人不能接受的附加条件的；</w:t>
      </w:r>
    </w:p>
    <w:p>
      <w:pPr>
        <w:numPr>
          <w:ilvl w:val="0"/>
          <w:numId w:val="22"/>
        </w:numPr>
        <w:tabs>
          <w:tab w:val="left" w:pos="900"/>
          <w:tab w:val="left" w:pos="1080"/>
          <w:tab w:val="clear" w:pos="1273"/>
        </w:tabs>
        <w:adjustRightInd w:val="0"/>
        <w:snapToGrid w:val="0"/>
        <w:spacing w:line="360" w:lineRule="auto"/>
        <w:ind w:left="0" w:firstLine="360"/>
        <w:jc w:val="left"/>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存在法律、法规、规章规定的其它无效投标情况的。</w:t>
      </w:r>
    </w:p>
    <w:p>
      <w:pPr>
        <w:adjustRightInd w:val="0"/>
        <w:snapToGrid w:val="0"/>
        <w:spacing w:line="360" w:lineRule="auto"/>
        <w:ind w:firstLine="422" w:firstLineChars="200"/>
        <w:jc w:val="left"/>
        <w:rPr>
          <w:rFonts w:hint="eastAsia" w:ascii="宋体" w:hAnsi="宋体" w:eastAsia="宋体" w:cs="宋体"/>
          <w:b/>
          <w:bCs/>
          <w:snapToGrid w:val="0"/>
          <w:color w:val="auto"/>
          <w:kern w:val="0"/>
          <w:szCs w:val="21"/>
          <w:highlight w:val="none"/>
          <w:lang w:val="en-US" w:eastAsia="zh-CN"/>
        </w:rPr>
      </w:pPr>
      <w:r>
        <w:rPr>
          <w:rFonts w:hint="eastAsia" w:ascii="宋体" w:hAnsi="宋体" w:eastAsia="宋体" w:cs="宋体"/>
          <w:b/>
          <w:bCs/>
          <w:snapToGrid w:val="0"/>
          <w:color w:val="auto"/>
          <w:kern w:val="0"/>
          <w:szCs w:val="21"/>
          <w:highlight w:val="none"/>
          <w:lang w:val="en-US" w:eastAsia="zh-CN"/>
        </w:rPr>
        <w:t>5.3报价文件评审阶段</w:t>
      </w:r>
    </w:p>
    <w:p>
      <w:pPr>
        <w:numPr>
          <w:ilvl w:val="0"/>
          <w:numId w:val="0"/>
        </w:numPr>
        <w:tabs>
          <w:tab w:val="left" w:pos="900"/>
          <w:tab w:val="left" w:pos="1080"/>
        </w:tabs>
        <w:adjustRightInd w:val="0"/>
        <w:snapToGrid w:val="0"/>
        <w:spacing w:line="360" w:lineRule="auto"/>
        <w:ind w:left="360" w:leftChars="0"/>
        <w:jc w:val="left"/>
        <w:rPr>
          <w:rFonts w:hint="eastAsia" w:ascii="宋体" w:hAnsi="宋体" w:eastAsia="宋体" w:cs="宋体"/>
          <w:b/>
          <w:bCs/>
          <w:color w:val="auto"/>
          <w:szCs w:val="21"/>
          <w:highlight w:val="none"/>
          <w:lang w:eastAsia="zh-CN"/>
        </w:rPr>
      </w:pPr>
      <w:r>
        <w:rPr>
          <w:rFonts w:hint="eastAsia" w:ascii="宋体" w:hAnsi="宋体" w:eastAsia="宋体" w:cs="宋体"/>
          <w:snapToGrid w:val="0"/>
          <w:color w:val="auto"/>
          <w:kern w:val="0"/>
          <w:szCs w:val="21"/>
          <w:highlight w:val="none"/>
        </w:rPr>
        <w:t>在报价评审时，如发现下列情形之一的，投标文件将被视为无效</w:t>
      </w:r>
      <w:r>
        <w:rPr>
          <w:rFonts w:hint="eastAsia" w:ascii="宋体" w:hAnsi="宋体" w:eastAsia="宋体" w:cs="宋体"/>
          <w:snapToGrid w:val="0"/>
          <w:color w:val="auto"/>
          <w:kern w:val="0"/>
          <w:szCs w:val="21"/>
          <w:highlight w:val="none"/>
          <w:lang w:eastAsia="zh-CN"/>
        </w:rPr>
        <w:t>：</w:t>
      </w:r>
    </w:p>
    <w:p>
      <w:pPr>
        <w:numPr>
          <w:ilvl w:val="0"/>
          <w:numId w:val="23"/>
        </w:numPr>
        <w:tabs>
          <w:tab w:val="left" w:pos="900"/>
          <w:tab w:val="left" w:pos="1080"/>
          <w:tab w:val="clear" w:pos="1273"/>
        </w:tabs>
        <w:adjustRightInd w:val="0"/>
        <w:snapToGrid w:val="0"/>
        <w:spacing w:line="360" w:lineRule="auto"/>
        <w:ind w:left="0" w:firstLine="36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eastAsia="zh-CN"/>
        </w:rPr>
        <w:t>报价文件未按采购文件要求盖章的；</w:t>
      </w:r>
    </w:p>
    <w:p>
      <w:pPr>
        <w:numPr>
          <w:ilvl w:val="0"/>
          <w:numId w:val="23"/>
        </w:numPr>
        <w:tabs>
          <w:tab w:val="left" w:pos="900"/>
          <w:tab w:val="left" w:pos="1080"/>
          <w:tab w:val="clear" w:pos="1273"/>
        </w:tabs>
        <w:adjustRightInd w:val="0"/>
        <w:snapToGrid w:val="0"/>
        <w:spacing w:line="360" w:lineRule="auto"/>
        <w:ind w:left="0" w:firstLine="36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开标一览表投标报价为零的（包括投标文件中标明：免费或赠予）或其报价（大写）无法按正常书写方式进行报价唱标的或无投标报价的；</w:t>
      </w:r>
    </w:p>
    <w:p>
      <w:pPr>
        <w:numPr>
          <w:ilvl w:val="0"/>
          <w:numId w:val="23"/>
        </w:numPr>
        <w:tabs>
          <w:tab w:val="left" w:pos="900"/>
          <w:tab w:val="left" w:pos="1080"/>
          <w:tab w:val="clear" w:pos="1273"/>
        </w:tabs>
        <w:adjustRightInd w:val="0"/>
        <w:snapToGrid w:val="0"/>
        <w:spacing w:line="360" w:lineRule="auto"/>
        <w:ind w:left="0" w:firstLine="360"/>
        <w:jc w:val="left"/>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政采云平台填报的开标一览表中的价格与上传的报价响应文件中开标一览表的报价不一致时，投标人不同意按“4.3修正原则”第（5）条原则修正的；</w:t>
      </w:r>
    </w:p>
    <w:p>
      <w:pPr>
        <w:numPr>
          <w:ilvl w:val="0"/>
          <w:numId w:val="23"/>
        </w:numPr>
        <w:tabs>
          <w:tab w:val="left" w:pos="900"/>
          <w:tab w:val="left" w:pos="1080"/>
          <w:tab w:val="clear" w:pos="1273"/>
        </w:tabs>
        <w:adjustRightInd w:val="0"/>
        <w:snapToGrid w:val="0"/>
        <w:spacing w:line="360" w:lineRule="auto"/>
        <w:ind w:left="0" w:firstLine="360"/>
        <w:jc w:val="left"/>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政采云平台上传的报价响应文件缺少最基本的报价内容（如开标一览表）的；</w:t>
      </w:r>
    </w:p>
    <w:p>
      <w:pPr>
        <w:numPr>
          <w:ilvl w:val="0"/>
          <w:numId w:val="23"/>
        </w:numPr>
        <w:tabs>
          <w:tab w:val="left" w:pos="900"/>
          <w:tab w:val="left" w:pos="1080"/>
          <w:tab w:val="clear" w:pos="1273"/>
        </w:tabs>
        <w:adjustRightInd w:val="0"/>
        <w:snapToGrid w:val="0"/>
        <w:spacing w:line="360" w:lineRule="auto"/>
        <w:ind w:left="0" w:firstLine="360"/>
        <w:jc w:val="left"/>
        <w:rPr>
          <w:rFonts w:hint="eastAsia" w:ascii="宋体" w:hAnsi="宋体" w:eastAsia="宋体" w:cs="宋体"/>
          <w:b/>
          <w:bCs/>
          <w:color w:val="auto"/>
          <w:szCs w:val="21"/>
          <w:highlight w:val="none"/>
        </w:rPr>
      </w:pPr>
      <w:r>
        <w:rPr>
          <w:rFonts w:hint="eastAsia" w:ascii="宋体" w:hAnsi="宋体" w:eastAsia="宋体" w:cs="宋体"/>
          <w:b/>
          <w:snapToGrid w:val="0"/>
          <w:color w:val="auto"/>
          <w:kern w:val="0"/>
          <w:highlight w:val="none"/>
        </w:rPr>
        <w:t>投标人提交两份或多份内容不同的</w:t>
      </w:r>
      <w:r>
        <w:rPr>
          <w:rFonts w:hint="eastAsia" w:ascii="宋体" w:hAnsi="宋体" w:eastAsia="宋体" w:cs="宋体"/>
          <w:b/>
          <w:snapToGrid w:val="0"/>
          <w:color w:val="auto"/>
          <w:kern w:val="0"/>
          <w:highlight w:val="none"/>
          <w:lang w:eastAsia="zh-CN"/>
        </w:rPr>
        <w:t>报价响应文件</w:t>
      </w:r>
      <w:r>
        <w:rPr>
          <w:rFonts w:hint="eastAsia" w:ascii="宋体" w:hAnsi="宋体" w:eastAsia="宋体" w:cs="宋体"/>
          <w:b/>
          <w:snapToGrid w:val="0"/>
          <w:color w:val="auto"/>
          <w:kern w:val="0"/>
          <w:highlight w:val="none"/>
        </w:rPr>
        <w:t>，或在一份</w:t>
      </w:r>
      <w:r>
        <w:rPr>
          <w:rFonts w:hint="eastAsia" w:ascii="宋体" w:hAnsi="宋体" w:eastAsia="宋体" w:cs="宋体"/>
          <w:b/>
          <w:snapToGrid w:val="0"/>
          <w:color w:val="auto"/>
          <w:kern w:val="0"/>
          <w:highlight w:val="none"/>
          <w:lang w:eastAsia="zh-CN"/>
        </w:rPr>
        <w:t>报价响应文件</w:t>
      </w:r>
      <w:r>
        <w:rPr>
          <w:rFonts w:hint="eastAsia" w:ascii="宋体" w:hAnsi="宋体" w:eastAsia="宋体" w:cs="宋体"/>
          <w:b/>
          <w:snapToGrid w:val="0"/>
          <w:color w:val="auto"/>
          <w:kern w:val="0"/>
          <w:highlight w:val="none"/>
        </w:rPr>
        <w:t>中对同一内容报有两个或多个报价，且未声明哪一个为最终报价的；</w:t>
      </w:r>
    </w:p>
    <w:p>
      <w:pPr>
        <w:numPr>
          <w:ilvl w:val="0"/>
          <w:numId w:val="23"/>
        </w:numPr>
        <w:tabs>
          <w:tab w:val="left" w:pos="900"/>
          <w:tab w:val="left" w:pos="1080"/>
          <w:tab w:val="clear" w:pos="1273"/>
        </w:tabs>
        <w:adjustRightInd w:val="0"/>
        <w:snapToGrid w:val="0"/>
        <w:spacing w:line="360" w:lineRule="auto"/>
        <w:ind w:left="0" w:firstLine="360"/>
        <w:jc w:val="left"/>
        <w:rPr>
          <w:rFonts w:hint="eastAsia" w:ascii="宋体" w:hAnsi="宋体" w:eastAsia="宋体" w:cs="宋体"/>
          <w:b/>
          <w:snapToGrid w:val="0"/>
          <w:color w:val="auto"/>
          <w:kern w:val="0"/>
          <w:highlight w:val="none"/>
        </w:rPr>
      </w:pPr>
      <w:r>
        <w:rPr>
          <w:rFonts w:hint="eastAsia" w:ascii="宋体" w:hAnsi="宋体" w:eastAsia="宋体" w:cs="宋体"/>
          <w:b/>
          <w:snapToGrid w:val="0"/>
          <w:color w:val="auto"/>
          <w:kern w:val="0"/>
          <w:highlight w:val="none"/>
        </w:rPr>
        <w:t>投标人的报价明显低于其他通过符合性审查投标人的报价，有可能影响服务质量或者不能诚信履约，未能按评标委员会要求其在评标现场合理的时间内提供书面说明及相关证明材料以证明其报价合理性的；</w:t>
      </w:r>
    </w:p>
    <w:p>
      <w:pPr>
        <w:numPr>
          <w:ilvl w:val="0"/>
          <w:numId w:val="23"/>
        </w:numPr>
        <w:tabs>
          <w:tab w:val="left" w:pos="900"/>
          <w:tab w:val="left" w:pos="1080"/>
          <w:tab w:val="clear" w:pos="1273"/>
        </w:tabs>
        <w:adjustRightInd w:val="0"/>
        <w:snapToGrid w:val="0"/>
        <w:spacing w:line="360" w:lineRule="auto"/>
        <w:ind w:left="0" w:firstLine="360"/>
        <w:jc w:val="left"/>
        <w:rPr>
          <w:rFonts w:hint="eastAsia" w:ascii="宋体" w:hAnsi="宋体" w:eastAsia="宋体" w:cs="宋体"/>
          <w:b/>
          <w:snapToGrid w:val="0"/>
          <w:color w:val="auto"/>
          <w:kern w:val="0"/>
          <w:highlight w:val="none"/>
        </w:rPr>
      </w:pPr>
      <w:r>
        <w:rPr>
          <w:rFonts w:hint="eastAsia" w:ascii="宋体" w:hAnsi="宋体" w:eastAsia="宋体" w:cs="宋体"/>
          <w:b/>
          <w:snapToGrid w:val="0"/>
          <w:color w:val="auto"/>
          <w:kern w:val="0"/>
          <w:highlight w:val="none"/>
        </w:rPr>
        <w:t>投标报价超过采购文件中规定的预算金额</w:t>
      </w:r>
      <w:r>
        <w:rPr>
          <w:rFonts w:hint="eastAsia" w:ascii="宋体" w:hAnsi="宋体" w:eastAsia="宋体" w:cs="宋体"/>
          <w:b/>
          <w:snapToGrid w:val="0"/>
          <w:color w:val="auto"/>
          <w:kern w:val="0"/>
          <w:highlight w:val="none"/>
          <w:lang w:eastAsia="zh-CN"/>
        </w:rPr>
        <w:t>（或最高限价）</w:t>
      </w:r>
      <w:r>
        <w:rPr>
          <w:rFonts w:hint="eastAsia" w:ascii="宋体" w:hAnsi="宋体" w:eastAsia="宋体" w:cs="宋体"/>
          <w:b/>
          <w:snapToGrid w:val="0"/>
          <w:color w:val="auto"/>
          <w:kern w:val="0"/>
          <w:highlight w:val="none"/>
        </w:rPr>
        <w:t>的；</w:t>
      </w:r>
    </w:p>
    <w:p>
      <w:pPr>
        <w:numPr>
          <w:ilvl w:val="0"/>
          <w:numId w:val="23"/>
        </w:numPr>
        <w:tabs>
          <w:tab w:val="left" w:pos="900"/>
          <w:tab w:val="left" w:pos="1080"/>
          <w:tab w:val="clear" w:pos="1273"/>
        </w:tabs>
        <w:adjustRightInd w:val="0"/>
        <w:snapToGrid w:val="0"/>
        <w:spacing w:line="360" w:lineRule="auto"/>
        <w:ind w:left="0" w:firstLine="360"/>
        <w:jc w:val="left"/>
        <w:rPr>
          <w:rFonts w:hint="eastAsia" w:ascii="宋体" w:hAnsi="宋体" w:eastAsia="宋体" w:cs="宋体"/>
          <w:b/>
          <w:snapToGrid w:val="0"/>
          <w:color w:val="auto"/>
          <w:kern w:val="0"/>
          <w:highlight w:val="none"/>
        </w:rPr>
      </w:pPr>
      <w:r>
        <w:rPr>
          <w:rFonts w:hint="eastAsia" w:ascii="宋体" w:hAnsi="宋体" w:eastAsia="宋体" w:cs="宋体"/>
          <w:b/>
          <w:snapToGrid w:val="0"/>
          <w:color w:val="auto"/>
          <w:kern w:val="0"/>
          <w:highlight w:val="none"/>
        </w:rPr>
        <w:t>存在法律、法规规定及采购文件规定的其它无效情形的。</w:t>
      </w:r>
    </w:p>
    <w:p>
      <w:pPr>
        <w:pStyle w:val="4"/>
        <w:snapToGrid w:val="0"/>
        <w:spacing w:before="120" w:beforeLines="50" w:after="120" w:afterLines="50" w:line="360" w:lineRule="auto"/>
        <w:rPr>
          <w:rFonts w:hint="eastAsia" w:ascii="宋体" w:hAnsi="宋体" w:eastAsia="宋体" w:cs="宋体"/>
          <w:color w:val="auto"/>
          <w:sz w:val="21"/>
          <w:szCs w:val="21"/>
          <w:highlight w:val="none"/>
        </w:rPr>
      </w:pPr>
      <w:bookmarkStart w:id="374" w:name="_Toc251566666"/>
      <w:bookmarkStart w:id="375" w:name="_Toc249760795"/>
      <w:bookmarkStart w:id="376" w:name="_Toc20349"/>
      <w:bookmarkStart w:id="377" w:name="_Toc9995"/>
      <w:bookmarkStart w:id="378" w:name="_Toc19351"/>
      <w:bookmarkStart w:id="379" w:name="_Toc12674"/>
      <w:r>
        <w:rPr>
          <w:rFonts w:hint="eastAsia" w:ascii="宋体" w:hAnsi="宋体" w:eastAsia="宋体" w:cs="宋体"/>
          <w:color w:val="auto"/>
          <w:sz w:val="21"/>
          <w:szCs w:val="21"/>
          <w:highlight w:val="none"/>
        </w:rPr>
        <w:t>五、评标</w:t>
      </w:r>
      <w:bookmarkEnd w:id="374"/>
      <w:bookmarkEnd w:id="375"/>
      <w:r>
        <w:rPr>
          <w:rFonts w:hint="eastAsia" w:ascii="宋体" w:hAnsi="宋体" w:eastAsia="宋体" w:cs="宋体"/>
          <w:color w:val="auto"/>
          <w:sz w:val="21"/>
          <w:szCs w:val="21"/>
          <w:highlight w:val="none"/>
        </w:rPr>
        <w:t>细则及标准</w:t>
      </w:r>
      <w:bookmarkEnd w:id="376"/>
      <w:bookmarkEnd w:id="377"/>
      <w:bookmarkEnd w:id="378"/>
      <w:bookmarkEnd w:id="379"/>
    </w:p>
    <w:p>
      <w:pPr>
        <w:autoSpaceDE w:val="0"/>
        <w:autoSpaceDN w:val="0"/>
        <w:adjustRightInd w:val="0"/>
        <w:spacing w:line="360" w:lineRule="auto"/>
        <w:ind w:firstLine="480"/>
        <w:rPr>
          <w:rFonts w:hint="eastAsia" w:ascii="宋体" w:hAnsi="宋体" w:cs="宋体"/>
          <w:b/>
          <w:color w:val="auto"/>
          <w:szCs w:val="21"/>
          <w:highlight w:val="none"/>
          <w:lang w:val="zh-CN"/>
        </w:rPr>
      </w:pPr>
      <w:r>
        <w:rPr>
          <w:rFonts w:hint="eastAsia" w:ascii="宋体" w:hAnsi="宋体" w:cs="宋体"/>
          <w:b/>
          <w:color w:val="auto"/>
          <w:szCs w:val="21"/>
          <w:highlight w:val="none"/>
          <w:lang w:val="zh-CN"/>
        </w:rPr>
        <w:t>（一）技术商务评审因素（满分</w:t>
      </w:r>
      <w:r>
        <w:rPr>
          <w:rFonts w:hint="eastAsia" w:ascii="宋体" w:hAnsi="宋体" w:eastAsia="宋体" w:cs="宋体"/>
          <w:b/>
          <w:color w:val="auto"/>
          <w:szCs w:val="21"/>
          <w:highlight w:val="none"/>
          <w:u w:val="single"/>
          <w:lang w:val="en-US" w:eastAsia="zh-CN"/>
        </w:rPr>
        <w:t xml:space="preserve"> 90 </w:t>
      </w:r>
      <w:r>
        <w:rPr>
          <w:rFonts w:hint="eastAsia" w:ascii="宋体" w:hAnsi="宋体" w:cs="宋体"/>
          <w:b/>
          <w:color w:val="auto"/>
          <w:szCs w:val="21"/>
          <w:highlight w:val="none"/>
          <w:lang w:val="zh-CN"/>
        </w:rPr>
        <w:t>分）</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
          <w:color w:val="auto"/>
          <w:sz w:val="21"/>
          <w:szCs w:val="21"/>
          <w:highlight w:val="none"/>
          <w:lang w:val="en-US" w:eastAsia="zh-CN"/>
        </w:rPr>
      </w:pPr>
      <w:r>
        <w:rPr>
          <w:rFonts w:hint="eastAsia" w:ascii="宋体" w:hAnsi="宋体" w:cs="宋体"/>
          <w:color w:val="auto"/>
          <w:szCs w:val="21"/>
          <w:highlight w:val="none"/>
          <w:lang w:val="zh-CN"/>
        </w:rPr>
        <w:t>评标委员会对各投标人的技术商务充分审核、讨论及评议后，每人一份评分表，进行独自打分并签名。在统计得分时，如发现某一单项评分超过评分细则规定的分值范围，则该张评分表无效。投标人技术部分的得分为评标委员会各成员的有效评分的算术平均值。</w:t>
      </w:r>
      <w:r>
        <w:rPr>
          <w:rFonts w:hint="eastAsia" w:ascii="宋体" w:hAnsi="宋体" w:cs="宋体"/>
          <w:b/>
          <w:color w:val="auto"/>
          <w:szCs w:val="21"/>
          <w:highlight w:val="none"/>
          <w:lang w:val="zh-CN"/>
        </w:rPr>
        <w:t>若评审小组成员个人主观打</w:t>
      </w:r>
      <w:r>
        <w:rPr>
          <w:rFonts w:hint="eastAsia" w:ascii="宋体" w:hAnsi="宋体" w:eastAsia="宋体" w:cs="宋体"/>
          <w:b/>
          <w:color w:val="auto"/>
          <w:sz w:val="21"/>
          <w:szCs w:val="21"/>
          <w:highlight w:val="none"/>
          <w:lang w:val="zh-CN"/>
        </w:rPr>
        <w:t>分偏离所有评审小组成员主观打分平均值</w:t>
      </w:r>
      <w:r>
        <w:rPr>
          <w:rFonts w:hint="eastAsia" w:ascii="宋体" w:hAnsi="宋体" w:eastAsia="宋体" w:cs="宋体"/>
          <w:b/>
          <w:color w:val="auto"/>
          <w:sz w:val="21"/>
          <w:szCs w:val="21"/>
          <w:highlight w:val="none"/>
          <w:lang w:val="en-US" w:eastAsia="zh-CN"/>
        </w:rPr>
        <w:t>30%以上的，由评标委员会启动评分畸高、畸低行为认定程序。</w:t>
      </w:r>
    </w:p>
    <w:tbl>
      <w:tblPr>
        <w:tblStyle w:val="19"/>
        <w:tblW w:w="89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79"/>
        <w:gridCol w:w="1268"/>
        <w:gridCol w:w="5777"/>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tcBorders>
              <w:top w:val="single" w:color="000000" w:sz="12"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类别</w:t>
            </w:r>
          </w:p>
        </w:tc>
        <w:tc>
          <w:tcPr>
            <w:tcW w:w="1268" w:type="dxa"/>
            <w:tcBorders>
              <w:top w:val="single" w:color="000000" w:sz="12"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评分内容</w:t>
            </w:r>
          </w:p>
        </w:tc>
        <w:tc>
          <w:tcPr>
            <w:tcW w:w="5777" w:type="dxa"/>
            <w:tcBorders>
              <w:top w:val="single" w:color="000000" w:sz="12"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评分标准</w:t>
            </w:r>
          </w:p>
        </w:tc>
        <w:tc>
          <w:tcPr>
            <w:tcW w:w="825" w:type="dxa"/>
            <w:tcBorders>
              <w:top w:val="single" w:color="000000" w:sz="12"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9" w:hRule="atLeast"/>
        </w:trPr>
        <w:tc>
          <w:tcPr>
            <w:tcW w:w="1079" w:type="dxa"/>
            <w:vMerge w:val="restart"/>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商务</w:t>
            </w:r>
            <w:r>
              <w:rPr>
                <w:rFonts w:hint="eastAsia" w:ascii="宋体" w:hAnsi="宋体" w:cs="宋体"/>
                <w:i w:val="0"/>
                <w:color w:val="auto"/>
                <w:kern w:val="0"/>
                <w:sz w:val="21"/>
                <w:szCs w:val="21"/>
                <w:highlight w:val="none"/>
                <w:u w:val="none"/>
                <w:lang w:val="en-US" w:eastAsia="zh-CN" w:bidi="ar"/>
              </w:rPr>
              <w:t>资信</w:t>
            </w:r>
            <w:r>
              <w:rPr>
                <w:rFonts w:hint="eastAsia" w:ascii="宋体" w:hAnsi="宋体" w:eastAsia="宋体" w:cs="宋体"/>
                <w:i w:val="0"/>
                <w:color w:val="auto"/>
                <w:kern w:val="0"/>
                <w:sz w:val="21"/>
                <w:szCs w:val="21"/>
                <w:highlight w:val="none"/>
                <w:u w:val="none"/>
                <w:lang w:val="en-US" w:eastAsia="zh-CN" w:bidi="ar"/>
              </w:rPr>
              <w:t>分</w:t>
            </w:r>
          </w:p>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（10分）</w:t>
            </w: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系统建设和服务能力</w:t>
            </w: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具有信息系统建设和服务能力等级证书（能力达到良好级CS3以上），能够保障本项目信息系统建设，服务活动顺利开展。有得3分，无不得分。</w:t>
            </w:r>
          </w:p>
        </w:tc>
        <w:tc>
          <w:tcPr>
            <w:tcW w:w="825" w:type="dxa"/>
            <w:vMerge w:val="restart"/>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注：以上证书需提供加盖投标供应商公章的证书扫描件。</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管理体系</w:t>
            </w: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具备有效的IT服务管理体系认证证书ISO20000和信息安全管理体系认证证书ISO27001,</w:t>
            </w:r>
            <w:r>
              <w:rPr>
                <w:rFonts w:hint="eastAsia" w:ascii="宋体" w:hAnsi="宋体" w:cs="宋体"/>
                <w:i w:val="0"/>
                <w:color w:val="auto"/>
                <w:kern w:val="0"/>
                <w:sz w:val="21"/>
                <w:szCs w:val="21"/>
                <w:highlight w:val="none"/>
                <w:u w:val="none"/>
                <w:lang w:val="en-US" w:eastAsia="zh-CN" w:bidi="ar"/>
              </w:rPr>
              <w:t>每一个得1.5分，满分</w:t>
            </w:r>
            <w:r>
              <w:rPr>
                <w:rFonts w:hint="eastAsia" w:ascii="宋体" w:hAnsi="宋体" w:eastAsia="宋体" w:cs="宋体"/>
                <w:i w:val="0"/>
                <w:color w:val="auto"/>
                <w:kern w:val="0"/>
                <w:sz w:val="21"/>
                <w:szCs w:val="21"/>
                <w:highlight w:val="none"/>
                <w:u w:val="none"/>
                <w:lang w:val="en-US" w:eastAsia="zh-CN" w:bidi="ar"/>
              </w:rPr>
              <w:t>得3分，无不得分。</w:t>
            </w:r>
          </w:p>
        </w:tc>
        <w:tc>
          <w:tcPr>
            <w:tcW w:w="825" w:type="dxa"/>
            <w:vMerge w:val="restart"/>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注：以上证书需提供加盖投标供应商公章的证书扫描件。</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9"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软件著作权</w:t>
            </w: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投标人具有“基于云架构的预算管理一体化系统”等类似财政预算管理一体化相关的计算机软件著作权登记证书,得3分，无不得分。</w:t>
            </w:r>
          </w:p>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注：投标人需提供国家版权局颁发的计算机软件著作权登记证书扫描件。 </w:t>
            </w:r>
          </w:p>
        </w:tc>
        <w:tc>
          <w:tcPr>
            <w:tcW w:w="825" w:type="dxa"/>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3"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类似业绩</w:t>
            </w: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1、预算管理一体化项目业绩证明：自财政部《财政部关于印发&lt;预算管理一体化规范（试行）&gt;的通知》 （财办【2020】13号）文件发布之日（2020年2月27日）起，投标人具有预算管理一体化系统（省级集中部署）建设的经验（需包含预算编制或预算执行模块），同一个省份的合同只作为一个案例。每个案例0.5分，共1分。</w:t>
            </w:r>
          </w:p>
        </w:tc>
        <w:tc>
          <w:tcPr>
            <w:tcW w:w="825" w:type="dxa"/>
            <w:vMerge w:val="restart"/>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b/>
                <w:i w:val="0"/>
                <w:color w:val="auto"/>
                <w:sz w:val="21"/>
                <w:szCs w:val="21"/>
                <w:highlight w:val="none"/>
                <w:u w:val="none"/>
              </w:rPr>
            </w:pPr>
            <w:r>
              <w:rPr>
                <w:rStyle w:val="33"/>
                <w:rFonts w:ascii="宋体" w:hAnsi="宋体" w:eastAsia="宋体" w:cs="宋体"/>
                <w:color w:val="auto"/>
                <w:sz w:val="21"/>
                <w:szCs w:val="21"/>
                <w:highlight w:val="none"/>
                <w:lang w:val="en-US" w:eastAsia="zh-CN" w:bidi="ar"/>
              </w:rPr>
              <w:t>注</w:t>
            </w:r>
            <w:r>
              <w:rPr>
                <w:rStyle w:val="34"/>
                <w:rFonts w:ascii="宋体" w:hAnsi="宋体" w:eastAsia="宋体" w:cs="宋体"/>
                <w:color w:val="auto"/>
                <w:sz w:val="21"/>
                <w:szCs w:val="21"/>
                <w:highlight w:val="none"/>
                <w:lang w:val="en-US" w:eastAsia="zh-CN" w:bidi="ar"/>
              </w:rPr>
              <w:t>：需提供中标通知书和合同复印件（合同复印件加盖公司公章，原件备查）。</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71" w:hRule="atLeast"/>
        </w:trPr>
        <w:tc>
          <w:tcPr>
            <w:tcW w:w="1079" w:type="dxa"/>
            <w:vMerge w:val="restart"/>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技术分（80分）</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建设方案</w:t>
            </w: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投标人须提供对本项目总体方案，内容应包括项目的理解、系统总体设计原则、系统技术架构、项目重点难点等。</w:t>
            </w:r>
          </w:p>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升级方案完全响应需求(需包含：基础信息、项目库管理、预算编制、预算批复、预算绩效、预算调整和调剂、预算执行、财政部试点指标账模块及政供养人员业务与一体化整合)，</w:t>
            </w:r>
            <w:r>
              <w:rPr>
                <w:rFonts w:hint="eastAsia" w:ascii="宋体" w:hAnsi="宋体" w:cs="宋体"/>
                <w:i w:val="0"/>
                <w:color w:val="auto"/>
                <w:kern w:val="0"/>
                <w:sz w:val="21"/>
                <w:szCs w:val="21"/>
                <w:highlight w:val="none"/>
                <w:u w:val="none"/>
                <w:lang w:val="en-US" w:eastAsia="zh-CN" w:bidi="ar"/>
              </w:rPr>
              <w:t>方案描述详细、完善的，每一项得1分，方案完整能基本满足要求的，每一项得0.5分，</w:t>
            </w:r>
            <w:r>
              <w:rPr>
                <w:rFonts w:hint="eastAsia" w:ascii="宋体" w:hAnsi="宋体" w:eastAsia="宋体" w:cs="宋体"/>
                <w:i w:val="0"/>
                <w:color w:val="auto"/>
                <w:kern w:val="0"/>
                <w:sz w:val="21"/>
                <w:szCs w:val="21"/>
                <w:highlight w:val="none"/>
                <w:u w:val="none"/>
                <w:lang w:val="en-US" w:eastAsia="zh-CN" w:bidi="ar"/>
              </w:rPr>
              <w:t>每缺漏一项响应需求</w:t>
            </w:r>
            <w:r>
              <w:rPr>
                <w:rFonts w:hint="eastAsia" w:ascii="宋体" w:hAnsi="宋体" w:cs="宋体"/>
                <w:i w:val="0"/>
                <w:color w:val="auto"/>
                <w:kern w:val="0"/>
                <w:sz w:val="21"/>
                <w:szCs w:val="21"/>
                <w:highlight w:val="none"/>
                <w:u w:val="none"/>
                <w:lang w:val="en-US" w:eastAsia="zh-CN" w:bidi="ar"/>
              </w:rPr>
              <w:t>或方案存在明显缺陷</w:t>
            </w:r>
            <w:r>
              <w:rPr>
                <w:rFonts w:hint="eastAsia" w:ascii="宋体" w:hAnsi="宋体" w:eastAsia="宋体" w:cs="宋体"/>
                <w:i w:val="0"/>
                <w:color w:val="auto"/>
                <w:kern w:val="0"/>
                <w:sz w:val="21"/>
                <w:szCs w:val="21"/>
                <w:highlight w:val="none"/>
                <w:u w:val="none"/>
                <w:lang w:val="en-US" w:eastAsia="zh-CN" w:bidi="ar"/>
              </w:rPr>
              <w:t>的，</w:t>
            </w:r>
            <w:r>
              <w:rPr>
                <w:rFonts w:hint="eastAsia" w:ascii="宋体" w:hAnsi="宋体" w:cs="宋体"/>
                <w:i w:val="0"/>
                <w:color w:val="auto"/>
                <w:kern w:val="0"/>
                <w:sz w:val="21"/>
                <w:szCs w:val="21"/>
                <w:highlight w:val="none"/>
                <w:u w:val="none"/>
                <w:lang w:val="en-US" w:eastAsia="zh-CN" w:bidi="ar"/>
              </w:rPr>
              <w:t>该项不得</w:t>
            </w:r>
            <w:r>
              <w:rPr>
                <w:rFonts w:hint="eastAsia" w:ascii="宋体" w:hAnsi="宋体" w:eastAsia="宋体" w:cs="宋体"/>
                <w:i w:val="0"/>
                <w:color w:val="auto"/>
                <w:kern w:val="0"/>
                <w:sz w:val="21"/>
                <w:szCs w:val="21"/>
                <w:highlight w:val="none"/>
                <w:u w:val="none"/>
                <w:lang w:val="en-US" w:eastAsia="zh-CN" w:bidi="ar"/>
              </w:rPr>
              <w:t>，</w:t>
            </w:r>
            <w:r>
              <w:rPr>
                <w:rFonts w:hint="eastAsia" w:ascii="宋体" w:hAnsi="宋体" w:cs="宋体"/>
                <w:i w:val="0"/>
                <w:color w:val="auto"/>
                <w:kern w:val="0"/>
                <w:sz w:val="21"/>
                <w:szCs w:val="21"/>
                <w:highlight w:val="none"/>
                <w:u w:val="none"/>
                <w:lang w:val="en-US" w:eastAsia="zh-CN" w:bidi="ar"/>
              </w:rPr>
              <w:t>本条款满分</w:t>
            </w:r>
            <w:r>
              <w:rPr>
                <w:rFonts w:hint="eastAsia" w:ascii="宋体" w:hAnsi="宋体" w:eastAsia="宋体" w:cs="宋体"/>
                <w:i w:val="0"/>
                <w:color w:val="auto"/>
                <w:kern w:val="0"/>
                <w:sz w:val="21"/>
                <w:szCs w:val="21"/>
                <w:highlight w:val="none"/>
                <w:u w:val="none"/>
                <w:lang w:val="en-US" w:eastAsia="zh-CN" w:bidi="ar"/>
              </w:rPr>
              <w:t>9分</w:t>
            </w:r>
            <w:r>
              <w:rPr>
                <w:rFonts w:hint="eastAsia" w:ascii="宋体" w:hAnsi="宋体" w:cs="宋体"/>
                <w:i w:val="0"/>
                <w:color w:val="auto"/>
                <w:kern w:val="0"/>
                <w:sz w:val="21"/>
                <w:szCs w:val="21"/>
                <w:highlight w:val="none"/>
                <w:u w:val="none"/>
                <w:lang w:val="en-US" w:eastAsia="zh-CN" w:bidi="ar"/>
              </w:rPr>
              <w:t>。</w:t>
            </w:r>
          </w:p>
        </w:tc>
        <w:tc>
          <w:tcPr>
            <w:tcW w:w="825" w:type="dxa"/>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9分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9"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服务方案</w:t>
            </w: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1、投标人提供的对省本级系统的服务方案，包括项目团队人员安排、项目计划、服务内容、项目管理方案等。完全响应招标文件且内容详尽，措施合理</w:t>
            </w:r>
            <w:r>
              <w:rPr>
                <w:rFonts w:hint="eastAsia" w:ascii="宋体" w:hAnsi="宋体" w:cs="宋体"/>
                <w:i w:val="0"/>
                <w:color w:val="auto"/>
                <w:kern w:val="0"/>
                <w:sz w:val="21"/>
                <w:szCs w:val="21"/>
                <w:highlight w:val="none"/>
                <w:u w:val="none"/>
                <w:lang w:val="en-US" w:eastAsia="zh-CN" w:bidi="ar"/>
              </w:rPr>
              <w:t>、完善且具有可行性的最高</w:t>
            </w:r>
            <w:r>
              <w:rPr>
                <w:rFonts w:hint="eastAsia" w:ascii="宋体" w:hAnsi="宋体" w:eastAsia="宋体" w:cs="宋体"/>
                <w:i w:val="0"/>
                <w:color w:val="auto"/>
                <w:kern w:val="0"/>
                <w:sz w:val="21"/>
                <w:szCs w:val="21"/>
                <w:highlight w:val="none"/>
                <w:u w:val="none"/>
                <w:lang w:val="en-US" w:eastAsia="zh-CN" w:bidi="ar"/>
              </w:rPr>
              <w:t>得</w:t>
            </w:r>
            <w:r>
              <w:rPr>
                <w:rFonts w:hint="eastAsia" w:ascii="宋体" w:hAnsi="宋体" w:cs="宋体"/>
                <w:i w:val="0"/>
                <w:color w:val="auto"/>
                <w:kern w:val="0"/>
                <w:sz w:val="21"/>
                <w:szCs w:val="21"/>
                <w:highlight w:val="none"/>
                <w:u w:val="none"/>
                <w:lang w:val="en-US" w:eastAsia="zh-CN" w:bidi="ar"/>
              </w:rPr>
              <w:t>5</w:t>
            </w:r>
            <w:r>
              <w:rPr>
                <w:rFonts w:hint="eastAsia" w:ascii="宋体" w:hAnsi="宋体" w:eastAsia="宋体" w:cs="宋体"/>
                <w:i w:val="0"/>
                <w:color w:val="auto"/>
                <w:kern w:val="0"/>
                <w:sz w:val="21"/>
                <w:szCs w:val="21"/>
                <w:highlight w:val="none"/>
                <w:u w:val="none"/>
                <w:lang w:val="en-US" w:eastAsia="zh-CN" w:bidi="ar"/>
              </w:rPr>
              <w:t>分；</w:t>
            </w:r>
            <w:r>
              <w:rPr>
                <w:rFonts w:hint="eastAsia" w:ascii="宋体" w:hAnsi="宋体" w:cs="宋体"/>
                <w:i w:val="0"/>
                <w:color w:val="auto"/>
                <w:kern w:val="0"/>
                <w:sz w:val="21"/>
                <w:szCs w:val="21"/>
                <w:highlight w:val="none"/>
                <w:u w:val="none"/>
                <w:lang w:val="en-US" w:eastAsia="zh-CN" w:bidi="ar"/>
              </w:rPr>
              <w:t>响应内容基本符合采购文件要求，有一定措施的最多得3分，响应内容考虑欠周全，存在瑕疵的最多得1分，存在明显缺陷或缺漏的不得分。</w:t>
            </w:r>
          </w:p>
        </w:tc>
        <w:tc>
          <w:tcPr>
            <w:tcW w:w="825" w:type="dxa"/>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bidi="ar"/>
              </w:rPr>
              <w:t>5</w:t>
            </w:r>
            <w:r>
              <w:rPr>
                <w:rFonts w:hint="eastAsia" w:ascii="宋体" w:hAnsi="宋体" w:eastAsia="宋体" w:cs="宋体"/>
                <w:i w:val="0"/>
                <w:color w:val="auto"/>
                <w:kern w:val="0"/>
                <w:sz w:val="21"/>
                <w:szCs w:val="21"/>
                <w:highlight w:val="none"/>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9"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2、投标人提供的对市县的服务方案，包括实施团队人员安排、服务内容、市县人员保障等。完全响应招标文件且内容详尽，措施合理</w:t>
            </w:r>
            <w:r>
              <w:rPr>
                <w:rFonts w:hint="eastAsia" w:ascii="宋体" w:hAnsi="宋体" w:cs="宋体"/>
                <w:i w:val="0"/>
                <w:color w:val="auto"/>
                <w:kern w:val="0"/>
                <w:sz w:val="21"/>
                <w:szCs w:val="21"/>
                <w:highlight w:val="none"/>
                <w:u w:val="none"/>
                <w:lang w:val="en-US" w:eastAsia="zh-CN" w:bidi="ar"/>
              </w:rPr>
              <w:t>、完善且具有可行性的最高</w:t>
            </w:r>
            <w:r>
              <w:rPr>
                <w:rFonts w:hint="eastAsia" w:ascii="宋体" w:hAnsi="宋体" w:eastAsia="宋体" w:cs="宋体"/>
                <w:i w:val="0"/>
                <w:color w:val="auto"/>
                <w:kern w:val="0"/>
                <w:sz w:val="21"/>
                <w:szCs w:val="21"/>
                <w:highlight w:val="none"/>
                <w:u w:val="none"/>
                <w:lang w:val="en-US" w:eastAsia="zh-CN" w:bidi="ar"/>
              </w:rPr>
              <w:t>得</w:t>
            </w:r>
            <w:r>
              <w:rPr>
                <w:rFonts w:hint="eastAsia" w:ascii="宋体" w:hAnsi="宋体" w:cs="宋体"/>
                <w:i w:val="0"/>
                <w:color w:val="auto"/>
                <w:kern w:val="0"/>
                <w:sz w:val="21"/>
                <w:szCs w:val="21"/>
                <w:highlight w:val="none"/>
                <w:u w:val="none"/>
                <w:lang w:val="en-US" w:eastAsia="zh-CN" w:bidi="ar"/>
              </w:rPr>
              <w:t>5</w:t>
            </w:r>
            <w:r>
              <w:rPr>
                <w:rFonts w:hint="eastAsia" w:ascii="宋体" w:hAnsi="宋体" w:eastAsia="宋体" w:cs="宋体"/>
                <w:i w:val="0"/>
                <w:color w:val="auto"/>
                <w:kern w:val="0"/>
                <w:sz w:val="21"/>
                <w:szCs w:val="21"/>
                <w:highlight w:val="none"/>
                <w:u w:val="none"/>
                <w:lang w:val="en-US" w:eastAsia="zh-CN" w:bidi="ar"/>
              </w:rPr>
              <w:t>分；</w:t>
            </w:r>
            <w:r>
              <w:rPr>
                <w:rFonts w:hint="eastAsia" w:ascii="宋体" w:hAnsi="宋体" w:cs="宋体"/>
                <w:i w:val="0"/>
                <w:color w:val="auto"/>
                <w:kern w:val="0"/>
                <w:sz w:val="21"/>
                <w:szCs w:val="21"/>
                <w:highlight w:val="none"/>
                <w:u w:val="none"/>
                <w:lang w:val="en-US" w:eastAsia="zh-CN" w:bidi="ar"/>
              </w:rPr>
              <w:t>响应内容基本符合采购文件要求，有一定措施的最多得3分，响应内容考虑欠周全，存在瑕疵的最多得1分，存在明显缺陷或缺漏的不得分。</w:t>
            </w:r>
          </w:p>
        </w:tc>
        <w:tc>
          <w:tcPr>
            <w:tcW w:w="825" w:type="dxa"/>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技术路线</w:t>
            </w: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投标人具备金财2.0业务中台适配能力。提供基于浙江实际的详细适配方案</w:t>
            </w:r>
          </w:p>
        </w:tc>
        <w:tc>
          <w:tcPr>
            <w:tcW w:w="825" w:type="dxa"/>
            <w:vMerge w:val="restart"/>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4"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1、提供技术底座适配方案。包含：缓存服务适配（Redis）、消息中间件适配（RocketMQ）、云数据库适配（POLARDB11）、文件服务适配（OSS）、容器服務适配（Kubernetes），</w:t>
            </w:r>
            <w:r>
              <w:rPr>
                <w:rFonts w:hint="eastAsia" w:ascii="宋体" w:hAnsi="宋体" w:cs="宋体"/>
                <w:i w:val="0"/>
                <w:color w:val="auto"/>
                <w:kern w:val="0"/>
                <w:sz w:val="21"/>
                <w:szCs w:val="21"/>
                <w:highlight w:val="none"/>
                <w:u w:val="none"/>
                <w:lang w:val="en-US" w:eastAsia="zh-CN" w:bidi="ar"/>
              </w:rPr>
              <w:t>适配方案描述详细、完善的，每一项得2分，方案完整能基本满足要求的，每一项得1分，</w:t>
            </w:r>
            <w:r>
              <w:rPr>
                <w:rFonts w:hint="eastAsia" w:ascii="宋体" w:hAnsi="宋体" w:eastAsia="宋体" w:cs="宋体"/>
                <w:i w:val="0"/>
                <w:color w:val="auto"/>
                <w:kern w:val="0"/>
                <w:sz w:val="21"/>
                <w:szCs w:val="21"/>
                <w:highlight w:val="none"/>
                <w:u w:val="none"/>
                <w:lang w:val="en-US" w:eastAsia="zh-CN" w:bidi="ar"/>
              </w:rPr>
              <w:t>每缺漏一项响应需求</w:t>
            </w:r>
            <w:r>
              <w:rPr>
                <w:rFonts w:hint="eastAsia" w:ascii="宋体" w:hAnsi="宋体" w:cs="宋体"/>
                <w:i w:val="0"/>
                <w:color w:val="auto"/>
                <w:kern w:val="0"/>
                <w:sz w:val="21"/>
                <w:szCs w:val="21"/>
                <w:highlight w:val="none"/>
                <w:u w:val="none"/>
                <w:lang w:val="en-US" w:eastAsia="zh-CN" w:bidi="ar"/>
              </w:rPr>
              <w:t>或方案存在明显缺陷</w:t>
            </w:r>
            <w:r>
              <w:rPr>
                <w:rFonts w:hint="eastAsia" w:ascii="宋体" w:hAnsi="宋体" w:eastAsia="宋体" w:cs="宋体"/>
                <w:i w:val="0"/>
                <w:color w:val="auto"/>
                <w:kern w:val="0"/>
                <w:sz w:val="21"/>
                <w:szCs w:val="21"/>
                <w:highlight w:val="none"/>
                <w:u w:val="none"/>
                <w:lang w:val="en-US" w:eastAsia="zh-CN" w:bidi="ar"/>
              </w:rPr>
              <w:t>的，</w:t>
            </w:r>
            <w:r>
              <w:rPr>
                <w:rFonts w:hint="eastAsia" w:ascii="宋体" w:hAnsi="宋体" w:cs="宋体"/>
                <w:i w:val="0"/>
                <w:color w:val="auto"/>
                <w:kern w:val="0"/>
                <w:sz w:val="21"/>
                <w:szCs w:val="21"/>
                <w:highlight w:val="none"/>
                <w:u w:val="none"/>
                <w:lang w:val="en-US" w:eastAsia="zh-CN" w:bidi="ar"/>
              </w:rPr>
              <w:t>该项不得</w:t>
            </w:r>
            <w:r>
              <w:rPr>
                <w:rFonts w:hint="eastAsia" w:ascii="宋体" w:hAnsi="宋体" w:eastAsia="宋体" w:cs="宋体"/>
                <w:i w:val="0"/>
                <w:color w:val="auto"/>
                <w:kern w:val="0"/>
                <w:sz w:val="21"/>
                <w:szCs w:val="21"/>
                <w:highlight w:val="none"/>
                <w:u w:val="none"/>
                <w:lang w:val="en-US" w:eastAsia="zh-CN" w:bidi="ar"/>
              </w:rPr>
              <w:t>，</w:t>
            </w:r>
            <w:r>
              <w:rPr>
                <w:rFonts w:hint="eastAsia" w:ascii="宋体" w:hAnsi="宋体" w:cs="宋体"/>
                <w:i w:val="0"/>
                <w:color w:val="auto"/>
                <w:kern w:val="0"/>
                <w:sz w:val="21"/>
                <w:szCs w:val="21"/>
                <w:highlight w:val="none"/>
                <w:u w:val="none"/>
                <w:lang w:val="en-US" w:eastAsia="zh-CN" w:bidi="ar"/>
              </w:rPr>
              <w:t>本条款满分</w:t>
            </w:r>
            <w:r>
              <w:rPr>
                <w:rFonts w:hint="eastAsia" w:ascii="宋体" w:hAnsi="宋体" w:eastAsia="宋体" w:cs="宋体"/>
                <w:i w:val="0"/>
                <w:color w:val="auto"/>
                <w:kern w:val="0"/>
                <w:sz w:val="21"/>
                <w:szCs w:val="21"/>
                <w:highlight w:val="none"/>
                <w:u w:val="none"/>
                <w:lang w:val="en-US" w:eastAsia="zh-CN" w:bidi="ar"/>
              </w:rPr>
              <w:t>10分；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9"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ind w:right="78" w:rightChars="37"/>
              <w:jc w:val="both"/>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2、提供业务中台适配方案。业务中台实现对所有公共应用关键信息的集中管控，预算管理一体化系统业务应用需要使用业务中台提供的公共服务。方案完全满足项目需求,设计科学合理</w:t>
            </w:r>
            <w:r>
              <w:rPr>
                <w:rFonts w:hint="eastAsia" w:ascii="宋体" w:hAnsi="宋体" w:cs="宋体"/>
                <w:i w:val="0"/>
                <w:color w:val="auto"/>
                <w:kern w:val="0"/>
                <w:sz w:val="21"/>
                <w:szCs w:val="21"/>
                <w:highlight w:val="none"/>
                <w:u w:val="none"/>
                <w:lang w:val="en-US" w:eastAsia="zh-CN" w:bidi="ar"/>
              </w:rPr>
              <w:t>最高得</w:t>
            </w:r>
            <w:r>
              <w:rPr>
                <w:rFonts w:hint="eastAsia" w:ascii="宋体" w:hAnsi="宋体" w:eastAsia="宋体" w:cs="宋体"/>
                <w:i w:val="0"/>
                <w:color w:val="auto"/>
                <w:kern w:val="0"/>
                <w:sz w:val="21"/>
                <w:szCs w:val="21"/>
                <w:highlight w:val="none"/>
                <w:u w:val="none"/>
                <w:lang w:val="en-US" w:eastAsia="zh-CN" w:bidi="ar"/>
              </w:rPr>
              <w:t>5分</w:t>
            </w:r>
            <w:r>
              <w:rPr>
                <w:rFonts w:hint="eastAsia" w:ascii="宋体" w:hAnsi="宋体" w:cs="宋体"/>
                <w:i w:val="0"/>
                <w:color w:val="auto"/>
                <w:kern w:val="0"/>
                <w:sz w:val="21"/>
                <w:szCs w:val="21"/>
                <w:highlight w:val="none"/>
                <w:u w:val="none"/>
                <w:lang w:val="en-US" w:eastAsia="zh-CN" w:bidi="ar"/>
              </w:rPr>
              <w:t>，方案完整，基本满足项目需求的最高得4分，方案存在略微瑕疵但不影响项目实施的，最高得2分，方案存在明显缺陷的得1分，无相应方案的不得分。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项目团队</w:t>
            </w: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为保障项目顺利实施，考核投标供应商团队成员应具备相关专业能力：</w:t>
            </w:r>
          </w:p>
        </w:tc>
        <w:tc>
          <w:tcPr>
            <w:tcW w:w="825" w:type="dxa"/>
            <w:vMerge w:val="restart"/>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9"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1、项目团队人员至少有1名具有工业和信息化部批准颁发的高级系统架构设计师认证，满足得4分，不满足得0分。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2、项目团队人员至少有1名具有工业和信息化部批准颁发的高级系统分析师认证，满足得4分，不满足得0分。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3、项目团队人员至少有1名具有高级数据库管理工程师认证，满足得2分，不满足得0分。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4、项目团队中人员具有IT服务工程师（ITSS）认证，每1人得1分，最高3分。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5、项目团队中人员具有高级软件工程师认证，满足得2分，不满足得0分。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9"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注：须提供加盖投标供应商公章的有效期内证书复印件或官方查询证明，及该人员在投标截止日期前3个月</w:t>
            </w:r>
            <w:r>
              <w:rPr>
                <w:rFonts w:hint="eastAsia" w:ascii="宋体" w:hAnsi="宋体" w:cs="宋体"/>
                <w:i w:val="0"/>
                <w:color w:val="auto"/>
                <w:kern w:val="0"/>
                <w:sz w:val="21"/>
                <w:szCs w:val="21"/>
                <w:highlight w:val="none"/>
                <w:u w:val="none"/>
                <w:lang w:val="en-US" w:eastAsia="zh-CN" w:bidi="ar"/>
              </w:rPr>
              <w:t>内任意一个月</w:t>
            </w:r>
            <w:r>
              <w:rPr>
                <w:rFonts w:hint="eastAsia" w:ascii="宋体" w:hAnsi="宋体" w:eastAsia="宋体" w:cs="宋体"/>
                <w:i w:val="0"/>
                <w:color w:val="auto"/>
                <w:kern w:val="0"/>
                <w:sz w:val="21"/>
                <w:szCs w:val="21"/>
                <w:highlight w:val="none"/>
                <w:u w:val="none"/>
                <w:lang w:val="en-US" w:eastAsia="zh-CN" w:bidi="ar"/>
              </w:rPr>
              <w:t>通过投标供应商缴纳的社保证明。</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售后服务方案</w:t>
            </w: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1、投标人提供的对省本级系统的售后服务方案：</w:t>
            </w:r>
          </w:p>
        </w:tc>
        <w:tc>
          <w:tcPr>
            <w:tcW w:w="825" w:type="dxa"/>
            <w:vMerge w:val="restart"/>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bidi="ar"/>
              </w:rPr>
              <w:t>6</w:t>
            </w:r>
            <w:r>
              <w:rPr>
                <w:rFonts w:hint="eastAsia" w:ascii="宋体" w:hAnsi="宋体" w:eastAsia="宋体" w:cs="宋体"/>
                <w:i w:val="0"/>
                <w:color w:val="auto"/>
                <w:kern w:val="0"/>
                <w:sz w:val="21"/>
                <w:szCs w:val="21"/>
                <w:highlight w:val="none"/>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1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default"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（1）包括驻场人员、服务方式、项目质量保障、服务承诺等。完全响应招标文件且内容详尽，措施合理</w:t>
            </w:r>
            <w:r>
              <w:rPr>
                <w:rFonts w:hint="eastAsia" w:ascii="宋体" w:hAnsi="宋体" w:cs="宋体"/>
                <w:i w:val="0"/>
                <w:color w:val="auto"/>
                <w:kern w:val="0"/>
                <w:sz w:val="21"/>
                <w:szCs w:val="21"/>
                <w:highlight w:val="none"/>
                <w:u w:val="none"/>
                <w:lang w:val="en-US" w:eastAsia="zh-CN" w:bidi="ar"/>
              </w:rPr>
              <w:t>、完善的最多</w:t>
            </w:r>
            <w:r>
              <w:rPr>
                <w:rFonts w:hint="eastAsia" w:ascii="宋体" w:hAnsi="宋体" w:eastAsia="宋体" w:cs="宋体"/>
                <w:i w:val="0"/>
                <w:color w:val="auto"/>
                <w:kern w:val="0"/>
                <w:sz w:val="21"/>
                <w:szCs w:val="21"/>
                <w:highlight w:val="none"/>
                <w:u w:val="none"/>
                <w:lang w:val="en-US" w:eastAsia="zh-CN" w:bidi="ar"/>
              </w:rPr>
              <w:t>得</w:t>
            </w:r>
            <w:r>
              <w:rPr>
                <w:rFonts w:hint="eastAsia" w:ascii="宋体" w:hAnsi="宋体" w:cs="宋体"/>
                <w:i w:val="0"/>
                <w:color w:val="auto"/>
                <w:kern w:val="0"/>
                <w:sz w:val="21"/>
                <w:szCs w:val="21"/>
                <w:highlight w:val="none"/>
                <w:u w:val="none"/>
                <w:lang w:val="en-US" w:eastAsia="zh-CN" w:bidi="ar"/>
              </w:rPr>
              <w:t>4</w:t>
            </w:r>
            <w:r>
              <w:rPr>
                <w:rFonts w:hint="eastAsia" w:ascii="宋体" w:hAnsi="宋体" w:eastAsia="宋体" w:cs="宋体"/>
                <w:i w:val="0"/>
                <w:color w:val="auto"/>
                <w:kern w:val="0"/>
                <w:sz w:val="21"/>
                <w:szCs w:val="21"/>
                <w:highlight w:val="none"/>
                <w:u w:val="none"/>
                <w:lang w:val="en-US" w:eastAsia="zh-CN" w:bidi="ar"/>
              </w:rPr>
              <w:t>分；</w:t>
            </w:r>
            <w:r>
              <w:rPr>
                <w:rFonts w:hint="eastAsia" w:ascii="宋体" w:hAnsi="宋体" w:cs="宋体"/>
                <w:i w:val="0"/>
                <w:color w:val="auto"/>
                <w:kern w:val="0"/>
                <w:sz w:val="21"/>
                <w:szCs w:val="21"/>
                <w:highlight w:val="none"/>
                <w:u w:val="none"/>
                <w:lang w:val="en-US" w:eastAsia="zh-CN" w:bidi="ar"/>
              </w:rPr>
              <w:t>响应内容基本符合采购文件要求，有一定措施的最多得3分，响应内容考虑欠周全，存在瑕疵的最多得1分，存在明显缺陷或缺漏的不得分。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（2）服务响应时间合理，具有可行性，具有可提供即时响应的服务机构、人员及保障措施，</w:t>
            </w:r>
            <w:r>
              <w:rPr>
                <w:rFonts w:hint="eastAsia" w:ascii="宋体" w:hAnsi="宋体" w:cs="宋体"/>
                <w:i w:val="0"/>
                <w:color w:val="auto"/>
                <w:kern w:val="0"/>
                <w:sz w:val="21"/>
                <w:szCs w:val="21"/>
                <w:highlight w:val="none"/>
                <w:u w:val="none"/>
                <w:lang w:val="en-US" w:eastAsia="zh-CN" w:bidi="ar"/>
              </w:rPr>
              <w:t>完善的最多</w:t>
            </w:r>
            <w:r>
              <w:rPr>
                <w:rFonts w:hint="eastAsia" w:ascii="宋体" w:hAnsi="宋体" w:eastAsia="宋体" w:cs="宋体"/>
                <w:i w:val="0"/>
                <w:color w:val="auto"/>
                <w:kern w:val="0"/>
                <w:sz w:val="21"/>
                <w:szCs w:val="21"/>
                <w:highlight w:val="none"/>
                <w:u w:val="none"/>
                <w:lang w:val="en-US" w:eastAsia="zh-CN" w:bidi="ar"/>
              </w:rPr>
              <w:t>得2分</w:t>
            </w:r>
            <w:r>
              <w:rPr>
                <w:rFonts w:hint="eastAsia" w:ascii="宋体" w:hAnsi="宋体" w:cs="宋体"/>
                <w:i w:val="0"/>
                <w:color w:val="auto"/>
                <w:kern w:val="0"/>
                <w:sz w:val="21"/>
                <w:szCs w:val="21"/>
                <w:highlight w:val="none"/>
                <w:u w:val="none"/>
                <w:lang w:val="en-US" w:eastAsia="zh-CN" w:bidi="ar"/>
              </w:rPr>
              <w:t>，一般的最多得1分，有明显缺陷或无法满足采购需求的不得分</w:t>
            </w:r>
            <w:r>
              <w:rPr>
                <w:rFonts w:hint="eastAsia" w:ascii="宋体" w:hAnsi="宋体" w:eastAsia="宋体" w:cs="宋体"/>
                <w:i w:val="0"/>
                <w:color w:val="auto"/>
                <w:kern w:val="0"/>
                <w:sz w:val="21"/>
                <w:szCs w:val="21"/>
                <w:highlight w:val="none"/>
                <w:u w:val="none"/>
                <w:lang w:val="en-US" w:eastAsia="zh-CN" w:bidi="ar"/>
              </w:rPr>
              <w:t>。</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9"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2、投标人提供的对市县的售后服务方案，包括技术服务人员安排、服务方式、项目质量保障、服务承诺等。完全响应招标文件且内容详尽，措施合理</w:t>
            </w:r>
            <w:r>
              <w:rPr>
                <w:rFonts w:hint="eastAsia" w:ascii="宋体" w:hAnsi="宋体" w:cs="宋体"/>
                <w:i w:val="0"/>
                <w:color w:val="auto"/>
                <w:kern w:val="0"/>
                <w:sz w:val="21"/>
                <w:szCs w:val="21"/>
                <w:highlight w:val="none"/>
                <w:u w:val="none"/>
                <w:lang w:val="en-US" w:eastAsia="zh-CN" w:bidi="ar"/>
              </w:rPr>
              <w:t>、完善且具有可行性的最高</w:t>
            </w:r>
            <w:r>
              <w:rPr>
                <w:rFonts w:hint="eastAsia" w:ascii="宋体" w:hAnsi="宋体" w:eastAsia="宋体" w:cs="宋体"/>
                <w:i w:val="0"/>
                <w:color w:val="auto"/>
                <w:kern w:val="0"/>
                <w:sz w:val="21"/>
                <w:szCs w:val="21"/>
                <w:highlight w:val="none"/>
                <w:u w:val="none"/>
                <w:lang w:val="en-US" w:eastAsia="zh-CN" w:bidi="ar"/>
              </w:rPr>
              <w:t>得</w:t>
            </w:r>
            <w:r>
              <w:rPr>
                <w:rFonts w:hint="eastAsia" w:ascii="宋体" w:hAnsi="宋体" w:cs="宋体"/>
                <w:i w:val="0"/>
                <w:color w:val="auto"/>
                <w:kern w:val="0"/>
                <w:sz w:val="21"/>
                <w:szCs w:val="21"/>
                <w:highlight w:val="none"/>
                <w:u w:val="none"/>
                <w:lang w:val="en-US" w:eastAsia="zh-CN" w:bidi="ar"/>
              </w:rPr>
              <w:t>5</w:t>
            </w:r>
            <w:r>
              <w:rPr>
                <w:rFonts w:hint="eastAsia" w:ascii="宋体" w:hAnsi="宋体" w:eastAsia="宋体" w:cs="宋体"/>
                <w:i w:val="0"/>
                <w:color w:val="auto"/>
                <w:kern w:val="0"/>
                <w:sz w:val="21"/>
                <w:szCs w:val="21"/>
                <w:highlight w:val="none"/>
                <w:u w:val="none"/>
                <w:lang w:val="en-US" w:eastAsia="zh-CN" w:bidi="ar"/>
              </w:rPr>
              <w:t>分；</w:t>
            </w:r>
            <w:r>
              <w:rPr>
                <w:rFonts w:hint="eastAsia" w:ascii="宋体" w:hAnsi="宋体" w:cs="宋体"/>
                <w:i w:val="0"/>
                <w:color w:val="auto"/>
                <w:kern w:val="0"/>
                <w:sz w:val="21"/>
                <w:szCs w:val="21"/>
                <w:highlight w:val="none"/>
                <w:u w:val="none"/>
                <w:lang w:val="en-US" w:eastAsia="zh-CN" w:bidi="ar"/>
              </w:rPr>
              <w:t>响应内容基本符合采购文件要求，有一定措施的最多得3分，响应内容考虑欠周全，存在瑕疵的最多得1分，存在明显缺陷或缺漏的不得分。</w:t>
            </w:r>
          </w:p>
        </w:tc>
        <w:tc>
          <w:tcPr>
            <w:tcW w:w="825" w:type="dxa"/>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系统演示</w:t>
            </w: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系统演示包含以下关键点：</w:t>
            </w:r>
          </w:p>
        </w:tc>
        <w:tc>
          <w:tcPr>
            <w:tcW w:w="825" w:type="dxa"/>
            <w:vMerge w:val="restart"/>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1、基础信息管理演示（2分）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3"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在预算管理一体化系统演示支出标准维护，通过“支出标准编码设置”界面维护支出标准层级，演示通过“支出标准体系设置”界面维护具体标准内容，支出标准维护完成后能够在部门预算编制界面项目标准测算表生效（2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2、项目库管理演示（3分）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9"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（1）在预算管理一体化系统申报运转类项目，通过PLDB数据库连接工具（pgAdmn4）在项目表查询该笔运转类项目信息（3分）。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3、预算编制管理演示（5分）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（1）在金财2.0业务中台修改转移支付预笪编制工作流配置，在一体化系统展示工作流修改生效（3分）。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9"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（2）在预算管理一体化系统演示政府过紧日子录入表，能够查询评价标准和分值，根据审核表动态生成得分情况表（2分）。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4、预算调整和调剂演示（5分）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9"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（1）在预算管理一体化系统演示政府预算批准，政府预算批准能够登记预算指标账和收入指标，在PLDB数据库连接工具（pgAdmn4）验证指标帐记账数据和收入指标业务数据一致（3分）。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9"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（2）在预算管理一体化系统演示多组预算指标账的记账模板规则设置，演示单位指标分配功能，能够在同一个界面实现部门预算支出指标、转移支付指标和单位资金指标的分配和分配调剂功能（2分）。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5、预算绩效（3分）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9"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（1）在预算管理一体化系统演示绩效目标复用往年指标功能，绩效目标录入时能够显示往年指标值，可选择指标进行引用（1分）。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（2）在金财2.0业务中台修改部门综合考评表单配置，在一体化系统展示部门综合考评表单修改生效（2分）。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6、预算执行（2分）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9" w:hRule="atLeast"/>
        </w:trPr>
        <w:tc>
          <w:tcPr>
            <w:tcW w:w="1079" w:type="dxa"/>
            <w:vMerge w:val="continue"/>
            <w:tcBorders>
              <w:top w:val="single" w:color="000000" w:sz="4" w:space="0"/>
              <w:left w:val="single" w:color="000000" w:sz="12"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（1）在金财2.0业务中台修改个人公务卡申请报销明细表单配置，在一体化系统个人公务卡复核界面能查看报销明细表单修改生效（2分）。</w:t>
            </w:r>
          </w:p>
        </w:tc>
        <w:tc>
          <w:tcPr>
            <w:tcW w:w="825" w:type="dxa"/>
            <w:vMerge w:val="continue"/>
            <w:tcBorders>
              <w:top w:val="single" w:color="000000" w:sz="4" w:space="0"/>
              <w:left w:val="single" w:color="000000" w:sz="4" w:space="0"/>
              <w:bottom w:val="single" w:color="000000" w:sz="4"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46" w:hRule="atLeast"/>
        </w:trPr>
        <w:tc>
          <w:tcPr>
            <w:tcW w:w="1079" w:type="dxa"/>
            <w:vMerge w:val="continue"/>
            <w:tcBorders>
              <w:top w:val="single" w:color="000000" w:sz="4" w:space="0"/>
              <w:left w:val="single" w:color="000000" w:sz="12" w:space="0"/>
              <w:bottom w:val="single" w:color="000000" w:sz="12" w:space="0"/>
              <w:right w:val="single" w:color="000000" w:sz="4" w:space="0"/>
            </w:tcBorders>
            <w:shd w:val="clear" w:color="auto" w:fill="auto"/>
            <w:tcMar>
              <w:top w:w="9" w:type="dxa"/>
              <w:left w:w="9" w:type="dxa"/>
              <w:right w:w="9" w:type="dxa"/>
            </w:tcMar>
            <w:vAlign w:val="center"/>
          </w:tcPr>
          <w:p>
            <w:pPr>
              <w:spacing w:line="360" w:lineRule="auto"/>
              <w:jc w:val="both"/>
              <w:rPr>
                <w:rFonts w:hint="eastAsia" w:ascii="宋体" w:hAnsi="宋体" w:eastAsia="宋体" w:cs="宋体"/>
                <w:i w:val="0"/>
                <w:color w:val="auto"/>
                <w:sz w:val="21"/>
                <w:szCs w:val="21"/>
                <w:highlight w:val="none"/>
                <w:u w:val="none"/>
              </w:rPr>
            </w:pPr>
          </w:p>
        </w:tc>
        <w:tc>
          <w:tcPr>
            <w:tcW w:w="1268" w:type="dxa"/>
            <w:vMerge w:val="continue"/>
            <w:tcBorders>
              <w:top w:val="single" w:color="000000" w:sz="4" w:space="0"/>
              <w:left w:val="single" w:color="000000" w:sz="4" w:space="0"/>
              <w:bottom w:val="single" w:color="000000" w:sz="12" w:space="0"/>
              <w:right w:val="single" w:color="000000" w:sz="4"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c>
          <w:tcPr>
            <w:tcW w:w="5777" w:type="dxa"/>
            <w:tcBorders>
              <w:top w:val="single" w:color="000000" w:sz="4" w:space="0"/>
              <w:left w:val="single" w:color="000000" w:sz="4" w:space="0"/>
              <w:bottom w:val="single" w:color="000000" w:sz="12" w:space="0"/>
              <w:right w:val="single" w:color="000000" w:sz="4" w:space="0"/>
            </w:tcBorders>
            <w:shd w:val="clear" w:color="auto" w:fill="auto"/>
            <w:tcMar>
              <w:top w:w="9" w:type="dxa"/>
              <w:left w:w="9" w:type="dxa"/>
              <w:right w:w="9" w:type="dxa"/>
            </w:tcMar>
            <w:vAlign w:val="center"/>
          </w:tcPr>
          <w:p>
            <w:pPr>
              <w:keepNext w:val="0"/>
              <w:keepLines w:val="0"/>
              <w:widowControl/>
              <w:suppressLineNumbers w:val="0"/>
              <w:spacing w:line="360" w:lineRule="auto"/>
              <w:ind w:firstLineChars="10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注：</w:t>
            </w:r>
          </w:p>
          <w:p>
            <w:pPr>
              <w:keepNext w:val="0"/>
              <w:keepLines w:val="0"/>
              <w:widowControl/>
              <w:suppressLineNumbers w:val="0"/>
              <w:spacing w:line="360" w:lineRule="auto"/>
              <w:ind w:firstLineChars="10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1、投标人应采用可交互的实际系统演示，仅用原型DEMO、图片、视频或PPT不得分；</w:t>
            </w:r>
          </w:p>
          <w:p>
            <w:pPr>
              <w:keepNext w:val="0"/>
              <w:keepLines w:val="0"/>
              <w:widowControl/>
              <w:suppressLineNumbers w:val="0"/>
              <w:spacing w:line="360" w:lineRule="auto"/>
              <w:ind w:firstLineChars="10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2、演示顺序以投标人加密电子投标文件送达时间依次进行，各投标人演示时间不超过30分钟（不含）演示准备时间； </w:t>
            </w:r>
          </w:p>
          <w:p>
            <w:pPr>
              <w:keepNext w:val="0"/>
              <w:keepLines w:val="0"/>
              <w:widowControl/>
              <w:suppressLineNumbers w:val="0"/>
              <w:spacing w:line="360" w:lineRule="auto"/>
              <w:ind w:firstLineChars="10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3、评标现场只提供场地、网络、电源、投影接入设备，演示所需要的电脑投标人自备；</w:t>
            </w:r>
          </w:p>
          <w:p>
            <w:pPr>
              <w:keepNext w:val="0"/>
              <w:keepLines w:val="0"/>
              <w:widowControl/>
              <w:suppressLineNumbers w:val="0"/>
              <w:spacing w:line="360" w:lineRule="auto"/>
              <w:ind w:firstLineChars="10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4、投标人的演示环境需使用POLARDB11数据库，使用其他版本数据库不得分。</w:t>
            </w:r>
          </w:p>
        </w:tc>
        <w:tc>
          <w:tcPr>
            <w:tcW w:w="825" w:type="dxa"/>
            <w:vMerge w:val="continue"/>
            <w:tcBorders>
              <w:top w:val="single" w:color="000000" w:sz="4" w:space="0"/>
              <w:left w:val="single" w:color="000000" w:sz="4" w:space="0"/>
              <w:bottom w:val="single" w:color="000000" w:sz="12" w:space="0"/>
              <w:right w:val="single" w:color="000000" w:sz="12" w:space="0"/>
            </w:tcBorders>
            <w:shd w:val="clear" w:color="auto" w:fill="auto"/>
            <w:tcMar>
              <w:top w:w="9" w:type="dxa"/>
              <w:left w:w="9" w:type="dxa"/>
              <w:right w:w="9" w:type="dxa"/>
            </w:tcMar>
            <w:vAlign w:val="center"/>
          </w:tcPr>
          <w:p>
            <w:pPr>
              <w:spacing w:line="360" w:lineRule="auto"/>
              <w:jc w:val="center"/>
              <w:rPr>
                <w:rFonts w:hint="eastAsia" w:ascii="宋体" w:hAnsi="宋体" w:eastAsia="宋体" w:cs="宋体"/>
                <w:i w:val="0"/>
                <w:color w:val="auto"/>
                <w:sz w:val="21"/>
                <w:szCs w:val="21"/>
                <w:highlight w:val="none"/>
                <w:u w:val="none"/>
              </w:rPr>
            </w:pPr>
          </w:p>
        </w:tc>
      </w:tr>
    </w:tbl>
    <w:p>
      <w:pPr>
        <w:pStyle w:val="8"/>
        <w:keepNext w:val="0"/>
        <w:keepLines w:val="0"/>
        <w:pageBreakBefore w:val="0"/>
        <w:kinsoku/>
        <w:wordWrap/>
        <w:overflowPunct/>
        <w:topLinePunct w:val="0"/>
        <w:bidi w:val="0"/>
        <w:spacing w:line="360" w:lineRule="auto"/>
        <w:textAlignment w:val="auto"/>
        <w:rPr>
          <w:rFonts w:hint="eastAsia" w:ascii="宋体" w:hAnsi="宋体" w:eastAsia="宋体" w:cs="宋体"/>
          <w:b/>
          <w:color w:val="auto"/>
          <w:sz w:val="21"/>
          <w:szCs w:val="21"/>
          <w:highlight w:val="none"/>
          <w:lang w:val="en-US" w:eastAsia="zh-CN"/>
        </w:rPr>
      </w:pPr>
    </w:p>
    <w:p>
      <w:pPr>
        <w:pStyle w:val="9"/>
        <w:rPr>
          <w:rFonts w:hint="eastAsia"/>
          <w:color w:val="auto"/>
          <w:highlight w:val="none"/>
          <w:lang w:val="en-US" w:eastAsia="zh-CN"/>
        </w:rPr>
      </w:pP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（三）商务报价（满分</w:t>
      </w:r>
      <w:r>
        <w:rPr>
          <w:rFonts w:hint="eastAsia" w:ascii="宋体" w:hAnsi="宋体" w:eastAsia="宋体" w:cs="宋体"/>
          <w:b/>
          <w:color w:val="auto"/>
          <w:sz w:val="21"/>
          <w:szCs w:val="21"/>
          <w:highlight w:val="none"/>
          <w:u w:val="single"/>
          <w:lang w:val="en-US" w:eastAsia="zh-CN"/>
        </w:rPr>
        <w:t xml:space="preserve"> 10 </w:t>
      </w:r>
      <w:r>
        <w:rPr>
          <w:rFonts w:hint="eastAsia" w:ascii="宋体" w:hAnsi="宋体" w:eastAsia="宋体" w:cs="宋体"/>
          <w:b/>
          <w:color w:val="auto"/>
          <w:sz w:val="21"/>
          <w:szCs w:val="21"/>
          <w:highlight w:val="none"/>
          <w:lang w:val="zh-CN"/>
        </w:rPr>
        <w:t>分）</w:t>
      </w:r>
    </w:p>
    <w:p>
      <w:pPr>
        <w:keepNext w:val="0"/>
        <w:keepLines w:val="0"/>
        <w:pageBreakBefore w:val="0"/>
        <w:kinsoku/>
        <w:wordWrap/>
        <w:overflowPunct/>
        <w:topLinePunct w:val="0"/>
        <w:bidi w:val="0"/>
        <w:adjustRightInd w:val="0"/>
        <w:snapToGrid w:val="0"/>
        <w:spacing w:line="360" w:lineRule="auto"/>
        <w:ind w:firstLine="422" w:firstLineChars="200"/>
        <w:textAlignment w:val="auto"/>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zh-CN"/>
        </w:rPr>
        <w:t>投标价格的合理性：</w:t>
      </w:r>
    </w:p>
    <w:p>
      <w:pPr>
        <w:adjustRightInd w:val="0"/>
        <w:snapToGrid w:val="0"/>
        <w:spacing w:line="360" w:lineRule="auto"/>
        <w:ind w:firstLine="420" w:firstLineChars="200"/>
        <w:rPr>
          <w:rFonts w:hint="eastAsia" w:ascii="宋体" w:hAnsi="宋体" w:cs="宋体"/>
          <w:color w:val="auto"/>
          <w:szCs w:val="21"/>
          <w:highlight w:val="none"/>
          <w:lang w:val="zh-CN"/>
        </w:rPr>
      </w:pPr>
      <w:r>
        <w:rPr>
          <w:rFonts w:hint="eastAsia" w:ascii="宋体" w:hAnsi="宋体" w:cs="宋体"/>
          <w:color w:val="auto"/>
          <w:szCs w:val="21"/>
          <w:highlight w:val="none"/>
          <w:lang w:val="zh-CN"/>
        </w:rPr>
        <w:t>分析总报价及各个分项报价是否合理，报价范围是否完整，有否重大错漏项，评标委员会认为投标报价出现异常时，有权要求投标人在评标期间对投标报价的详细组成作出解释和澄清，并确认其投标报价是否有效。</w:t>
      </w:r>
    </w:p>
    <w:p>
      <w:pPr>
        <w:adjustRightInd w:val="0"/>
        <w:snapToGrid w:val="0"/>
        <w:spacing w:line="360"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2.商务报价计算</w:t>
      </w:r>
    </w:p>
    <w:p>
      <w:pPr>
        <w:adjustRightInd w:val="0"/>
        <w:snapToGrid w:val="0"/>
        <w:spacing w:line="360" w:lineRule="auto"/>
        <w:ind w:firstLine="420" w:firstLineChars="200"/>
        <w:rPr>
          <w:rFonts w:hint="eastAsia" w:ascii="宋体" w:hAnsi="宋体" w:cs="宋体"/>
          <w:color w:val="auto"/>
          <w:szCs w:val="21"/>
          <w:highlight w:val="none"/>
          <w:lang w:val="zh-CN"/>
        </w:rPr>
      </w:pPr>
      <w:r>
        <w:rPr>
          <w:rFonts w:hint="eastAsia" w:ascii="宋体" w:hAnsi="宋体" w:cs="宋体"/>
          <w:color w:val="auto"/>
          <w:szCs w:val="21"/>
          <w:highlight w:val="none"/>
          <w:lang w:val="zh-CN"/>
        </w:rPr>
        <w:t>各投标人的商务报价得分统一采用低价优先法计算，即满足采购文件要求且投标价格最低的投标报价为评标基准价，其价格分为满分</w:t>
      </w:r>
      <w:r>
        <w:rPr>
          <w:rFonts w:hint="eastAsia" w:ascii="宋体" w:hAnsi="宋体" w:eastAsia="宋体" w:cs="宋体"/>
          <w:color w:val="auto"/>
          <w:szCs w:val="21"/>
          <w:highlight w:val="none"/>
          <w:u w:val="single"/>
          <w:lang w:val="en-US" w:eastAsia="zh-CN"/>
        </w:rPr>
        <w:t xml:space="preserve"> 10 </w:t>
      </w:r>
      <w:r>
        <w:rPr>
          <w:rFonts w:hint="eastAsia" w:ascii="宋体" w:hAnsi="宋体" w:cs="宋体"/>
          <w:color w:val="auto"/>
          <w:szCs w:val="21"/>
          <w:highlight w:val="none"/>
        </w:rPr>
        <w:t>分</w:t>
      </w:r>
      <w:r>
        <w:rPr>
          <w:rFonts w:hint="eastAsia" w:ascii="宋体" w:hAnsi="宋体" w:cs="宋体"/>
          <w:color w:val="auto"/>
          <w:szCs w:val="21"/>
          <w:highlight w:val="none"/>
          <w:lang w:val="zh-CN"/>
        </w:rPr>
        <w:t>。其他投标人的商务报价得分统一按照下列公式计算：</w:t>
      </w:r>
    </w:p>
    <w:p>
      <w:pPr>
        <w:adjustRightInd w:val="0"/>
        <w:snapToGrid w:val="0"/>
        <w:spacing w:line="360" w:lineRule="auto"/>
        <w:ind w:firstLine="420" w:firstLineChars="200"/>
        <w:rPr>
          <w:rFonts w:hint="eastAsia" w:ascii="宋体" w:hAnsi="宋体" w:cs="宋体"/>
          <w:color w:val="auto"/>
          <w:szCs w:val="21"/>
          <w:highlight w:val="none"/>
          <w:lang w:val="zh-CN"/>
        </w:rPr>
      </w:pPr>
      <w:r>
        <w:rPr>
          <w:rFonts w:hint="eastAsia" w:ascii="宋体" w:hAnsi="宋体" w:cs="宋体"/>
          <w:color w:val="auto"/>
          <w:szCs w:val="21"/>
          <w:highlight w:val="none"/>
          <w:lang w:val="zh-CN"/>
        </w:rPr>
        <w:t>投标报价得分=（评标基准价/投标报价）×价格权值（即</w:t>
      </w:r>
      <w:r>
        <w:rPr>
          <w:rFonts w:hint="eastAsia" w:ascii="宋体" w:hAnsi="宋体" w:eastAsia="宋体" w:cs="宋体"/>
          <w:color w:val="auto"/>
          <w:szCs w:val="21"/>
          <w:highlight w:val="none"/>
          <w:u w:val="single"/>
          <w:lang w:val="en-US" w:eastAsia="zh-CN"/>
        </w:rPr>
        <w:t xml:space="preserve"> 10 </w:t>
      </w:r>
      <w:r>
        <w:rPr>
          <w:rFonts w:hint="eastAsia" w:ascii="宋体" w:hAnsi="宋体" w:cs="宋体"/>
          <w:color w:val="auto"/>
          <w:szCs w:val="21"/>
          <w:highlight w:val="none"/>
          <w:lang w:val="zh-CN"/>
        </w:rPr>
        <w:t>%）×100</w:t>
      </w:r>
    </w:p>
    <w:p>
      <w:pPr>
        <w:pStyle w:val="8"/>
        <w:numPr>
          <w:ilvl w:val="0"/>
          <w:numId w:val="24"/>
        </w:numPr>
        <w:spacing w:line="360" w:lineRule="auto"/>
        <w:ind w:firstLine="422" w:firstLineChars="200"/>
        <w:rPr>
          <w:rFonts w:hint="eastAsia" w:ascii="宋体" w:hAnsi="宋体" w:eastAsia="宋体" w:cs="宋体"/>
          <w:b/>
          <w:bCs/>
          <w:color w:val="auto"/>
          <w:szCs w:val="21"/>
          <w:highlight w:val="none"/>
          <w:lang w:val="zh-CN" w:eastAsia="zh-CN"/>
        </w:rPr>
      </w:pPr>
      <w:r>
        <w:rPr>
          <w:rFonts w:hint="eastAsia" w:ascii="宋体" w:hAnsi="宋体" w:eastAsia="宋体" w:cs="宋体"/>
          <w:b/>
          <w:bCs/>
          <w:color w:val="auto"/>
          <w:szCs w:val="21"/>
          <w:highlight w:val="none"/>
          <w:lang w:val="zh-CN" w:eastAsia="zh-CN"/>
        </w:rPr>
        <w:t>价格评审相关政策</w:t>
      </w:r>
    </w:p>
    <w:p>
      <w:pPr>
        <w:pStyle w:val="8"/>
        <w:numPr>
          <w:ilvl w:val="0"/>
          <w:numId w:val="0"/>
        </w:numPr>
        <w:spacing w:line="360" w:lineRule="auto"/>
        <w:ind w:firstLine="420" w:firstLineChars="200"/>
        <w:rPr>
          <w:rFonts w:hint="eastAsia" w:ascii="宋体" w:hAnsi="宋体" w:eastAsia="宋体" w:cs="宋体"/>
          <w:color w:val="auto"/>
          <w:szCs w:val="21"/>
          <w:highlight w:val="none"/>
          <w:lang w:val="zh-CN" w:eastAsia="zh-CN"/>
        </w:rPr>
      </w:pPr>
      <w:r>
        <w:rPr>
          <w:rFonts w:hint="eastAsia" w:ascii="宋体" w:hAnsi="宋体" w:eastAsia="宋体" w:cs="宋体"/>
          <w:color w:val="auto"/>
          <w:kern w:val="2"/>
          <w:szCs w:val="21"/>
          <w:highlight w:val="none"/>
          <w:lang w:val="zh-CN"/>
        </w:rPr>
        <w:t>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color w:val="auto"/>
          <w:kern w:val="2"/>
          <w:szCs w:val="21"/>
          <w:highlight w:val="none"/>
          <w:lang w:val="zh-CN" w:eastAsia="zh-CN"/>
        </w:rPr>
        <w:t>2</w:t>
      </w:r>
      <w:r>
        <w:rPr>
          <w:rFonts w:hint="eastAsia" w:ascii="宋体" w:hAnsi="宋体" w:eastAsia="宋体" w:cs="宋体"/>
          <w:color w:val="auto"/>
          <w:kern w:val="2"/>
          <w:szCs w:val="21"/>
          <w:highlight w:val="none"/>
          <w:lang w:val="zh-CN"/>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color w:val="auto"/>
          <w:kern w:val="2"/>
          <w:szCs w:val="21"/>
          <w:highlight w:val="none"/>
          <w:lang w:val="zh-CN" w:eastAsia="zh-CN"/>
        </w:rPr>
        <w:t>6</w:t>
      </w:r>
      <w:r>
        <w:rPr>
          <w:rFonts w:hint="eastAsia" w:ascii="宋体" w:hAnsi="宋体" w:eastAsia="宋体" w:cs="宋体"/>
          <w:color w:val="auto"/>
          <w:kern w:val="2"/>
          <w:szCs w:val="21"/>
          <w:highlight w:val="none"/>
          <w:lang w:val="zh-CN"/>
        </w:rPr>
        <w:t>%的扣除，用扣除后的价格参加评审。组成联合体或者接受分包的小微企业与联合体内其他企业、分包企业之间存在直接控股、管理关系的，不享受价格扣除优惠政策。</w:t>
      </w:r>
    </w:p>
    <w:p>
      <w:pPr>
        <w:adjustRightInd w:val="0"/>
        <w:snapToGrid w:val="0"/>
        <w:spacing w:line="360" w:lineRule="auto"/>
        <w:ind w:firstLine="422" w:firstLineChars="200"/>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（四）其他</w:t>
      </w:r>
    </w:p>
    <w:p>
      <w:pPr>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评分时保留小数点后1位小数，计算评分值时保留小数点后2位小数，由评标委员会当场统一计算。</w:t>
      </w:r>
    </w:p>
    <w:p>
      <w:pPr>
        <w:adjustRightInd w:val="0"/>
        <w:snapToGrid w:val="0"/>
        <w:spacing w:line="36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投标人的最终总得分为技术商务及报价部分二部分得分的总和。</w:t>
      </w:r>
    </w:p>
    <w:p>
      <w:pPr>
        <w:adjustRightInd w:val="0"/>
        <w:snapToGrid w:val="0"/>
        <w:spacing w:line="360" w:lineRule="auto"/>
        <w:ind w:firstLine="422" w:firstLineChars="200"/>
        <w:jc w:val="left"/>
        <w:rPr>
          <w:rFonts w:hint="eastAsia" w:ascii="宋体" w:hAnsi="宋体" w:cs="宋体"/>
          <w:color w:val="auto"/>
          <w:szCs w:val="21"/>
          <w:highlight w:val="none"/>
        </w:rPr>
      </w:pPr>
      <w:r>
        <w:rPr>
          <w:rFonts w:hint="eastAsia" w:ascii="宋体" w:hAnsi="宋体" w:cs="宋体"/>
          <w:b/>
          <w:snapToGrid w:val="0"/>
          <w:color w:val="auto"/>
          <w:kern w:val="0"/>
          <w:szCs w:val="21"/>
          <w:highlight w:val="none"/>
        </w:rPr>
        <w:t>报价是中标的一个重要因素，但最低报价不是中标的唯一依据。</w:t>
      </w:r>
    </w:p>
    <w:p>
      <w:pPr>
        <w:adjustRightInd w:val="0"/>
        <w:snapToGrid w:val="0"/>
        <w:spacing w:before="120" w:beforeLines="50" w:after="120" w:afterLines="50" w:line="360" w:lineRule="auto"/>
        <w:jc w:val="center"/>
        <w:outlineLvl w:val="0"/>
        <w:rPr>
          <w:rFonts w:hint="eastAsia" w:ascii="宋体" w:hAnsi="宋体" w:cs="宋体"/>
          <w:b/>
          <w:bCs/>
          <w:color w:val="auto"/>
          <w:sz w:val="32"/>
          <w:szCs w:val="32"/>
          <w:highlight w:val="none"/>
        </w:rPr>
      </w:pPr>
      <w:r>
        <w:rPr>
          <w:rFonts w:hint="eastAsia" w:ascii="宋体" w:hAnsi="宋体" w:cs="宋体"/>
          <w:color w:val="auto"/>
          <w:szCs w:val="21"/>
          <w:highlight w:val="none"/>
        </w:rPr>
        <w:br w:type="page"/>
      </w:r>
      <w:bookmarkStart w:id="380" w:name="_Toc1306"/>
      <w:bookmarkStart w:id="381" w:name="_Toc28666"/>
      <w:bookmarkStart w:id="382" w:name="_Toc251566668"/>
      <w:bookmarkStart w:id="383" w:name="_Toc15418"/>
      <w:bookmarkStart w:id="384" w:name="_Toc249760797"/>
      <w:bookmarkStart w:id="385" w:name="_Toc234764855"/>
      <w:bookmarkStart w:id="386" w:name="_Toc31237"/>
      <w:r>
        <w:rPr>
          <w:rFonts w:hint="eastAsia" w:ascii="宋体" w:hAnsi="宋体" w:cs="宋体"/>
          <w:b/>
          <w:color w:val="auto"/>
          <w:sz w:val="30"/>
          <w:szCs w:val="30"/>
          <w:highlight w:val="none"/>
        </w:rPr>
        <w:t>第六部分  投标文件格式</w:t>
      </w:r>
      <w:bookmarkEnd w:id="380"/>
      <w:bookmarkEnd w:id="381"/>
      <w:bookmarkEnd w:id="382"/>
      <w:bookmarkEnd w:id="383"/>
      <w:bookmarkEnd w:id="384"/>
      <w:bookmarkEnd w:id="385"/>
      <w:bookmarkEnd w:id="386"/>
    </w:p>
    <w:p>
      <w:pPr>
        <w:autoSpaceDE w:val="0"/>
        <w:autoSpaceDN w:val="0"/>
        <w:adjustRightInd w:val="0"/>
        <w:spacing w:line="360" w:lineRule="auto"/>
        <w:ind w:firstLine="480"/>
        <w:rPr>
          <w:rFonts w:hint="eastAsia" w:ascii="宋体" w:hAnsi="宋体" w:cs="宋体"/>
          <w:color w:val="auto"/>
          <w:sz w:val="24"/>
          <w:highlight w:val="none"/>
        </w:rPr>
      </w:pPr>
    </w:p>
    <w:p>
      <w:pPr>
        <w:pStyle w:val="1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说明：</w:t>
      </w:r>
    </w:p>
    <w:p>
      <w:pPr>
        <w:pStyle w:val="1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1．投标文件由投标人根据采购文件要求参照附件格式编制。</w:t>
      </w:r>
    </w:p>
    <w:p>
      <w:pPr>
        <w:pStyle w:val="1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2．投标人根据实际情况填写。</w:t>
      </w:r>
    </w:p>
    <w:p>
      <w:pPr>
        <w:pStyle w:val="11"/>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3．采购文件中没有参考格式的，投标人自行编制。</w:t>
      </w:r>
    </w:p>
    <w:p>
      <w:pPr>
        <w:autoSpaceDE w:val="0"/>
        <w:autoSpaceDN w:val="0"/>
        <w:adjustRightInd w:val="0"/>
        <w:snapToGrid w:val="0"/>
        <w:spacing w:line="360" w:lineRule="auto"/>
        <w:outlineLvl w:val="1"/>
        <w:rPr>
          <w:rFonts w:hint="eastAsia" w:ascii="宋体" w:hAnsi="宋体" w:cs="宋体"/>
          <w:bCs/>
          <w:snapToGrid w:val="0"/>
          <w:color w:val="auto"/>
          <w:kern w:val="0"/>
          <w:szCs w:val="21"/>
          <w:highlight w:val="none"/>
        </w:rPr>
      </w:pPr>
      <w:r>
        <w:rPr>
          <w:rFonts w:hint="eastAsia" w:ascii="宋体" w:hAnsi="宋体" w:cs="宋体"/>
          <w:b/>
          <w:bCs/>
          <w:color w:val="auto"/>
          <w:sz w:val="32"/>
          <w:szCs w:val="32"/>
          <w:highlight w:val="none"/>
        </w:rPr>
        <w:br w:type="page"/>
      </w:r>
      <w:bookmarkStart w:id="387" w:name="_Toc27220"/>
      <w:bookmarkStart w:id="388" w:name="_Toc1647"/>
      <w:bookmarkStart w:id="389" w:name="_Toc30853"/>
      <w:bookmarkStart w:id="390" w:name="_Toc664"/>
      <w:bookmarkStart w:id="391" w:name="_Toc10652"/>
      <w:r>
        <w:rPr>
          <w:rFonts w:hint="eastAsia" w:ascii="宋体" w:hAnsi="宋体" w:cs="宋体"/>
          <w:bCs/>
          <w:snapToGrid w:val="0"/>
          <w:color w:val="auto"/>
          <w:kern w:val="0"/>
          <w:szCs w:val="21"/>
          <w:highlight w:val="none"/>
        </w:rPr>
        <w:t>一、</w:t>
      </w:r>
      <w:bookmarkEnd w:id="387"/>
      <w:bookmarkEnd w:id="388"/>
      <w:bookmarkStart w:id="392" w:name="_Toc32101"/>
      <w:bookmarkStart w:id="393" w:name="_Toc27346"/>
      <w:r>
        <w:rPr>
          <w:rFonts w:hint="eastAsia" w:ascii="宋体" w:hAnsi="宋体" w:cs="宋体"/>
          <w:bCs/>
          <w:snapToGrid w:val="0"/>
          <w:color w:val="auto"/>
          <w:kern w:val="0"/>
          <w:szCs w:val="21"/>
          <w:highlight w:val="none"/>
        </w:rPr>
        <w:t>投标文件封面（格式供参考）</w:t>
      </w:r>
      <w:bookmarkEnd w:id="389"/>
      <w:bookmarkEnd w:id="390"/>
      <w:bookmarkEnd w:id="391"/>
      <w:bookmarkEnd w:id="392"/>
      <w:bookmarkEnd w:id="393"/>
    </w:p>
    <w:p>
      <w:pPr>
        <w:autoSpaceDE w:val="0"/>
        <w:autoSpaceDN w:val="0"/>
        <w:adjustRightInd w:val="0"/>
        <w:rPr>
          <w:rFonts w:hint="eastAsia" w:ascii="宋体" w:hAnsi="宋体" w:cs="宋体"/>
          <w:bCs/>
          <w:color w:val="auto"/>
          <w:highlight w:val="none"/>
        </w:rPr>
      </w:pPr>
    </w:p>
    <w:p>
      <w:pPr>
        <w:autoSpaceDE w:val="0"/>
        <w:autoSpaceDN w:val="0"/>
        <w:adjustRightInd w:val="0"/>
        <w:rPr>
          <w:rFonts w:hint="eastAsia" w:ascii="宋体" w:hAnsi="宋体" w:cs="宋体"/>
          <w:bCs/>
          <w:color w:val="auto"/>
          <w:highlight w:val="none"/>
        </w:rPr>
      </w:pPr>
      <w:r>
        <w:rPr>
          <w:rFonts w:hint="eastAsia" w:ascii="宋体" w:hAnsi="宋体" w:cs="宋体"/>
          <w:bCs/>
          <w:color w:val="auto"/>
          <w:highlight w:val="none"/>
        </w:rPr>
        <w:t>1.</w:t>
      </w:r>
      <w:r>
        <w:rPr>
          <w:rFonts w:hint="eastAsia" w:ascii="宋体" w:hAnsi="宋体" w:cs="宋体"/>
          <w:bCs/>
          <w:color w:val="auto"/>
          <w:highlight w:val="none"/>
          <w:lang w:val="en-US" w:eastAsia="zh-CN"/>
        </w:rPr>
        <w:t>1</w:t>
      </w:r>
      <w:r>
        <w:rPr>
          <w:rFonts w:hint="eastAsia" w:ascii="宋体" w:hAnsi="宋体" w:cs="宋体"/>
          <w:bCs/>
          <w:color w:val="auto"/>
          <w:highlight w:val="none"/>
          <w:lang w:eastAsia="zh-CN"/>
        </w:rPr>
        <w:t>报价响应文件</w:t>
      </w:r>
      <w:r>
        <w:rPr>
          <w:rFonts w:hint="eastAsia" w:ascii="宋体" w:hAnsi="宋体" w:cs="宋体"/>
          <w:bCs/>
          <w:color w:val="auto"/>
          <w:highlight w:val="none"/>
        </w:rPr>
        <w:t>封面格式</w:t>
      </w:r>
    </w:p>
    <w:p>
      <w:pPr>
        <w:autoSpaceDE w:val="0"/>
        <w:autoSpaceDN w:val="0"/>
        <w:adjustRightInd w:val="0"/>
        <w:spacing w:line="360" w:lineRule="auto"/>
        <w:jc w:val="right"/>
        <w:rPr>
          <w:rFonts w:hint="eastAsia" w:ascii="宋体" w:hAnsi="宋体" w:cs="宋体"/>
          <w:b/>
          <w:color w:val="auto"/>
          <w:sz w:val="28"/>
          <w:szCs w:val="28"/>
          <w:highlight w:val="none"/>
        </w:rPr>
      </w:pPr>
      <w:r>
        <w:rPr>
          <w:rFonts w:hint="eastAsia" w:ascii="宋体" w:hAnsi="宋体" w:cs="宋体"/>
          <w:b/>
          <w:color w:val="auto"/>
          <w:sz w:val="32"/>
          <w:szCs w:val="32"/>
          <w:highlight w:val="none"/>
        </w:rPr>
        <w:t xml:space="preserve">                </w:t>
      </w:r>
    </w:p>
    <w:p>
      <w:pPr>
        <w:autoSpaceDE w:val="0"/>
        <w:autoSpaceDN w:val="0"/>
        <w:adjustRightInd w:val="0"/>
        <w:spacing w:line="360" w:lineRule="auto"/>
        <w:jc w:val="center"/>
        <w:rPr>
          <w:rFonts w:hint="eastAsia" w:ascii="宋体" w:hAnsi="宋体" w:cs="宋体"/>
          <w:b/>
          <w:color w:val="auto"/>
          <w:sz w:val="32"/>
          <w:szCs w:val="32"/>
          <w:highlight w:val="none"/>
        </w:rPr>
      </w:pPr>
    </w:p>
    <w:p>
      <w:pPr>
        <w:autoSpaceDE w:val="0"/>
        <w:autoSpaceDN w:val="0"/>
        <w:adjustRightInd w:val="0"/>
        <w:spacing w:line="360" w:lineRule="auto"/>
        <w:jc w:val="center"/>
        <w:rPr>
          <w:rFonts w:hint="eastAsia" w:ascii="宋体" w:hAnsi="宋体" w:cs="宋体"/>
          <w:b/>
          <w:color w:val="auto"/>
          <w:sz w:val="32"/>
          <w:szCs w:val="32"/>
          <w:highlight w:val="none"/>
        </w:rPr>
      </w:pPr>
      <w:r>
        <w:rPr>
          <w:rFonts w:hint="eastAsia" w:ascii="宋体" w:hAnsi="宋体" w:eastAsia="宋体" w:cs="宋体"/>
          <w:b/>
          <w:color w:val="auto"/>
          <w:sz w:val="32"/>
          <w:szCs w:val="32"/>
          <w:highlight w:val="none"/>
          <w:u w:val="single"/>
          <w:lang w:val="en-US" w:eastAsia="zh-CN"/>
        </w:rPr>
        <w:t xml:space="preserve">       项目名称       </w:t>
      </w:r>
    </w:p>
    <w:p>
      <w:pPr>
        <w:autoSpaceDE w:val="0"/>
        <w:autoSpaceDN w:val="0"/>
        <w:adjustRightInd w:val="0"/>
        <w:spacing w:line="360" w:lineRule="auto"/>
        <w:jc w:val="center"/>
        <w:rPr>
          <w:rFonts w:hint="eastAsia" w:ascii="宋体" w:hAnsi="宋体" w:cs="宋体"/>
          <w:color w:val="auto"/>
          <w:sz w:val="32"/>
          <w:szCs w:val="32"/>
          <w:highlight w:val="none"/>
          <w:u w:val="single"/>
        </w:rPr>
      </w:pPr>
    </w:p>
    <w:p>
      <w:pPr>
        <w:autoSpaceDE w:val="0"/>
        <w:autoSpaceDN w:val="0"/>
        <w:adjustRightInd w:val="0"/>
        <w:spacing w:line="360" w:lineRule="auto"/>
        <w:jc w:val="center"/>
        <w:rPr>
          <w:rFonts w:hint="eastAsia" w:ascii="宋体" w:hAnsi="宋体" w:cs="宋体"/>
          <w:b/>
          <w:color w:val="auto"/>
          <w:sz w:val="32"/>
          <w:szCs w:val="32"/>
          <w:highlight w:val="none"/>
        </w:rPr>
      </w:pPr>
    </w:p>
    <w:p>
      <w:pPr>
        <w:spacing w:line="360" w:lineRule="auto"/>
        <w:jc w:val="center"/>
        <w:rPr>
          <w:rFonts w:hint="eastAsia" w:ascii="宋体" w:hAnsi="宋体" w:cs="宋体"/>
          <w:color w:val="auto"/>
          <w:spacing w:val="40"/>
          <w:w w:val="90"/>
          <w:sz w:val="96"/>
          <w:szCs w:val="96"/>
          <w:highlight w:val="none"/>
          <w:lang w:bidi="th-TH"/>
        </w:rPr>
      </w:pPr>
      <w:r>
        <w:rPr>
          <w:rFonts w:hint="eastAsia" w:ascii="宋体" w:hAnsi="宋体" w:cs="宋体"/>
          <w:color w:val="auto"/>
          <w:spacing w:val="40"/>
          <w:w w:val="90"/>
          <w:sz w:val="96"/>
          <w:szCs w:val="96"/>
          <w:highlight w:val="none"/>
          <w:lang w:bidi="th-TH"/>
        </w:rPr>
        <w:t>投 标 文 件</w:t>
      </w:r>
    </w:p>
    <w:p>
      <w:pPr>
        <w:autoSpaceDE w:val="0"/>
        <w:autoSpaceDN w:val="0"/>
        <w:adjustRightInd w:val="0"/>
        <w:spacing w:line="360" w:lineRule="auto"/>
        <w:jc w:val="center"/>
        <w:rPr>
          <w:rFonts w:hint="eastAsia" w:ascii="宋体" w:hAnsi="宋体" w:cs="宋体"/>
          <w:b/>
          <w:color w:val="auto"/>
          <w:sz w:val="44"/>
          <w:szCs w:val="44"/>
          <w:highlight w:val="none"/>
        </w:rPr>
      </w:pPr>
      <w:r>
        <w:rPr>
          <w:rFonts w:hint="eastAsia" w:ascii="宋体" w:hAnsi="宋体" w:cs="宋体"/>
          <w:b/>
          <w:color w:val="auto"/>
          <w:sz w:val="44"/>
          <w:szCs w:val="44"/>
          <w:highlight w:val="none"/>
        </w:rPr>
        <w:t>（</w:t>
      </w:r>
      <w:r>
        <w:rPr>
          <w:rFonts w:hint="eastAsia" w:ascii="宋体" w:hAnsi="宋体" w:cs="宋体"/>
          <w:b/>
          <w:color w:val="auto"/>
          <w:sz w:val="44"/>
          <w:szCs w:val="44"/>
          <w:highlight w:val="none"/>
          <w:lang w:eastAsia="zh-CN"/>
        </w:rPr>
        <w:t>报价响应文件</w:t>
      </w:r>
      <w:r>
        <w:rPr>
          <w:rFonts w:hint="eastAsia" w:ascii="宋体" w:hAnsi="宋体" w:cs="宋体"/>
          <w:b/>
          <w:color w:val="auto"/>
          <w:sz w:val="44"/>
          <w:szCs w:val="44"/>
          <w:highlight w:val="none"/>
        </w:rPr>
        <w:t>）</w:t>
      </w:r>
    </w:p>
    <w:p>
      <w:pPr>
        <w:autoSpaceDE w:val="0"/>
        <w:autoSpaceDN w:val="0"/>
        <w:adjustRightInd w:val="0"/>
        <w:spacing w:line="360" w:lineRule="auto"/>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lang w:eastAsia="zh-CN"/>
        </w:rPr>
        <w:t>采购编号：ZJ-2272868</w:t>
      </w:r>
      <w:r>
        <w:rPr>
          <w:rFonts w:hint="eastAsia" w:ascii="宋体" w:hAnsi="宋体" w:cs="宋体"/>
          <w:b/>
          <w:color w:val="auto"/>
          <w:sz w:val="32"/>
          <w:szCs w:val="32"/>
          <w:highlight w:val="none"/>
        </w:rPr>
        <w:t xml:space="preserve">    </w:t>
      </w:r>
    </w:p>
    <w:p>
      <w:pPr>
        <w:autoSpaceDE w:val="0"/>
        <w:autoSpaceDN w:val="0"/>
        <w:adjustRightInd w:val="0"/>
        <w:spacing w:line="360" w:lineRule="auto"/>
        <w:rPr>
          <w:rFonts w:hint="eastAsia" w:ascii="宋体" w:hAnsi="宋体" w:cs="宋体"/>
          <w:b/>
          <w:color w:val="auto"/>
          <w:sz w:val="32"/>
          <w:szCs w:val="32"/>
          <w:highlight w:val="none"/>
        </w:rPr>
      </w:pPr>
    </w:p>
    <w:p>
      <w:pPr>
        <w:autoSpaceDE w:val="0"/>
        <w:autoSpaceDN w:val="0"/>
        <w:adjustRightInd w:val="0"/>
        <w:spacing w:line="360" w:lineRule="auto"/>
        <w:rPr>
          <w:rFonts w:hint="eastAsia" w:ascii="宋体" w:hAnsi="宋体" w:cs="宋体"/>
          <w:b/>
          <w:color w:val="auto"/>
          <w:sz w:val="32"/>
          <w:szCs w:val="32"/>
          <w:highlight w:val="none"/>
        </w:rPr>
      </w:pPr>
    </w:p>
    <w:p>
      <w:pPr>
        <w:autoSpaceDE w:val="0"/>
        <w:autoSpaceDN w:val="0"/>
        <w:adjustRightInd w:val="0"/>
        <w:spacing w:line="360" w:lineRule="auto"/>
        <w:rPr>
          <w:rFonts w:hint="eastAsia" w:ascii="宋体" w:hAnsi="宋体" w:cs="宋体"/>
          <w:b/>
          <w:color w:val="auto"/>
          <w:sz w:val="32"/>
          <w:szCs w:val="32"/>
          <w:highlight w:val="none"/>
        </w:rPr>
      </w:pPr>
    </w:p>
    <w:p>
      <w:pPr>
        <w:autoSpaceDE w:val="0"/>
        <w:autoSpaceDN w:val="0"/>
        <w:adjustRightInd w:val="0"/>
        <w:spacing w:line="360" w:lineRule="auto"/>
        <w:rPr>
          <w:rFonts w:hint="eastAsia" w:ascii="宋体" w:hAnsi="宋体" w:cs="宋体"/>
          <w:b/>
          <w:color w:val="auto"/>
          <w:sz w:val="32"/>
          <w:szCs w:val="32"/>
          <w:highlight w:val="none"/>
        </w:rPr>
      </w:pPr>
    </w:p>
    <w:p>
      <w:pPr>
        <w:autoSpaceDE w:val="0"/>
        <w:autoSpaceDN w:val="0"/>
        <w:adjustRightInd w:val="0"/>
        <w:spacing w:line="360" w:lineRule="auto"/>
        <w:rPr>
          <w:rFonts w:hint="eastAsia" w:ascii="宋体" w:hAnsi="宋体" w:cs="宋体"/>
          <w:b/>
          <w:color w:val="auto"/>
          <w:sz w:val="32"/>
          <w:szCs w:val="32"/>
          <w:highlight w:val="none"/>
        </w:rPr>
      </w:pPr>
    </w:p>
    <w:p>
      <w:pPr>
        <w:autoSpaceDE w:val="0"/>
        <w:autoSpaceDN w:val="0"/>
        <w:adjustRightInd w:val="0"/>
        <w:spacing w:line="360" w:lineRule="auto"/>
        <w:rPr>
          <w:rFonts w:hint="eastAsia" w:ascii="宋体" w:hAnsi="宋体" w:cs="宋体"/>
          <w:b/>
          <w:color w:val="auto"/>
          <w:sz w:val="32"/>
          <w:szCs w:val="32"/>
          <w:highlight w:val="none"/>
        </w:rPr>
      </w:pPr>
      <w:r>
        <w:rPr>
          <w:rFonts w:hint="eastAsia" w:ascii="宋体" w:hAnsi="宋体" w:cs="宋体"/>
          <w:b/>
          <w:color w:val="auto"/>
          <w:sz w:val="32"/>
          <w:szCs w:val="32"/>
          <w:highlight w:val="none"/>
        </w:rPr>
        <w:t>投标人名称（盖</w:t>
      </w:r>
      <w:r>
        <w:rPr>
          <w:rFonts w:hint="eastAsia" w:ascii="宋体" w:hAnsi="宋体" w:cs="宋体"/>
          <w:b/>
          <w:color w:val="auto"/>
          <w:sz w:val="32"/>
          <w:szCs w:val="32"/>
          <w:highlight w:val="none"/>
          <w:lang w:eastAsia="zh-CN"/>
        </w:rPr>
        <w:t>公</w:t>
      </w:r>
      <w:r>
        <w:rPr>
          <w:rFonts w:hint="eastAsia" w:ascii="宋体" w:hAnsi="宋体" w:cs="宋体"/>
          <w:b/>
          <w:color w:val="auto"/>
          <w:sz w:val="32"/>
          <w:szCs w:val="32"/>
          <w:highlight w:val="none"/>
        </w:rPr>
        <w:t>章</w:t>
      </w:r>
      <w:r>
        <w:rPr>
          <w:rFonts w:hint="eastAsia" w:ascii="宋体" w:hAnsi="宋体" w:cs="宋体"/>
          <w:b/>
          <w:color w:val="auto"/>
          <w:sz w:val="32"/>
          <w:szCs w:val="32"/>
          <w:highlight w:val="none"/>
          <w:lang w:eastAsia="zh-CN"/>
        </w:rPr>
        <w:t>或电子签章</w:t>
      </w:r>
      <w:r>
        <w:rPr>
          <w:rFonts w:hint="eastAsia" w:ascii="宋体" w:hAnsi="宋体" w:cs="宋体"/>
          <w:b/>
          <w:color w:val="auto"/>
          <w:sz w:val="32"/>
          <w:szCs w:val="32"/>
          <w:highlight w:val="none"/>
        </w:rPr>
        <w:t>）：</w:t>
      </w:r>
      <w:r>
        <w:rPr>
          <w:rFonts w:hint="eastAsia" w:ascii="宋体" w:hAnsi="宋体" w:cs="宋体"/>
          <w:b/>
          <w:color w:val="auto"/>
          <w:sz w:val="32"/>
          <w:szCs w:val="32"/>
          <w:highlight w:val="none"/>
          <w:u w:val="single"/>
        </w:rPr>
        <w:t xml:space="preserve">                   </w:t>
      </w:r>
    </w:p>
    <w:p>
      <w:pPr>
        <w:autoSpaceDE w:val="0"/>
        <w:autoSpaceDN w:val="0"/>
        <w:adjustRightInd w:val="0"/>
        <w:spacing w:line="360" w:lineRule="auto"/>
        <w:rPr>
          <w:rFonts w:hint="eastAsia" w:ascii="宋体" w:hAnsi="宋体" w:cs="宋体"/>
          <w:b/>
          <w:color w:val="auto"/>
          <w:sz w:val="32"/>
          <w:szCs w:val="32"/>
          <w:highlight w:val="none"/>
        </w:rPr>
      </w:pPr>
    </w:p>
    <w:p>
      <w:pPr>
        <w:autoSpaceDE w:val="0"/>
        <w:autoSpaceDN w:val="0"/>
        <w:adjustRightInd w:val="0"/>
        <w:spacing w:line="360" w:lineRule="auto"/>
        <w:rPr>
          <w:rFonts w:hint="eastAsia" w:ascii="宋体" w:hAnsi="宋体" w:cs="宋体"/>
          <w:b/>
          <w:color w:val="auto"/>
          <w:sz w:val="32"/>
          <w:szCs w:val="32"/>
          <w:highlight w:val="none"/>
        </w:rPr>
      </w:pPr>
    </w:p>
    <w:p>
      <w:pPr>
        <w:autoSpaceDE w:val="0"/>
        <w:autoSpaceDN w:val="0"/>
        <w:adjustRightInd w:val="0"/>
        <w:spacing w:line="360" w:lineRule="auto"/>
        <w:rPr>
          <w:rFonts w:hint="eastAsia" w:ascii="宋体" w:hAnsi="宋体" w:cs="宋体"/>
          <w:b/>
          <w:color w:val="auto"/>
          <w:sz w:val="32"/>
          <w:szCs w:val="32"/>
          <w:highlight w:val="none"/>
        </w:rPr>
      </w:pPr>
    </w:p>
    <w:p>
      <w:pPr>
        <w:autoSpaceDE w:val="0"/>
        <w:autoSpaceDN w:val="0"/>
        <w:adjustRightInd w:val="0"/>
        <w:spacing w:line="360" w:lineRule="auto"/>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时间：    年   月   日</w:t>
      </w:r>
    </w:p>
    <w:p>
      <w:pPr>
        <w:autoSpaceDE w:val="0"/>
        <w:autoSpaceDN w:val="0"/>
        <w:adjustRightInd w:val="0"/>
        <w:rPr>
          <w:rFonts w:hint="eastAsia" w:ascii="宋体" w:hAnsi="宋体" w:cs="宋体"/>
          <w:bCs/>
          <w:color w:val="auto"/>
          <w:highlight w:val="none"/>
        </w:rPr>
      </w:pPr>
      <w:r>
        <w:rPr>
          <w:rFonts w:hint="eastAsia" w:ascii="宋体" w:hAnsi="宋体" w:cs="宋体"/>
          <w:color w:val="auto"/>
          <w:highlight w:val="none"/>
        </w:rPr>
        <w:br w:type="page"/>
      </w:r>
      <w:r>
        <w:rPr>
          <w:rFonts w:hint="eastAsia" w:ascii="宋体" w:hAnsi="宋体" w:cs="宋体"/>
          <w:bCs/>
          <w:color w:val="auto"/>
          <w:highlight w:val="none"/>
          <w:lang w:val="en-US" w:eastAsia="zh-CN"/>
        </w:rPr>
        <w:t>1.2</w:t>
      </w:r>
      <w:r>
        <w:rPr>
          <w:rFonts w:hint="eastAsia" w:ascii="宋体" w:hAnsi="宋体" w:cs="宋体"/>
          <w:bCs/>
          <w:color w:val="auto"/>
          <w:highlight w:val="none"/>
          <w:lang w:eastAsia="zh-CN"/>
        </w:rPr>
        <w:t>资格响应文件</w:t>
      </w:r>
      <w:r>
        <w:rPr>
          <w:rFonts w:hint="eastAsia" w:ascii="宋体" w:hAnsi="宋体" w:cs="宋体"/>
          <w:bCs/>
          <w:color w:val="auto"/>
          <w:highlight w:val="none"/>
        </w:rPr>
        <w:t>/</w:t>
      </w:r>
      <w:r>
        <w:rPr>
          <w:rFonts w:hint="eastAsia" w:ascii="宋体" w:hAnsi="宋体" w:cs="宋体"/>
          <w:bCs/>
          <w:color w:val="auto"/>
          <w:highlight w:val="none"/>
          <w:lang w:eastAsia="zh-CN"/>
        </w:rPr>
        <w:t>商务技术响应文件</w:t>
      </w:r>
      <w:r>
        <w:rPr>
          <w:rFonts w:hint="eastAsia" w:ascii="宋体" w:hAnsi="宋体" w:cs="宋体"/>
          <w:bCs/>
          <w:color w:val="auto"/>
          <w:highlight w:val="none"/>
        </w:rPr>
        <w:t>封面格式</w:t>
      </w:r>
    </w:p>
    <w:p>
      <w:pPr>
        <w:autoSpaceDE w:val="0"/>
        <w:autoSpaceDN w:val="0"/>
        <w:adjustRightInd w:val="0"/>
        <w:rPr>
          <w:rFonts w:hint="eastAsia" w:ascii="宋体" w:hAnsi="宋体" w:cs="宋体"/>
          <w:b/>
          <w:bCs/>
          <w:color w:val="auto"/>
          <w:highlight w:val="none"/>
        </w:rPr>
      </w:pPr>
    </w:p>
    <w:p>
      <w:pPr>
        <w:autoSpaceDE w:val="0"/>
        <w:autoSpaceDN w:val="0"/>
        <w:adjustRightInd w:val="0"/>
        <w:spacing w:line="360" w:lineRule="auto"/>
        <w:jc w:val="right"/>
        <w:rPr>
          <w:rFonts w:hint="eastAsia" w:ascii="宋体" w:hAnsi="宋体" w:cs="宋体"/>
          <w:b/>
          <w:color w:val="auto"/>
          <w:sz w:val="28"/>
          <w:szCs w:val="28"/>
          <w:highlight w:val="none"/>
        </w:rPr>
      </w:pPr>
      <w:r>
        <w:rPr>
          <w:rFonts w:hint="eastAsia" w:ascii="宋体" w:hAnsi="宋体" w:cs="宋体"/>
          <w:b/>
          <w:color w:val="auto"/>
          <w:sz w:val="32"/>
          <w:szCs w:val="32"/>
          <w:highlight w:val="none"/>
        </w:rPr>
        <w:t xml:space="preserve">               </w:t>
      </w:r>
    </w:p>
    <w:p>
      <w:pPr>
        <w:autoSpaceDE w:val="0"/>
        <w:autoSpaceDN w:val="0"/>
        <w:adjustRightInd w:val="0"/>
        <w:spacing w:line="360" w:lineRule="auto"/>
        <w:jc w:val="center"/>
        <w:rPr>
          <w:rFonts w:hint="eastAsia" w:ascii="宋体" w:hAnsi="宋体" w:cs="宋体"/>
          <w:b/>
          <w:color w:val="auto"/>
          <w:sz w:val="32"/>
          <w:szCs w:val="32"/>
          <w:highlight w:val="none"/>
        </w:rPr>
      </w:pPr>
    </w:p>
    <w:p>
      <w:pPr>
        <w:autoSpaceDE w:val="0"/>
        <w:autoSpaceDN w:val="0"/>
        <w:adjustRightInd w:val="0"/>
        <w:spacing w:line="360" w:lineRule="auto"/>
        <w:jc w:val="center"/>
        <w:rPr>
          <w:rFonts w:hint="eastAsia" w:ascii="宋体" w:hAnsi="宋体" w:cs="宋体"/>
          <w:b/>
          <w:color w:val="auto"/>
          <w:sz w:val="32"/>
          <w:szCs w:val="32"/>
          <w:highlight w:val="none"/>
        </w:rPr>
      </w:pPr>
      <w:r>
        <w:rPr>
          <w:rFonts w:hint="eastAsia" w:ascii="宋体" w:hAnsi="宋体" w:eastAsia="宋体" w:cs="宋体"/>
          <w:b/>
          <w:color w:val="auto"/>
          <w:sz w:val="32"/>
          <w:szCs w:val="32"/>
          <w:highlight w:val="none"/>
          <w:u w:val="single"/>
          <w:lang w:val="en-US" w:eastAsia="zh-CN"/>
        </w:rPr>
        <w:t xml:space="preserve">       项目名称       </w:t>
      </w:r>
    </w:p>
    <w:p>
      <w:pPr>
        <w:autoSpaceDE w:val="0"/>
        <w:autoSpaceDN w:val="0"/>
        <w:adjustRightInd w:val="0"/>
        <w:spacing w:line="360" w:lineRule="auto"/>
        <w:jc w:val="center"/>
        <w:rPr>
          <w:rFonts w:hint="eastAsia" w:ascii="宋体" w:hAnsi="宋体" w:cs="宋体"/>
          <w:color w:val="auto"/>
          <w:sz w:val="32"/>
          <w:szCs w:val="32"/>
          <w:highlight w:val="none"/>
          <w:u w:val="single"/>
        </w:rPr>
      </w:pPr>
    </w:p>
    <w:p>
      <w:pPr>
        <w:autoSpaceDE w:val="0"/>
        <w:autoSpaceDN w:val="0"/>
        <w:adjustRightInd w:val="0"/>
        <w:spacing w:line="360" w:lineRule="auto"/>
        <w:jc w:val="center"/>
        <w:rPr>
          <w:rFonts w:hint="eastAsia" w:ascii="宋体" w:hAnsi="宋体" w:cs="宋体"/>
          <w:b/>
          <w:color w:val="auto"/>
          <w:sz w:val="32"/>
          <w:szCs w:val="32"/>
          <w:highlight w:val="none"/>
        </w:rPr>
      </w:pPr>
    </w:p>
    <w:p>
      <w:pPr>
        <w:spacing w:line="360" w:lineRule="auto"/>
        <w:jc w:val="center"/>
        <w:rPr>
          <w:rFonts w:hint="eastAsia" w:ascii="宋体" w:hAnsi="宋体" w:cs="宋体"/>
          <w:color w:val="auto"/>
          <w:spacing w:val="40"/>
          <w:w w:val="90"/>
          <w:sz w:val="96"/>
          <w:szCs w:val="96"/>
          <w:highlight w:val="none"/>
          <w:lang w:bidi="th-TH"/>
        </w:rPr>
      </w:pPr>
      <w:r>
        <w:rPr>
          <w:rFonts w:hint="eastAsia" w:ascii="宋体" w:hAnsi="宋体" w:cs="宋体"/>
          <w:color w:val="auto"/>
          <w:spacing w:val="40"/>
          <w:w w:val="90"/>
          <w:sz w:val="96"/>
          <w:szCs w:val="96"/>
          <w:highlight w:val="none"/>
          <w:lang w:bidi="th-TH"/>
        </w:rPr>
        <w:t>投 标 文 件</w:t>
      </w:r>
    </w:p>
    <w:p>
      <w:pPr>
        <w:autoSpaceDE w:val="0"/>
        <w:autoSpaceDN w:val="0"/>
        <w:adjustRightInd w:val="0"/>
        <w:spacing w:line="360" w:lineRule="auto"/>
        <w:jc w:val="center"/>
        <w:rPr>
          <w:rFonts w:hint="eastAsia" w:ascii="宋体" w:hAnsi="宋体" w:cs="宋体"/>
          <w:b/>
          <w:color w:val="auto"/>
          <w:sz w:val="44"/>
          <w:szCs w:val="44"/>
          <w:highlight w:val="none"/>
        </w:rPr>
      </w:pPr>
      <w:r>
        <w:rPr>
          <w:rFonts w:hint="eastAsia" w:ascii="宋体" w:hAnsi="宋体" w:cs="宋体"/>
          <w:b/>
          <w:color w:val="auto"/>
          <w:sz w:val="44"/>
          <w:szCs w:val="44"/>
          <w:highlight w:val="none"/>
        </w:rPr>
        <w:t>（</w:t>
      </w:r>
      <w:r>
        <w:rPr>
          <w:rFonts w:hint="eastAsia" w:ascii="宋体" w:hAnsi="宋体" w:cs="宋体"/>
          <w:b/>
          <w:color w:val="auto"/>
          <w:sz w:val="44"/>
          <w:szCs w:val="44"/>
          <w:highlight w:val="none"/>
          <w:lang w:eastAsia="zh-CN"/>
        </w:rPr>
        <w:t>资格文件</w:t>
      </w:r>
      <w:r>
        <w:rPr>
          <w:rFonts w:hint="eastAsia" w:ascii="宋体" w:hAnsi="宋体" w:cs="宋体"/>
          <w:b/>
          <w:color w:val="auto"/>
          <w:sz w:val="44"/>
          <w:szCs w:val="44"/>
          <w:highlight w:val="none"/>
        </w:rPr>
        <w:t>/</w:t>
      </w:r>
      <w:r>
        <w:rPr>
          <w:rFonts w:hint="eastAsia" w:ascii="宋体" w:hAnsi="宋体" w:cs="宋体"/>
          <w:b/>
          <w:color w:val="auto"/>
          <w:sz w:val="44"/>
          <w:szCs w:val="44"/>
          <w:highlight w:val="none"/>
          <w:lang w:eastAsia="zh-CN"/>
        </w:rPr>
        <w:t>商务技术文件</w:t>
      </w:r>
      <w:r>
        <w:rPr>
          <w:rFonts w:hint="eastAsia" w:ascii="宋体" w:hAnsi="宋体" w:cs="宋体"/>
          <w:b/>
          <w:color w:val="auto"/>
          <w:sz w:val="44"/>
          <w:szCs w:val="44"/>
          <w:highlight w:val="none"/>
        </w:rPr>
        <w:t>）</w:t>
      </w:r>
    </w:p>
    <w:p>
      <w:pPr>
        <w:autoSpaceDE w:val="0"/>
        <w:autoSpaceDN w:val="0"/>
        <w:adjustRightInd w:val="0"/>
        <w:spacing w:line="360" w:lineRule="auto"/>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lang w:eastAsia="zh-CN"/>
        </w:rPr>
        <w:t>采购编号：ZJ-2272868</w:t>
      </w:r>
      <w:r>
        <w:rPr>
          <w:rFonts w:hint="eastAsia" w:ascii="宋体" w:hAnsi="宋体" w:cs="宋体"/>
          <w:b/>
          <w:color w:val="auto"/>
          <w:sz w:val="32"/>
          <w:szCs w:val="32"/>
          <w:highlight w:val="none"/>
        </w:rPr>
        <w:t xml:space="preserve">    </w:t>
      </w:r>
    </w:p>
    <w:p>
      <w:pPr>
        <w:autoSpaceDE w:val="0"/>
        <w:autoSpaceDN w:val="0"/>
        <w:adjustRightInd w:val="0"/>
        <w:spacing w:line="360" w:lineRule="auto"/>
        <w:rPr>
          <w:rFonts w:hint="eastAsia" w:ascii="宋体" w:hAnsi="宋体" w:cs="宋体"/>
          <w:b/>
          <w:color w:val="auto"/>
          <w:sz w:val="32"/>
          <w:szCs w:val="32"/>
          <w:highlight w:val="none"/>
        </w:rPr>
      </w:pPr>
    </w:p>
    <w:p>
      <w:pPr>
        <w:autoSpaceDE w:val="0"/>
        <w:autoSpaceDN w:val="0"/>
        <w:adjustRightInd w:val="0"/>
        <w:spacing w:line="360" w:lineRule="auto"/>
        <w:rPr>
          <w:rFonts w:hint="eastAsia" w:ascii="宋体" w:hAnsi="宋体" w:cs="宋体"/>
          <w:b/>
          <w:color w:val="auto"/>
          <w:sz w:val="32"/>
          <w:szCs w:val="32"/>
          <w:highlight w:val="none"/>
        </w:rPr>
      </w:pPr>
    </w:p>
    <w:p>
      <w:pPr>
        <w:autoSpaceDE w:val="0"/>
        <w:autoSpaceDN w:val="0"/>
        <w:adjustRightInd w:val="0"/>
        <w:spacing w:line="360" w:lineRule="auto"/>
        <w:rPr>
          <w:rFonts w:hint="eastAsia" w:ascii="宋体" w:hAnsi="宋体" w:cs="宋体"/>
          <w:b/>
          <w:color w:val="auto"/>
          <w:sz w:val="32"/>
          <w:szCs w:val="32"/>
          <w:highlight w:val="none"/>
        </w:rPr>
      </w:pPr>
    </w:p>
    <w:p>
      <w:pPr>
        <w:autoSpaceDE w:val="0"/>
        <w:autoSpaceDN w:val="0"/>
        <w:adjustRightInd w:val="0"/>
        <w:spacing w:line="360" w:lineRule="auto"/>
        <w:rPr>
          <w:rFonts w:hint="eastAsia" w:ascii="宋体" w:hAnsi="宋体" w:cs="宋体"/>
          <w:b/>
          <w:color w:val="auto"/>
          <w:sz w:val="32"/>
          <w:szCs w:val="32"/>
          <w:highlight w:val="none"/>
        </w:rPr>
      </w:pPr>
    </w:p>
    <w:p>
      <w:pPr>
        <w:autoSpaceDE w:val="0"/>
        <w:autoSpaceDN w:val="0"/>
        <w:adjustRightInd w:val="0"/>
        <w:spacing w:line="360" w:lineRule="auto"/>
        <w:rPr>
          <w:rFonts w:hint="eastAsia" w:ascii="宋体" w:hAnsi="宋体" w:cs="宋体"/>
          <w:b/>
          <w:color w:val="auto"/>
          <w:sz w:val="32"/>
          <w:szCs w:val="32"/>
          <w:highlight w:val="none"/>
        </w:rPr>
      </w:pPr>
    </w:p>
    <w:p>
      <w:pPr>
        <w:autoSpaceDE w:val="0"/>
        <w:autoSpaceDN w:val="0"/>
        <w:adjustRightInd w:val="0"/>
        <w:spacing w:line="360" w:lineRule="auto"/>
        <w:rPr>
          <w:rFonts w:hint="eastAsia" w:ascii="宋体" w:hAnsi="宋体" w:cs="宋体"/>
          <w:b/>
          <w:color w:val="auto"/>
          <w:sz w:val="32"/>
          <w:szCs w:val="32"/>
          <w:highlight w:val="none"/>
        </w:rPr>
      </w:pPr>
      <w:r>
        <w:rPr>
          <w:rFonts w:hint="eastAsia" w:ascii="宋体" w:hAnsi="宋体" w:cs="宋体"/>
          <w:b/>
          <w:color w:val="auto"/>
          <w:sz w:val="32"/>
          <w:szCs w:val="32"/>
          <w:highlight w:val="none"/>
        </w:rPr>
        <w:t>投标人名称（盖</w:t>
      </w:r>
      <w:r>
        <w:rPr>
          <w:rFonts w:hint="eastAsia" w:ascii="宋体" w:hAnsi="宋体" w:cs="宋体"/>
          <w:b/>
          <w:color w:val="auto"/>
          <w:sz w:val="32"/>
          <w:szCs w:val="32"/>
          <w:highlight w:val="none"/>
          <w:lang w:eastAsia="zh-CN"/>
        </w:rPr>
        <w:t>公</w:t>
      </w:r>
      <w:r>
        <w:rPr>
          <w:rFonts w:hint="eastAsia" w:ascii="宋体" w:hAnsi="宋体" w:cs="宋体"/>
          <w:b/>
          <w:color w:val="auto"/>
          <w:sz w:val="32"/>
          <w:szCs w:val="32"/>
          <w:highlight w:val="none"/>
        </w:rPr>
        <w:t>章</w:t>
      </w:r>
      <w:r>
        <w:rPr>
          <w:rFonts w:hint="eastAsia" w:ascii="宋体" w:hAnsi="宋体" w:cs="宋体"/>
          <w:b/>
          <w:color w:val="auto"/>
          <w:sz w:val="32"/>
          <w:szCs w:val="32"/>
          <w:highlight w:val="none"/>
          <w:lang w:eastAsia="zh-CN"/>
        </w:rPr>
        <w:t>或电子签章</w:t>
      </w:r>
      <w:r>
        <w:rPr>
          <w:rFonts w:hint="eastAsia" w:ascii="宋体" w:hAnsi="宋体" w:cs="宋体"/>
          <w:b/>
          <w:color w:val="auto"/>
          <w:sz w:val="32"/>
          <w:szCs w:val="32"/>
          <w:highlight w:val="none"/>
        </w:rPr>
        <w:t>）：</w:t>
      </w:r>
      <w:r>
        <w:rPr>
          <w:rFonts w:hint="eastAsia" w:ascii="宋体" w:hAnsi="宋体" w:cs="宋体"/>
          <w:b/>
          <w:color w:val="auto"/>
          <w:sz w:val="32"/>
          <w:szCs w:val="32"/>
          <w:highlight w:val="none"/>
          <w:u w:val="single"/>
        </w:rPr>
        <w:t xml:space="preserve">                             </w:t>
      </w:r>
    </w:p>
    <w:p>
      <w:pPr>
        <w:autoSpaceDE w:val="0"/>
        <w:autoSpaceDN w:val="0"/>
        <w:adjustRightInd w:val="0"/>
        <w:spacing w:line="360" w:lineRule="auto"/>
        <w:rPr>
          <w:rFonts w:hint="eastAsia" w:ascii="宋体" w:hAnsi="宋体" w:cs="宋体"/>
          <w:b/>
          <w:color w:val="auto"/>
          <w:sz w:val="32"/>
          <w:szCs w:val="32"/>
          <w:highlight w:val="none"/>
        </w:rPr>
      </w:pPr>
    </w:p>
    <w:p>
      <w:pPr>
        <w:autoSpaceDE w:val="0"/>
        <w:autoSpaceDN w:val="0"/>
        <w:adjustRightInd w:val="0"/>
        <w:spacing w:line="360" w:lineRule="auto"/>
        <w:rPr>
          <w:rFonts w:hint="eastAsia" w:ascii="宋体" w:hAnsi="宋体" w:cs="宋体"/>
          <w:b/>
          <w:color w:val="auto"/>
          <w:sz w:val="32"/>
          <w:szCs w:val="32"/>
          <w:highlight w:val="none"/>
        </w:rPr>
      </w:pPr>
    </w:p>
    <w:p>
      <w:pPr>
        <w:autoSpaceDE w:val="0"/>
        <w:autoSpaceDN w:val="0"/>
        <w:adjustRightInd w:val="0"/>
        <w:spacing w:line="360" w:lineRule="auto"/>
        <w:rPr>
          <w:rFonts w:hint="eastAsia" w:ascii="宋体" w:hAnsi="宋体" w:cs="宋体"/>
          <w:b/>
          <w:color w:val="auto"/>
          <w:sz w:val="32"/>
          <w:szCs w:val="32"/>
          <w:highlight w:val="none"/>
        </w:rPr>
      </w:pPr>
    </w:p>
    <w:p>
      <w:pPr>
        <w:autoSpaceDE w:val="0"/>
        <w:autoSpaceDN w:val="0"/>
        <w:adjustRightInd w:val="0"/>
        <w:spacing w:line="360" w:lineRule="auto"/>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时间：    年   月   日</w:t>
      </w:r>
    </w:p>
    <w:p>
      <w:pPr>
        <w:autoSpaceDE w:val="0"/>
        <w:autoSpaceDN w:val="0"/>
        <w:adjustRightInd w:val="0"/>
        <w:spacing w:line="360" w:lineRule="auto"/>
        <w:rPr>
          <w:rFonts w:hint="eastAsia" w:ascii="宋体" w:hAnsi="宋体" w:cs="宋体"/>
          <w:color w:val="auto"/>
          <w:highlight w:val="none"/>
        </w:rPr>
      </w:pPr>
    </w:p>
    <w:p>
      <w:pPr>
        <w:rPr>
          <w:rFonts w:hint="eastAsia" w:ascii="宋体" w:hAnsi="宋体" w:cs="宋体"/>
          <w:color w:val="auto"/>
          <w:highlight w:val="none"/>
        </w:rPr>
      </w:pPr>
      <w:r>
        <w:rPr>
          <w:rFonts w:hint="eastAsia" w:ascii="宋体" w:hAnsi="宋体" w:cs="宋体"/>
          <w:snapToGrid w:val="0"/>
          <w:color w:val="auto"/>
          <w:kern w:val="0"/>
          <w:highlight w:val="none"/>
        </w:rPr>
        <w:br w:type="page"/>
      </w:r>
    </w:p>
    <w:p>
      <w:pPr>
        <w:autoSpaceDE w:val="0"/>
        <w:autoSpaceDN w:val="0"/>
        <w:adjustRightInd w:val="0"/>
        <w:spacing w:line="360" w:lineRule="auto"/>
        <w:outlineLvl w:val="1"/>
        <w:rPr>
          <w:rFonts w:hint="eastAsia" w:ascii="宋体" w:hAnsi="宋体" w:eastAsia="宋体" w:cs="宋体"/>
          <w:b/>
          <w:bCs/>
          <w:color w:val="auto"/>
          <w:sz w:val="24"/>
          <w:highlight w:val="none"/>
          <w:lang w:eastAsia="zh-CN"/>
        </w:rPr>
      </w:pPr>
      <w:bookmarkStart w:id="394" w:name="_Toc15653"/>
      <w:bookmarkStart w:id="395" w:name="_Toc31523"/>
      <w:bookmarkStart w:id="396" w:name="_Toc11494"/>
      <w:bookmarkStart w:id="397" w:name="_Toc7360"/>
      <w:bookmarkStart w:id="398" w:name="_Toc18146"/>
      <w:r>
        <w:rPr>
          <w:rFonts w:hint="eastAsia" w:ascii="宋体" w:hAnsi="宋体" w:cs="宋体"/>
          <w:b/>
          <w:bCs/>
          <w:color w:val="auto"/>
          <w:sz w:val="24"/>
          <w:highlight w:val="none"/>
          <w:lang w:val="en-US" w:eastAsia="zh-CN"/>
        </w:rPr>
        <w:t>二</w:t>
      </w:r>
      <w:r>
        <w:rPr>
          <w:rFonts w:hint="eastAsia" w:ascii="宋体" w:hAnsi="宋体" w:cs="宋体"/>
          <w:b/>
          <w:bCs/>
          <w:color w:val="auto"/>
          <w:sz w:val="24"/>
          <w:highlight w:val="none"/>
        </w:rPr>
        <w:t>、</w:t>
      </w:r>
      <w:bookmarkEnd w:id="394"/>
      <w:bookmarkEnd w:id="395"/>
      <w:r>
        <w:rPr>
          <w:rFonts w:hint="eastAsia" w:ascii="宋体" w:hAnsi="宋体" w:cs="宋体"/>
          <w:b/>
          <w:bCs/>
          <w:color w:val="auto"/>
          <w:sz w:val="24"/>
          <w:highlight w:val="none"/>
          <w:lang w:eastAsia="zh-CN"/>
        </w:rPr>
        <w:t>资格响应文件</w:t>
      </w:r>
      <w:bookmarkEnd w:id="396"/>
      <w:bookmarkEnd w:id="397"/>
      <w:bookmarkEnd w:id="398"/>
    </w:p>
    <w:p>
      <w:pPr>
        <w:autoSpaceDE w:val="0"/>
        <w:autoSpaceDN w:val="0"/>
        <w:adjustRightInd w:val="0"/>
        <w:snapToGrid w:val="0"/>
        <w:spacing w:line="360" w:lineRule="auto"/>
        <w:ind w:right="420"/>
        <w:rPr>
          <w:rFonts w:hint="eastAsia" w:ascii="宋体" w:hAnsi="宋体" w:cs="宋体"/>
          <w:b/>
          <w:snapToGrid w:val="0"/>
          <w:color w:val="auto"/>
          <w:kern w:val="0"/>
          <w:highlight w:val="none"/>
        </w:rPr>
      </w:pPr>
      <w:r>
        <w:rPr>
          <w:rFonts w:hint="eastAsia" w:ascii="宋体" w:hAnsi="宋体" w:cs="宋体"/>
          <w:b/>
          <w:snapToGrid w:val="0"/>
          <w:color w:val="auto"/>
          <w:kern w:val="0"/>
          <w:highlight w:val="none"/>
          <w:lang w:val="en-US" w:eastAsia="zh-CN"/>
        </w:rPr>
        <w:t>2</w:t>
      </w:r>
      <w:r>
        <w:rPr>
          <w:rFonts w:hint="eastAsia" w:ascii="宋体" w:hAnsi="宋体" w:cs="宋体"/>
          <w:b/>
          <w:snapToGrid w:val="0"/>
          <w:color w:val="auto"/>
          <w:kern w:val="0"/>
          <w:highlight w:val="none"/>
        </w:rPr>
        <w:t>.1资格审查需要的资料</w:t>
      </w:r>
    </w:p>
    <w:tbl>
      <w:tblPr>
        <w:tblStyle w:val="1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335"/>
        <w:gridCol w:w="4338"/>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4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2335" w:type="dxa"/>
            <w:noWrap w:val="0"/>
            <w:vAlign w:val="center"/>
          </w:tcPr>
          <w:p>
            <w:pPr>
              <w:ind w:left="344" w:leftChars="114" w:hanging="105" w:hangingChars="50"/>
              <w:jc w:val="center"/>
              <w:rPr>
                <w:rFonts w:hint="eastAsia" w:ascii="宋体" w:hAnsi="宋体" w:cs="宋体"/>
                <w:color w:val="auto"/>
                <w:szCs w:val="21"/>
                <w:highlight w:val="none"/>
              </w:rPr>
            </w:pPr>
            <w:r>
              <w:rPr>
                <w:rFonts w:hint="eastAsia" w:ascii="宋体" w:hAnsi="宋体" w:cs="宋体"/>
                <w:color w:val="auto"/>
                <w:szCs w:val="21"/>
                <w:highlight w:val="none"/>
              </w:rPr>
              <w:t>评审因素</w:t>
            </w:r>
          </w:p>
        </w:tc>
        <w:tc>
          <w:tcPr>
            <w:tcW w:w="4338" w:type="dxa"/>
            <w:noWrap w:val="0"/>
            <w:vAlign w:val="center"/>
          </w:tcPr>
          <w:p>
            <w:pPr>
              <w:ind w:left="2"/>
              <w:jc w:val="center"/>
              <w:rPr>
                <w:rFonts w:hint="eastAsia" w:ascii="宋体" w:hAnsi="宋体" w:cs="宋体"/>
                <w:color w:val="auto"/>
                <w:szCs w:val="21"/>
                <w:highlight w:val="none"/>
              </w:rPr>
            </w:pPr>
            <w:r>
              <w:rPr>
                <w:rFonts w:hint="eastAsia" w:ascii="宋体" w:hAnsi="宋体" w:cs="宋体"/>
                <w:color w:val="auto"/>
                <w:szCs w:val="21"/>
                <w:highlight w:val="none"/>
              </w:rPr>
              <w:t>相关证明文件</w:t>
            </w:r>
          </w:p>
        </w:tc>
        <w:tc>
          <w:tcPr>
            <w:tcW w:w="1474" w:type="dxa"/>
            <w:noWrap w:val="0"/>
            <w:vAlign w:val="center"/>
          </w:tcPr>
          <w:p>
            <w:pPr>
              <w:ind w:left="2"/>
              <w:jc w:val="center"/>
              <w:rPr>
                <w:rFonts w:hint="eastAsia" w:ascii="宋体" w:hAnsi="宋体" w:cs="宋体"/>
                <w:color w:val="auto"/>
                <w:szCs w:val="21"/>
                <w:highlight w:val="none"/>
              </w:rPr>
            </w:pPr>
            <w:r>
              <w:rPr>
                <w:rFonts w:hint="eastAsia" w:ascii="宋体" w:hAnsi="宋体" w:cs="宋体"/>
                <w:color w:val="auto"/>
                <w:szCs w:val="21"/>
                <w:highlight w:val="none"/>
              </w:rPr>
              <w:t>申请人达到程度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4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2335" w:type="dxa"/>
            <w:noWrap w:val="0"/>
            <w:vAlign w:val="center"/>
          </w:tcPr>
          <w:p>
            <w:pPr>
              <w:widowControl/>
              <w:adjustRightInd w:val="0"/>
              <w:snapToGrid w:val="0"/>
              <w:jc w:val="left"/>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采购公告第</w:t>
            </w:r>
            <w:r>
              <w:rPr>
                <w:rFonts w:hint="eastAsia" w:ascii="宋体" w:hAnsi="宋体" w:cs="宋体"/>
                <w:b/>
                <w:snapToGrid w:val="0"/>
                <w:color w:val="auto"/>
                <w:kern w:val="0"/>
                <w:szCs w:val="21"/>
                <w:highlight w:val="none"/>
                <w:lang w:eastAsia="zh-CN"/>
              </w:rPr>
              <w:t>二</w:t>
            </w:r>
            <w:r>
              <w:rPr>
                <w:rFonts w:hint="eastAsia" w:ascii="宋体" w:hAnsi="宋体" w:cs="宋体"/>
                <w:b/>
                <w:snapToGrid w:val="0"/>
                <w:color w:val="auto"/>
                <w:kern w:val="0"/>
                <w:szCs w:val="21"/>
                <w:highlight w:val="none"/>
              </w:rPr>
              <w:t>条要求</w:t>
            </w:r>
          </w:p>
        </w:tc>
        <w:tc>
          <w:tcPr>
            <w:tcW w:w="4338" w:type="dxa"/>
            <w:noWrap w:val="0"/>
            <w:vAlign w:val="center"/>
          </w:tcPr>
          <w:p>
            <w:pPr>
              <w:tabs>
                <w:tab w:val="left" w:pos="720"/>
              </w:tabs>
              <w:adjustRightInd w:val="0"/>
              <w:snapToGrid w:val="0"/>
              <w:jc w:val="left"/>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采购文件投标须知9.1条规定的相关资料</w:t>
            </w:r>
          </w:p>
        </w:tc>
        <w:tc>
          <w:tcPr>
            <w:tcW w:w="1474" w:type="dxa"/>
            <w:noWrap w:val="0"/>
            <w:vAlign w:val="center"/>
          </w:tcPr>
          <w:p>
            <w:pPr>
              <w:adjustRightInd w:val="0"/>
              <w:snapToGrid w:val="0"/>
              <w:jc w:val="left"/>
              <w:rPr>
                <w:rFonts w:hint="eastAsia" w:ascii="宋体" w:hAnsi="宋体" w:cs="宋体"/>
                <w:color w:val="auto"/>
                <w:szCs w:val="21"/>
                <w:highlight w:val="none"/>
              </w:rPr>
            </w:pPr>
          </w:p>
        </w:tc>
      </w:tr>
    </w:tbl>
    <w:p>
      <w:pPr>
        <w:tabs>
          <w:tab w:val="left" w:pos="735"/>
        </w:tabs>
        <w:adjustRightInd w:val="0"/>
        <w:snapToGrid w:val="0"/>
        <w:spacing w:line="360" w:lineRule="auto"/>
        <w:rPr>
          <w:rFonts w:hint="eastAsia" w:ascii="宋体" w:hAnsi="宋体" w:cs="宋体"/>
          <w:b/>
          <w:color w:val="auto"/>
          <w:szCs w:val="21"/>
          <w:highlight w:val="none"/>
        </w:rPr>
      </w:pPr>
      <w:r>
        <w:rPr>
          <w:rFonts w:hint="eastAsia" w:ascii="宋体" w:hAnsi="宋体" w:cs="宋体"/>
          <w:b/>
          <w:snapToGrid w:val="0"/>
          <w:color w:val="auto"/>
          <w:kern w:val="0"/>
          <w:szCs w:val="21"/>
          <w:highlight w:val="none"/>
        </w:rPr>
        <w:t>注：证明材料附后。</w:t>
      </w:r>
    </w:p>
    <w:p>
      <w:pPr>
        <w:pStyle w:val="17"/>
        <w:tabs>
          <w:tab w:val="left" w:pos="630"/>
          <w:tab w:val="left" w:pos="840"/>
          <w:tab w:val="left" w:pos="1050"/>
        </w:tabs>
        <w:adjustRightInd w:val="0"/>
        <w:snapToGrid w:val="0"/>
        <w:spacing w:before="0" w:beforeAutospacing="0" w:after="0" w:afterAutospacing="0" w:line="360" w:lineRule="auto"/>
        <w:rPr>
          <w:rFonts w:hint="eastAsia" w:ascii="宋体" w:hAnsi="宋体" w:cs="宋体"/>
          <w:b/>
          <w:bCs/>
          <w:color w:val="auto"/>
          <w:sz w:val="21"/>
          <w:szCs w:val="21"/>
          <w:highlight w:val="none"/>
        </w:rPr>
      </w:pPr>
      <w:r>
        <w:rPr>
          <w:rFonts w:hint="eastAsia" w:ascii="宋体" w:hAnsi="宋体" w:cs="宋体"/>
          <w:color w:val="auto"/>
          <w:highlight w:val="none"/>
        </w:rPr>
        <w:br w:type="page"/>
      </w:r>
      <w:r>
        <w:rPr>
          <w:rFonts w:hint="eastAsia" w:ascii="宋体" w:hAnsi="宋体" w:cs="宋体"/>
          <w:b/>
          <w:color w:val="auto"/>
          <w:sz w:val="21"/>
          <w:szCs w:val="21"/>
          <w:highlight w:val="none"/>
          <w:lang w:val="en-US" w:eastAsia="zh-CN"/>
        </w:rPr>
        <w:t>2</w:t>
      </w:r>
      <w:r>
        <w:rPr>
          <w:rFonts w:hint="eastAsia" w:ascii="宋体" w:hAnsi="宋体" w:cs="宋体"/>
          <w:b/>
          <w:color w:val="auto"/>
          <w:sz w:val="21"/>
          <w:szCs w:val="21"/>
          <w:highlight w:val="none"/>
        </w:rPr>
        <w:t>.2基本资格条件相关证明材料</w:t>
      </w:r>
    </w:p>
    <w:p>
      <w:pPr>
        <w:pStyle w:val="17"/>
        <w:numPr>
          <w:ilvl w:val="0"/>
          <w:numId w:val="25"/>
        </w:numPr>
        <w:tabs>
          <w:tab w:val="left" w:pos="630"/>
          <w:tab w:val="left" w:pos="840"/>
          <w:tab w:val="left" w:pos="1050"/>
        </w:tabs>
        <w:adjustRightInd w:val="0"/>
        <w:snapToGrid w:val="0"/>
        <w:spacing w:before="0" w:beforeAutospacing="0" w:after="0" w:afterAutospacing="0" w:line="360" w:lineRule="auto"/>
        <w:ind w:hanging="5"/>
        <w:rPr>
          <w:rFonts w:hint="eastAsia" w:ascii="宋体" w:hAnsi="宋体" w:cs="宋体"/>
          <w:b/>
          <w:bCs/>
          <w:color w:val="auto"/>
          <w:sz w:val="21"/>
          <w:szCs w:val="21"/>
          <w:highlight w:val="none"/>
        </w:rPr>
      </w:pPr>
      <w:r>
        <w:rPr>
          <w:rFonts w:hint="eastAsia" w:ascii="宋体" w:hAnsi="宋体" w:eastAsia="宋体" w:cs="宋体"/>
          <w:b/>
          <w:bCs/>
          <w:color w:val="auto"/>
          <w:sz w:val="21"/>
          <w:szCs w:val="21"/>
          <w:highlight w:val="none"/>
          <w:lang w:eastAsia="zh-CN"/>
        </w:rPr>
        <w:t>具有独立承担民事责任能力的证明材料：</w:t>
      </w:r>
    </w:p>
    <w:p>
      <w:pPr>
        <w:pStyle w:val="17"/>
        <w:tabs>
          <w:tab w:val="left" w:pos="630"/>
          <w:tab w:val="left" w:pos="840"/>
          <w:tab w:val="left" w:pos="1050"/>
        </w:tabs>
        <w:adjustRightInd w:val="0"/>
        <w:snapToGrid w:val="0"/>
        <w:spacing w:before="0" w:beforeAutospacing="0" w:after="0" w:afterAutospacing="0" w:line="360" w:lineRule="auto"/>
        <w:ind w:left="42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投标人须在投标文件中出具符合以下情况的证明材料复印件（五选一）：</w:t>
      </w:r>
    </w:p>
    <w:p>
      <w:pPr>
        <w:pStyle w:val="17"/>
        <w:numPr>
          <w:ilvl w:val="0"/>
          <w:numId w:val="26"/>
        </w:numPr>
        <w:tabs>
          <w:tab w:val="left" w:pos="312"/>
        </w:tabs>
        <w:adjustRightInd w:val="0"/>
        <w:snapToGrid w:val="0"/>
        <w:spacing w:before="0" w:beforeAutospacing="0" w:after="0" w:afterAutospacing="0"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如投标人是企业（包括合伙企业），提供在工商部门注册的有效“企业法人营业执照”或“营业执照”；</w:t>
      </w:r>
    </w:p>
    <w:p>
      <w:pPr>
        <w:pStyle w:val="17"/>
        <w:numPr>
          <w:ilvl w:val="0"/>
          <w:numId w:val="26"/>
        </w:numPr>
        <w:tabs>
          <w:tab w:val="left" w:pos="312"/>
        </w:tabs>
        <w:adjustRightInd w:val="0"/>
        <w:snapToGrid w:val="0"/>
        <w:spacing w:before="0" w:beforeAutospacing="0" w:after="0" w:afterAutospacing="0"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如投标人是事业单位，提供有效的“事业单位法人证书”；</w:t>
      </w:r>
    </w:p>
    <w:p>
      <w:pPr>
        <w:pStyle w:val="17"/>
        <w:numPr>
          <w:ilvl w:val="0"/>
          <w:numId w:val="26"/>
        </w:numPr>
        <w:tabs>
          <w:tab w:val="left" w:pos="312"/>
        </w:tabs>
        <w:adjustRightInd w:val="0"/>
        <w:snapToGrid w:val="0"/>
        <w:spacing w:before="0" w:beforeAutospacing="0" w:after="0" w:afterAutospacing="0"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如投标人是非企业专业服务机构的，提供执业许可证等证明文件；</w:t>
      </w:r>
    </w:p>
    <w:p>
      <w:pPr>
        <w:pStyle w:val="17"/>
        <w:numPr>
          <w:ilvl w:val="0"/>
          <w:numId w:val="26"/>
        </w:numPr>
        <w:tabs>
          <w:tab w:val="left" w:pos="312"/>
        </w:tabs>
        <w:adjustRightInd w:val="0"/>
        <w:snapToGrid w:val="0"/>
        <w:spacing w:before="0" w:beforeAutospacing="0" w:after="0" w:afterAutospacing="0"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如投标人是个体工商户，提供有效的“个体工商户营业执照”；</w:t>
      </w:r>
    </w:p>
    <w:p>
      <w:pPr>
        <w:pStyle w:val="17"/>
        <w:numPr>
          <w:ilvl w:val="0"/>
          <w:numId w:val="26"/>
        </w:numPr>
        <w:tabs>
          <w:tab w:val="left" w:pos="312"/>
        </w:tabs>
        <w:adjustRightInd w:val="0"/>
        <w:snapToGrid w:val="0"/>
        <w:spacing w:before="0" w:beforeAutospacing="0" w:after="0" w:afterAutospacing="0"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如投标人是自然人，提供有效的自然人身份证明（居民身份证正反面或公安机关出具的临时居民身份证正反面或港澳台胞证或护照）。</w:t>
      </w:r>
    </w:p>
    <w:p>
      <w:pPr>
        <w:pStyle w:val="17"/>
        <w:tabs>
          <w:tab w:val="left" w:pos="312"/>
        </w:tabs>
        <w:adjustRightInd w:val="0"/>
        <w:snapToGrid w:val="0"/>
        <w:spacing w:before="0" w:beforeAutospacing="0" w:after="0" w:afterAutospacing="0" w:line="360" w:lineRule="auto"/>
        <w:ind w:left="420" w:left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br w:type="page"/>
      </w:r>
    </w:p>
    <w:p>
      <w:pPr>
        <w:pStyle w:val="17"/>
        <w:numPr>
          <w:ilvl w:val="0"/>
          <w:numId w:val="25"/>
        </w:numPr>
        <w:tabs>
          <w:tab w:val="left" w:pos="630"/>
          <w:tab w:val="left" w:pos="840"/>
          <w:tab w:val="left" w:pos="1050"/>
        </w:tabs>
        <w:adjustRightInd w:val="0"/>
        <w:snapToGrid w:val="0"/>
        <w:spacing w:before="0" w:beforeAutospacing="0" w:after="0" w:afterAutospacing="0" w:line="360" w:lineRule="auto"/>
        <w:ind w:hanging="5"/>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符合参与政府采购活动资格条件的承诺函：</w:t>
      </w:r>
    </w:p>
    <w:p>
      <w:pPr>
        <w:pStyle w:val="17"/>
        <w:numPr>
          <w:ilvl w:val="0"/>
          <w:numId w:val="0"/>
        </w:numPr>
        <w:adjustRightInd w:val="0"/>
        <w:snapToGrid w:val="0"/>
        <w:spacing w:before="0" w:beforeAutospacing="0" w:after="0" w:afterAutospacing="0" w:line="360" w:lineRule="auto"/>
        <w:ind w:leftChars="200"/>
        <w:rPr>
          <w:rFonts w:hint="eastAsia" w:ascii="宋体" w:hAnsi="宋体" w:cs="宋体"/>
          <w:b/>
          <w:bCs/>
          <w:color w:val="auto"/>
          <w:sz w:val="21"/>
          <w:szCs w:val="21"/>
          <w:highlight w:val="none"/>
        </w:rPr>
      </w:pPr>
    </w:p>
    <w:p>
      <w:pPr>
        <w:pStyle w:val="17"/>
        <w:adjustRightInd w:val="0"/>
        <w:snapToGrid w:val="0"/>
        <w:spacing w:before="0" w:beforeAutospacing="0" w:after="0" w:afterAutospacing="0" w:line="360" w:lineRule="auto"/>
        <w:ind w:left="0" w:leftChars="0" w:firstLine="0" w:firstLineChars="0"/>
        <w:jc w:val="center"/>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承诺函</w:t>
      </w:r>
    </w:p>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cs="宋体"/>
          <w:color w:val="auto"/>
          <w:szCs w:val="21"/>
          <w:highlight w:val="none"/>
          <w:u w:val="single"/>
        </w:rPr>
      </w:pPr>
    </w:p>
    <w:p>
      <w:pPr>
        <w:keepNext w:val="0"/>
        <w:keepLines w:val="0"/>
        <w:pageBreakBefore w:val="0"/>
        <w:kinsoku/>
        <w:wordWrap/>
        <w:overflowPunct/>
        <w:topLinePunct w:val="0"/>
        <w:autoSpaceDE/>
        <w:autoSpaceDN/>
        <w:bidi w:val="0"/>
        <w:adjustRightInd/>
        <w:snapToGrid/>
        <w:spacing w:line="480" w:lineRule="auto"/>
        <w:textAlignment w:val="auto"/>
        <w:rPr>
          <w:rFonts w:hint="eastAsia" w:ascii="宋体" w:hAnsi="宋体" w:cs="宋体"/>
          <w:b w:val="0"/>
          <w:bCs w:val="0"/>
          <w:color w:val="auto"/>
          <w:szCs w:val="21"/>
          <w:highlight w:val="none"/>
          <w:u w:val="single"/>
        </w:rPr>
      </w:pPr>
      <w:r>
        <w:rPr>
          <w:rFonts w:hint="eastAsia" w:ascii="宋体" w:hAnsi="宋体" w:cs="宋体"/>
          <w:b w:val="0"/>
          <w:bCs w:val="0"/>
          <w:color w:val="auto"/>
          <w:szCs w:val="21"/>
          <w:highlight w:val="none"/>
          <w:u w:val="single"/>
        </w:rPr>
        <w:t>（采购人）：</w:t>
      </w:r>
    </w:p>
    <w:p>
      <w:pPr>
        <w:pStyle w:val="17"/>
        <w:keepNext w:val="0"/>
        <w:keepLines w:val="0"/>
        <w:pageBreakBefore w:val="0"/>
        <w:kinsoku/>
        <w:wordWrap/>
        <w:overflowPunct/>
        <w:topLinePunct w:val="0"/>
        <w:autoSpaceDE/>
        <w:autoSpaceDN/>
        <w:bidi w:val="0"/>
        <w:adjustRightInd/>
        <w:snapToGrid/>
        <w:spacing w:before="0" w:beforeLines="0" w:beforeAutospacing="0" w:after="0" w:afterLines="0" w:afterAutospacing="0" w:line="480" w:lineRule="auto"/>
        <w:ind w:firstLine="843" w:firstLineChars="400"/>
        <w:textAlignment w:val="auto"/>
        <w:rPr>
          <w:rFonts w:hint="eastAsia" w:ascii="宋体" w:hAnsi="宋体" w:eastAsia="宋体" w:cs="宋体"/>
          <w:b/>
          <w:bCs/>
          <w:color w:val="auto"/>
          <w:sz w:val="21"/>
          <w:szCs w:val="21"/>
          <w:highlight w:val="none"/>
          <w:lang w:eastAsia="zh-CN"/>
        </w:rPr>
      </w:pPr>
    </w:p>
    <w:p>
      <w:pPr>
        <w:pStyle w:val="17"/>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480" w:lineRule="auto"/>
        <w:ind w:firstLine="422" w:firstLineChars="200"/>
        <w:textAlignment w:val="auto"/>
        <w:rPr>
          <w:rFonts w:hint="eastAsia" w:ascii="宋体" w:hAnsi="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lang w:eastAsia="zh-CN"/>
        </w:rPr>
        <w:t>我方</w:t>
      </w:r>
      <w:r>
        <w:rPr>
          <w:rFonts w:hint="eastAsia" w:ascii="宋体" w:hAnsi="宋体" w:eastAsia="宋体" w:cs="宋体"/>
          <w:b/>
          <w:bCs/>
          <w:color w:val="auto"/>
          <w:sz w:val="21"/>
          <w:szCs w:val="21"/>
          <w:highlight w:val="none"/>
          <w:u w:val="single"/>
          <w:lang w:val="en-US" w:eastAsia="zh-CN"/>
        </w:rPr>
        <w:t xml:space="preserve">    </w:t>
      </w:r>
      <w:r>
        <w:rPr>
          <w:rFonts w:hint="eastAsia" w:ascii="宋体" w:hAnsi="宋体" w:eastAsia="宋体" w:cs="宋体"/>
          <w:b/>
          <w:bCs/>
          <w:i/>
          <w:iCs/>
          <w:color w:val="auto"/>
          <w:sz w:val="21"/>
          <w:szCs w:val="21"/>
          <w:highlight w:val="none"/>
          <w:u w:val="single"/>
          <w:lang w:val="en-US" w:eastAsia="zh-CN"/>
        </w:rPr>
        <w:t>（投标人全称）</w:t>
      </w:r>
      <w:r>
        <w:rPr>
          <w:rFonts w:hint="eastAsia" w:ascii="宋体" w:hAnsi="宋体" w:eastAsia="宋体" w:cs="宋体"/>
          <w:b/>
          <w:bCs/>
          <w:color w:val="auto"/>
          <w:sz w:val="21"/>
          <w:szCs w:val="21"/>
          <w:highlight w:val="none"/>
          <w:u w:val="single"/>
          <w:lang w:val="en-US" w:eastAsia="zh-CN"/>
        </w:rPr>
        <w:t xml:space="preserve"> </w:t>
      </w:r>
      <w:r>
        <w:rPr>
          <w:rFonts w:hint="eastAsia" w:ascii="宋体" w:hAnsi="宋体" w:cs="宋体"/>
          <w:b/>
          <w:bCs/>
          <w:color w:val="auto"/>
          <w:sz w:val="21"/>
          <w:szCs w:val="21"/>
          <w:highlight w:val="none"/>
          <w:u w:val="single"/>
          <w:lang w:val="en-US" w:eastAsia="zh-CN"/>
        </w:rPr>
        <w:t xml:space="preserve"> </w:t>
      </w:r>
      <w:r>
        <w:rPr>
          <w:rFonts w:hint="eastAsia" w:ascii="宋体" w:hAnsi="宋体" w:cs="宋体"/>
          <w:b/>
          <w:bCs/>
          <w:color w:val="auto"/>
          <w:sz w:val="21"/>
          <w:szCs w:val="21"/>
          <w:highlight w:val="none"/>
          <w:u w:val="none"/>
          <w:lang w:val="en-US" w:eastAsia="zh-CN"/>
        </w:rPr>
        <w:t>参与</w:t>
      </w:r>
      <w:r>
        <w:rPr>
          <w:rFonts w:hint="eastAsia" w:ascii="宋体" w:hAnsi="宋体" w:eastAsia="宋体" w:cs="宋体"/>
          <w:b/>
          <w:bCs/>
          <w:color w:val="auto"/>
          <w:sz w:val="21"/>
          <w:szCs w:val="21"/>
          <w:highlight w:val="none"/>
          <w:u w:val="single"/>
          <w:lang w:val="en-US" w:eastAsia="zh-CN"/>
        </w:rPr>
        <w:t xml:space="preserve">    </w:t>
      </w:r>
      <w:r>
        <w:rPr>
          <w:rFonts w:hint="eastAsia" w:ascii="宋体" w:hAnsi="宋体" w:eastAsia="宋体" w:cs="宋体"/>
          <w:b/>
          <w:bCs/>
          <w:i/>
          <w:iCs/>
          <w:color w:val="auto"/>
          <w:sz w:val="21"/>
          <w:szCs w:val="21"/>
          <w:highlight w:val="none"/>
          <w:u w:val="single"/>
          <w:lang w:val="en-US" w:eastAsia="zh-CN"/>
        </w:rPr>
        <w:t xml:space="preserve">  （项目名称）</w:t>
      </w:r>
      <w:r>
        <w:rPr>
          <w:rFonts w:hint="eastAsia" w:ascii="宋体" w:hAnsi="宋体" w:cs="宋体"/>
          <w:b/>
          <w:bCs/>
          <w:i/>
          <w:iCs/>
          <w:color w:val="auto"/>
          <w:sz w:val="21"/>
          <w:szCs w:val="21"/>
          <w:highlight w:val="none"/>
          <w:u w:val="single"/>
          <w:lang w:val="en-US" w:eastAsia="zh-CN"/>
        </w:rPr>
        <w:t xml:space="preserve">   </w:t>
      </w:r>
      <w:r>
        <w:rPr>
          <w:rFonts w:hint="eastAsia" w:ascii="宋体" w:hAnsi="宋体" w:eastAsia="宋体" w:cs="宋体"/>
          <w:b/>
          <w:bCs/>
          <w:color w:val="auto"/>
          <w:sz w:val="21"/>
          <w:szCs w:val="21"/>
          <w:highlight w:val="none"/>
          <w:u w:val="none"/>
          <w:lang w:val="en-US" w:eastAsia="zh-CN"/>
        </w:rPr>
        <w:t>政府采购活动，</w:t>
      </w:r>
      <w:r>
        <w:rPr>
          <w:rFonts w:hint="eastAsia" w:ascii="宋体" w:hAnsi="宋体" w:cs="宋体"/>
          <w:b/>
          <w:bCs/>
          <w:color w:val="auto"/>
          <w:sz w:val="21"/>
          <w:szCs w:val="21"/>
          <w:highlight w:val="none"/>
          <w:u w:val="none"/>
          <w:lang w:val="en-US" w:eastAsia="zh-CN"/>
        </w:rPr>
        <w:t>针对《中华人民共和国政府采购法》第二十二条所述条件做如下承诺：</w:t>
      </w:r>
    </w:p>
    <w:p>
      <w:pPr>
        <w:pStyle w:val="17"/>
        <w:keepNext w:val="0"/>
        <w:keepLines w:val="0"/>
        <w:pageBreakBefore w:val="0"/>
        <w:numPr>
          <w:ilvl w:val="0"/>
          <w:numId w:val="27"/>
        </w:numPr>
        <w:shd w:val="clear" w:color="auto" w:fill="FFFFFF"/>
        <w:kinsoku/>
        <w:wordWrap/>
        <w:overflowPunct/>
        <w:topLinePunct w:val="0"/>
        <w:autoSpaceDE/>
        <w:autoSpaceDN/>
        <w:bidi w:val="0"/>
        <w:adjustRightInd/>
        <w:snapToGrid/>
        <w:spacing w:before="0" w:beforeLines="0" w:beforeAutospacing="0" w:after="0" w:afterLines="0" w:afterAutospacing="0" w:line="480" w:lineRule="auto"/>
        <w:ind w:firstLine="422" w:firstLineChars="200"/>
        <w:textAlignment w:val="auto"/>
        <w:rPr>
          <w:rFonts w:hint="eastAsia" w:ascii="宋体" w:hAnsi="宋体" w:cs="宋体"/>
          <w:b/>
          <w:bCs/>
          <w:color w:val="auto"/>
          <w:sz w:val="21"/>
          <w:szCs w:val="21"/>
          <w:highlight w:val="none"/>
          <w:u w:val="none"/>
          <w:lang w:eastAsia="zh-CN"/>
        </w:rPr>
      </w:pPr>
      <w:r>
        <w:rPr>
          <w:rFonts w:hint="eastAsia" w:ascii="宋体" w:hAnsi="宋体" w:cs="宋体"/>
          <w:b/>
          <w:bCs/>
          <w:color w:val="auto"/>
          <w:sz w:val="21"/>
          <w:szCs w:val="21"/>
          <w:highlight w:val="none"/>
          <w:lang w:val="en-US" w:eastAsia="zh-CN"/>
        </w:rPr>
        <w:t>我方</w:t>
      </w:r>
      <w:r>
        <w:rPr>
          <w:rFonts w:hint="eastAsia" w:ascii="宋体" w:hAnsi="宋体" w:eastAsia="宋体" w:cs="宋体"/>
          <w:b/>
          <w:bCs/>
          <w:color w:val="auto"/>
          <w:sz w:val="21"/>
          <w:szCs w:val="21"/>
          <w:highlight w:val="none"/>
          <w:lang w:eastAsia="zh-CN"/>
        </w:rPr>
        <w:t>具有</w:t>
      </w:r>
      <w:r>
        <w:rPr>
          <w:rFonts w:hint="eastAsia" w:ascii="宋体" w:hAnsi="宋体" w:cs="宋体"/>
          <w:b/>
          <w:bCs/>
          <w:color w:val="auto"/>
          <w:sz w:val="21"/>
          <w:szCs w:val="21"/>
          <w:highlight w:val="none"/>
          <w:lang w:eastAsia="zh-CN"/>
        </w:rPr>
        <w:t>良好的商业信誉和</w:t>
      </w:r>
      <w:r>
        <w:rPr>
          <w:rFonts w:hint="eastAsia" w:ascii="宋体" w:hAnsi="宋体" w:eastAsia="宋体" w:cs="宋体"/>
          <w:b/>
          <w:bCs/>
          <w:color w:val="auto"/>
          <w:sz w:val="21"/>
          <w:szCs w:val="21"/>
          <w:highlight w:val="none"/>
          <w:u w:val="none"/>
          <w:lang w:eastAsia="zh-CN"/>
        </w:rPr>
        <w:t>健全的财务会计制度</w:t>
      </w:r>
      <w:r>
        <w:rPr>
          <w:rFonts w:hint="eastAsia" w:ascii="宋体" w:hAnsi="宋体" w:cs="宋体"/>
          <w:b/>
          <w:bCs/>
          <w:color w:val="auto"/>
          <w:sz w:val="21"/>
          <w:szCs w:val="21"/>
          <w:highlight w:val="none"/>
          <w:u w:val="none"/>
          <w:lang w:eastAsia="zh-CN"/>
        </w:rPr>
        <w:t>；</w:t>
      </w:r>
    </w:p>
    <w:p>
      <w:pPr>
        <w:pStyle w:val="17"/>
        <w:keepNext w:val="0"/>
        <w:keepLines w:val="0"/>
        <w:pageBreakBefore w:val="0"/>
        <w:numPr>
          <w:ilvl w:val="0"/>
          <w:numId w:val="27"/>
        </w:numPr>
        <w:shd w:val="clear" w:color="auto" w:fill="FFFFFF"/>
        <w:kinsoku/>
        <w:wordWrap/>
        <w:overflowPunct/>
        <w:topLinePunct w:val="0"/>
        <w:autoSpaceDE/>
        <w:autoSpaceDN/>
        <w:bidi w:val="0"/>
        <w:adjustRightInd/>
        <w:snapToGrid/>
        <w:spacing w:before="0" w:beforeLines="0" w:beforeAutospacing="0" w:after="0" w:afterLines="0" w:afterAutospacing="0" w:line="480" w:lineRule="auto"/>
        <w:ind w:firstLine="422" w:firstLineChars="200"/>
        <w:textAlignment w:val="auto"/>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eastAsia="zh-CN"/>
        </w:rPr>
        <w:t>我方</w:t>
      </w:r>
      <w:r>
        <w:rPr>
          <w:rFonts w:hint="eastAsia" w:ascii="宋体" w:hAnsi="宋体" w:eastAsia="宋体" w:cs="宋体"/>
          <w:b/>
          <w:bCs/>
          <w:color w:val="auto"/>
          <w:sz w:val="21"/>
          <w:szCs w:val="21"/>
          <w:highlight w:val="none"/>
          <w:lang w:eastAsia="zh-CN"/>
        </w:rPr>
        <w:t>具有履行</w:t>
      </w:r>
      <w:r>
        <w:rPr>
          <w:rFonts w:hint="eastAsia" w:ascii="宋体" w:hAnsi="宋体" w:cs="宋体"/>
          <w:b/>
          <w:bCs/>
          <w:color w:val="auto"/>
          <w:sz w:val="21"/>
          <w:szCs w:val="21"/>
          <w:highlight w:val="none"/>
          <w:lang w:eastAsia="zh-CN"/>
        </w:rPr>
        <w:t>本项目</w:t>
      </w:r>
      <w:r>
        <w:rPr>
          <w:rFonts w:hint="eastAsia" w:ascii="宋体" w:hAnsi="宋体" w:eastAsia="宋体" w:cs="宋体"/>
          <w:b/>
          <w:bCs/>
          <w:color w:val="auto"/>
          <w:sz w:val="21"/>
          <w:szCs w:val="21"/>
          <w:highlight w:val="none"/>
          <w:lang w:eastAsia="zh-CN"/>
        </w:rPr>
        <w:t>合同所必需的设备和专业技术能力</w:t>
      </w:r>
      <w:r>
        <w:rPr>
          <w:rFonts w:hint="eastAsia" w:ascii="宋体" w:hAnsi="宋体" w:cs="宋体"/>
          <w:b/>
          <w:bCs/>
          <w:color w:val="auto"/>
          <w:sz w:val="21"/>
          <w:szCs w:val="21"/>
          <w:highlight w:val="none"/>
          <w:lang w:eastAsia="zh-CN"/>
        </w:rPr>
        <w:t>；</w:t>
      </w:r>
    </w:p>
    <w:p>
      <w:pPr>
        <w:pStyle w:val="17"/>
        <w:keepNext w:val="0"/>
        <w:keepLines w:val="0"/>
        <w:pageBreakBefore w:val="0"/>
        <w:numPr>
          <w:ilvl w:val="0"/>
          <w:numId w:val="27"/>
        </w:numPr>
        <w:shd w:val="clear" w:color="auto" w:fill="FFFFFF"/>
        <w:kinsoku/>
        <w:wordWrap/>
        <w:overflowPunct/>
        <w:topLinePunct w:val="0"/>
        <w:autoSpaceDE/>
        <w:autoSpaceDN/>
        <w:bidi w:val="0"/>
        <w:adjustRightInd/>
        <w:snapToGrid/>
        <w:spacing w:before="0" w:beforeLines="0" w:beforeAutospacing="0" w:after="0" w:afterLines="0" w:afterAutospacing="0" w:line="480" w:lineRule="auto"/>
        <w:ind w:firstLine="422" w:firstLineChars="200"/>
        <w:textAlignment w:val="auto"/>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u w:val="none"/>
          <w:lang w:eastAsia="zh-CN"/>
        </w:rPr>
        <w:t>我方</w:t>
      </w:r>
      <w:r>
        <w:rPr>
          <w:rFonts w:hint="eastAsia" w:ascii="宋体" w:hAnsi="宋体" w:eastAsia="宋体" w:cs="宋体"/>
          <w:b/>
          <w:bCs/>
          <w:color w:val="auto"/>
          <w:sz w:val="21"/>
          <w:szCs w:val="21"/>
          <w:highlight w:val="none"/>
          <w:u w:val="none"/>
          <w:lang w:eastAsia="zh-CN"/>
        </w:rPr>
        <w:t>没有缴纳税收和社会保障等方面的失信记录</w:t>
      </w:r>
      <w:r>
        <w:rPr>
          <w:rFonts w:hint="eastAsia" w:ascii="宋体" w:hAnsi="宋体" w:cs="宋体"/>
          <w:b/>
          <w:bCs/>
          <w:color w:val="auto"/>
          <w:sz w:val="21"/>
          <w:szCs w:val="21"/>
          <w:highlight w:val="none"/>
          <w:u w:val="none"/>
          <w:lang w:eastAsia="zh-CN"/>
        </w:rPr>
        <w:t>；</w:t>
      </w:r>
    </w:p>
    <w:p>
      <w:pPr>
        <w:pStyle w:val="17"/>
        <w:keepNext w:val="0"/>
        <w:keepLines w:val="0"/>
        <w:pageBreakBefore w:val="0"/>
        <w:numPr>
          <w:ilvl w:val="0"/>
          <w:numId w:val="27"/>
        </w:numPr>
        <w:shd w:val="clear" w:color="auto" w:fill="FFFFFF"/>
        <w:kinsoku/>
        <w:wordWrap/>
        <w:overflowPunct/>
        <w:topLinePunct w:val="0"/>
        <w:autoSpaceDE/>
        <w:autoSpaceDN/>
        <w:bidi w:val="0"/>
        <w:adjustRightInd/>
        <w:snapToGrid/>
        <w:spacing w:before="0" w:beforeLines="0" w:beforeAutospacing="0" w:after="0" w:afterLines="0" w:afterAutospacing="0" w:line="480" w:lineRule="auto"/>
        <w:ind w:firstLine="422" w:firstLineChars="20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我方在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pPr>
        <w:pStyle w:val="17"/>
        <w:keepNext w:val="0"/>
        <w:keepLines w:val="0"/>
        <w:pageBreakBefore w:val="0"/>
        <w:kinsoku/>
        <w:wordWrap/>
        <w:overflowPunct/>
        <w:topLinePunct w:val="0"/>
        <w:autoSpaceDE/>
        <w:autoSpaceDN/>
        <w:bidi w:val="0"/>
        <w:adjustRightInd/>
        <w:snapToGrid/>
        <w:spacing w:before="0" w:beforeLines="0" w:beforeAutospacing="0" w:after="0" w:afterLines="0" w:afterAutospacing="0" w:line="480" w:lineRule="auto"/>
        <w:ind w:firstLine="422" w:firstLineChars="200"/>
        <w:textAlignment w:val="auto"/>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我方对上述承诺内容的真实性负责。如有虚假，将依法承担相应责任。</w:t>
      </w:r>
    </w:p>
    <w:p>
      <w:pPr>
        <w:pStyle w:val="17"/>
        <w:keepNext w:val="0"/>
        <w:keepLines w:val="0"/>
        <w:pageBreakBefore w:val="0"/>
        <w:kinsoku/>
        <w:wordWrap/>
        <w:overflowPunct/>
        <w:topLinePunct w:val="0"/>
        <w:autoSpaceDE/>
        <w:autoSpaceDN/>
        <w:bidi w:val="0"/>
        <w:adjustRightInd/>
        <w:snapToGrid/>
        <w:spacing w:before="0" w:beforeLines="0" w:beforeAutospacing="0" w:after="0" w:afterLines="0" w:afterAutospacing="0" w:line="480" w:lineRule="auto"/>
        <w:ind w:firstLine="422" w:firstLineChars="200"/>
        <w:textAlignment w:val="auto"/>
        <w:rPr>
          <w:rFonts w:hint="eastAsia" w:ascii="宋体" w:hAnsi="宋体" w:eastAsia="宋体" w:cs="宋体"/>
          <w:b/>
          <w:bCs/>
          <w:color w:val="auto"/>
          <w:sz w:val="21"/>
          <w:szCs w:val="21"/>
          <w:highlight w:val="none"/>
          <w:u w:val="none"/>
          <w:lang w:val="en-US" w:eastAsia="zh-CN"/>
        </w:rPr>
      </w:pPr>
    </w:p>
    <w:p>
      <w:pPr>
        <w:pStyle w:val="17"/>
        <w:keepNext w:val="0"/>
        <w:keepLines w:val="0"/>
        <w:pageBreakBefore w:val="0"/>
        <w:kinsoku/>
        <w:wordWrap/>
        <w:overflowPunct/>
        <w:topLinePunct w:val="0"/>
        <w:autoSpaceDE/>
        <w:autoSpaceDN/>
        <w:bidi w:val="0"/>
        <w:adjustRightInd/>
        <w:snapToGrid/>
        <w:spacing w:before="0" w:beforeLines="0" w:beforeAutospacing="0" w:after="0" w:afterLines="0" w:afterAutospacing="0" w:line="480" w:lineRule="auto"/>
        <w:ind w:firstLine="422" w:firstLineChars="200"/>
        <w:textAlignment w:val="auto"/>
        <w:rPr>
          <w:rFonts w:hint="eastAsia" w:ascii="宋体" w:hAnsi="宋体" w:eastAsia="宋体" w:cs="宋体"/>
          <w:b/>
          <w:bCs/>
          <w:color w:val="auto"/>
          <w:sz w:val="21"/>
          <w:szCs w:val="21"/>
          <w:highlight w:val="none"/>
          <w:u w:val="none"/>
          <w:lang w:val="en-US" w:eastAsia="zh-CN"/>
        </w:rPr>
      </w:pPr>
    </w:p>
    <w:p>
      <w:pPr>
        <w:pStyle w:val="17"/>
        <w:keepNext w:val="0"/>
        <w:keepLines w:val="0"/>
        <w:pageBreakBefore w:val="0"/>
        <w:kinsoku/>
        <w:wordWrap/>
        <w:overflowPunct/>
        <w:topLinePunct w:val="0"/>
        <w:autoSpaceDE/>
        <w:autoSpaceDN/>
        <w:bidi w:val="0"/>
        <w:adjustRightInd/>
        <w:snapToGrid/>
        <w:spacing w:before="0" w:beforeLines="0" w:beforeAutospacing="0" w:after="0" w:afterLines="0" w:afterAutospacing="0" w:line="480" w:lineRule="auto"/>
        <w:ind w:firstLine="420" w:firstLineChars="200"/>
        <w:textAlignment w:val="auto"/>
        <w:rPr>
          <w:rFonts w:hint="eastAsia" w:ascii="宋体" w:hAnsi="宋体" w:eastAsia="宋体" w:cs="宋体"/>
          <w:b w:val="0"/>
          <w:bCs w:val="0"/>
          <w:color w:val="auto"/>
          <w:sz w:val="21"/>
          <w:szCs w:val="21"/>
          <w:highlight w:val="none"/>
          <w:u w:val="none"/>
          <w:lang w:val="en-US" w:eastAsia="zh-CN"/>
        </w:rPr>
      </w:pPr>
      <w:r>
        <w:rPr>
          <w:rFonts w:hint="eastAsia" w:ascii="宋体" w:hAnsi="宋体" w:eastAsia="宋体" w:cs="宋体"/>
          <w:b w:val="0"/>
          <w:bCs w:val="0"/>
          <w:color w:val="auto"/>
          <w:sz w:val="21"/>
          <w:szCs w:val="21"/>
          <w:highlight w:val="none"/>
          <w:u w:val="none"/>
          <w:lang w:val="en-US" w:eastAsia="zh-CN"/>
        </w:rPr>
        <w:t xml:space="preserve">供应商名称（盖公章或电子签章） ： </w:t>
      </w:r>
    </w:p>
    <w:p>
      <w:pPr>
        <w:pStyle w:val="17"/>
        <w:keepNext w:val="0"/>
        <w:keepLines w:val="0"/>
        <w:pageBreakBefore w:val="0"/>
        <w:kinsoku/>
        <w:wordWrap/>
        <w:overflowPunct/>
        <w:topLinePunct w:val="0"/>
        <w:autoSpaceDE/>
        <w:autoSpaceDN/>
        <w:bidi w:val="0"/>
        <w:adjustRightInd/>
        <w:snapToGrid/>
        <w:spacing w:before="0" w:beforeLines="0" w:beforeAutospacing="0" w:after="0" w:afterLines="0" w:afterAutospacing="0" w:line="480" w:lineRule="auto"/>
        <w:ind w:firstLine="420" w:firstLineChars="200"/>
        <w:textAlignment w:val="auto"/>
        <w:rPr>
          <w:rFonts w:hint="eastAsia" w:ascii="宋体" w:hAnsi="宋体" w:eastAsia="宋体" w:cs="宋体"/>
          <w:b w:val="0"/>
          <w:bCs w:val="0"/>
          <w:color w:val="auto"/>
          <w:sz w:val="21"/>
          <w:szCs w:val="21"/>
          <w:highlight w:val="none"/>
          <w:u w:val="none"/>
          <w:lang w:val="en-US" w:eastAsia="zh-CN"/>
        </w:rPr>
      </w:pPr>
    </w:p>
    <w:p>
      <w:pPr>
        <w:pStyle w:val="17"/>
        <w:keepNext w:val="0"/>
        <w:keepLines w:val="0"/>
        <w:pageBreakBefore w:val="0"/>
        <w:kinsoku/>
        <w:wordWrap/>
        <w:overflowPunct/>
        <w:topLinePunct w:val="0"/>
        <w:autoSpaceDE/>
        <w:autoSpaceDN/>
        <w:bidi w:val="0"/>
        <w:adjustRightInd/>
        <w:snapToGrid/>
        <w:spacing w:before="0" w:beforeLines="0" w:beforeAutospacing="0" w:after="0" w:afterLines="0" w:afterAutospacing="0" w:line="480" w:lineRule="auto"/>
        <w:ind w:firstLine="420" w:firstLineChars="200"/>
        <w:textAlignment w:val="auto"/>
        <w:rPr>
          <w:rFonts w:hint="eastAsia" w:ascii="宋体" w:hAnsi="宋体" w:eastAsia="宋体" w:cs="宋体"/>
          <w:b w:val="0"/>
          <w:bCs w:val="0"/>
          <w:color w:val="auto"/>
          <w:sz w:val="21"/>
          <w:szCs w:val="21"/>
          <w:highlight w:val="none"/>
          <w:u w:val="none"/>
          <w:lang w:val="en-US" w:eastAsia="zh-CN"/>
        </w:rPr>
      </w:pPr>
      <w:r>
        <w:rPr>
          <w:rFonts w:hint="eastAsia" w:ascii="宋体" w:hAnsi="宋体" w:eastAsia="宋体" w:cs="宋体"/>
          <w:b w:val="0"/>
          <w:bCs w:val="0"/>
          <w:color w:val="auto"/>
          <w:sz w:val="21"/>
          <w:szCs w:val="21"/>
          <w:highlight w:val="none"/>
          <w:u w:val="none"/>
          <w:lang w:val="en-US" w:eastAsia="zh-CN"/>
        </w:rPr>
        <w:t xml:space="preserve">日期：  年  月  日    </w:t>
      </w: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firstLine="422" w:firstLineChars="200"/>
        <w:textAlignment w:val="auto"/>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bCs/>
          <w:color w:val="auto"/>
          <w:sz w:val="21"/>
          <w:szCs w:val="21"/>
          <w:highlight w:val="none"/>
          <w:u w:val="none"/>
          <w:lang w:val="en-US" w:eastAsia="zh-CN"/>
        </w:rPr>
        <w:t>特别说明：已完成信用修复的“缴纳税收和社会保障等方面的失信记录”不包含在上述第3点所述情形内（属于重大违法纪录情形的除外）。</w:t>
      </w:r>
    </w:p>
    <w:p>
      <w:pPr>
        <w:tabs>
          <w:tab w:val="left" w:pos="4860"/>
        </w:tabs>
        <w:spacing w:line="588" w:lineRule="exact"/>
        <w:ind w:right="1560" w:firstLine="422" w:firstLineChars="200"/>
        <w:jc w:val="center"/>
        <w:rPr>
          <w:rFonts w:hint="eastAsia" w:ascii="宋体" w:hAnsi="宋体" w:eastAsia="宋体" w:cs="宋体"/>
          <w:color w:val="auto"/>
          <w:spacing w:val="6"/>
          <w:szCs w:val="21"/>
          <w:highlight w:val="none"/>
          <w:lang w:eastAsia="zh-CN"/>
        </w:rPr>
      </w:pPr>
      <w:r>
        <w:rPr>
          <w:rFonts w:hint="eastAsia" w:ascii="宋体" w:hAnsi="宋体" w:eastAsia="宋体" w:cs="宋体"/>
          <w:b/>
          <w:bCs/>
          <w:color w:val="auto"/>
          <w:sz w:val="21"/>
          <w:szCs w:val="21"/>
          <w:highlight w:val="none"/>
          <w:u w:val="none"/>
          <w:lang w:val="en-US" w:eastAsia="zh-CN"/>
        </w:rPr>
        <w:br w:type="page"/>
      </w:r>
      <w:r>
        <w:rPr>
          <w:rFonts w:hint="eastAsia" w:ascii="宋体" w:hAnsi="宋体" w:eastAsia="宋体" w:cs="宋体"/>
          <w:b/>
          <w:snapToGrid w:val="0"/>
          <w:color w:val="auto"/>
          <w:kern w:val="0"/>
          <w:szCs w:val="21"/>
          <w:highlight w:val="none"/>
          <w:lang w:val="en-US" w:eastAsia="zh-CN"/>
        </w:rPr>
        <w:t>2.3</w:t>
      </w:r>
      <w:r>
        <w:rPr>
          <w:rFonts w:hint="eastAsia" w:ascii="宋体" w:hAnsi="宋体" w:eastAsia="宋体" w:cs="宋体"/>
          <w:b/>
          <w:snapToGrid w:val="0"/>
          <w:color w:val="auto"/>
          <w:kern w:val="0"/>
          <w:szCs w:val="21"/>
          <w:highlight w:val="none"/>
          <w:lang w:eastAsia="zh-CN"/>
        </w:rPr>
        <w:t>落实政府采购政策需满足的资格要求所对应的证明材料：</w:t>
      </w:r>
      <w:r>
        <w:rPr>
          <w:rFonts w:hint="eastAsia" w:ascii="宋体" w:hAnsi="宋体" w:cs="宋体"/>
          <w:color w:val="auto"/>
          <w:spacing w:val="6"/>
          <w:szCs w:val="21"/>
          <w:highlight w:val="none"/>
          <w:lang w:eastAsia="zh-CN"/>
        </w:rPr>
        <w:t>无</w:t>
      </w:r>
    </w:p>
    <w:p>
      <w:pPr>
        <w:tabs>
          <w:tab w:val="left" w:pos="720"/>
        </w:tabs>
        <w:adjustRightInd w:val="0"/>
        <w:snapToGrid w:val="0"/>
        <w:spacing w:line="360" w:lineRule="auto"/>
        <w:jc w:val="both"/>
        <w:rPr>
          <w:rFonts w:hint="eastAsia" w:ascii="宋体" w:hAnsi="宋体" w:eastAsia="宋体" w:cs="宋体"/>
          <w:b/>
          <w:snapToGrid w:val="0"/>
          <w:color w:val="auto"/>
          <w:kern w:val="0"/>
          <w:szCs w:val="21"/>
          <w:highlight w:val="none"/>
          <w:lang w:eastAsia="zh-CN"/>
        </w:rPr>
      </w:pPr>
      <w:r>
        <w:rPr>
          <w:rFonts w:hint="eastAsia" w:ascii="宋体" w:hAnsi="宋体" w:cs="宋体"/>
          <w:color w:val="auto"/>
          <w:spacing w:val="6"/>
          <w:szCs w:val="21"/>
          <w:highlight w:val="none"/>
        </w:rPr>
        <w:br w:type="page"/>
      </w:r>
    </w:p>
    <w:p>
      <w:pPr>
        <w:numPr>
          <w:ilvl w:val="0"/>
          <w:numId w:val="0"/>
        </w:numPr>
        <w:tabs>
          <w:tab w:val="left" w:pos="720"/>
        </w:tabs>
        <w:adjustRightInd w:val="0"/>
        <w:snapToGrid w:val="0"/>
        <w:spacing w:line="360" w:lineRule="auto"/>
        <w:jc w:val="left"/>
        <w:rPr>
          <w:rFonts w:hint="eastAsia" w:ascii="宋体" w:hAnsi="宋体" w:eastAsia="宋体" w:cs="宋体"/>
          <w:b/>
          <w:i/>
          <w:iCs/>
          <w:snapToGrid w:val="0"/>
          <w:color w:val="auto"/>
          <w:kern w:val="0"/>
          <w:szCs w:val="21"/>
          <w:highlight w:val="none"/>
          <w:lang w:eastAsia="zh-CN"/>
        </w:rPr>
      </w:pPr>
      <w:r>
        <w:rPr>
          <w:rFonts w:hint="eastAsia" w:ascii="宋体" w:hAnsi="宋体" w:eastAsia="宋体" w:cs="宋体"/>
          <w:b/>
          <w:snapToGrid w:val="0"/>
          <w:color w:val="auto"/>
          <w:kern w:val="0"/>
          <w:szCs w:val="21"/>
          <w:highlight w:val="none"/>
          <w:lang w:val="en-US" w:eastAsia="zh-CN"/>
        </w:rPr>
        <w:t>2.4</w:t>
      </w:r>
      <w:r>
        <w:rPr>
          <w:rFonts w:hint="eastAsia" w:ascii="宋体" w:hAnsi="宋体" w:eastAsia="宋体" w:cs="宋体"/>
          <w:b/>
          <w:snapToGrid w:val="0"/>
          <w:color w:val="auto"/>
          <w:kern w:val="0"/>
          <w:szCs w:val="21"/>
          <w:highlight w:val="none"/>
          <w:lang w:eastAsia="zh-CN"/>
        </w:rPr>
        <w:t>特定资格条件对应的证明材料：</w:t>
      </w:r>
      <w:r>
        <w:rPr>
          <w:rFonts w:hint="eastAsia" w:ascii="宋体" w:hAnsi="宋体" w:eastAsia="宋体" w:cs="宋体"/>
          <w:b/>
          <w:i/>
          <w:iCs/>
          <w:snapToGrid w:val="0"/>
          <w:color w:val="auto"/>
          <w:kern w:val="0"/>
          <w:szCs w:val="21"/>
          <w:highlight w:val="none"/>
          <w:lang w:eastAsia="zh-CN"/>
        </w:rPr>
        <w:t>无</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60" w:lineRule="auto"/>
        <w:ind w:firstLine="422" w:firstLineChars="200"/>
        <w:textAlignment w:val="auto"/>
        <w:rPr>
          <w:rFonts w:hint="eastAsia" w:ascii="宋体" w:hAnsi="宋体" w:eastAsia="宋体" w:cs="宋体"/>
          <w:b/>
          <w:bCs/>
          <w:color w:val="auto"/>
          <w:sz w:val="21"/>
          <w:szCs w:val="21"/>
          <w:highlight w:val="none"/>
          <w:u w:val="none"/>
          <w:lang w:val="en-US" w:eastAsia="zh-CN"/>
        </w:rPr>
      </w:pPr>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hint="eastAsia" w:ascii="宋体" w:hAnsi="宋体" w:cs="宋体"/>
          <w:color w:val="auto"/>
          <w:highlight w:val="none"/>
        </w:rPr>
        <w:br w:type="page"/>
      </w:r>
      <w:r>
        <w:rPr>
          <w:rFonts w:hint="eastAsia" w:ascii="仿宋_GB2312" w:hAnsi="仿宋" w:eastAsia="仿宋_GB2312" w:cs="仿宋_GB2312"/>
          <w:b/>
          <w:color w:val="auto"/>
          <w:kern w:val="0"/>
          <w:sz w:val="32"/>
          <w:szCs w:val="32"/>
          <w:highlight w:val="none"/>
          <w:lang w:val="zh-CN"/>
        </w:rPr>
        <w:t>联合协议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w:t>
      </w:r>
      <w:r>
        <w:rPr>
          <w:rFonts w:hint="eastAsia" w:ascii="仿宋_GB2312" w:hAnsi="仿宋" w:eastAsia="仿宋_GB2312" w:cs="仿宋_GB2312"/>
          <w:color w:val="auto"/>
          <w:kern w:val="0"/>
          <w:sz w:val="24"/>
          <w:highlight w:val="none"/>
          <w:lang w:val="zh-CN"/>
        </w:rPr>
        <w:t>采购代理机构</w:t>
      </w:r>
      <w:r>
        <w:rPr>
          <w:rFonts w:ascii="仿宋_GB2312" w:hAnsi="仿宋" w:eastAsia="仿宋_GB2312" w:cs="仿宋_GB2312"/>
          <w:color w:val="auto"/>
          <w:kern w:val="0"/>
          <w:sz w:val="24"/>
          <w:highlight w:val="none"/>
          <w:lang w:val="zh-CN"/>
        </w:rPr>
        <w:t>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bidi w:val="0"/>
        <w:rPr>
          <w:rFonts w:hint="eastAsia" w:ascii="宋体" w:hAnsi="宋体" w:cs="宋体"/>
          <w:color w:val="auto"/>
          <w:highlight w:val="none"/>
        </w:rPr>
      </w:pPr>
      <w:r>
        <w:rPr>
          <w:rFonts w:hint="eastAsia" w:ascii="宋体" w:hAnsi="宋体" w:cs="宋体"/>
          <w:color w:val="auto"/>
          <w:highlight w:val="none"/>
        </w:rPr>
        <w:br w:type="page"/>
      </w:r>
      <w:bookmarkStart w:id="399" w:name="_Toc3961"/>
    </w:p>
    <w:p>
      <w:pPr>
        <w:autoSpaceDE w:val="0"/>
        <w:autoSpaceDN w:val="0"/>
        <w:adjustRightInd w:val="0"/>
        <w:spacing w:line="360" w:lineRule="auto"/>
        <w:outlineLvl w:val="1"/>
        <w:rPr>
          <w:rFonts w:hint="eastAsia" w:ascii="宋体" w:hAnsi="宋体" w:eastAsia="宋体" w:cs="宋体"/>
          <w:b/>
          <w:bCs/>
          <w:color w:val="auto"/>
          <w:sz w:val="24"/>
          <w:highlight w:val="none"/>
          <w:lang w:val="en-US" w:eastAsia="zh-CN"/>
        </w:rPr>
      </w:pPr>
      <w:bookmarkStart w:id="400" w:name="_Toc26086"/>
      <w:bookmarkStart w:id="401" w:name="_Toc4870"/>
      <w:bookmarkStart w:id="402" w:name="_Toc32146"/>
      <w:r>
        <w:rPr>
          <w:rFonts w:hint="eastAsia" w:ascii="宋体" w:hAnsi="宋体" w:eastAsia="宋体" w:cs="宋体"/>
          <w:b/>
          <w:bCs/>
          <w:color w:val="auto"/>
          <w:sz w:val="24"/>
          <w:highlight w:val="none"/>
          <w:lang w:val="en-US" w:eastAsia="zh-CN"/>
        </w:rPr>
        <w:t>三、商务技术响应文件部分格式</w:t>
      </w:r>
      <w:bookmarkEnd w:id="399"/>
      <w:bookmarkEnd w:id="400"/>
      <w:bookmarkEnd w:id="401"/>
      <w:bookmarkEnd w:id="402"/>
    </w:p>
    <w:p>
      <w:pPr>
        <w:autoSpaceDE w:val="0"/>
        <w:autoSpaceDN w:val="0"/>
        <w:adjustRightInd w:val="0"/>
        <w:spacing w:line="360" w:lineRule="auto"/>
        <w:rPr>
          <w:rFonts w:hint="eastAsia" w:ascii="宋体" w:hAnsi="宋体" w:cs="宋体"/>
          <w:b/>
          <w:color w:val="auto"/>
          <w:szCs w:val="21"/>
          <w:highlight w:val="none"/>
          <w:lang w:val="en-US" w:eastAsia="zh-CN"/>
        </w:rPr>
      </w:pPr>
      <w:r>
        <w:rPr>
          <w:rFonts w:hint="eastAsia" w:ascii="宋体" w:hAnsi="宋体" w:cs="宋体"/>
          <w:b/>
          <w:color w:val="auto"/>
          <w:szCs w:val="21"/>
          <w:highlight w:val="none"/>
          <w:lang w:val="en-US" w:eastAsia="zh-CN"/>
        </w:rPr>
        <w:t>（顺序不做强制；未提供格式的，可自行提供）</w:t>
      </w:r>
    </w:p>
    <w:p>
      <w:pPr>
        <w:autoSpaceDE w:val="0"/>
        <w:autoSpaceDN w:val="0"/>
        <w:adjustRightInd w:val="0"/>
        <w:spacing w:line="360" w:lineRule="auto"/>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3.1</w:t>
      </w:r>
      <w:r>
        <w:rPr>
          <w:rFonts w:hint="eastAsia" w:ascii="宋体" w:hAnsi="宋体" w:cs="宋体"/>
          <w:b/>
          <w:color w:val="auto"/>
          <w:szCs w:val="21"/>
          <w:highlight w:val="none"/>
        </w:rPr>
        <w:t>评分索引表；</w:t>
      </w:r>
    </w:p>
    <w:p>
      <w:pPr>
        <w:pStyle w:val="11"/>
        <w:snapToGrid w:val="0"/>
        <w:spacing w:line="360" w:lineRule="auto"/>
        <w:jc w:val="center"/>
        <w:rPr>
          <w:rFonts w:hint="eastAsia" w:ascii="宋体" w:hAnsi="宋体" w:eastAsia="宋体" w:cs="宋体"/>
          <w:b/>
          <w:snapToGrid w:val="0"/>
          <w:color w:val="auto"/>
          <w:kern w:val="0"/>
          <w:sz w:val="28"/>
          <w:szCs w:val="28"/>
          <w:highlight w:val="none"/>
        </w:rPr>
      </w:pPr>
      <w:r>
        <w:rPr>
          <w:rFonts w:hint="eastAsia" w:ascii="宋体" w:hAnsi="宋体" w:eastAsia="宋体" w:cs="宋体"/>
          <w:b/>
          <w:snapToGrid w:val="0"/>
          <w:color w:val="auto"/>
          <w:kern w:val="0"/>
          <w:sz w:val="28"/>
          <w:szCs w:val="28"/>
          <w:highlight w:val="none"/>
        </w:rPr>
        <w:t>评分索引表</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5"/>
        <w:gridCol w:w="5033"/>
        <w:gridCol w:w="1134"/>
        <w:gridCol w:w="1082"/>
        <w:gridCol w:w="1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序号</w:t>
            </w:r>
          </w:p>
        </w:tc>
        <w:tc>
          <w:tcPr>
            <w:tcW w:w="5033" w:type="dxa"/>
            <w:noWrap w:val="0"/>
            <w:vAlign w:val="center"/>
          </w:tcPr>
          <w:p>
            <w:pPr>
              <w:adjustRightInd w:val="0"/>
              <w:snapToGrid w:val="0"/>
              <w:jc w:val="center"/>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评分细则内容</w:t>
            </w:r>
          </w:p>
        </w:tc>
        <w:tc>
          <w:tcPr>
            <w:tcW w:w="1134" w:type="dxa"/>
            <w:noWrap w:val="0"/>
            <w:vAlign w:val="center"/>
          </w:tcPr>
          <w:p>
            <w:pPr>
              <w:adjustRightInd w:val="0"/>
              <w:snapToGrid w:val="0"/>
              <w:jc w:val="center"/>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投标响应情况</w:t>
            </w:r>
          </w:p>
        </w:tc>
        <w:tc>
          <w:tcPr>
            <w:tcW w:w="1082" w:type="dxa"/>
            <w:noWrap w:val="0"/>
            <w:vAlign w:val="center"/>
          </w:tcPr>
          <w:p>
            <w:pPr>
              <w:adjustRightInd w:val="0"/>
              <w:snapToGrid w:val="0"/>
              <w:jc w:val="center"/>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证明材料所在页码</w:t>
            </w:r>
          </w:p>
        </w:tc>
        <w:tc>
          <w:tcPr>
            <w:tcW w:w="1044" w:type="dxa"/>
            <w:noWrap w:val="0"/>
            <w:vAlign w:val="center"/>
          </w:tcPr>
          <w:p>
            <w:pPr>
              <w:adjustRightInd w:val="0"/>
              <w:snapToGrid w:val="0"/>
              <w:jc w:val="center"/>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snapToGrid w:val="0"/>
                <w:color w:val="auto"/>
                <w:kern w:val="0"/>
                <w:szCs w:val="21"/>
                <w:highlight w:val="none"/>
              </w:rPr>
            </w:pPr>
          </w:p>
        </w:tc>
        <w:tc>
          <w:tcPr>
            <w:tcW w:w="5033" w:type="dxa"/>
            <w:noWrap w:val="0"/>
            <w:vAlign w:val="center"/>
          </w:tcPr>
          <w:p>
            <w:pPr>
              <w:adjustRightInd w:val="0"/>
              <w:snapToGrid w:val="0"/>
              <w:rPr>
                <w:rFonts w:hint="eastAsia" w:ascii="宋体" w:hAnsi="宋体" w:cs="宋体"/>
                <w:snapToGrid w:val="0"/>
                <w:color w:val="auto"/>
                <w:kern w:val="0"/>
                <w:szCs w:val="21"/>
                <w:highlight w:val="none"/>
              </w:rPr>
            </w:pPr>
          </w:p>
        </w:tc>
        <w:tc>
          <w:tcPr>
            <w:tcW w:w="1134" w:type="dxa"/>
            <w:noWrap w:val="0"/>
            <w:vAlign w:val="center"/>
          </w:tcPr>
          <w:p>
            <w:pPr>
              <w:adjustRightInd w:val="0"/>
              <w:snapToGrid w:val="0"/>
              <w:jc w:val="center"/>
              <w:rPr>
                <w:rFonts w:hint="eastAsia" w:ascii="宋体" w:hAnsi="宋体" w:cs="宋体"/>
                <w:b/>
                <w:snapToGrid w:val="0"/>
                <w:color w:val="auto"/>
                <w:kern w:val="0"/>
                <w:szCs w:val="21"/>
                <w:highlight w:val="none"/>
              </w:rPr>
            </w:pPr>
          </w:p>
        </w:tc>
        <w:tc>
          <w:tcPr>
            <w:tcW w:w="1082" w:type="dxa"/>
            <w:noWrap w:val="0"/>
            <w:vAlign w:val="center"/>
          </w:tcPr>
          <w:p>
            <w:pPr>
              <w:adjustRightInd w:val="0"/>
              <w:snapToGrid w:val="0"/>
              <w:jc w:val="center"/>
              <w:rPr>
                <w:rFonts w:hint="eastAsia" w:ascii="宋体" w:hAnsi="宋体" w:cs="宋体"/>
                <w:b/>
                <w:snapToGrid w:val="0"/>
                <w:color w:val="auto"/>
                <w:kern w:val="0"/>
                <w:szCs w:val="21"/>
                <w:highlight w:val="none"/>
              </w:rPr>
            </w:pPr>
          </w:p>
        </w:tc>
        <w:tc>
          <w:tcPr>
            <w:tcW w:w="1044" w:type="dxa"/>
            <w:noWrap w:val="0"/>
            <w:vAlign w:val="center"/>
          </w:tcPr>
          <w:p>
            <w:pPr>
              <w:adjustRightInd w:val="0"/>
              <w:snapToGrid w:val="0"/>
              <w:jc w:val="center"/>
              <w:rPr>
                <w:rFonts w:hint="eastAsia"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snapToGrid w:val="0"/>
                <w:color w:val="auto"/>
                <w:kern w:val="0"/>
                <w:szCs w:val="21"/>
                <w:highlight w:val="none"/>
              </w:rPr>
            </w:pPr>
          </w:p>
        </w:tc>
        <w:tc>
          <w:tcPr>
            <w:tcW w:w="5033" w:type="dxa"/>
            <w:noWrap w:val="0"/>
            <w:vAlign w:val="center"/>
          </w:tcPr>
          <w:p>
            <w:pPr>
              <w:adjustRightInd w:val="0"/>
              <w:snapToGrid w:val="0"/>
              <w:rPr>
                <w:rFonts w:hint="eastAsia" w:ascii="宋体" w:hAnsi="宋体" w:cs="宋体"/>
                <w:color w:val="auto"/>
                <w:szCs w:val="21"/>
                <w:highlight w:val="none"/>
              </w:rPr>
            </w:pPr>
          </w:p>
        </w:tc>
        <w:tc>
          <w:tcPr>
            <w:tcW w:w="1134" w:type="dxa"/>
            <w:noWrap w:val="0"/>
            <w:vAlign w:val="center"/>
          </w:tcPr>
          <w:p>
            <w:pPr>
              <w:adjustRightInd w:val="0"/>
              <w:snapToGrid w:val="0"/>
              <w:jc w:val="center"/>
              <w:rPr>
                <w:rFonts w:hint="eastAsia" w:ascii="宋体" w:hAnsi="宋体" w:cs="宋体"/>
                <w:b/>
                <w:snapToGrid w:val="0"/>
                <w:color w:val="auto"/>
                <w:kern w:val="0"/>
                <w:szCs w:val="21"/>
                <w:highlight w:val="none"/>
              </w:rPr>
            </w:pPr>
          </w:p>
        </w:tc>
        <w:tc>
          <w:tcPr>
            <w:tcW w:w="1082" w:type="dxa"/>
            <w:noWrap w:val="0"/>
            <w:vAlign w:val="center"/>
          </w:tcPr>
          <w:p>
            <w:pPr>
              <w:adjustRightInd w:val="0"/>
              <w:snapToGrid w:val="0"/>
              <w:jc w:val="center"/>
              <w:rPr>
                <w:rFonts w:hint="eastAsia" w:ascii="宋体" w:hAnsi="宋体" w:cs="宋体"/>
                <w:b/>
                <w:snapToGrid w:val="0"/>
                <w:color w:val="auto"/>
                <w:kern w:val="0"/>
                <w:szCs w:val="21"/>
                <w:highlight w:val="none"/>
              </w:rPr>
            </w:pPr>
          </w:p>
        </w:tc>
        <w:tc>
          <w:tcPr>
            <w:tcW w:w="1044" w:type="dxa"/>
            <w:noWrap w:val="0"/>
            <w:vAlign w:val="center"/>
          </w:tcPr>
          <w:p>
            <w:pPr>
              <w:adjustRightInd w:val="0"/>
              <w:snapToGrid w:val="0"/>
              <w:jc w:val="center"/>
              <w:rPr>
                <w:rFonts w:hint="eastAsia"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snapToGrid w:val="0"/>
                <w:color w:val="auto"/>
                <w:kern w:val="0"/>
                <w:szCs w:val="21"/>
                <w:highlight w:val="none"/>
              </w:rPr>
            </w:pPr>
          </w:p>
        </w:tc>
        <w:tc>
          <w:tcPr>
            <w:tcW w:w="5033" w:type="dxa"/>
            <w:noWrap w:val="0"/>
            <w:vAlign w:val="center"/>
          </w:tcPr>
          <w:p>
            <w:pPr>
              <w:adjustRightInd w:val="0"/>
              <w:snapToGrid w:val="0"/>
              <w:rPr>
                <w:rFonts w:hint="eastAsia" w:ascii="宋体" w:hAnsi="宋体" w:cs="宋体"/>
                <w:color w:val="auto"/>
                <w:szCs w:val="21"/>
                <w:highlight w:val="none"/>
              </w:rPr>
            </w:pPr>
          </w:p>
        </w:tc>
        <w:tc>
          <w:tcPr>
            <w:tcW w:w="1134" w:type="dxa"/>
            <w:noWrap w:val="0"/>
            <w:vAlign w:val="center"/>
          </w:tcPr>
          <w:p>
            <w:pPr>
              <w:adjustRightInd w:val="0"/>
              <w:snapToGrid w:val="0"/>
              <w:jc w:val="center"/>
              <w:rPr>
                <w:rFonts w:hint="eastAsia" w:ascii="宋体" w:hAnsi="宋体" w:cs="宋体"/>
                <w:b/>
                <w:snapToGrid w:val="0"/>
                <w:color w:val="auto"/>
                <w:kern w:val="0"/>
                <w:szCs w:val="21"/>
                <w:highlight w:val="none"/>
              </w:rPr>
            </w:pPr>
          </w:p>
        </w:tc>
        <w:tc>
          <w:tcPr>
            <w:tcW w:w="1082" w:type="dxa"/>
            <w:noWrap w:val="0"/>
            <w:vAlign w:val="center"/>
          </w:tcPr>
          <w:p>
            <w:pPr>
              <w:adjustRightInd w:val="0"/>
              <w:snapToGrid w:val="0"/>
              <w:jc w:val="center"/>
              <w:rPr>
                <w:rFonts w:hint="eastAsia" w:ascii="宋体" w:hAnsi="宋体" w:cs="宋体"/>
                <w:b/>
                <w:snapToGrid w:val="0"/>
                <w:color w:val="auto"/>
                <w:kern w:val="0"/>
                <w:szCs w:val="21"/>
                <w:highlight w:val="none"/>
              </w:rPr>
            </w:pPr>
          </w:p>
        </w:tc>
        <w:tc>
          <w:tcPr>
            <w:tcW w:w="1044" w:type="dxa"/>
            <w:noWrap w:val="0"/>
            <w:vAlign w:val="center"/>
          </w:tcPr>
          <w:p>
            <w:pPr>
              <w:adjustRightInd w:val="0"/>
              <w:snapToGrid w:val="0"/>
              <w:jc w:val="center"/>
              <w:rPr>
                <w:rFonts w:hint="eastAsia"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snapToGrid w:val="0"/>
                <w:color w:val="auto"/>
                <w:kern w:val="0"/>
                <w:szCs w:val="21"/>
                <w:highlight w:val="none"/>
              </w:rPr>
            </w:pPr>
          </w:p>
        </w:tc>
        <w:tc>
          <w:tcPr>
            <w:tcW w:w="5033" w:type="dxa"/>
            <w:noWrap w:val="0"/>
            <w:vAlign w:val="center"/>
          </w:tcPr>
          <w:p>
            <w:pPr>
              <w:adjustRightInd w:val="0"/>
              <w:snapToGrid w:val="0"/>
              <w:rPr>
                <w:rFonts w:hint="eastAsia" w:ascii="宋体" w:hAnsi="宋体" w:cs="宋体"/>
                <w:color w:val="auto"/>
                <w:szCs w:val="21"/>
                <w:highlight w:val="none"/>
              </w:rPr>
            </w:pPr>
          </w:p>
        </w:tc>
        <w:tc>
          <w:tcPr>
            <w:tcW w:w="1134" w:type="dxa"/>
            <w:noWrap w:val="0"/>
            <w:vAlign w:val="center"/>
          </w:tcPr>
          <w:p>
            <w:pPr>
              <w:adjustRightInd w:val="0"/>
              <w:snapToGrid w:val="0"/>
              <w:jc w:val="center"/>
              <w:rPr>
                <w:rFonts w:hint="eastAsia" w:ascii="宋体" w:hAnsi="宋体" w:cs="宋体"/>
                <w:b/>
                <w:snapToGrid w:val="0"/>
                <w:color w:val="auto"/>
                <w:kern w:val="0"/>
                <w:szCs w:val="21"/>
                <w:highlight w:val="none"/>
              </w:rPr>
            </w:pPr>
          </w:p>
        </w:tc>
        <w:tc>
          <w:tcPr>
            <w:tcW w:w="1082" w:type="dxa"/>
            <w:noWrap w:val="0"/>
            <w:vAlign w:val="center"/>
          </w:tcPr>
          <w:p>
            <w:pPr>
              <w:adjustRightInd w:val="0"/>
              <w:snapToGrid w:val="0"/>
              <w:jc w:val="center"/>
              <w:rPr>
                <w:rFonts w:hint="eastAsia" w:ascii="宋体" w:hAnsi="宋体" w:cs="宋体"/>
                <w:b/>
                <w:snapToGrid w:val="0"/>
                <w:color w:val="auto"/>
                <w:kern w:val="0"/>
                <w:szCs w:val="21"/>
                <w:highlight w:val="none"/>
              </w:rPr>
            </w:pPr>
          </w:p>
        </w:tc>
        <w:tc>
          <w:tcPr>
            <w:tcW w:w="1044" w:type="dxa"/>
            <w:noWrap w:val="0"/>
            <w:vAlign w:val="center"/>
          </w:tcPr>
          <w:p>
            <w:pPr>
              <w:adjustRightInd w:val="0"/>
              <w:snapToGrid w:val="0"/>
              <w:jc w:val="center"/>
              <w:rPr>
                <w:rFonts w:hint="eastAsia"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snapToGrid w:val="0"/>
                <w:color w:val="auto"/>
                <w:kern w:val="0"/>
                <w:szCs w:val="21"/>
                <w:highlight w:val="none"/>
              </w:rPr>
            </w:pPr>
          </w:p>
        </w:tc>
        <w:tc>
          <w:tcPr>
            <w:tcW w:w="5033" w:type="dxa"/>
            <w:noWrap w:val="0"/>
            <w:vAlign w:val="center"/>
          </w:tcPr>
          <w:p>
            <w:pPr>
              <w:adjustRightInd w:val="0"/>
              <w:snapToGrid w:val="0"/>
              <w:rPr>
                <w:rFonts w:hint="eastAsia" w:ascii="宋体" w:hAnsi="宋体" w:cs="宋体"/>
                <w:color w:val="auto"/>
                <w:szCs w:val="21"/>
                <w:highlight w:val="none"/>
              </w:rPr>
            </w:pPr>
          </w:p>
        </w:tc>
        <w:tc>
          <w:tcPr>
            <w:tcW w:w="1134" w:type="dxa"/>
            <w:noWrap w:val="0"/>
            <w:vAlign w:val="center"/>
          </w:tcPr>
          <w:p>
            <w:pPr>
              <w:adjustRightInd w:val="0"/>
              <w:snapToGrid w:val="0"/>
              <w:jc w:val="center"/>
              <w:rPr>
                <w:rFonts w:hint="eastAsia" w:ascii="宋体" w:hAnsi="宋体" w:cs="宋体"/>
                <w:b/>
                <w:snapToGrid w:val="0"/>
                <w:color w:val="auto"/>
                <w:kern w:val="0"/>
                <w:szCs w:val="21"/>
                <w:highlight w:val="none"/>
              </w:rPr>
            </w:pPr>
          </w:p>
        </w:tc>
        <w:tc>
          <w:tcPr>
            <w:tcW w:w="1082" w:type="dxa"/>
            <w:noWrap w:val="0"/>
            <w:vAlign w:val="center"/>
          </w:tcPr>
          <w:p>
            <w:pPr>
              <w:adjustRightInd w:val="0"/>
              <w:snapToGrid w:val="0"/>
              <w:jc w:val="center"/>
              <w:rPr>
                <w:rFonts w:hint="eastAsia" w:ascii="宋体" w:hAnsi="宋体" w:cs="宋体"/>
                <w:b/>
                <w:snapToGrid w:val="0"/>
                <w:color w:val="auto"/>
                <w:kern w:val="0"/>
                <w:szCs w:val="21"/>
                <w:highlight w:val="none"/>
              </w:rPr>
            </w:pPr>
          </w:p>
        </w:tc>
        <w:tc>
          <w:tcPr>
            <w:tcW w:w="1044" w:type="dxa"/>
            <w:noWrap w:val="0"/>
            <w:vAlign w:val="center"/>
          </w:tcPr>
          <w:p>
            <w:pPr>
              <w:adjustRightInd w:val="0"/>
              <w:snapToGrid w:val="0"/>
              <w:jc w:val="center"/>
              <w:rPr>
                <w:rFonts w:hint="eastAsia"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snapToGrid w:val="0"/>
                <w:color w:val="auto"/>
                <w:kern w:val="0"/>
                <w:szCs w:val="21"/>
                <w:highlight w:val="none"/>
              </w:rPr>
            </w:pPr>
          </w:p>
        </w:tc>
        <w:tc>
          <w:tcPr>
            <w:tcW w:w="5033" w:type="dxa"/>
            <w:noWrap w:val="0"/>
            <w:vAlign w:val="center"/>
          </w:tcPr>
          <w:p>
            <w:pPr>
              <w:adjustRightInd w:val="0"/>
              <w:snapToGrid w:val="0"/>
              <w:rPr>
                <w:rFonts w:hint="eastAsia" w:ascii="宋体" w:hAnsi="宋体" w:cs="宋体"/>
                <w:color w:val="auto"/>
                <w:szCs w:val="21"/>
                <w:highlight w:val="none"/>
              </w:rPr>
            </w:pPr>
          </w:p>
        </w:tc>
        <w:tc>
          <w:tcPr>
            <w:tcW w:w="1134" w:type="dxa"/>
            <w:noWrap w:val="0"/>
            <w:vAlign w:val="center"/>
          </w:tcPr>
          <w:p>
            <w:pPr>
              <w:adjustRightInd w:val="0"/>
              <w:snapToGrid w:val="0"/>
              <w:jc w:val="center"/>
              <w:rPr>
                <w:rFonts w:hint="eastAsia" w:ascii="宋体" w:hAnsi="宋体" w:cs="宋体"/>
                <w:b/>
                <w:snapToGrid w:val="0"/>
                <w:color w:val="auto"/>
                <w:kern w:val="0"/>
                <w:szCs w:val="21"/>
                <w:highlight w:val="none"/>
              </w:rPr>
            </w:pPr>
          </w:p>
        </w:tc>
        <w:tc>
          <w:tcPr>
            <w:tcW w:w="1082" w:type="dxa"/>
            <w:noWrap w:val="0"/>
            <w:vAlign w:val="center"/>
          </w:tcPr>
          <w:p>
            <w:pPr>
              <w:adjustRightInd w:val="0"/>
              <w:snapToGrid w:val="0"/>
              <w:jc w:val="center"/>
              <w:rPr>
                <w:rFonts w:hint="eastAsia" w:ascii="宋体" w:hAnsi="宋体" w:cs="宋体"/>
                <w:b/>
                <w:snapToGrid w:val="0"/>
                <w:color w:val="auto"/>
                <w:kern w:val="0"/>
                <w:szCs w:val="21"/>
                <w:highlight w:val="none"/>
              </w:rPr>
            </w:pPr>
          </w:p>
        </w:tc>
        <w:tc>
          <w:tcPr>
            <w:tcW w:w="1044" w:type="dxa"/>
            <w:noWrap w:val="0"/>
            <w:vAlign w:val="center"/>
          </w:tcPr>
          <w:p>
            <w:pPr>
              <w:adjustRightInd w:val="0"/>
              <w:snapToGrid w:val="0"/>
              <w:jc w:val="center"/>
              <w:rPr>
                <w:rFonts w:hint="eastAsia"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snapToGrid w:val="0"/>
                <w:color w:val="auto"/>
                <w:kern w:val="0"/>
                <w:szCs w:val="21"/>
                <w:highlight w:val="none"/>
              </w:rPr>
            </w:pPr>
          </w:p>
        </w:tc>
        <w:tc>
          <w:tcPr>
            <w:tcW w:w="5033" w:type="dxa"/>
            <w:noWrap w:val="0"/>
            <w:vAlign w:val="center"/>
          </w:tcPr>
          <w:p>
            <w:pPr>
              <w:adjustRightInd w:val="0"/>
              <w:snapToGrid w:val="0"/>
              <w:rPr>
                <w:rFonts w:hint="eastAsia" w:ascii="宋体" w:hAnsi="宋体" w:cs="宋体"/>
                <w:color w:val="auto"/>
                <w:szCs w:val="21"/>
                <w:highlight w:val="none"/>
              </w:rPr>
            </w:pPr>
          </w:p>
        </w:tc>
        <w:tc>
          <w:tcPr>
            <w:tcW w:w="1134" w:type="dxa"/>
            <w:noWrap w:val="0"/>
            <w:vAlign w:val="center"/>
          </w:tcPr>
          <w:p>
            <w:pPr>
              <w:adjustRightInd w:val="0"/>
              <w:snapToGrid w:val="0"/>
              <w:jc w:val="center"/>
              <w:rPr>
                <w:rFonts w:hint="eastAsia" w:ascii="宋体" w:hAnsi="宋体" w:cs="宋体"/>
                <w:b/>
                <w:snapToGrid w:val="0"/>
                <w:color w:val="auto"/>
                <w:kern w:val="0"/>
                <w:szCs w:val="21"/>
                <w:highlight w:val="none"/>
              </w:rPr>
            </w:pPr>
          </w:p>
        </w:tc>
        <w:tc>
          <w:tcPr>
            <w:tcW w:w="1082" w:type="dxa"/>
            <w:noWrap w:val="0"/>
            <w:vAlign w:val="center"/>
          </w:tcPr>
          <w:p>
            <w:pPr>
              <w:adjustRightInd w:val="0"/>
              <w:snapToGrid w:val="0"/>
              <w:jc w:val="center"/>
              <w:rPr>
                <w:rFonts w:hint="eastAsia" w:ascii="宋体" w:hAnsi="宋体" w:cs="宋体"/>
                <w:b/>
                <w:snapToGrid w:val="0"/>
                <w:color w:val="auto"/>
                <w:kern w:val="0"/>
                <w:szCs w:val="21"/>
                <w:highlight w:val="none"/>
              </w:rPr>
            </w:pPr>
          </w:p>
        </w:tc>
        <w:tc>
          <w:tcPr>
            <w:tcW w:w="1044" w:type="dxa"/>
            <w:noWrap w:val="0"/>
            <w:vAlign w:val="center"/>
          </w:tcPr>
          <w:p>
            <w:pPr>
              <w:adjustRightInd w:val="0"/>
              <w:snapToGrid w:val="0"/>
              <w:jc w:val="center"/>
              <w:rPr>
                <w:rFonts w:hint="eastAsia"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snapToGrid w:val="0"/>
                <w:color w:val="auto"/>
                <w:kern w:val="0"/>
                <w:szCs w:val="21"/>
                <w:highlight w:val="none"/>
              </w:rPr>
            </w:pPr>
          </w:p>
        </w:tc>
        <w:tc>
          <w:tcPr>
            <w:tcW w:w="5033" w:type="dxa"/>
            <w:noWrap w:val="0"/>
            <w:vAlign w:val="center"/>
          </w:tcPr>
          <w:p>
            <w:pPr>
              <w:adjustRightInd w:val="0"/>
              <w:snapToGrid w:val="0"/>
              <w:rPr>
                <w:rFonts w:hint="eastAsia" w:ascii="宋体" w:hAnsi="宋体" w:cs="宋体"/>
                <w:color w:val="auto"/>
                <w:szCs w:val="21"/>
                <w:highlight w:val="none"/>
              </w:rPr>
            </w:pPr>
          </w:p>
        </w:tc>
        <w:tc>
          <w:tcPr>
            <w:tcW w:w="1134" w:type="dxa"/>
            <w:noWrap w:val="0"/>
            <w:vAlign w:val="center"/>
          </w:tcPr>
          <w:p>
            <w:pPr>
              <w:adjustRightInd w:val="0"/>
              <w:snapToGrid w:val="0"/>
              <w:jc w:val="center"/>
              <w:rPr>
                <w:rFonts w:hint="eastAsia" w:ascii="宋体" w:hAnsi="宋体" w:cs="宋体"/>
                <w:b/>
                <w:snapToGrid w:val="0"/>
                <w:color w:val="auto"/>
                <w:kern w:val="0"/>
                <w:szCs w:val="21"/>
                <w:highlight w:val="none"/>
              </w:rPr>
            </w:pPr>
          </w:p>
        </w:tc>
        <w:tc>
          <w:tcPr>
            <w:tcW w:w="1082" w:type="dxa"/>
            <w:noWrap w:val="0"/>
            <w:vAlign w:val="center"/>
          </w:tcPr>
          <w:p>
            <w:pPr>
              <w:adjustRightInd w:val="0"/>
              <w:snapToGrid w:val="0"/>
              <w:jc w:val="center"/>
              <w:rPr>
                <w:rFonts w:hint="eastAsia" w:ascii="宋体" w:hAnsi="宋体" w:cs="宋体"/>
                <w:b/>
                <w:snapToGrid w:val="0"/>
                <w:color w:val="auto"/>
                <w:kern w:val="0"/>
                <w:szCs w:val="21"/>
                <w:highlight w:val="none"/>
              </w:rPr>
            </w:pPr>
          </w:p>
        </w:tc>
        <w:tc>
          <w:tcPr>
            <w:tcW w:w="1044" w:type="dxa"/>
            <w:noWrap w:val="0"/>
            <w:vAlign w:val="center"/>
          </w:tcPr>
          <w:p>
            <w:pPr>
              <w:adjustRightInd w:val="0"/>
              <w:snapToGrid w:val="0"/>
              <w:jc w:val="center"/>
              <w:rPr>
                <w:rFonts w:hint="eastAsia"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snapToGrid w:val="0"/>
                <w:color w:val="auto"/>
                <w:kern w:val="0"/>
                <w:szCs w:val="21"/>
                <w:highlight w:val="none"/>
              </w:rPr>
            </w:pPr>
          </w:p>
        </w:tc>
        <w:tc>
          <w:tcPr>
            <w:tcW w:w="5033" w:type="dxa"/>
            <w:noWrap w:val="0"/>
            <w:vAlign w:val="center"/>
          </w:tcPr>
          <w:p>
            <w:pPr>
              <w:adjustRightInd w:val="0"/>
              <w:snapToGrid w:val="0"/>
              <w:rPr>
                <w:rFonts w:hint="eastAsia" w:ascii="宋体" w:hAnsi="宋体" w:cs="宋体"/>
                <w:color w:val="auto"/>
                <w:szCs w:val="21"/>
                <w:highlight w:val="none"/>
              </w:rPr>
            </w:pPr>
          </w:p>
        </w:tc>
        <w:tc>
          <w:tcPr>
            <w:tcW w:w="1134" w:type="dxa"/>
            <w:noWrap w:val="0"/>
            <w:vAlign w:val="center"/>
          </w:tcPr>
          <w:p>
            <w:pPr>
              <w:adjustRightInd w:val="0"/>
              <w:snapToGrid w:val="0"/>
              <w:jc w:val="center"/>
              <w:rPr>
                <w:rFonts w:hint="eastAsia" w:ascii="宋体" w:hAnsi="宋体" w:cs="宋体"/>
                <w:b/>
                <w:snapToGrid w:val="0"/>
                <w:color w:val="auto"/>
                <w:kern w:val="0"/>
                <w:szCs w:val="21"/>
                <w:highlight w:val="none"/>
              </w:rPr>
            </w:pPr>
          </w:p>
        </w:tc>
        <w:tc>
          <w:tcPr>
            <w:tcW w:w="1082" w:type="dxa"/>
            <w:noWrap w:val="0"/>
            <w:vAlign w:val="center"/>
          </w:tcPr>
          <w:p>
            <w:pPr>
              <w:adjustRightInd w:val="0"/>
              <w:snapToGrid w:val="0"/>
              <w:jc w:val="center"/>
              <w:rPr>
                <w:rFonts w:hint="eastAsia" w:ascii="宋体" w:hAnsi="宋体" w:cs="宋体"/>
                <w:b/>
                <w:snapToGrid w:val="0"/>
                <w:color w:val="auto"/>
                <w:kern w:val="0"/>
                <w:szCs w:val="21"/>
                <w:highlight w:val="none"/>
              </w:rPr>
            </w:pPr>
          </w:p>
        </w:tc>
        <w:tc>
          <w:tcPr>
            <w:tcW w:w="1044" w:type="dxa"/>
            <w:noWrap w:val="0"/>
            <w:vAlign w:val="center"/>
          </w:tcPr>
          <w:p>
            <w:pPr>
              <w:adjustRightInd w:val="0"/>
              <w:snapToGrid w:val="0"/>
              <w:jc w:val="center"/>
              <w:rPr>
                <w:rFonts w:hint="eastAsia" w:ascii="宋体" w:hAnsi="宋体" w:cs="宋体"/>
                <w:b/>
                <w:snapToGrid w:val="0"/>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745" w:type="dxa"/>
            <w:noWrap w:val="0"/>
            <w:vAlign w:val="center"/>
          </w:tcPr>
          <w:p>
            <w:pPr>
              <w:adjustRightInd w:val="0"/>
              <w:snapToGrid w:val="0"/>
              <w:jc w:val="center"/>
              <w:rPr>
                <w:rFonts w:hint="eastAsia" w:ascii="宋体" w:hAnsi="宋体" w:cs="宋体"/>
                <w:snapToGrid w:val="0"/>
                <w:color w:val="auto"/>
                <w:kern w:val="0"/>
                <w:szCs w:val="21"/>
                <w:highlight w:val="none"/>
              </w:rPr>
            </w:pPr>
          </w:p>
        </w:tc>
        <w:tc>
          <w:tcPr>
            <w:tcW w:w="5033" w:type="dxa"/>
            <w:noWrap w:val="0"/>
            <w:vAlign w:val="center"/>
          </w:tcPr>
          <w:p>
            <w:pPr>
              <w:adjustRightInd w:val="0"/>
              <w:snapToGrid w:val="0"/>
              <w:rPr>
                <w:rFonts w:hint="eastAsia" w:ascii="宋体" w:hAnsi="宋体" w:cs="宋体"/>
                <w:color w:val="auto"/>
                <w:szCs w:val="21"/>
                <w:highlight w:val="none"/>
              </w:rPr>
            </w:pPr>
          </w:p>
        </w:tc>
        <w:tc>
          <w:tcPr>
            <w:tcW w:w="1134" w:type="dxa"/>
            <w:noWrap w:val="0"/>
            <w:vAlign w:val="center"/>
          </w:tcPr>
          <w:p>
            <w:pPr>
              <w:adjustRightInd w:val="0"/>
              <w:snapToGrid w:val="0"/>
              <w:jc w:val="center"/>
              <w:rPr>
                <w:rFonts w:hint="eastAsia" w:ascii="宋体" w:hAnsi="宋体" w:cs="宋体"/>
                <w:b/>
                <w:snapToGrid w:val="0"/>
                <w:color w:val="auto"/>
                <w:kern w:val="0"/>
                <w:szCs w:val="21"/>
                <w:highlight w:val="none"/>
              </w:rPr>
            </w:pPr>
          </w:p>
        </w:tc>
        <w:tc>
          <w:tcPr>
            <w:tcW w:w="1082" w:type="dxa"/>
            <w:noWrap w:val="0"/>
            <w:vAlign w:val="center"/>
          </w:tcPr>
          <w:p>
            <w:pPr>
              <w:adjustRightInd w:val="0"/>
              <w:snapToGrid w:val="0"/>
              <w:jc w:val="center"/>
              <w:rPr>
                <w:rFonts w:hint="eastAsia" w:ascii="宋体" w:hAnsi="宋体" w:cs="宋体"/>
                <w:b/>
                <w:snapToGrid w:val="0"/>
                <w:color w:val="auto"/>
                <w:kern w:val="0"/>
                <w:szCs w:val="21"/>
                <w:highlight w:val="none"/>
              </w:rPr>
            </w:pPr>
          </w:p>
        </w:tc>
        <w:tc>
          <w:tcPr>
            <w:tcW w:w="1044" w:type="dxa"/>
            <w:noWrap w:val="0"/>
            <w:vAlign w:val="center"/>
          </w:tcPr>
          <w:p>
            <w:pPr>
              <w:adjustRightInd w:val="0"/>
              <w:snapToGrid w:val="0"/>
              <w:jc w:val="center"/>
              <w:rPr>
                <w:rFonts w:hint="eastAsia" w:ascii="宋体" w:hAnsi="宋体" w:cs="宋体"/>
                <w:b/>
                <w:snapToGrid w:val="0"/>
                <w:color w:val="auto"/>
                <w:kern w:val="0"/>
                <w:szCs w:val="21"/>
                <w:highlight w:val="none"/>
              </w:rPr>
            </w:pPr>
          </w:p>
        </w:tc>
      </w:tr>
    </w:tbl>
    <w:p>
      <w:pPr>
        <w:autoSpaceDE w:val="0"/>
        <w:autoSpaceDN w:val="0"/>
        <w:adjustRightInd w:val="0"/>
        <w:spacing w:line="360" w:lineRule="auto"/>
        <w:rPr>
          <w:rFonts w:hint="eastAsia" w:ascii="宋体" w:hAnsi="宋体" w:cs="宋体"/>
          <w:b/>
          <w:color w:val="auto"/>
          <w:szCs w:val="21"/>
          <w:highlight w:val="none"/>
        </w:rPr>
        <w:sectPr>
          <w:headerReference r:id="rId5" w:type="default"/>
          <w:footerReference r:id="rId6" w:type="default"/>
          <w:pgSz w:w="11906" w:h="16838"/>
          <w:pgMar w:top="1247" w:right="1588" w:bottom="1089" w:left="1588" w:header="851" w:footer="992" w:gutter="0"/>
          <w:pgBorders>
            <w:top w:val="none" w:sz="0" w:space="0"/>
            <w:left w:val="none" w:sz="0" w:space="0"/>
            <w:bottom w:val="none" w:sz="0" w:space="0"/>
            <w:right w:val="none" w:sz="0" w:space="0"/>
          </w:pgBorders>
          <w:cols w:space="720" w:num="1"/>
          <w:docGrid w:linePitch="312" w:charSpace="0"/>
        </w:sectPr>
      </w:pPr>
    </w:p>
    <w:p>
      <w:pPr>
        <w:autoSpaceDE w:val="0"/>
        <w:autoSpaceDN w:val="0"/>
        <w:adjustRightIn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lang w:val="en-US" w:eastAsia="zh-CN"/>
        </w:rPr>
        <w:t>3</w:t>
      </w: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rPr>
        <w:t>投标函</w:t>
      </w:r>
    </w:p>
    <w:p>
      <w:pPr>
        <w:pStyle w:val="11"/>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投标函</w:t>
      </w:r>
    </w:p>
    <w:p>
      <w:pPr>
        <w:pStyle w:val="11"/>
        <w:spacing w:line="360" w:lineRule="auto"/>
        <w:rPr>
          <w:rFonts w:hint="eastAsia" w:ascii="宋体" w:hAnsi="宋体" w:eastAsia="宋体" w:cs="宋体"/>
          <w:color w:val="auto"/>
          <w:highlight w:val="none"/>
          <w:u w:val="single"/>
        </w:rPr>
      </w:pPr>
      <w:r>
        <w:rPr>
          <w:rFonts w:hint="eastAsia" w:ascii="宋体" w:hAnsi="宋体" w:eastAsia="宋体" w:cs="宋体"/>
          <w:snapToGrid w:val="0"/>
          <w:color w:val="auto"/>
          <w:kern w:val="0"/>
          <w:highlight w:val="none"/>
          <w:u w:val="single"/>
          <w:lang w:val="en-US" w:eastAsia="zh-CN"/>
        </w:rPr>
        <w:t xml:space="preserve">                      </w:t>
      </w:r>
      <w:r>
        <w:rPr>
          <w:rFonts w:hint="eastAsia" w:ascii="宋体" w:hAnsi="宋体" w:eastAsia="宋体" w:cs="宋体"/>
          <w:color w:val="auto"/>
          <w:highlight w:val="none"/>
        </w:rPr>
        <w:t>：</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(投标人全称)授权</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(全权代表姓名)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(职务、职称)为全权代表，参加贵方组织的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 (</w:t>
      </w:r>
      <w:r>
        <w:rPr>
          <w:rFonts w:hint="eastAsia" w:ascii="宋体" w:hAnsi="宋体" w:eastAsia="宋体" w:cs="宋体"/>
          <w:color w:val="auto"/>
          <w:highlight w:val="none"/>
          <w:lang w:eastAsia="zh-CN"/>
        </w:rPr>
        <w:t>采购编号：ZJ-2272868</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)的有关活动，并对此项目进行投标。为此：</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1、我方同意在投标人编制和提交投标文件须知规定的开标日期起遵守本投标书中的承诺且在投标有效期满之前均具有约束力。</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2、我方承诺已经具备《中华人民共和国政府采购法》中规定的参加政府采购活动的投标人应当具备的条件：</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(1)具有独立承担民事责任的能力；</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(2)遵守国家法律、行政法规，具有良好的信誉和商业道德；</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(3)具有履行合同的能力和良好的履行合同记录；</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(4)良好的资金、财务状况；</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(5)没有违反政府采购法规、政策的记录；</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(6)没有发生重大经济纠纷和走私犯罪记录。</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3、提供编制和提交</w:t>
      </w:r>
      <w:r>
        <w:rPr>
          <w:rFonts w:hint="eastAsia" w:ascii="宋体" w:hAnsi="宋体" w:eastAsia="宋体" w:cs="宋体"/>
          <w:color w:val="auto"/>
          <w:highlight w:val="none"/>
          <w:lang w:val="en-US" w:eastAsia="zh-CN"/>
        </w:rPr>
        <w:t>投标文件</w:t>
      </w:r>
      <w:r>
        <w:rPr>
          <w:rFonts w:hint="eastAsia" w:ascii="宋体" w:hAnsi="宋体" w:eastAsia="宋体" w:cs="宋体"/>
          <w:color w:val="auto"/>
          <w:highlight w:val="none"/>
        </w:rPr>
        <w:t>须知规定的全部投标文件，包括一份电子加密标书（后缀格式为.jmbs），一份备份标书文件（后缀格式为.bfbs）。具体内容为：</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(1)资格文件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商务技术文件、报价文件</w:t>
      </w:r>
      <w:r>
        <w:rPr>
          <w:rFonts w:hint="eastAsia" w:ascii="宋体" w:hAnsi="宋体" w:eastAsia="宋体" w:cs="宋体"/>
          <w:color w:val="auto"/>
          <w:highlight w:val="none"/>
        </w:rPr>
        <w:t>；</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)编制和提交投标文件须知要求投标人提交的全部文件；</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)按</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文件要求提供和交付的货物和服务的投标报价详见开标一览表；</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)保证忠实地执行双方所签订的合同，并承担合同规定的责任和义务；</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)保证遵守</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文件中的其他有关规定。</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4、我方完全理解贵方不一定要接受最低价的投标。</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5、我方愿意向贵方提供任何与该项投标有关的数据、情况和技术资料。若贵方需要，我方愿意提供我方作出的一切承诺的证明材料。</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6、我方已详细审核全部采购文件，包括采购文件修改书(如果有)、参考资料及有关附件，确认无误。</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a)提供虚假材料谋取中标、成交的；</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b)采取不正当手段诋毁、排挤其他投标人的；</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c)与采购人、其它投标人或者采购代理机构恶意串通的；</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d)向采购人、采购代理机构行贿或者提供其他不正当利益的；</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e)在招标采购过程中与采购人进行协商谈判的；</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f)拒绝有关部门监督检查或提供虚假情况的。</w:t>
      </w:r>
    </w:p>
    <w:p>
      <w:pPr>
        <w:pStyle w:val="11"/>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投标人有前款第a)至e)项情形之一的，中标、成交无效。</w:t>
      </w:r>
    </w:p>
    <w:p>
      <w:pPr>
        <w:pStyle w:val="11"/>
        <w:spacing w:line="420" w:lineRule="exact"/>
        <w:ind w:firstLine="420" w:firstLineChars="200"/>
        <w:rPr>
          <w:rFonts w:hint="eastAsia" w:ascii="宋体" w:hAnsi="宋体" w:eastAsia="宋体" w:cs="宋体"/>
          <w:color w:val="auto"/>
          <w:highlight w:val="none"/>
        </w:rPr>
      </w:pPr>
    </w:p>
    <w:p>
      <w:pPr>
        <w:pStyle w:val="11"/>
        <w:spacing w:line="420" w:lineRule="exact"/>
        <w:ind w:firstLine="420" w:firstLineChars="200"/>
        <w:rPr>
          <w:rFonts w:hint="eastAsia" w:ascii="宋体" w:hAnsi="宋体" w:eastAsia="宋体" w:cs="宋体"/>
          <w:color w:val="auto"/>
          <w:highlight w:val="none"/>
        </w:rPr>
      </w:pPr>
    </w:p>
    <w:p>
      <w:pPr>
        <w:pStyle w:val="11"/>
        <w:spacing w:line="420" w:lineRule="exact"/>
        <w:ind w:firstLine="420" w:firstLineChars="200"/>
        <w:rPr>
          <w:rFonts w:hint="eastAsia" w:ascii="宋体" w:hAnsi="宋体" w:eastAsia="宋体" w:cs="宋体"/>
          <w:color w:val="auto"/>
          <w:highlight w:val="none"/>
        </w:rPr>
      </w:pPr>
    </w:p>
    <w:p>
      <w:pPr>
        <w:pStyle w:val="11"/>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投标人（盖公章</w:t>
      </w:r>
      <w:r>
        <w:rPr>
          <w:rFonts w:hint="eastAsia" w:ascii="宋体" w:hAnsi="宋体" w:cs="宋体"/>
          <w:snapToGrid w:val="0"/>
          <w:color w:val="auto"/>
          <w:kern w:val="0"/>
          <w:szCs w:val="21"/>
          <w:highlight w:val="none"/>
        </w:rPr>
        <w:t>或</w:t>
      </w:r>
      <w:r>
        <w:rPr>
          <w:rFonts w:hint="eastAsia" w:ascii="宋体" w:hAnsi="宋体" w:eastAsia="宋体" w:cs="宋体"/>
          <w:snapToGrid w:val="0"/>
          <w:color w:val="auto"/>
          <w:kern w:val="0"/>
          <w:szCs w:val="21"/>
          <w:highlight w:val="none"/>
          <w:lang w:eastAsia="zh-CN"/>
        </w:rPr>
        <w:t>电子签章</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11"/>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联系人：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联系电话</w:t>
      </w:r>
      <w:r>
        <w:rPr>
          <w:rFonts w:hint="eastAsia" w:ascii="宋体" w:hAnsi="宋体" w:eastAsia="宋体" w:cs="宋体"/>
          <w:color w:val="auto"/>
          <w:highlight w:val="none"/>
          <w:u w:val="single"/>
        </w:rPr>
        <w:t xml:space="preserve">：                 </w:t>
      </w:r>
    </w:p>
    <w:p>
      <w:pPr>
        <w:pStyle w:val="11"/>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联系地址：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Style w:val="11"/>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邮政编码：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传真号码</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cs="宋体"/>
          <w:b/>
          <w:color w:val="auto"/>
          <w:szCs w:val="21"/>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r>
        <w:rPr>
          <w:rFonts w:hint="eastAsia" w:ascii="宋体" w:hAnsi="宋体" w:cs="宋体"/>
          <w:b/>
          <w:color w:val="auto"/>
          <w:szCs w:val="21"/>
          <w:highlight w:val="none"/>
          <w:lang w:val="en-US" w:eastAsia="zh-CN"/>
        </w:rPr>
        <w:br w:type="page"/>
      </w:r>
      <w:r>
        <w:rPr>
          <w:rFonts w:hint="eastAsia" w:ascii="宋体" w:hAnsi="宋体" w:cs="宋体"/>
          <w:b/>
          <w:color w:val="auto"/>
          <w:szCs w:val="21"/>
          <w:highlight w:val="none"/>
          <w:lang w:val="en-US" w:eastAsia="zh-CN"/>
        </w:rPr>
        <w:t>3.3</w:t>
      </w:r>
      <w:r>
        <w:rPr>
          <w:rFonts w:hint="eastAsia" w:ascii="宋体" w:hAnsi="宋体" w:cs="宋体"/>
          <w:b/>
          <w:color w:val="auto"/>
          <w:szCs w:val="21"/>
          <w:highlight w:val="none"/>
        </w:rPr>
        <w:t>投标响应一览表</w:t>
      </w:r>
    </w:p>
    <w:p>
      <w:pPr>
        <w:pStyle w:val="11"/>
        <w:snapToGrid w:val="0"/>
        <w:spacing w:line="360" w:lineRule="auto"/>
        <w:jc w:val="center"/>
        <w:rPr>
          <w:rFonts w:hint="eastAsia" w:ascii="宋体" w:hAnsi="宋体" w:eastAsia="宋体" w:cs="宋体"/>
          <w:b/>
          <w:snapToGrid w:val="0"/>
          <w:color w:val="auto"/>
          <w:kern w:val="0"/>
          <w:sz w:val="28"/>
          <w:szCs w:val="28"/>
          <w:highlight w:val="none"/>
        </w:rPr>
      </w:pPr>
      <w:r>
        <w:rPr>
          <w:rFonts w:hint="eastAsia" w:ascii="宋体" w:hAnsi="宋体" w:eastAsia="宋体" w:cs="宋体"/>
          <w:b/>
          <w:snapToGrid w:val="0"/>
          <w:color w:val="auto"/>
          <w:kern w:val="0"/>
          <w:sz w:val="28"/>
          <w:szCs w:val="28"/>
          <w:highlight w:val="none"/>
        </w:rPr>
        <w:t>投标响应一览表</w:t>
      </w:r>
    </w:p>
    <w:p>
      <w:pPr>
        <w:adjustRightInd w:val="0"/>
        <w:snapToGrid w:val="0"/>
        <w:spacing w:line="360" w:lineRule="auto"/>
        <w:rPr>
          <w:rFonts w:hint="eastAsia" w:ascii="宋体" w:hAnsi="宋体" w:cs="宋体"/>
          <w:snapToGrid w:val="0"/>
          <w:color w:val="auto"/>
          <w:kern w:val="0"/>
          <w:szCs w:val="21"/>
          <w:highlight w:val="none"/>
          <w:u w:val="single"/>
        </w:rPr>
      </w:pPr>
      <w:r>
        <w:rPr>
          <w:rFonts w:hint="eastAsia" w:ascii="宋体" w:hAnsi="宋体" w:cs="宋体"/>
          <w:snapToGrid w:val="0"/>
          <w:color w:val="auto"/>
          <w:kern w:val="0"/>
          <w:szCs w:val="21"/>
          <w:highlight w:val="none"/>
        </w:rPr>
        <w:t xml:space="preserve">项目名称：                                                  </w:t>
      </w:r>
    </w:p>
    <w:p>
      <w:pPr>
        <w:adjustRightInd w:val="0"/>
        <w:snapToGrid w:val="0"/>
        <w:spacing w:line="360" w:lineRule="auto"/>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采购编号：ZJ-2272868</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2"/>
        <w:gridCol w:w="5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462" w:type="dxa"/>
            <w:noWrap w:val="0"/>
            <w:vAlign w:val="center"/>
          </w:tcPr>
          <w:p>
            <w:pPr>
              <w:adjustRightInd w:val="0"/>
              <w:snapToGrid w:val="0"/>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服务期</w:t>
            </w:r>
          </w:p>
        </w:tc>
        <w:tc>
          <w:tcPr>
            <w:tcW w:w="5271" w:type="dxa"/>
            <w:noWrap w:val="0"/>
            <w:vAlign w:val="center"/>
          </w:tcPr>
          <w:p>
            <w:pPr>
              <w:adjustRightInd w:val="0"/>
              <w:snapToGrid w:val="0"/>
              <w:spacing w:line="360" w:lineRule="auto"/>
              <w:jc w:val="center"/>
              <w:rPr>
                <w:rFonts w:hint="eastAsia"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462" w:type="dxa"/>
            <w:noWrap w:val="0"/>
            <w:vAlign w:val="center"/>
          </w:tcPr>
          <w:p>
            <w:pPr>
              <w:adjustRightInd w:val="0"/>
              <w:snapToGrid w:val="0"/>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拟派项目负责人</w:t>
            </w:r>
          </w:p>
        </w:tc>
        <w:tc>
          <w:tcPr>
            <w:tcW w:w="5271" w:type="dxa"/>
            <w:noWrap w:val="0"/>
            <w:vAlign w:val="center"/>
          </w:tcPr>
          <w:p>
            <w:pPr>
              <w:adjustRightInd w:val="0"/>
              <w:snapToGrid w:val="0"/>
              <w:spacing w:line="360" w:lineRule="auto"/>
              <w:jc w:val="center"/>
              <w:rPr>
                <w:rFonts w:hint="eastAsia" w:ascii="宋体" w:hAnsi="宋体" w:cs="宋体"/>
                <w:snapToGrid w:val="0"/>
                <w:color w:val="auto"/>
                <w:kern w:val="0"/>
                <w:szCs w:val="21"/>
                <w:highlight w:val="none"/>
              </w:rPr>
            </w:pPr>
          </w:p>
        </w:tc>
      </w:tr>
    </w:tbl>
    <w:p>
      <w:pPr>
        <w:adjustRightInd w:val="0"/>
        <w:snapToGrid w:val="0"/>
        <w:spacing w:line="360" w:lineRule="auto"/>
        <w:jc w:val="left"/>
        <w:rPr>
          <w:rFonts w:hint="eastAsia" w:ascii="宋体" w:hAnsi="宋体" w:cs="宋体"/>
          <w:snapToGrid w:val="0"/>
          <w:color w:val="auto"/>
          <w:kern w:val="0"/>
          <w:szCs w:val="21"/>
          <w:highlight w:val="none"/>
        </w:rPr>
      </w:pPr>
    </w:p>
    <w:p>
      <w:pPr>
        <w:widowControl/>
        <w:adjustRightInd w:val="0"/>
        <w:snapToGrid w:val="0"/>
        <w:spacing w:line="360" w:lineRule="auto"/>
        <w:ind w:firstLine="420" w:firstLineChars="200"/>
        <w:jc w:val="left"/>
        <w:rPr>
          <w:rFonts w:hint="eastAsia" w:ascii="宋体" w:hAnsi="宋体" w:cs="宋体"/>
          <w:snapToGrid w:val="0"/>
          <w:color w:val="auto"/>
          <w:kern w:val="0"/>
          <w:szCs w:val="21"/>
          <w:highlight w:val="none"/>
        </w:rPr>
      </w:pPr>
    </w:p>
    <w:p>
      <w:pPr>
        <w:adjustRightInd w:val="0"/>
        <w:snapToGrid w:val="0"/>
        <w:spacing w:line="360" w:lineRule="auto"/>
        <w:ind w:firstLine="4515" w:firstLineChars="2150"/>
        <w:rPr>
          <w:rFonts w:hint="eastAsia" w:ascii="宋体" w:hAnsi="宋体" w:cs="宋体"/>
          <w:snapToGrid w:val="0"/>
          <w:color w:val="auto"/>
          <w:kern w:val="0"/>
          <w:szCs w:val="21"/>
          <w:highlight w:val="none"/>
        </w:rPr>
      </w:pPr>
    </w:p>
    <w:p>
      <w:pPr>
        <w:adjustRightInd w:val="0"/>
        <w:snapToGrid w:val="0"/>
        <w:spacing w:line="360" w:lineRule="auto"/>
        <w:ind w:firstLine="4515" w:firstLineChars="215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投标人(盖公章或</w:t>
      </w:r>
      <w:r>
        <w:rPr>
          <w:rFonts w:hint="eastAsia" w:ascii="宋体" w:hAnsi="宋体" w:cs="宋体"/>
          <w:snapToGrid w:val="0"/>
          <w:color w:val="auto"/>
          <w:kern w:val="0"/>
          <w:szCs w:val="21"/>
          <w:highlight w:val="none"/>
          <w:lang w:eastAsia="zh-CN"/>
        </w:rPr>
        <w:t>电子签章</w:t>
      </w:r>
      <w:r>
        <w:rPr>
          <w:rFonts w:hint="eastAsia" w:ascii="宋体" w:hAnsi="宋体" w:cs="宋体"/>
          <w:snapToGrid w:val="0"/>
          <w:color w:val="auto"/>
          <w:kern w:val="0"/>
          <w:szCs w:val="21"/>
          <w:highlight w:val="none"/>
        </w:rPr>
        <w:t>)：</w:t>
      </w:r>
    </w:p>
    <w:p>
      <w:pPr>
        <w:adjustRightInd w:val="0"/>
        <w:snapToGrid w:val="0"/>
        <w:spacing w:line="360" w:lineRule="auto"/>
        <w:ind w:firstLine="4515" w:firstLineChars="2150"/>
        <w:rPr>
          <w:rFonts w:hint="eastAsia" w:ascii="宋体" w:hAnsi="宋体" w:cs="宋体"/>
          <w:snapToGrid w:val="0"/>
          <w:color w:val="auto"/>
          <w:kern w:val="0"/>
          <w:szCs w:val="21"/>
          <w:highlight w:val="none"/>
        </w:rPr>
      </w:pPr>
    </w:p>
    <w:p>
      <w:pPr>
        <w:adjustRightInd w:val="0"/>
        <w:snapToGrid w:val="0"/>
        <w:spacing w:line="360" w:lineRule="auto"/>
        <w:ind w:firstLine="4515" w:firstLineChars="215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日期：</w:t>
      </w:r>
    </w:p>
    <w:p>
      <w:pPr>
        <w:pStyle w:val="8"/>
        <w:rPr>
          <w:rFonts w:hint="eastAsia" w:eastAsia="宋体"/>
          <w:color w:val="auto"/>
          <w:highlight w:val="none"/>
          <w:lang w:val="en-US" w:eastAsia="zh-CN"/>
        </w:rPr>
      </w:pPr>
    </w:p>
    <w:p>
      <w:pPr>
        <w:pStyle w:val="8"/>
        <w:rPr>
          <w:rFonts w:hint="eastAsia" w:eastAsia="宋体"/>
          <w:color w:val="auto"/>
          <w:highlight w:val="none"/>
          <w:lang w:val="en-US" w:eastAsia="zh-CN"/>
        </w:rPr>
      </w:pPr>
    </w:p>
    <w:p>
      <w:pPr>
        <w:autoSpaceDE w:val="0"/>
        <w:autoSpaceDN w:val="0"/>
        <w:adjustRightInd w:val="0"/>
        <w:spacing w:line="360" w:lineRule="auto"/>
        <w:rPr>
          <w:rFonts w:hint="eastAsia" w:ascii="宋体" w:hAnsi="宋体" w:cs="宋体"/>
          <w:b/>
          <w:color w:val="auto"/>
          <w:szCs w:val="21"/>
          <w:highlight w:val="none"/>
          <w:lang w:val="en-US" w:eastAsia="zh-CN"/>
        </w:rPr>
        <w:sectPr>
          <w:pgSz w:w="11906" w:h="16838"/>
          <w:pgMar w:top="1247" w:right="1588" w:bottom="1089" w:left="1588" w:header="851" w:footer="992" w:gutter="0"/>
          <w:pgBorders>
            <w:top w:val="none" w:sz="0" w:space="0"/>
            <w:left w:val="none" w:sz="0" w:space="0"/>
            <w:bottom w:val="none" w:sz="0" w:space="0"/>
            <w:right w:val="none" w:sz="0" w:space="0"/>
          </w:pgBorders>
          <w:cols w:space="720" w:num="1"/>
          <w:docGrid w:linePitch="312" w:charSpace="0"/>
        </w:sectPr>
      </w:pPr>
    </w:p>
    <w:p>
      <w:pPr>
        <w:autoSpaceDE w:val="0"/>
        <w:autoSpaceDN w:val="0"/>
        <w:adjustRightInd w:val="0"/>
        <w:spacing w:line="360" w:lineRule="auto"/>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3</w:t>
      </w:r>
      <w:r>
        <w:rPr>
          <w:rFonts w:hint="eastAsia" w:ascii="宋体" w:hAnsi="宋体" w:cs="宋体"/>
          <w:b/>
          <w:color w:val="auto"/>
          <w:szCs w:val="21"/>
          <w:highlight w:val="none"/>
        </w:rPr>
        <w:t>.</w:t>
      </w:r>
      <w:r>
        <w:rPr>
          <w:rFonts w:hint="eastAsia" w:ascii="宋体" w:hAnsi="宋体" w:cs="宋体"/>
          <w:b/>
          <w:color w:val="auto"/>
          <w:szCs w:val="21"/>
          <w:highlight w:val="none"/>
          <w:lang w:val="en-US" w:eastAsia="zh-CN"/>
        </w:rPr>
        <w:t>4</w:t>
      </w:r>
      <w:r>
        <w:rPr>
          <w:rFonts w:hint="eastAsia" w:ascii="宋体" w:hAnsi="宋体" w:cs="宋体"/>
          <w:b/>
          <w:color w:val="auto"/>
          <w:szCs w:val="21"/>
          <w:highlight w:val="none"/>
        </w:rPr>
        <w:t>投标人基本情况</w:t>
      </w:r>
    </w:p>
    <w:p>
      <w:pPr>
        <w:spacing w:line="240" w:lineRule="atLeas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投标人基本情况表</w:t>
      </w:r>
    </w:p>
    <w:p>
      <w:pPr>
        <w:spacing w:line="240" w:lineRule="atLeast"/>
        <w:ind w:firstLine="2233" w:firstLineChars="695"/>
        <w:rPr>
          <w:rFonts w:hint="eastAsia" w:ascii="宋体" w:hAnsi="宋体" w:cs="宋体"/>
          <w:b/>
          <w:color w:val="auto"/>
          <w:sz w:val="32"/>
          <w:szCs w:val="32"/>
          <w:highlight w:val="none"/>
        </w:rPr>
      </w:pPr>
    </w:p>
    <w:tbl>
      <w:tblPr>
        <w:tblStyle w:val="19"/>
        <w:tblW w:w="0" w:type="auto"/>
        <w:tblInd w:w="28" w:type="dxa"/>
        <w:tblLayout w:type="fixed"/>
        <w:tblCellMar>
          <w:top w:w="0" w:type="dxa"/>
          <w:left w:w="28" w:type="dxa"/>
          <w:bottom w:w="0" w:type="dxa"/>
          <w:right w:w="28" w:type="dxa"/>
        </w:tblCellMar>
      </w:tblPr>
      <w:tblGrid>
        <w:gridCol w:w="2368"/>
        <w:gridCol w:w="2490"/>
        <w:gridCol w:w="1575"/>
        <w:gridCol w:w="2415"/>
      </w:tblGrid>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宋体" w:hAnsi="宋体" w:cs="宋体"/>
                <w:color w:val="auto"/>
                <w:highlight w:val="none"/>
              </w:rPr>
            </w:pPr>
            <w:r>
              <w:rPr>
                <w:rFonts w:hint="eastAsia" w:ascii="宋体" w:hAnsi="宋体" w:cs="宋体"/>
                <w:color w:val="auto"/>
                <w:highlight w:val="none"/>
              </w:rPr>
              <w:t>投标人全称</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color w:val="auto"/>
                <w:highlight w:val="none"/>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宋体" w:hAnsi="宋体" w:cs="宋体"/>
                <w:color w:val="auto"/>
                <w:highlight w:val="none"/>
              </w:rPr>
            </w:pPr>
            <w:r>
              <w:rPr>
                <w:rFonts w:hint="eastAsia" w:ascii="宋体" w:hAnsi="宋体" w:cs="宋体"/>
                <w:color w:val="auto"/>
                <w:highlight w:val="none"/>
              </w:rPr>
              <w:t>企业资质</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color w:val="auto"/>
                <w:highlight w:val="none"/>
              </w:rPr>
            </w:pPr>
            <w:r>
              <w:rPr>
                <w:rFonts w:hint="eastAsia" w:ascii="宋体" w:hAnsi="宋体" w:cs="宋体"/>
                <w:color w:val="auto"/>
                <w:highlight w:val="none"/>
              </w:rPr>
              <w:t xml:space="preserve">1.等级:            2.证书号:       3.发证单位: </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宋体" w:hAnsi="宋体" w:cs="宋体"/>
                <w:color w:val="auto"/>
                <w:highlight w:val="none"/>
              </w:rPr>
            </w:pPr>
            <w:r>
              <w:rPr>
                <w:rFonts w:hint="eastAsia" w:ascii="宋体" w:hAnsi="宋体" w:cs="宋体"/>
                <w:color w:val="auto"/>
                <w:highlight w:val="none"/>
              </w:rPr>
              <w:t>营业执照</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color w:val="auto"/>
                <w:highlight w:val="none"/>
              </w:rPr>
            </w:pPr>
            <w:r>
              <w:rPr>
                <w:rFonts w:hint="eastAsia" w:ascii="宋体" w:hAnsi="宋体" w:cs="宋体"/>
                <w:color w:val="auto"/>
                <w:highlight w:val="none"/>
              </w:rPr>
              <w:t xml:space="preserve">1.编号:            2.营业范围:     3.发照单位: </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宋体" w:hAnsi="宋体" w:cs="宋体"/>
                <w:color w:val="auto"/>
                <w:highlight w:val="none"/>
              </w:rPr>
            </w:pPr>
            <w:r>
              <w:rPr>
                <w:rFonts w:hint="eastAsia" w:ascii="宋体" w:hAnsi="宋体" w:cs="宋体"/>
                <w:color w:val="auto"/>
                <w:highlight w:val="none"/>
              </w:rPr>
              <w:t>建立日期</w:t>
            </w:r>
          </w:p>
        </w:tc>
        <w:tc>
          <w:tcPr>
            <w:tcW w:w="249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color w:val="auto"/>
                <w:highlight w:val="none"/>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jc w:val="center"/>
              <w:textAlignment w:val="bottom"/>
              <w:rPr>
                <w:rFonts w:hint="eastAsia" w:ascii="宋体" w:hAnsi="宋体" w:cs="宋体"/>
                <w:color w:val="auto"/>
                <w:highlight w:val="none"/>
              </w:rPr>
            </w:pPr>
            <w:r>
              <w:rPr>
                <w:rFonts w:hint="eastAsia" w:ascii="宋体" w:hAnsi="宋体" w:cs="宋体"/>
                <w:color w:val="auto"/>
                <w:highlight w:val="none"/>
              </w:rPr>
              <w:t>现有职工</w:t>
            </w:r>
          </w:p>
        </w:tc>
        <w:tc>
          <w:tcPr>
            <w:tcW w:w="2415"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color w:val="auto"/>
                <w:highlight w:val="none"/>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jc w:val="center"/>
              <w:textAlignment w:val="bottom"/>
              <w:rPr>
                <w:rFonts w:hint="eastAsia" w:ascii="宋体" w:hAnsi="宋体" w:cs="宋体"/>
                <w:color w:val="auto"/>
                <w:highlight w:val="none"/>
              </w:rPr>
            </w:pPr>
            <w:r>
              <w:rPr>
                <w:rFonts w:hint="eastAsia" w:ascii="宋体" w:hAnsi="宋体" w:cs="宋体"/>
                <w:color w:val="auto"/>
                <w:highlight w:val="none"/>
              </w:rPr>
              <w:t>固定资产净值(万元)</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color w:val="auto"/>
                <w:highlight w:val="none"/>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宋体" w:hAnsi="宋体" w:cs="宋体"/>
                <w:color w:val="auto"/>
                <w:highlight w:val="none"/>
              </w:rPr>
            </w:pPr>
            <w:r>
              <w:rPr>
                <w:rFonts w:hint="eastAsia" w:ascii="宋体" w:hAnsi="宋体" w:cs="宋体"/>
                <w:color w:val="auto"/>
                <w:highlight w:val="none"/>
              </w:rPr>
              <w:t>行政负责人</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color w:val="auto"/>
                <w:highlight w:val="none"/>
              </w:rPr>
            </w:pPr>
            <w:r>
              <w:rPr>
                <w:rFonts w:hint="eastAsia" w:ascii="宋体" w:hAnsi="宋体" w:cs="宋体"/>
                <w:color w:val="auto"/>
                <w:highlight w:val="none"/>
              </w:rPr>
              <w:t>姓名:             职务:             职称:</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宋体" w:hAnsi="宋体" w:cs="宋体"/>
                <w:color w:val="auto"/>
                <w:highlight w:val="none"/>
              </w:rPr>
            </w:pPr>
            <w:r>
              <w:rPr>
                <w:rFonts w:hint="eastAsia" w:ascii="宋体" w:hAnsi="宋体" w:cs="宋体"/>
                <w:color w:val="auto"/>
                <w:highlight w:val="none"/>
              </w:rPr>
              <w:t>技术负责人</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color w:val="auto"/>
                <w:highlight w:val="none"/>
              </w:rPr>
            </w:pPr>
            <w:r>
              <w:rPr>
                <w:rFonts w:hint="eastAsia" w:ascii="宋体" w:hAnsi="宋体" w:cs="宋体"/>
                <w:color w:val="auto"/>
                <w:highlight w:val="none"/>
              </w:rPr>
              <w:t>姓名:             职务:             职称:</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40" w:lineRule="atLeast"/>
              <w:ind w:left="105"/>
              <w:jc w:val="center"/>
              <w:textAlignment w:val="bottom"/>
              <w:rPr>
                <w:rFonts w:hint="eastAsia" w:ascii="宋体" w:hAnsi="宋体" w:cs="宋体"/>
                <w:color w:val="auto"/>
                <w:highlight w:val="none"/>
              </w:rPr>
            </w:pPr>
            <w:r>
              <w:rPr>
                <w:rFonts w:hint="eastAsia" w:ascii="宋体" w:hAnsi="宋体" w:cs="宋体"/>
                <w:color w:val="auto"/>
                <w:highlight w:val="none"/>
              </w:rPr>
              <w:t>联系方式</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color w:val="auto"/>
                <w:highlight w:val="none"/>
              </w:rPr>
            </w:pPr>
            <w:r>
              <w:rPr>
                <w:rFonts w:hint="eastAsia" w:ascii="宋体" w:hAnsi="宋体" w:cs="宋体"/>
                <w:color w:val="auto"/>
                <w:highlight w:val="none"/>
              </w:rPr>
              <w:t>地址</w:t>
            </w:r>
          </w:p>
          <w:p>
            <w:pPr>
              <w:widowControl/>
              <w:autoSpaceDE w:val="0"/>
              <w:autoSpaceDN w:val="0"/>
              <w:spacing w:line="440" w:lineRule="atLeast"/>
              <w:textAlignment w:val="bottom"/>
              <w:rPr>
                <w:rFonts w:hint="eastAsia" w:ascii="宋体" w:hAnsi="宋体" w:cs="宋体"/>
                <w:color w:val="auto"/>
                <w:highlight w:val="none"/>
              </w:rPr>
            </w:pPr>
            <w:r>
              <w:rPr>
                <w:rFonts w:hint="eastAsia" w:ascii="宋体" w:hAnsi="宋体" w:cs="宋体"/>
                <w:color w:val="auto"/>
                <w:highlight w:val="none"/>
              </w:rPr>
              <w:t>邮编:</w:t>
            </w:r>
          </w:p>
          <w:p>
            <w:pPr>
              <w:widowControl/>
              <w:autoSpaceDE w:val="0"/>
              <w:autoSpaceDN w:val="0"/>
              <w:spacing w:line="440" w:lineRule="atLeast"/>
              <w:textAlignment w:val="bottom"/>
              <w:rPr>
                <w:rFonts w:hint="eastAsia" w:ascii="宋体" w:hAnsi="宋体" w:cs="宋体"/>
                <w:color w:val="auto"/>
                <w:highlight w:val="none"/>
              </w:rPr>
            </w:pPr>
            <w:r>
              <w:rPr>
                <w:rFonts w:hint="eastAsia" w:ascii="宋体" w:hAnsi="宋体" w:cs="宋体"/>
                <w:color w:val="auto"/>
                <w:highlight w:val="none"/>
              </w:rPr>
              <w:t xml:space="preserve">电话:  </w:t>
            </w:r>
          </w:p>
          <w:p>
            <w:pPr>
              <w:widowControl/>
              <w:autoSpaceDE w:val="0"/>
              <w:autoSpaceDN w:val="0"/>
              <w:spacing w:line="440" w:lineRule="atLeast"/>
              <w:textAlignment w:val="bottom"/>
              <w:rPr>
                <w:rFonts w:hint="eastAsia" w:ascii="宋体" w:hAnsi="宋体" w:cs="宋体"/>
                <w:color w:val="auto"/>
                <w:highlight w:val="none"/>
              </w:rPr>
            </w:pPr>
            <w:r>
              <w:rPr>
                <w:rFonts w:hint="eastAsia" w:ascii="宋体" w:hAnsi="宋体" w:cs="宋体"/>
                <w:color w:val="auto"/>
                <w:highlight w:val="none"/>
              </w:rPr>
              <w:t xml:space="preserve">传真:       </w:t>
            </w:r>
          </w:p>
        </w:tc>
      </w:tr>
      <w:tr>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宋体" w:hAnsi="宋体" w:cs="宋体"/>
                <w:color w:val="auto"/>
                <w:highlight w:val="none"/>
              </w:rPr>
            </w:pPr>
            <w:r>
              <w:rPr>
                <w:rFonts w:hint="eastAsia" w:ascii="宋体" w:hAnsi="宋体" w:cs="宋体"/>
                <w:color w:val="auto"/>
                <w:highlight w:val="none"/>
              </w:rPr>
              <w:t>开户银行</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color w:val="auto"/>
                <w:highlight w:val="none"/>
              </w:rPr>
            </w:pPr>
            <w:r>
              <w:rPr>
                <w:rFonts w:hint="eastAsia" w:ascii="宋体" w:hAnsi="宋体" w:cs="宋体"/>
                <w:color w:val="auto"/>
                <w:highlight w:val="none"/>
              </w:rPr>
              <w:t xml:space="preserve">名称:                      账号:          </w:t>
            </w:r>
          </w:p>
        </w:tc>
      </w:tr>
      <w:tr>
        <w:tblPrEx>
          <w:tblCellMar>
            <w:top w:w="0" w:type="dxa"/>
            <w:left w:w="28" w:type="dxa"/>
            <w:bottom w:w="0" w:type="dxa"/>
            <w:right w:w="28" w:type="dxa"/>
          </w:tblCellMar>
        </w:tblPrEx>
        <w:trPr>
          <w:cantSplit/>
          <w:trHeight w:val="5279" w:hRule="atLeast"/>
        </w:trPr>
        <w:tc>
          <w:tcPr>
            <w:tcW w:w="2368"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ind w:left="105"/>
              <w:jc w:val="center"/>
              <w:textAlignment w:val="bottom"/>
              <w:rPr>
                <w:rFonts w:hint="eastAsia" w:ascii="宋体" w:hAnsi="宋体" w:cs="宋体"/>
                <w:color w:val="auto"/>
                <w:highlight w:val="none"/>
              </w:rPr>
            </w:pPr>
          </w:p>
          <w:p>
            <w:pPr>
              <w:widowControl/>
              <w:autoSpaceDE w:val="0"/>
              <w:autoSpaceDN w:val="0"/>
              <w:spacing w:line="440" w:lineRule="atLeast"/>
              <w:ind w:left="105"/>
              <w:jc w:val="center"/>
              <w:textAlignment w:val="bottom"/>
              <w:rPr>
                <w:rFonts w:hint="eastAsia" w:ascii="宋体" w:hAnsi="宋体" w:cs="宋体"/>
                <w:color w:val="auto"/>
                <w:highlight w:val="none"/>
              </w:rPr>
            </w:pPr>
          </w:p>
          <w:p>
            <w:pPr>
              <w:widowControl/>
              <w:autoSpaceDE w:val="0"/>
              <w:autoSpaceDN w:val="0"/>
              <w:spacing w:line="440" w:lineRule="atLeast"/>
              <w:ind w:left="105"/>
              <w:jc w:val="center"/>
              <w:textAlignment w:val="bottom"/>
              <w:rPr>
                <w:rFonts w:hint="eastAsia" w:ascii="宋体" w:hAnsi="宋体" w:cs="宋体"/>
                <w:color w:val="auto"/>
                <w:highlight w:val="none"/>
              </w:rPr>
            </w:pPr>
          </w:p>
          <w:p>
            <w:pPr>
              <w:widowControl/>
              <w:autoSpaceDE w:val="0"/>
              <w:autoSpaceDN w:val="0"/>
              <w:spacing w:line="440" w:lineRule="atLeast"/>
              <w:textAlignment w:val="bottom"/>
              <w:rPr>
                <w:rFonts w:hint="eastAsia" w:ascii="宋体" w:hAnsi="宋体" w:cs="宋体"/>
                <w:color w:val="auto"/>
                <w:highlight w:val="none"/>
              </w:rPr>
            </w:pPr>
          </w:p>
          <w:p>
            <w:pPr>
              <w:widowControl/>
              <w:autoSpaceDE w:val="0"/>
              <w:autoSpaceDN w:val="0"/>
              <w:spacing w:line="440" w:lineRule="atLeast"/>
              <w:ind w:left="105"/>
              <w:jc w:val="center"/>
              <w:textAlignment w:val="bottom"/>
              <w:rPr>
                <w:rFonts w:hint="eastAsia" w:ascii="宋体" w:hAnsi="宋体" w:cs="宋体"/>
                <w:color w:val="auto"/>
                <w:highlight w:val="none"/>
              </w:rPr>
            </w:pPr>
          </w:p>
          <w:p>
            <w:pPr>
              <w:widowControl/>
              <w:autoSpaceDE w:val="0"/>
              <w:autoSpaceDN w:val="0"/>
              <w:spacing w:line="440" w:lineRule="atLeast"/>
              <w:ind w:left="105"/>
              <w:jc w:val="center"/>
              <w:textAlignment w:val="bottom"/>
              <w:rPr>
                <w:rFonts w:hint="eastAsia" w:ascii="宋体" w:hAnsi="宋体" w:cs="宋体"/>
                <w:color w:val="auto"/>
                <w:highlight w:val="none"/>
              </w:rPr>
            </w:pPr>
          </w:p>
          <w:p>
            <w:pPr>
              <w:widowControl/>
              <w:autoSpaceDE w:val="0"/>
              <w:autoSpaceDN w:val="0"/>
              <w:spacing w:line="440" w:lineRule="atLeast"/>
              <w:ind w:left="105"/>
              <w:jc w:val="center"/>
              <w:textAlignment w:val="bottom"/>
              <w:rPr>
                <w:rFonts w:hint="eastAsia" w:ascii="宋体" w:hAnsi="宋体" w:cs="宋体"/>
                <w:color w:val="auto"/>
                <w:highlight w:val="none"/>
              </w:rPr>
            </w:pPr>
            <w:r>
              <w:rPr>
                <w:rFonts w:hint="eastAsia" w:ascii="宋体" w:hAnsi="宋体" w:cs="宋体"/>
                <w:color w:val="auto"/>
                <w:highlight w:val="none"/>
              </w:rPr>
              <w:t>组织机构框图</w:t>
            </w:r>
          </w:p>
          <w:p>
            <w:pPr>
              <w:widowControl/>
              <w:autoSpaceDE w:val="0"/>
              <w:autoSpaceDN w:val="0"/>
              <w:spacing w:line="440" w:lineRule="atLeast"/>
              <w:ind w:left="105"/>
              <w:jc w:val="center"/>
              <w:textAlignment w:val="bottom"/>
              <w:rPr>
                <w:rFonts w:hint="eastAsia" w:ascii="宋体" w:hAnsi="宋体" w:cs="宋体"/>
                <w:color w:val="auto"/>
                <w:highlight w:val="none"/>
              </w:rPr>
            </w:pPr>
          </w:p>
          <w:p>
            <w:pPr>
              <w:autoSpaceDE w:val="0"/>
              <w:autoSpaceDN w:val="0"/>
              <w:spacing w:line="440" w:lineRule="atLeast"/>
              <w:ind w:left="105"/>
              <w:textAlignment w:val="bottom"/>
              <w:rPr>
                <w:rFonts w:hint="eastAsia" w:ascii="宋体" w:hAnsi="宋体" w:cs="宋体"/>
                <w:color w:val="auto"/>
                <w:highlight w:val="none"/>
              </w:rPr>
            </w:pP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40" w:lineRule="atLeast"/>
              <w:textAlignment w:val="bottom"/>
              <w:rPr>
                <w:rFonts w:hint="eastAsia" w:ascii="宋体" w:hAnsi="宋体" w:cs="宋体"/>
                <w:color w:val="auto"/>
                <w:highlight w:val="none"/>
              </w:rPr>
            </w:pPr>
          </w:p>
        </w:tc>
      </w:tr>
    </w:tbl>
    <w:p>
      <w:pPr>
        <w:spacing w:line="360" w:lineRule="auto"/>
        <w:ind w:left="630" w:hanging="630" w:hangingChars="300"/>
        <w:rPr>
          <w:rFonts w:hint="eastAsia" w:ascii="宋体" w:hAnsi="宋体" w:cs="宋体"/>
          <w:color w:val="auto"/>
          <w:highlight w:val="none"/>
        </w:rPr>
      </w:pPr>
    </w:p>
    <w:p>
      <w:pPr>
        <w:adjustRightInd w:val="0"/>
        <w:snapToGrid w:val="0"/>
        <w:spacing w:before="120" w:beforeLines="50" w:line="360" w:lineRule="auto"/>
        <w:rPr>
          <w:rFonts w:hint="eastAsia" w:ascii="宋体" w:hAnsi="宋体" w:cs="宋体"/>
          <w:b/>
          <w:color w:val="auto"/>
          <w:highlight w:val="none"/>
        </w:rPr>
      </w:pPr>
      <w:r>
        <w:rPr>
          <w:rFonts w:hint="eastAsia" w:ascii="宋体" w:hAnsi="宋体" w:cs="宋体"/>
          <w:b/>
          <w:color w:val="auto"/>
          <w:sz w:val="24"/>
          <w:highlight w:val="none"/>
        </w:rPr>
        <w:br w:type="page"/>
      </w:r>
      <w:r>
        <w:rPr>
          <w:rFonts w:hint="eastAsia" w:ascii="宋体" w:hAnsi="宋体" w:cs="宋体"/>
          <w:b/>
          <w:color w:val="auto"/>
          <w:highlight w:val="none"/>
          <w:lang w:val="en-US" w:eastAsia="zh-CN"/>
        </w:rPr>
        <w:t>3.5</w:t>
      </w:r>
      <w:r>
        <w:rPr>
          <w:rFonts w:hint="eastAsia" w:ascii="宋体" w:hAnsi="宋体" w:cs="宋体"/>
          <w:b/>
          <w:color w:val="auto"/>
          <w:highlight w:val="none"/>
        </w:rPr>
        <w:t>授权委托书</w:t>
      </w:r>
    </w:p>
    <w:p>
      <w:pPr>
        <w:rPr>
          <w:rFonts w:hint="eastAsia" w:ascii="宋体" w:hAnsi="宋体" w:cs="宋体"/>
          <w:b/>
          <w:snapToGrid w:val="0"/>
          <w:color w:val="auto"/>
          <w:kern w:val="0"/>
          <w:szCs w:val="21"/>
          <w:highlight w:val="none"/>
        </w:rPr>
      </w:pPr>
    </w:p>
    <w:p>
      <w:pPr>
        <w:adjustRightInd w:val="0"/>
        <w:spacing w:line="360" w:lineRule="auto"/>
        <w:rPr>
          <w:rFonts w:hint="eastAsia" w:ascii="宋体" w:hAnsi="宋体" w:cs="宋体"/>
          <w:snapToGrid w:val="0"/>
          <w:color w:val="auto"/>
          <w:kern w:val="0"/>
          <w:szCs w:val="21"/>
          <w:highlight w:val="none"/>
        </w:rPr>
      </w:pPr>
    </w:p>
    <w:p>
      <w:pPr>
        <w:adjustRightInd w:val="0"/>
        <w:spacing w:line="360" w:lineRule="auto"/>
        <w:jc w:val="center"/>
        <w:rPr>
          <w:rFonts w:hint="eastAsia" w:ascii="宋体" w:hAnsi="宋体" w:cs="宋体"/>
          <w:b/>
          <w:snapToGrid w:val="0"/>
          <w:color w:val="auto"/>
          <w:kern w:val="0"/>
          <w:sz w:val="28"/>
          <w:szCs w:val="28"/>
          <w:highlight w:val="none"/>
        </w:rPr>
      </w:pPr>
      <w:r>
        <w:rPr>
          <w:rFonts w:hint="eastAsia" w:ascii="宋体" w:hAnsi="宋体" w:cs="宋体"/>
          <w:b/>
          <w:bCs/>
          <w:snapToGrid w:val="0"/>
          <w:color w:val="auto"/>
          <w:kern w:val="0"/>
          <w:sz w:val="28"/>
          <w:szCs w:val="28"/>
          <w:highlight w:val="none"/>
        </w:rPr>
        <w:t>授权委托书</w:t>
      </w:r>
    </w:p>
    <w:p>
      <w:pPr>
        <w:adjustRightInd w:val="0"/>
        <w:spacing w:line="360" w:lineRule="auto"/>
        <w:jc w:val="left"/>
        <w:rPr>
          <w:rFonts w:hint="eastAsia" w:ascii="宋体" w:hAnsi="宋体" w:cs="宋体"/>
          <w:b/>
          <w:snapToGrid w:val="0"/>
          <w:color w:val="auto"/>
          <w:kern w:val="0"/>
          <w:sz w:val="32"/>
          <w:szCs w:val="20"/>
          <w:highlight w:val="none"/>
        </w:rPr>
      </w:pPr>
    </w:p>
    <w:p>
      <w:pPr>
        <w:adjustRightInd w:val="0"/>
        <w:spacing w:line="480" w:lineRule="auto"/>
        <w:ind w:left="4" w:firstLine="455" w:firstLineChars="217"/>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我 </w:t>
      </w:r>
      <w:r>
        <w:rPr>
          <w:rFonts w:hint="eastAsia" w:ascii="宋体" w:hAnsi="宋体" w:cs="宋体"/>
          <w:snapToGrid w:val="0"/>
          <w:color w:val="auto"/>
          <w:kern w:val="0"/>
          <w:szCs w:val="21"/>
          <w:highlight w:val="none"/>
          <w:u w:val="single"/>
        </w:rPr>
        <w:t xml:space="preserve">               </w:t>
      </w:r>
      <w:r>
        <w:rPr>
          <w:rFonts w:hint="eastAsia" w:ascii="宋体" w:hAnsi="宋体" w:cs="宋体"/>
          <w:snapToGrid w:val="0"/>
          <w:color w:val="auto"/>
          <w:kern w:val="0"/>
          <w:szCs w:val="21"/>
          <w:highlight w:val="none"/>
        </w:rPr>
        <w:t>（投标人名称），现授权委托</w:t>
      </w:r>
      <w:r>
        <w:rPr>
          <w:rFonts w:hint="eastAsia" w:ascii="宋体" w:hAnsi="宋体" w:cs="宋体"/>
          <w:snapToGrid w:val="0"/>
          <w:color w:val="auto"/>
          <w:kern w:val="0"/>
          <w:szCs w:val="21"/>
          <w:highlight w:val="none"/>
          <w:u w:val="single"/>
        </w:rPr>
        <w:t xml:space="preserve">           </w:t>
      </w:r>
      <w:r>
        <w:rPr>
          <w:rFonts w:hint="eastAsia" w:ascii="宋体" w:hAnsi="宋体" w:cs="宋体"/>
          <w:snapToGrid w:val="0"/>
          <w:color w:val="auto"/>
          <w:kern w:val="0"/>
          <w:szCs w:val="21"/>
          <w:highlight w:val="none"/>
        </w:rPr>
        <w:t>（姓名、身份证号）为我公司授权代表，以本公司的名义参加</w:t>
      </w:r>
      <w:r>
        <w:rPr>
          <w:rFonts w:hint="eastAsia" w:ascii="宋体" w:hAnsi="宋体" w:cs="宋体"/>
          <w:snapToGrid w:val="0"/>
          <w:color w:val="auto"/>
          <w:kern w:val="0"/>
          <w:szCs w:val="21"/>
          <w:highlight w:val="none"/>
          <w:u w:val="single"/>
        </w:rPr>
        <w:t xml:space="preserve">   （采购人）    </w:t>
      </w:r>
      <w:r>
        <w:rPr>
          <w:rFonts w:hint="eastAsia" w:ascii="宋体" w:hAnsi="宋体" w:cs="宋体"/>
          <w:snapToGrid w:val="0"/>
          <w:color w:val="auto"/>
          <w:kern w:val="0"/>
          <w:szCs w:val="21"/>
          <w:highlight w:val="none"/>
        </w:rPr>
        <w:t xml:space="preserve">的 </w:t>
      </w:r>
      <w:r>
        <w:rPr>
          <w:rFonts w:hint="eastAsia" w:ascii="宋体" w:hAnsi="宋体" w:cs="宋体"/>
          <w:snapToGrid w:val="0"/>
          <w:color w:val="auto"/>
          <w:kern w:val="0"/>
          <w:szCs w:val="21"/>
          <w:highlight w:val="none"/>
          <w:u w:val="single"/>
        </w:rPr>
        <w:t xml:space="preserve">           </w:t>
      </w:r>
      <w:r>
        <w:rPr>
          <w:rFonts w:hint="eastAsia" w:ascii="宋体" w:hAnsi="宋体" w:cs="宋体"/>
          <w:snapToGrid w:val="0"/>
          <w:color w:val="auto"/>
          <w:kern w:val="0"/>
          <w:szCs w:val="21"/>
          <w:highlight w:val="none"/>
        </w:rPr>
        <w:t>项目的投标活动。授权代表在开标、评标、合同谈判过程中所签署的一切文件和处理与之有关的一切事务，我均予以承认。</w:t>
      </w:r>
    </w:p>
    <w:p>
      <w:pPr>
        <w:adjustRightInd w:val="0"/>
        <w:spacing w:line="480" w:lineRule="auto"/>
        <w:ind w:firstLine="420" w:firstLineChars="2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授权代表无权转委托。特此委托。</w:t>
      </w:r>
    </w:p>
    <w:p>
      <w:pPr>
        <w:spacing w:line="360" w:lineRule="auto"/>
        <w:ind w:right="1800" w:firstLine="3780" w:firstLineChars="18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投标人：（盖公章或</w:t>
      </w:r>
      <w:r>
        <w:rPr>
          <w:rFonts w:hint="eastAsia" w:ascii="宋体" w:hAnsi="宋体" w:cs="宋体"/>
          <w:snapToGrid w:val="0"/>
          <w:color w:val="auto"/>
          <w:kern w:val="0"/>
          <w:szCs w:val="21"/>
          <w:highlight w:val="none"/>
          <w:lang w:eastAsia="zh-CN"/>
        </w:rPr>
        <w:t>电子签章</w:t>
      </w:r>
      <w:r>
        <w:rPr>
          <w:rFonts w:hint="eastAsia" w:ascii="宋体" w:hAnsi="宋体" w:cs="宋体"/>
          <w:snapToGrid w:val="0"/>
          <w:color w:val="auto"/>
          <w:kern w:val="0"/>
          <w:szCs w:val="21"/>
          <w:highlight w:val="none"/>
        </w:rPr>
        <w:t xml:space="preserve">）       </w:t>
      </w:r>
    </w:p>
    <w:p>
      <w:pPr>
        <w:autoSpaceDE w:val="0"/>
        <w:autoSpaceDN w:val="0"/>
        <w:adjustRightInd w:val="0"/>
        <w:spacing w:line="360" w:lineRule="auto"/>
        <w:ind w:right="420"/>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           授权代表身份证号码：</w:t>
      </w:r>
    </w:p>
    <w:p>
      <w:pPr>
        <w:autoSpaceDE w:val="0"/>
        <w:autoSpaceDN w:val="0"/>
        <w:adjustRightInd w:val="0"/>
        <w:spacing w:line="360" w:lineRule="auto"/>
        <w:ind w:right="420"/>
        <w:rPr>
          <w:rFonts w:hint="eastAsia" w:ascii="宋体" w:hAnsi="宋体" w:cs="宋体"/>
          <w:snapToGrid w:val="0"/>
          <w:color w:val="auto"/>
          <w:kern w:val="0"/>
          <w:szCs w:val="21"/>
          <w:highlight w:val="none"/>
        </w:rPr>
      </w:pPr>
    </w:p>
    <w:p>
      <w:pPr>
        <w:autoSpaceDE w:val="0"/>
        <w:autoSpaceDN w:val="0"/>
        <w:adjustRightInd w:val="0"/>
        <w:spacing w:line="360" w:lineRule="auto"/>
        <w:ind w:right="420"/>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                                                年    月    日</w:t>
      </w:r>
    </w:p>
    <w:p>
      <w:pPr>
        <w:autoSpaceDE w:val="0"/>
        <w:autoSpaceDN w:val="0"/>
        <w:adjustRightInd w:val="0"/>
        <w:snapToGrid w:val="0"/>
        <w:spacing w:line="360" w:lineRule="auto"/>
        <w:ind w:right="420"/>
        <w:rPr>
          <w:rFonts w:hint="eastAsia" w:ascii="宋体" w:hAnsi="宋体" w:cs="宋体"/>
          <w:b/>
          <w:snapToGrid w:val="0"/>
          <w:color w:val="auto"/>
          <w:kern w:val="0"/>
          <w:szCs w:val="21"/>
          <w:highlight w:val="none"/>
        </w:rPr>
      </w:pPr>
    </w:p>
    <w:p>
      <w:pPr>
        <w:autoSpaceDE w:val="0"/>
        <w:autoSpaceDN w:val="0"/>
        <w:adjustRightInd w:val="0"/>
        <w:snapToGrid w:val="0"/>
        <w:spacing w:line="360" w:lineRule="auto"/>
        <w:ind w:right="420"/>
        <w:rPr>
          <w:rFonts w:hint="eastAsia" w:ascii="宋体" w:hAnsi="宋体" w:cs="宋体"/>
          <w:b/>
          <w:snapToGrid w:val="0"/>
          <w:color w:val="auto"/>
          <w:kern w:val="0"/>
          <w:szCs w:val="21"/>
          <w:highlight w:val="none"/>
        </w:rPr>
      </w:pPr>
    </w:p>
    <w:p>
      <w:pPr>
        <w:autoSpaceDE w:val="0"/>
        <w:autoSpaceDN w:val="0"/>
        <w:adjustRightInd w:val="0"/>
        <w:snapToGrid w:val="0"/>
        <w:spacing w:line="360" w:lineRule="auto"/>
        <w:ind w:right="420"/>
        <w:rPr>
          <w:rFonts w:hint="eastAsia" w:ascii="宋体" w:hAnsi="宋体" w:cs="宋体"/>
          <w:b/>
          <w:snapToGrid w:val="0"/>
          <w:color w:val="auto"/>
          <w:kern w:val="0"/>
          <w:szCs w:val="21"/>
          <w:highlight w:val="none"/>
        </w:rPr>
      </w:pPr>
    </w:p>
    <w:p>
      <w:pPr>
        <w:autoSpaceDE w:val="0"/>
        <w:autoSpaceDN w:val="0"/>
        <w:adjustRightInd w:val="0"/>
        <w:snapToGrid w:val="0"/>
        <w:spacing w:line="360" w:lineRule="auto"/>
        <w:ind w:right="420"/>
        <w:rPr>
          <w:rFonts w:hint="eastAsia" w:ascii="宋体" w:hAnsi="宋体" w:cs="宋体"/>
          <w:b/>
          <w:snapToGrid w:val="0"/>
          <w:color w:val="auto"/>
          <w:kern w:val="0"/>
          <w:szCs w:val="21"/>
          <w:highlight w:val="none"/>
        </w:rPr>
      </w:pPr>
    </w:p>
    <w:p>
      <w:pPr>
        <w:autoSpaceDE w:val="0"/>
        <w:autoSpaceDN w:val="0"/>
        <w:adjustRightInd w:val="0"/>
        <w:snapToGrid w:val="0"/>
        <w:spacing w:line="360" w:lineRule="auto"/>
        <w:ind w:right="420"/>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附：授权代表的身份证复印件。（正反面）</w:t>
      </w:r>
    </w:p>
    <w:p>
      <w:pPr>
        <w:autoSpaceDE w:val="0"/>
        <w:autoSpaceDN w:val="0"/>
        <w:adjustRightInd w:val="0"/>
        <w:spacing w:line="360" w:lineRule="auto"/>
        <w:rPr>
          <w:rFonts w:hint="eastAsia" w:ascii="宋体" w:hAnsi="宋体" w:cs="宋体"/>
          <w:snapToGrid w:val="0"/>
          <w:color w:val="auto"/>
          <w:kern w:val="0"/>
          <w:szCs w:val="21"/>
          <w:highlight w:val="none"/>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noWrap w:val="0"/>
            <w:vAlign w:val="top"/>
          </w:tcPr>
          <w:p>
            <w:pPr>
              <w:autoSpaceDE w:val="0"/>
              <w:autoSpaceDN w:val="0"/>
              <w:adjustRightInd w:val="0"/>
              <w:spacing w:line="360" w:lineRule="auto"/>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tc>
      </w:tr>
    </w:tbl>
    <w:p>
      <w:pPr>
        <w:autoSpaceDE w:val="0"/>
        <w:autoSpaceDN w:val="0"/>
        <w:adjustRightInd w:val="0"/>
        <w:spacing w:line="360" w:lineRule="auto"/>
        <w:rPr>
          <w:rFonts w:hint="eastAsia" w:ascii="宋体" w:hAnsi="宋体" w:eastAsia="宋体" w:cs="宋体"/>
          <w:b/>
          <w:color w:val="auto"/>
          <w:highlight w:val="none"/>
        </w:rPr>
      </w:pPr>
      <w:r>
        <w:rPr>
          <w:rFonts w:hint="eastAsia" w:ascii="宋体" w:hAnsi="宋体" w:cs="宋体"/>
          <w:snapToGrid w:val="0"/>
          <w:color w:val="auto"/>
          <w:kern w:val="0"/>
          <w:szCs w:val="21"/>
          <w:highlight w:val="none"/>
        </w:rPr>
        <w:br w:type="page"/>
      </w:r>
      <w:r>
        <w:rPr>
          <w:rFonts w:hint="eastAsia" w:ascii="宋体" w:hAnsi="宋体" w:eastAsia="宋体" w:cs="宋体"/>
          <w:b/>
          <w:color w:val="auto"/>
          <w:highlight w:val="none"/>
          <w:lang w:val="en-US" w:eastAsia="zh-CN"/>
        </w:rPr>
        <w:t>3.6</w:t>
      </w:r>
      <w:r>
        <w:rPr>
          <w:rFonts w:hint="eastAsia" w:ascii="宋体" w:hAnsi="宋体" w:eastAsia="宋体" w:cs="宋体"/>
          <w:b/>
          <w:color w:val="auto"/>
          <w:highlight w:val="none"/>
        </w:rPr>
        <w:t>政府采购供应商廉洁自律承诺书</w:t>
      </w:r>
    </w:p>
    <w:p>
      <w:pPr>
        <w:autoSpaceDE w:val="0"/>
        <w:autoSpaceDN w:val="0"/>
        <w:adjustRightInd w:val="0"/>
        <w:spacing w:line="360" w:lineRule="auto"/>
        <w:rPr>
          <w:rFonts w:hint="eastAsia" w:ascii="宋体" w:hAnsi="宋体" w:eastAsia="宋体" w:cs="宋体"/>
          <w:b/>
          <w:color w:val="auto"/>
          <w:highlight w:val="none"/>
        </w:rPr>
      </w:pPr>
    </w:p>
    <w:p>
      <w:pPr>
        <w:adjustRightInd w:val="0"/>
        <w:spacing w:line="360" w:lineRule="auto"/>
        <w:jc w:val="center"/>
        <w:rPr>
          <w:rFonts w:hint="eastAsia" w:ascii="宋体" w:hAnsi="宋体" w:cs="宋体"/>
          <w:b/>
          <w:bCs/>
          <w:snapToGrid w:val="0"/>
          <w:color w:val="auto"/>
          <w:kern w:val="0"/>
          <w:sz w:val="28"/>
          <w:szCs w:val="28"/>
          <w:highlight w:val="none"/>
        </w:rPr>
      </w:pPr>
      <w:r>
        <w:rPr>
          <w:rFonts w:hint="eastAsia" w:ascii="宋体" w:hAnsi="宋体" w:cs="宋体"/>
          <w:b/>
          <w:bCs/>
          <w:snapToGrid w:val="0"/>
          <w:color w:val="auto"/>
          <w:kern w:val="0"/>
          <w:sz w:val="28"/>
          <w:szCs w:val="28"/>
          <w:highlight w:val="none"/>
        </w:rPr>
        <w:t>政府采购供应商廉洁自律承诺书</w:t>
      </w:r>
    </w:p>
    <w:p>
      <w:pPr>
        <w:spacing w:line="360" w:lineRule="auto"/>
        <w:jc w:val="center"/>
        <w:rPr>
          <w:rFonts w:hint="eastAsia" w:ascii="仿宋_GB2312" w:hAnsi="仿宋" w:eastAsia="仿宋_GB2312" w:cs="仿宋_GB2312"/>
          <w:color w:val="auto"/>
          <w:sz w:val="24"/>
          <w:highlight w:val="none"/>
        </w:rPr>
      </w:pPr>
      <w:r>
        <w:rPr>
          <w:rFonts w:hint="eastAsia" w:ascii="宋体" w:hAnsi="宋体" w:cs="宋体"/>
          <w:color w:val="auto"/>
          <w:sz w:val="24"/>
          <w:highlight w:val="none"/>
        </w:rPr>
        <w:t> </w:t>
      </w:r>
    </w:p>
    <w:p>
      <w:pPr>
        <w:keepNext w:val="0"/>
        <w:keepLines w:val="0"/>
        <w:pageBreakBefore w:val="0"/>
        <w:widowControl w:val="0"/>
        <w:kinsoku/>
        <w:wordWrap/>
        <w:overflowPunct/>
        <w:topLinePunct w:val="0"/>
        <w:bidi w:val="0"/>
        <w:adjustRightInd/>
        <w:snapToGrid/>
        <w:spacing w:line="360" w:lineRule="auto"/>
        <w:textAlignment w:val="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lang w:eastAsia="zh-CN"/>
        </w:rPr>
        <w:t>采购人</w:t>
      </w:r>
      <w:r>
        <w:rPr>
          <w:rFonts w:hint="eastAsia" w:ascii="宋体" w:hAnsi="宋体" w:cs="宋体"/>
          <w:color w:val="auto"/>
          <w:sz w:val="24"/>
          <w:highlight w:val="none"/>
          <w:u w:val="single"/>
          <w:lang w:eastAsia="zh-CN"/>
        </w:rPr>
        <w:t>名</w:t>
      </w:r>
      <w:r>
        <w:rPr>
          <w:rFonts w:hint="eastAsia" w:ascii="宋体" w:hAnsi="宋体" w:eastAsia="宋体" w:cs="宋体"/>
          <w:color w:val="auto"/>
          <w:sz w:val="24"/>
          <w:highlight w:val="none"/>
          <w:u w:val="single"/>
          <w:lang w:eastAsia="zh-CN"/>
        </w:rPr>
        <w:t>称、代理机构</w:t>
      </w:r>
      <w:r>
        <w:rPr>
          <w:rFonts w:hint="eastAsia" w:ascii="宋体" w:hAnsi="宋体" w:cs="宋体"/>
          <w:color w:val="auto"/>
          <w:sz w:val="24"/>
          <w:highlight w:val="none"/>
          <w:u w:val="single"/>
          <w:lang w:eastAsia="zh-CN"/>
        </w:rPr>
        <w:t>名</w:t>
      </w:r>
      <w:r>
        <w:rPr>
          <w:rFonts w:hint="eastAsia" w:ascii="宋体" w:hAnsi="宋体" w:eastAsia="宋体" w:cs="宋体"/>
          <w:color w:val="auto"/>
          <w:sz w:val="24"/>
          <w:highlight w:val="none"/>
          <w:u w:val="single"/>
          <w:lang w:eastAsia="zh-CN"/>
        </w:rPr>
        <w:t>称</w:t>
      </w:r>
      <w:r>
        <w:rPr>
          <w:rFonts w:hint="eastAsia" w:ascii="宋体" w:hAnsi="宋体" w:eastAsia="宋体" w:cs="宋体"/>
          <w:color w:val="auto"/>
          <w:sz w:val="24"/>
          <w:highlight w:val="none"/>
          <w:u w:val="single"/>
        </w:rPr>
        <w:t>：</w:t>
      </w:r>
    </w:p>
    <w:p>
      <w:pPr>
        <w:keepNext w:val="0"/>
        <w:keepLines w:val="0"/>
        <w:pageBreakBefore w:val="0"/>
        <w:widowControl w:val="0"/>
        <w:kinsoku/>
        <w:wordWrap/>
        <w:overflowPunct/>
        <w:topLinePunct w:val="0"/>
        <w:bidi w:val="0"/>
        <w:adjustRightInd/>
        <w:snapToGrid/>
        <w:spacing w:line="360" w:lineRule="auto"/>
        <w:ind w:left="239" w:leftChars="114" w:firstLine="240" w:firstLineChars="1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本单位合法参加</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lang w:eastAsia="zh-CN"/>
        </w:rPr>
        <w:t>采购项目</w:t>
      </w:r>
      <w:r>
        <w:rPr>
          <w:rFonts w:hint="eastAsia" w:ascii="宋体" w:hAnsi="宋体" w:eastAsia="宋体" w:cs="宋体"/>
          <w:color w:val="auto"/>
          <w:sz w:val="24"/>
          <w:highlight w:val="none"/>
        </w:rPr>
        <w:t>【编号：</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】政府采购活动，就有关廉洁自律和公平竞争事项郑重声明如下：</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一、本单位与采购人之间不存在利害关系，不存在行贿、串通等违法行为。</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二、本单位与其他当事人之间不存在直接控股、管理关系等情况，不存在法定的不允许投标情形，不存在行贿、串通等违法行为。</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三、本单位清楚知道并严格遵守政府采购法律法规、政策文件和相关纪律。</w:t>
      </w:r>
    </w:p>
    <w:p>
      <w:pPr>
        <w:keepNext w:val="0"/>
        <w:keepLines w:val="0"/>
        <w:pageBreakBefore w:val="0"/>
        <w:widowControl w:val="0"/>
        <w:kinsoku/>
        <w:wordWrap/>
        <w:overflowPunct/>
        <w:topLinePunct w:val="0"/>
        <w:autoSpaceDE w:val="0"/>
        <w:autoSpaceDN w:val="0"/>
        <w:bidi w:val="0"/>
        <w:adjustRightInd/>
        <w:snapToGrid/>
        <w:spacing w:line="360" w:lineRule="auto"/>
        <w:ind w:firstLine="5040" w:firstLineChars="2100"/>
        <w:jc w:val="left"/>
        <w:textAlignment w:val="auto"/>
        <w:rPr>
          <w:rFonts w:hint="eastAsia" w:ascii="宋体" w:hAnsi="宋体" w:eastAsia="宋体" w:cs="宋体"/>
          <w:color w:val="auto"/>
          <w:kern w:val="0"/>
          <w:sz w:val="24"/>
          <w:highlight w:val="none"/>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5040" w:firstLineChars="2100"/>
        <w:jc w:val="left"/>
        <w:textAlignment w:val="auto"/>
        <w:rPr>
          <w:rFonts w:hint="eastAsia" w:ascii="宋体" w:hAnsi="宋体" w:eastAsia="宋体" w:cs="宋体"/>
          <w:color w:val="auto"/>
          <w:kern w:val="0"/>
          <w:sz w:val="24"/>
          <w:highlight w:val="none"/>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3840" w:firstLineChars="16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投标人名称（盖公章或电子签章）：</w:t>
      </w:r>
    </w:p>
    <w:p>
      <w:pPr>
        <w:keepNext w:val="0"/>
        <w:keepLines w:val="0"/>
        <w:pageBreakBefore w:val="0"/>
        <w:widowControl w:val="0"/>
        <w:kinsoku/>
        <w:wordWrap/>
        <w:overflowPunct/>
        <w:topLinePunct w:val="0"/>
        <w:autoSpaceDE w:val="0"/>
        <w:autoSpaceDN w:val="0"/>
        <w:bidi w:val="0"/>
        <w:adjustRightInd/>
        <w:snapToGrid/>
        <w:spacing w:line="360" w:lineRule="auto"/>
        <w:ind w:firstLine="3840" w:firstLineChars="1600"/>
        <w:textAlignment w:val="auto"/>
        <w:rPr>
          <w:rFonts w:hint="eastAsia" w:ascii="宋体" w:hAnsi="宋体" w:eastAsia="宋体" w:cs="宋体"/>
          <w:b/>
          <w:color w:val="auto"/>
          <w:highlight w:val="none"/>
        </w:rPr>
      </w:pPr>
      <w:r>
        <w:rPr>
          <w:rFonts w:hint="eastAsia" w:ascii="宋体" w:hAnsi="宋体" w:eastAsia="宋体" w:cs="宋体"/>
          <w:color w:val="auto"/>
          <w:kern w:val="0"/>
          <w:sz w:val="24"/>
          <w:highlight w:val="none"/>
          <w:lang w:val="zh-CN"/>
        </w:rPr>
        <w:t>日期：  年  月   日</w:t>
      </w:r>
      <w:r>
        <w:rPr>
          <w:rFonts w:hint="eastAsia" w:ascii="宋体" w:hAnsi="宋体" w:cs="宋体"/>
          <w:snapToGrid w:val="0"/>
          <w:color w:val="auto"/>
          <w:kern w:val="0"/>
          <w:szCs w:val="21"/>
          <w:highlight w:val="none"/>
        </w:rPr>
        <w:br w:type="page"/>
      </w:r>
      <w:r>
        <w:rPr>
          <w:rFonts w:hint="eastAsia" w:ascii="宋体" w:hAnsi="宋体" w:eastAsia="宋体" w:cs="宋体"/>
          <w:b/>
          <w:color w:val="auto"/>
          <w:highlight w:val="none"/>
          <w:lang w:val="en-US" w:eastAsia="zh-CN"/>
        </w:rPr>
        <w:t>3.7</w:t>
      </w:r>
      <w:r>
        <w:rPr>
          <w:rFonts w:hint="eastAsia" w:ascii="宋体" w:hAnsi="宋体" w:eastAsia="宋体" w:cs="宋体"/>
          <w:b/>
          <w:color w:val="auto"/>
          <w:highlight w:val="none"/>
        </w:rPr>
        <w:t>廉政承诺书</w:t>
      </w:r>
    </w:p>
    <w:p>
      <w:pPr>
        <w:autoSpaceDE w:val="0"/>
        <w:autoSpaceDN w:val="0"/>
        <w:adjustRightInd w:val="0"/>
        <w:spacing w:line="360" w:lineRule="auto"/>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廉 政 承 诺 书</w:t>
      </w:r>
    </w:p>
    <w:p>
      <w:pPr>
        <w:autoSpaceDE w:val="0"/>
        <w:autoSpaceDN w:val="0"/>
        <w:adjustRightInd w:val="0"/>
        <w:spacing w:line="360" w:lineRule="auto"/>
        <w:rPr>
          <w:rFonts w:hint="eastAsia" w:ascii="宋体" w:hAnsi="宋体" w:cs="宋体"/>
          <w:bCs/>
          <w:color w:val="auto"/>
          <w:szCs w:val="21"/>
          <w:highlight w:val="none"/>
        </w:rPr>
      </w:pPr>
      <w:r>
        <w:rPr>
          <w:rFonts w:hint="eastAsia" w:ascii="宋体" w:hAnsi="宋体" w:eastAsia="宋体" w:cs="宋体"/>
          <w:snapToGrid w:val="0"/>
          <w:color w:val="auto"/>
          <w:kern w:val="0"/>
          <w:highlight w:val="none"/>
          <w:u w:val="single"/>
          <w:lang w:val="en-US" w:eastAsia="zh-CN"/>
        </w:rPr>
        <w:t xml:space="preserve">             </w:t>
      </w:r>
      <w:r>
        <w:rPr>
          <w:rFonts w:hint="eastAsia" w:ascii="宋体" w:hAnsi="宋体" w:cs="宋体"/>
          <w:bCs/>
          <w:color w:val="auto"/>
          <w:szCs w:val="21"/>
          <w:highlight w:val="none"/>
        </w:rPr>
        <w:t>：</w:t>
      </w:r>
    </w:p>
    <w:p>
      <w:pPr>
        <w:autoSpaceDE w:val="0"/>
        <w:autoSpaceDN w:val="0"/>
        <w:adjustRightInd w:val="0"/>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 xml:space="preserve">    我单位响应你单位项目招标要求参加应标。在这次应标过程中和中标后，我们将严格遵守国家法律法规规定要求，并郑重承诺：</w:t>
      </w:r>
    </w:p>
    <w:p>
      <w:pPr>
        <w:autoSpaceDE w:val="0"/>
        <w:autoSpaceDN w:val="0"/>
        <w:adjustRightInd w:val="0"/>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 xml:space="preserve">    一、不向项目有关人员及部门赠送礼金礼物、有价证券、回扣以及中介费、介绍费、咨询费等好处费；</w:t>
      </w:r>
    </w:p>
    <w:p>
      <w:pPr>
        <w:autoSpaceDE w:val="0"/>
        <w:autoSpaceDN w:val="0"/>
        <w:adjustRightInd w:val="0"/>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 xml:space="preserve">    二、不为项目有关人员及部门报销应由你方单位或个人支付的费用；</w:t>
      </w:r>
    </w:p>
    <w:p>
      <w:pPr>
        <w:autoSpaceDE w:val="0"/>
        <w:autoSpaceDN w:val="0"/>
        <w:adjustRightInd w:val="0"/>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 xml:space="preserve">    三、不向项目有关人员及部门提供有可能影响公正执行公务的宴请和健身娱乐等活动；</w:t>
      </w:r>
    </w:p>
    <w:p>
      <w:pPr>
        <w:autoSpaceDE w:val="0"/>
        <w:autoSpaceDN w:val="0"/>
        <w:adjustRightInd w:val="0"/>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 xml:space="preserve">    四、不为项目有关人员及部门出国（境）、旅游等提供方便；</w:t>
      </w:r>
    </w:p>
    <w:p>
      <w:pPr>
        <w:autoSpaceDE w:val="0"/>
        <w:autoSpaceDN w:val="0"/>
        <w:adjustRightInd w:val="0"/>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 xml:space="preserve">    五、不为项目有关人员个人装修住房、婚丧嫁娶、配偶子女工作安排等提供好处； </w:t>
      </w:r>
    </w:p>
    <w:p>
      <w:pPr>
        <w:autoSpaceDE w:val="0"/>
        <w:autoSpaceDN w:val="0"/>
        <w:adjustRightInd w:val="0"/>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 xml:space="preserve">    六、严格遵守政府采购法、</w:t>
      </w:r>
      <w:r>
        <w:rPr>
          <w:rFonts w:hint="eastAsia" w:ascii="宋体" w:hAnsi="宋体" w:cs="宋体"/>
          <w:bCs/>
          <w:color w:val="auto"/>
          <w:szCs w:val="21"/>
          <w:highlight w:val="none"/>
          <w:lang w:eastAsia="zh-CN"/>
        </w:rPr>
        <w:t>民法典</w:t>
      </w:r>
      <w:r>
        <w:rPr>
          <w:rFonts w:hint="eastAsia" w:ascii="宋体" w:hAnsi="宋体" w:cs="宋体"/>
          <w:bCs/>
          <w:color w:val="auto"/>
          <w:szCs w:val="21"/>
          <w:highlight w:val="none"/>
        </w:rPr>
        <w:t>等法律，诚实守信，合法经营，坚决抵制各种违法违纪行为。</w:t>
      </w:r>
    </w:p>
    <w:p>
      <w:pPr>
        <w:autoSpaceDE w:val="0"/>
        <w:autoSpaceDN w:val="0"/>
        <w:adjustRightInd w:val="0"/>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 xml:space="preserve">    如违反上述承诺，你单位有权立即取消我单位应标、中标或在建项目的资格，有权拒绝我单位在一定时期内</w:t>
      </w:r>
      <w:r>
        <w:rPr>
          <w:rFonts w:hint="eastAsia" w:ascii="宋体" w:hAnsi="宋体" w:cs="宋体"/>
          <w:bCs/>
          <w:color w:val="auto"/>
          <w:szCs w:val="21"/>
          <w:highlight w:val="none"/>
          <w:lang w:eastAsia="zh-CN"/>
        </w:rPr>
        <w:t>参与</w:t>
      </w:r>
      <w:r>
        <w:rPr>
          <w:rFonts w:hint="eastAsia" w:ascii="宋体" w:hAnsi="宋体" w:cs="宋体"/>
          <w:bCs/>
          <w:color w:val="auto"/>
          <w:szCs w:val="21"/>
          <w:highlight w:val="none"/>
        </w:rPr>
        <w:t>你单位</w:t>
      </w:r>
      <w:r>
        <w:rPr>
          <w:rFonts w:hint="eastAsia" w:ascii="宋体" w:hAnsi="宋体" w:cs="宋体"/>
          <w:bCs/>
          <w:color w:val="auto"/>
          <w:szCs w:val="21"/>
          <w:highlight w:val="none"/>
          <w:lang w:eastAsia="zh-CN"/>
        </w:rPr>
        <w:t>项目采购</w:t>
      </w:r>
      <w:r>
        <w:rPr>
          <w:rFonts w:hint="eastAsia" w:ascii="宋体" w:hAnsi="宋体" w:cs="宋体"/>
          <w:bCs/>
          <w:color w:val="auto"/>
          <w:szCs w:val="21"/>
          <w:highlight w:val="none"/>
        </w:rPr>
        <w:t>或其他经营活动，并通报</w:t>
      </w:r>
      <w:r>
        <w:rPr>
          <w:rFonts w:hint="eastAsia" w:ascii="宋体" w:hAnsi="宋体" w:cs="宋体"/>
          <w:bCs/>
          <w:color w:val="auto"/>
          <w:szCs w:val="21"/>
          <w:highlight w:val="none"/>
          <w:lang w:eastAsia="zh-CN"/>
        </w:rPr>
        <w:t>监管部门</w:t>
      </w:r>
      <w:r>
        <w:rPr>
          <w:rFonts w:hint="eastAsia" w:ascii="宋体" w:hAnsi="宋体" w:cs="宋体"/>
          <w:bCs/>
          <w:color w:val="auto"/>
          <w:szCs w:val="21"/>
          <w:highlight w:val="none"/>
        </w:rPr>
        <w:t>。由此引起的相应损失均由我单位承担。</w:t>
      </w:r>
    </w:p>
    <w:p>
      <w:pPr>
        <w:autoSpaceDE w:val="0"/>
        <w:autoSpaceDN w:val="0"/>
        <w:adjustRightInd w:val="0"/>
        <w:spacing w:line="360" w:lineRule="auto"/>
        <w:rPr>
          <w:rFonts w:hint="eastAsia" w:ascii="宋体" w:hAnsi="宋体" w:cs="宋体"/>
          <w:bCs/>
          <w:color w:val="auto"/>
          <w:szCs w:val="21"/>
          <w:highlight w:val="none"/>
        </w:rPr>
      </w:pPr>
    </w:p>
    <w:p>
      <w:pPr>
        <w:autoSpaceDE w:val="0"/>
        <w:autoSpaceDN w:val="0"/>
        <w:adjustRightInd w:val="0"/>
        <w:spacing w:line="360" w:lineRule="auto"/>
        <w:rPr>
          <w:rFonts w:hint="eastAsia" w:ascii="宋体" w:hAnsi="宋体" w:cs="宋体"/>
          <w:bCs/>
          <w:color w:val="auto"/>
          <w:szCs w:val="21"/>
          <w:highlight w:val="none"/>
        </w:rPr>
      </w:pPr>
    </w:p>
    <w:p>
      <w:pPr>
        <w:autoSpaceDE w:val="0"/>
        <w:autoSpaceDN w:val="0"/>
        <w:adjustRightInd w:val="0"/>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投标人（盖公章或</w:t>
      </w:r>
      <w:r>
        <w:rPr>
          <w:rFonts w:hint="eastAsia" w:ascii="宋体" w:hAnsi="宋体" w:cs="宋体"/>
          <w:bCs/>
          <w:color w:val="auto"/>
          <w:szCs w:val="21"/>
          <w:highlight w:val="none"/>
          <w:lang w:eastAsia="zh-CN"/>
        </w:rPr>
        <w:t>电子签章</w:t>
      </w:r>
      <w:r>
        <w:rPr>
          <w:rFonts w:hint="eastAsia" w:ascii="宋体" w:hAnsi="宋体" w:cs="宋体"/>
          <w:bCs/>
          <w:color w:val="auto"/>
          <w:szCs w:val="21"/>
          <w:highlight w:val="none"/>
        </w:rPr>
        <w:t xml:space="preserve">）：                </w:t>
      </w:r>
    </w:p>
    <w:p>
      <w:pPr>
        <w:autoSpaceDE w:val="0"/>
        <w:autoSpaceDN w:val="0"/>
        <w:adjustRightInd w:val="0"/>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 xml:space="preserve">                             </w:t>
      </w:r>
    </w:p>
    <w:p>
      <w:pPr>
        <w:autoSpaceDE w:val="0"/>
        <w:autoSpaceDN w:val="0"/>
        <w:adjustRightInd w:val="0"/>
        <w:spacing w:line="360" w:lineRule="auto"/>
        <w:rPr>
          <w:rFonts w:hint="eastAsia" w:ascii="宋体" w:hAnsi="宋体" w:cs="宋体"/>
          <w:bCs/>
          <w:color w:val="auto"/>
          <w:szCs w:val="21"/>
          <w:highlight w:val="none"/>
        </w:rPr>
      </w:pPr>
    </w:p>
    <w:p>
      <w:pPr>
        <w:autoSpaceDE w:val="0"/>
        <w:autoSpaceDN w:val="0"/>
        <w:adjustRightInd w:val="0"/>
        <w:spacing w:line="360" w:lineRule="auto"/>
        <w:rPr>
          <w:rFonts w:hint="eastAsia" w:ascii="宋体" w:hAnsi="宋体" w:cs="宋体"/>
          <w:bCs/>
          <w:color w:val="auto"/>
          <w:szCs w:val="21"/>
          <w:highlight w:val="none"/>
        </w:rPr>
      </w:pPr>
    </w:p>
    <w:p>
      <w:pPr>
        <w:autoSpaceDE w:val="0"/>
        <w:autoSpaceDN w:val="0"/>
        <w:adjustRightInd w:val="0"/>
        <w:spacing w:line="360" w:lineRule="auto"/>
        <w:rPr>
          <w:rFonts w:hint="eastAsia" w:ascii="宋体" w:hAnsi="宋体" w:cs="宋体"/>
          <w:bCs/>
          <w:color w:val="auto"/>
          <w:szCs w:val="21"/>
          <w:highlight w:val="none"/>
        </w:rPr>
      </w:pPr>
      <w:r>
        <w:rPr>
          <w:rFonts w:hint="eastAsia" w:ascii="宋体" w:hAnsi="宋体" w:cs="宋体"/>
          <w:color w:val="auto"/>
          <w:spacing w:val="20"/>
          <w:highlight w:val="none"/>
        </w:rPr>
        <w:t xml:space="preserve">  </w:t>
      </w:r>
      <w:r>
        <w:rPr>
          <w:rFonts w:hint="eastAsia" w:ascii="宋体" w:hAnsi="宋体" w:cs="宋体"/>
          <w:color w:val="auto"/>
          <w:highlight w:val="none"/>
        </w:rPr>
        <w:t>年  月  日</w:t>
      </w:r>
    </w:p>
    <w:p>
      <w:pPr>
        <w:autoSpaceDE w:val="0"/>
        <w:autoSpaceDN w:val="0"/>
        <w:adjustRightInd w:val="0"/>
        <w:spacing w:line="360" w:lineRule="auto"/>
        <w:rPr>
          <w:rFonts w:hint="eastAsia" w:ascii="宋体" w:hAnsi="宋体" w:cs="宋体"/>
          <w:b/>
          <w:bCs/>
          <w:color w:val="auto"/>
          <w:szCs w:val="21"/>
          <w:highlight w:val="none"/>
        </w:rPr>
      </w:pPr>
      <w:r>
        <w:rPr>
          <w:rFonts w:hint="eastAsia" w:ascii="宋体" w:hAnsi="宋体" w:cs="宋体"/>
          <w:b/>
          <w:color w:val="auto"/>
          <w:sz w:val="24"/>
          <w:highlight w:val="none"/>
        </w:rPr>
        <w:br w:type="page"/>
      </w:r>
      <w:r>
        <w:rPr>
          <w:rFonts w:hint="eastAsia" w:ascii="宋体" w:hAnsi="宋体" w:cs="宋体"/>
          <w:b/>
          <w:bCs/>
          <w:color w:val="auto"/>
          <w:szCs w:val="21"/>
          <w:highlight w:val="none"/>
          <w:lang w:val="en-US" w:eastAsia="zh-CN"/>
        </w:rPr>
        <w:t>3.8</w:t>
      </w:r>
      <w:r>
        <w:rPr>
          <w:rFonts w:hint="eastAsia" w:ascii="宋体" w:hAnsi="宋体" w:cs="宋体"/>
          <w:b/>
          <w:bCs/>
          <w:color w:val="auto"/>
          <w:szCs w:val="21"/>
          <w:highlight w:val="none"/>
        </w:rPr>
        <w:t>类似业绩</w:t>
      </w:r>
    </w:p>
    <w:p>
      <w:pPr>
        <w:snapToGrid w:val="0"/>
        <w:spacing w:line="360" w:lineRule="auto"/>
        <w:jc w:val="center"/>
        <w:rPr>
          <w:rFonts w:hint="eastAsia" w:ascii="宋体" w:hAnsi="宋体" w:cs="宋体"/>
          <w:b/>
          <w:snapToGrid w:val="0"/>
          <w:color w:val="auto"/>
          <w:kern w:val="0"/>
          <w:sz w:val="24"/>
          <w:highlight w:val="none"/>
        </w:rPr>
      </w:pPr>
      <w:r>
        <w:rPr>
          <w:rFonts w:hint="eastAsia" w:ascii="宋体" w:hAnsi="宋体" w:cs="宋体"/>
          <w:b/>
          <w:snapToGrid w:val="0"/>
          <w:color w:val="auto"/>
          <w:kern w:val="0"/>
          <w:sz w:val="24"/>
          <w:highlight w:val="none"/>
        </w:rPr>
        <w:t>投标人曾承担过的</w:t>
      </w:r>
      <w:r>
        <w:rPr>
          <w:rFonts w:hint="eastAsia" w:ascii="宋体" w:hAnsi="宋体" w:cs="宋体"/>
          <w:b/>
          <w:snapToGrid w:val="0"/>
          <w:color w:val="auto"/>
          <w:kern w:val="0"/>
          <w:sz w:val="24"/>
          <w:highlight w:val="none"/>
          <w:lang w:eastAsia="zh-CN"/>
        </w:rPr>
        <w:t>同类</w:t>
      </w:r>
      <w:r>
        <w:rPr>
          <w:rFonts w:hint="eastAsia" w:ascii="宋体" w:hAnsi="宋体" w:cs="宋体"/>
          <w:b/>
          <w:snapToGrid w:val="0"/>
          <w:color w:val="auto"/>
          <w:kern w:val="0"/>
          <w:sz w:val="24"/>
          <w:highlight w:val="none"/>
        </w:rPr>
        <w:t>项目业绩一览表</w:t>
      </w:r>
    </w:p>
    <w:tbl>
      <w:tblPr>
        <w:tblStyle w:val="19"/>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2399"/>
        <w:gridCol w:w="2213"/>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textAlignment w:val="bottom"/>
              <w:rPr>
                <w:rFonts w:hint="eastAsia" w:ascii="宋体" w:hAnsi="宋体" w:cs="宋体"/>
                <w:color w:val="auto"/>
                <w:szCs w:val="21"/>
                <w:highlight w:val="none"/>
              </w:rPr>
            </w:pPr>
            <w:r>
              <w:rPr>
                <w:rFonts w:hint="eastAsia" w:ascii="宋体" w:hAnsi="宋体" w:cs="宋体"/>
                <w:color w:val="auto"/>
                <w:spacing w:val="30"/>
                <w:highlight w:val="none"/>
              </w:rPr>
              <w:t>序号</w:t>
            </w:r>
          </w:p>
        </w:tc>
        <w:tc>
          <w:tcPr>
            <w:tcW w:w="23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textAlignment w:val="bottom"/>
              <w:rPr>
                <w:rFonts w:hint="eastAsia" w:ascii="宋体" w:hAnsi="宋体" w:cs="宋体"/>
                <w:color w:val="auto"/>
                <w:szCs w:val="21"/>
                <w:highlight w:val="none"/>
              </w:rPr>
            </w:pPr>
            <w:r>
              <w:rPr>
                <w:rFonts w:hint="eastAsia" w:ascii="宋体" w:hAnsi="宋体" w:cs="宋体"/>
                <w:color w:val="auto"/>
                <w:spacing w:val="30"/>
                <w:highlight w:val="none"/>
              </w:rPr>
              <w:t>项目名称</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textAlignment w:val="bottom"/>
              <w:rPr>
                <w:rFonts w:hint="eastAsia" w:ascii="宋体" w:hAnsi="宋体" w:cs="宋体"/>
                <w:color w:val="auto"/>
                <w:szCs w:val="21"/>
                <w:highlight w:val="none"/>
              </w:rPr>
            </w:pPr>
            <w:r>
              <w:rPr>
                <w:rFonts w:hint="eastAsia" w:ascii="宋体" w:hAnsi="宋体" w:cs="宋体"/>
                <w:color w:val="auto"/>
                <w:spacing w:val="30"/>
                <w:highlight w:val="none"/>
              </w:rPr>
              <w:t>业主单位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textAlignment w:val="bottom"/>
              <w:rPr>
                <w:rFonts w:hint="eastAsia" w:ascii="宋体" w:hAnsi="宋体" w:cs="宋体"/>
                <w:bCs/>
                <w:color w:val="auto"/>
                <w:szCs w:val="21"/>
                <w:highlight w:val="none"/>
              </w:rPr>
            </w:pPr>
            <w:r>
              <w:rPr>
                <w:rFonts w:hint="eastAsia" w:ascii="宋体" w:hAnsi="宋体" w:cs="宋体"/>
                <w:bCs/>
                <w:color w:val="auto"/>
                <w:szCs w:val="21"/>
                <w:highlight w:val="none"/>
              </w:rPr>
              <w:t>联系方式</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bCs/>
                <w:color w:val="auto"/>
                <w:szCs w:val="21"/>
                <w:highlight w:val="none"/>
              </w:rPr>
            </w:pPr>
            <w:r>
              <w:rPr>
                <w:rFonts w:hint="eastAsia" w:ascii="宋体" w:hAnsi="宋体" w:cs="宋体"/>
                <w:color w:val="auto"/>
                <w:spacing w:val="30"/>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pStyle w:val="12"/>
              <w:snapToGrid w:val="0"/>
              <w:spacing w:before="120" w:beforeLines="50" w:after="50" w:line="460" w:lineRule="exact"/>
              <w:ind w:left="5250"/>
              <w:rPr>
                <w:rFonts w:hint="eastAsia"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23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22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hint="eastAsia" w:ascii="宋体" w:hAnsi="宋体" w:cs="宋体"/>
                <w:color w:val="auto"/>
                <w:szCs w:val="21"/>
                <w:highlight w:val="none"/>
              </w:rPr>
            </w:pPr>
          </w:p>
        </w:tc>
      </w:tr>
    </w:tbl>
    <w:p>
      <w:pPr>
        <w:tabs>
          <w:tab w:val="left" w:pos="744"/>
        </w:tabs>
        <w:spacing w:line="400" w:lineRule="exact"/>
        <w:ind w:firstLine="308" w:firstLineChars="147"/>
        <w:rPr>
          <w:rFonts w:hint="eastAsia" w:ascii="宋体" w:hAnsi="宋体" w:cs="宋体"/>
          <w:color w:val="auto"/>
          <w:highlight w:val="none"/>
        </w:rPr>
      </w:pPr>
      <w:r>
        <w:rPr>
          <w:rFonts w:hint="eastAsia" w:ascii="宋体" w:hAnsi="宋体" w:cs="宋体"/>
          <w:color w:val="auto"/>
          <w:highlight w:val="none"/>
        </w:rPr>
        <w:t>注：1.表中所列业绩如与评分有关的，出具的证明材料需满足评审依据，否则不予得分。</w:t>
      </w:r>
    </w:p>
    <w:p>
      <w:pPr>
        <w:tabs>
          <w:tab w:val="left" w:pos="744"/>
        </w:tabs>
        <w:spacing w:line="400" w:lineRule="exact"/>
        <w:ind w:firstLine="308" w:firstLineChars="147"/>
        <w:rPr>
          <w:rFonts w:hint="eastAsia" w:ascii="宋体" w:hAnsi="宋体" w:cs="宋体"/>
          <w:color w:val="auto"/>
          <w:highlight w:val="none"/>
        </w:rPr>
      </w:pPr>
      <w:r>
        <w:rPr>
          <w:rFonts w:hint="eastAsia" w:ascii="宋体" w:hAnsi="宋体" w:cs="宋体"/>
          <w:color w:val="auto"/>
          <w:highlight w:val="none"/>
        </w:rPr>
        <w:t xml:space="preserve">   </w:t>
      </w:r>
    </w:p>
    <w:p>
      <w:pPr>
        <w:rPr>
          <w:rFonts w:hint="eastAsia" w:ascii="宋体" w:hAnsi="宋体" w:cs="宋体"/>
          <w:color w:val="auto"/>
          <w:highlight w:val="none"/>
        </w:rPr>
      </w:pPr>
    </w:p>
    <w:p>
      <w:pPr>
        <w:rPr>
          <w:rFonts w:hint="eastAsia" w:ascii="宋体" w:hAnsi="宋体" w:cs="宋体"/>
          <w:color w:val="auto"/>
          <w:highlight w:val="none"/>
        </w:rPr>
      </w:pPr>
    </w:p>
    <w:p>
      <w:pPr>
        <w:adjustRightInd w:val="0"/>
        <w:snapToGrid w:val="0"/>
        <w:spacing w:line="360" w:lineRule="auto"/>
        <w:ind w:firstLine="4158" w:firstLineChars="198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投标人(盖公章或</w:t>
      </w:r>
      <w:r>
        <w:rPr>
          <w:rFonts w:hint="eastAsia" w:ascii="宋体" w:hAnsi="宋体" w:cs="宋体"/>
          <w:snapToGrid w:val="0"/>
          <w:color w:val="auto"/>
          <w:kern w:val="0"/>
          <w:szCs w:val="21"/>
          <w:highlight w:val="none"/>
          <w:lang w:eastAsia="zh-CN"/>
        </w:rPr>
        <w:t>电子签章</w:t>
      </w:r>
      <w:r>
        <w:rPr>
          <w:rFonts w:hint="eastAsia" w:ascii="宋体" w:hAnsi="宋体" w:cs="宋体"/>
          <w:snapToGrid w:val="0"/>
          <w:color w:val="auto"/>
          <w:kern w:val="0"/>
          <w:szCs w:val="21"/>
          <w:highlight w:val="none"/>
        </w:rPr>
        <w:t>)</w:t>
      </w:r>
    </w:p>
    <w:p>
      <w:pPr>
        <w:adjustRightInd w:val="0"/>
        <w:snapToGrid w:val="0"/>
        <w:spacing w:line="360" w:lineRule="auto"/>
        <w:ind w:firstLine="4158" w:firstLineChars="1980"/>
        <w:rPr>
          <w:rFonts w:hint="eastAsia" w:ascii="宋体" w:hAnsi="宋体" w:cs="宋体"/>
          <w:snapToGrid w:val="0"/>
          <w:color w:val="auto"/>
          <w:kern w:val="0"/>
          <w:szCs w:val="21"/>
          <w:highlight w:val="none"/>
        </w:rPr>
      </w:pPr>
    </w:p>
    <w:p>
      <w:pPr>
        <w:adjustRightInd w:val="0"/>
        <w:snapToGrid w:val="0"/>
        <w:spacing w:line="360" w:lineRule="auto"/>
        <w:ind w:firstLine="4158" w:firstLineChars="198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日期：</w:t>
      </w:r>
    </w:p>
    <w:p>
      <w:pPr>
        <w:autoSpaceDE w:val="0"/>
        <w:autoSpaceDN w:val="0"/>
        <w:adjustRightInd w:val="0"/>
        <w:spacing w:line="360" w:lineRule="auto"/>
        <w:rPr>
          <w:rFonts w:hint="eastAsia" w:ascii="宋体" w:hAnsi="宋体" w:cs="宋体"/>
          <w:b/>
          <w:bCs/>
          <w:color w:val="auto"/>
          <w:szCs w:val="21"/>
          <w:highlight w:val="none"/>
        </w:rPr>
      </w:pPr>
      <w:r>
        <w:rPr>
          <w:rFonts w:hint="eastAsia" w:ascii="宋体" w:hAnsi="宋体" w:cs="宋体"/>
          <w:snapToGrid w:val="0"/>
          <w:color w:val="auto"/>
          <w:kern w:val="0"/>
          <w:szCs w:val="21"/>
          <w:highlight w:val="none"/>
        </w:rPr>
        <w:br w:type="page"/>
      </w:r>
      <w:r>
        <w:rPr>
          <w:rFonts w:hint="eastAsia" w:ascii="宋体" w:hAnsi="宋体" w:cs="宋体"/>
          <w:b/>
          <w:bCs/>
          <w:color w:val="auto"/>
          <w:szCs w:val="21"/>
          <w:highlight w:val="none"/>
          <w:lang w:val="en-US" w:eastAsia="zh-CN"/>
        </w:rPr>
        <w:t>3.9</w:t>
      </w:r>
      <w:r>
        <w:rPr>
          <w:rFonts w:hint="eastAsia" w:ascii="宋体" w:hAnsi="宋体" w:cs="宋体"/>
          <w:b/>
          <w:bCs/>
          <w:color w:val="auto"/>
          <w:szCs w:val="21"/>
          <w:highlight w:val="none"/>
        </w:rPr>
        <w:t>合同/商务条款偏离表</w:t>
      </w:r>
    </w:p>
    <w:p>
      <w:pPr>
        <w:spacing w:line="360" w:lineRule="atLeast"/>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合同/商务条款偏离表</w:t>
      </w:r>
    </w:p>
    <w:p>
      <w:pPr>
        <w:spacing w:line="360" w:lineRule="atLeast"/>
        <w:jc w:val="center"/>
        <w:rPr>
          <w:rFonts w:hint="eastAsia" w:ascii="宋体" w:hAnsi="宋体" w:cs="宋体"/>
          <w:color w:val="auto"/>
          <w:highlight w:val="none"/>
        </w:rPr>
      </w:pPr>
    </w:p>
    <w:tbl>
      <w:tblPr>
        <w:tblStyle w:val="1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60"/>
        <w:gridCol w:w="1785"/>
        <w:gridCol w:w="1785"/>
        <w:gridCol w:w="1785"/>
        <w:gridCol w:w="1785"/>
        <w:gridCol w:w="8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74" w:hRule="atLeast"/>
          <w:jc w:val="center"/>
        </w:trPr>
        <w:tc>
          <w:tcPr>
            <w:tcW w:w="660"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357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采购文件要求</w:t>
            </w:r>
          </w:p>
        </w:tc>
        <w:tc>
          <w:tcPr>
            <w:tcW w:w="357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投标文件响应</w:t>
            </w:r>
          </w:p>
        </w:tc>
        <w:tc>
          <w:tcPr>
            <w:tcW w:w="840"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vMerge w:val="continue"/>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jc w:val="center"/>
              <w:rPr>
                <w:rFonts w:hint="eastAsia" w:ascii="宋体" w:hAnsi="宋体" w:cs="宋体"/>
                <w:color w:val="auto"/>
                <w:szCs w:val="21"/>
                <w:highlight w:val="none"/>
              </w:rPr>
            </w:pPr>
            <w:r>
              <w:rPr>
                <w:rFonts w:hint="eastAsia" w:ascii="宋体" w:hAnsi="宋体" w:cs="宋体"/>
                <w:color w:val="auto"/>
                <w:szCs w:val="21"/>
                <w:highlight w:val="none"/>
              </w:rPr>
              <w:t>章节、条款号</w:t>
            </w: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jc w:val="center"/>
              <w:rPr>
                <w:rFonts w:hint="eastAsia" w:ascii="宋体" w:hAnsi="宋体" w:cs="宋体"/>
                <w:color w:val="auto"/>
                <w:szCs w:val="21"/>
                <w:highlight w:val="none"/>
              </w:rPr>
            </w:pPr>
            <w:r>
              <w:rPr>
                <w:rFonts w:hint="eastAsia" w:ascii="宋体" w:hAnsi="宋体" w:cs="宋体"/>
                <w:color w:val="auto"/>
                <w:szCs w:val="21"/>
                <w:highlight w:val="none"/>
              </w:rPr>
              <w:t>条款内容描述</w:t>
            </w: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jc w:val="center"/>
              <w:rPr>
                <w:rFonts w:hint="eastAsia" w:ascii="宋体" w:hAnsi="宋体" w:cs="宋体"/>
                <w:color w:val="auto"/>
                <w:szCs w:val="21"/>
                <w:highlight w:val="none"/>
              </w:rPr>
            </w:pPr>
            <w:r>
              <w:rPr>
                <w:rFonts w:hint="eastAsia" w:ascii="宋体" w:hAnsi="宋体" w:cs="宋体"/>
                <w:color w:val="auto"/>
                <w:szCs w:val="21"/>
                <w:highlight w:val="none"/>
              </w:rPr>
              <w:t>章节、条款号</w:t>
            </w: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jc w:val="center"/>
              <w:rPr>
                <w:rFonts w:hint="eastAsia" w:ascii="宋体" w:hAnsi="宋体" w:cs="宋体"/>
                <w:color w:val="auto"/>
                <w:szCs w:val="21"/>
                <w:highlight w:val="none"/>
              </w:rPr>
            </w:pPr>
            <w:r>
              <w:rPr>
                <w:rFonts w:hint="eastAsia" w:ascii="宋体" w:hAnsi="宋体" w:cs="宋体"/>
                <w:color w:val="auto"/>
                <w:szCs w:val="21"/>
                <w:highlight w:val="none"/>
              </w:rPr>
              <w:t>条款内容描述</w:t>
            </w:r>
          </w:p>
        </w:tc>
        <w:tc>
          <w:tcPr>
            <w:tcW w:w="840" w:type="dxa"/>
            <w:vMerge w:val="continue"/>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1785"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tLeast"/>
              <w:rPr>
                <w:rFonts w:hint="eastAsia" w:ascii="宋体" w:hAnsi="宋体" w:cs="宋体"/>
                <w:color w:val="auto"/>
                <w:szCs w:val="21"/>
                <w:highlight w:val="none"/>
              </w:rPr>
            </w:pPr>
          </w:p>
        </w:tc>
        <w:tc>
          <w:tcPr>
            <w:tcW w:w="840" w:type="dxa"/>
            <w:tcBorders>
              <w:top w:val="single" w:color="000000" w:sz="6" w:space="0"/>
              <w:left w:val="single" w:color="000000" w:sz="6" w:space="0"/>
              <w:bottom w:val="single" w:color="000000" w:sz="6" w:space="0"/>
              <w:right w:val="single" w:color="000000" w:sz="6" w:space="0"/>
            </w:tcBorders>
            <w:noWrap w:val="0"/>
            <w:vAlign w:val="top"/>
          </w:tcPr>
          <w:p>
            <w:pPr>
              <w:spacing w:line="360" w:lineRule="atLeast"/>
              <w:rPr>
                <w:rFonts w:hint="eastAsia" w:ascii="宋体" w:hAnsi="宋体" w:cs="宋体"/>
                <w:color w:val="auto"/>
                <w:szCs w:val="21"/>
                <w:highlight w:val="none"/>
              </w:rPr>
            </w:pPr>
          </w:p>
        </w:tc>
      </w:tr>
    </w:tbl>
    <w:p>
      <w:pPr>
        <w:spacing w:line="360" w:lineRule="atLeast"/>
        <w:rPr>
          <w:rFonts w:hint="eastAsia" w:ascii="宋体" w:hAnsi="宋体" w:cs="宋体"/>
          <w:color w:val="auto"/>
          <w:highlight w:val="none"/>
        </w:rPr>
      </w:pPr>
      <w:r>
        <w:rPr>
          <w:rFonts w:hint="eastAsia" w:ascii="宋体" w:hAnsi="宋体" w:cs="宋体"/>
          <w:color w:val="auto"/>
          <w:highlight w:val="none"/>
        </w:rPr>
        <w:t>注：若不填写或只填写“无”视作完全响应采购文件的要求。</w:t>
      </w:r>
    </w:p>
    <w:p>
      <w:pPr>
        <w:spacing w:line="360" w:lineRule="atLeast"/>
        <w:rPr>
          <w:rFonts w:hint="eastAsia" w:ascii="宋体" w:hAnsi="宋体" w:cs="宋体"/>
          <w:color w:val="auto"/>
          <w:highlight w:val="none"/>
        </w:rPr>
      </w:pPr>
    </w:p>
    <w:p>
      <w:pPr>
        <w:spacing w:line="360" w:lineRule="atLeast"/>
        <w:rPr>
          <w:rFonts w:hint="eastAsia" w:ascii="宋体" w:hAnsi="宋体" w:cs="宋体"/>
          <w:color w:val="auto"/>
          <w:highlight w:val="none"/>
        </w:rPr>
      </w:pPr>
    </w:p>
    <w:p>
      <w:pPr>
        <w:spacing w:line="360" w:lineRule="atLeast"/>
        <w:jc w:val="left"/>
        <w:rPr>
          <w:rFonts w:hint="eastAsia" w:ascii="宋体" w:hAnsi="宋体" w:cs="宋体"/>
          <w:color w:val="auto"/>
          <w:szCs w:val="21"/>
          <w:highlight w:val="none"/>
        </w:rPr>
      </w:pPr>
      <w:r>
        <w:rPr>
          <w:rFonts w:hint="eastAsia" w:ascii="宋体" w:hAnsi="宋体" w:cs="宋体"/>
          <w:color w:val="auto"/>
          <w:szCs w:val="21"/>
          <w:highlight w:val="none"/>
        </w:rPr>
        <w:t>投标人(盖公章</w:t>
      </w:r>
      <w:r>
        <w:rPr>
          <w:rFonts w:hint="eastAsia" w:ascii="宋体" w:hAnsi="宋体" w:cs="宋体"/>
          <w:snapToGrid w:val="0"/>
          <w:color w:val="auto"/>
          <w:kern w:val="0"/>
          <w:szCs w:val="21"/>
          <w:highlight w:val="none"/>
        </w:rPr>
        <w:t>或</w:t>
      </w:r>
      <w:r>
        <w:rPr>
          <w:rFonts w:hint="eastAsia" w:ascii="宋体" w:hAnsi="宋体" w:cs="宋体"/>
          <w:snapToGrid w:val="0"/>
          <w:color w:val="auto"/>
          <w:kern w:val="0"/>
          <w:szCs w:val="21"/>
          <w:highlight w:val="none"/>
          <w:lang w:eastAsia="zh-CN"/>
        </w:rPr>
        <w:t>电子签章</w:t>
      </w:r>
      <w:r>
        <w:rPr>
          <w:rFonts w:hint="eastAsia" w:ascii="宋体" w:hAnsi="宋体" w:cs="宋体"/>
          <w:color w:val="auto"/>
          <w:szCs w:val="21"/>
          <w:highlight w:val="none"/>
        </w:rPr>
        <w:t>)：</w:t>
      </w:r>
    </w:p>
    <w:p>
      <w:pPr>
        <w:spacing w:line="360" w:lineRule="atLeast"/>
        <w:jc w:val="left"/>
        <w:rPr>
          <w:rFonts w:hint="eastAsia" w:ascii="宋体" w:hAnsi="宋体" w:cs="宋体"/>
          <w:color w:val="auto"/>
          <w:szCs w:val="21"/>
          <w:highlight w:val="none"/>
        </w:rPr>
      </w:pPr>
    </w:p>
    <w:p>
      <w:pPr>
        <w:spacing w:line="360" w:lineRule="atLeast"/>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rPr>
          <w:rFonts w:hint="eastAsia" w:ascii="宋体" w:hAnsi="宋体" w:cs="宋体"/>
          <w:color w:val="auto"/>
          <w:highlight w:val="none"/>
        </w:rPr>
      </w:pPr>
      <w:r>
        <w:rPr>
          <w:rFonts w:hint="eastAsia" w:ascii="宋体" w:hAnsi="宋体" w:cs="宋体"/>
          <w:color w:val="auto"/>
          <w:highlight w:val="none"/>
        </w:rPr>
        <w:t>日</w:t>
      </w:r>
      <w:r>
        <w:rPr>
          <w:rFonts w:hint="eastAsia" w:ascii="宋体" w:hAnsi="宋体" w:cs="宋体"/>
          <w:color w:val="auto"/>
          <w:highlight w:val="none"/>
        </w:rPr>
        <w:tab/>
      </w:r>
      <w:r>
        <w:rPr>
          <w:rFonts w:hint="eastAsia" w:ascii="宋体" w:hAnsi="宋体" w:cs="宋体"/>
          <w:color w:val="auto"/>
          <w:highlight w:val="none"/>
        </w:rPr>
        <w:t>期：</w:t>
      </w:r>
    </w:p>
    <w:p>
      <w:pPr>
        <w:adjustRightInd w:val="0"/>
        <w:spacing w:line="360" w:lineRule="auto"/>
        <w:rPr>
          <w:rFonts w:hint="eastAsia" w:ascii="宋体" w:hAnsi="宋体" w:cs="宋体"/>
          <w:b/>
          <w:snapToGrid w:val="0"/>
          <w:color w:val="auto"/>
          <w:kern w:val="0"/>
          <w:szCs w:val="21"/>
          <w:highlight w:val="none"/>
        </w:rPr>
      </w:pPr>
      <w:r>
        <w:rPr>
          <w:rFonts w:hint="eastAsia" w:ascii="宋体" w:hAnsi="宋体" w:cs="宋体"/>
          <w:b/>
          <w:color w:val="auto"/>
          <w:sz w:val="24"/>
          <w:highlight w:val="none"/>
        </w:rPr>
        <w:br w:type="page"/>
      </w:r>
      <w:r>
        <w:rPr>
          <w:rFonts w:hint="eastAsia" w:ascii="宋体" w:hAnsi="宋体" w:cs="宋体"/>
          <w:b/>
          <w:snapToGrid w:val="0"/>
          <w:color w:val="auto"/>
          <w:kern w:val="0"/>
          <w:szCs w:val="21"/>
          <w:highlight w:val="none"/>
          <w:lang w:val="en-US" w:eastAsia="zh-CN"/>
        </w:rPr>
        <w:t>3.10</w:t>
      </w:r>
      <w:r>
        <w:rPr>
          <w:rFonts w:hint="eastAsia" w:ascii="宋体" w:hAnsi="宋体" w:cs="宋体"/>
          <w:b/>
          <w:snapToGrid w:val="0"/>
          <w:color w:val="auto"/>
          <w:kern w:val="0"/>
          <w:szCs w:val="21"/>
          <w:highlight w:val="none"/>
        </w:rPr>
        <w:t>拟派项目团队配备情况表</w:t>
      </w:r>
    </w:p>
    <w:p>
      <w:pPr>
        <w:snapToGrid w:val="0"/>
        <w:spacing w:line="360" w:lineRule="auto"/>
        <w:jc w:val="center"/>
        <w:rPr>
          <w:rFonts w:hint="eastAsia" w:ascii="宋体" w:hAnsi="宋体" w:cs="宋体"/>
          <w:b/>
          <w:snapToGrid w:val="0"/>
          <w:color w:val="auto"/>
          <w:kern w:val="0"/>
          <w:sz w:val="24"/>
          <w:highlight w:val="none"/>
        </w:rPr>
      </w:pPr>
    </w:p>
    <w:p>
      <w:pPr>
        <w:pStyle w:val="11"/>
        <w:snapToGrid w:val="0"/>
        <w:spacing w:line="360" w:lineRule="auto"/>
        <w:jc w:val="center"/>
        <w:rPr>
          <w:rFonts w:hint="eastAsia" w:ascii="宋体" w:hAnsi="宋体" w:eastAsia="宋体" w:cs="宋体"/>
          <w:b/>
          <w:snapToGrid w:val="0"/>
          <w:color w:val="auto"/>
          <w:kern w:val="0"/>
          <w:sz w:val="28"/>
          <w:szCs w:val="28"/>
          <w:highlight w:val="none"/>
        </w:rPr>
      </w:pPr>
      <w:r>
        <w:rPr>
          <w:rFonts w:hint="eastAsia" w:ascii="宋体" w:hAnsi="宋体" w:eastAsia="宋体" w:cs="宋体"/>
          <w:b/>
          <w:snapToGrid w:val="0"/>
          <w:color w:val="auto"/>
          <w:kern w:val="0"/>
          <w:sz w:val="28"/>
          <w:szCs w:val="28"/>
          <w:highlight w:val="none"/>
        </w:rPr>
        <w:t>（1）拟派项目团队配备情况表</w:t>
      </w:r>
    </w:p>
    <w:tbl>
      <w:tblPr>
        <w:tblStyle w:val="19"/>
        <w:tblW w:w="0" w:type="auto"/>
        <w:tblInd w:w="108" w:type="dxa"/>
        <w:tblLayout w:type="fixed"/>
        <w:tblCellMar>
          <w:top w:w="0" w:type="dxa"/>
          <w:left w:w="108" w:type="dxa"/>
          <w:bottom w:w="0" w:type="dxa"/>
          <w:right w:w="108" w:type="dxa"/>
        </w:tblCellMar>
      </w:tblPr>
      <w:tblGrid>
        <w:gridCol w:w="828"/>
        <w:gridCol w:w="1015"/>
        <w:gridCol w:w="1701"/>
        <w:gridCol w:w="749"/>
        <w:gridCol w:w="720"/>
        <w:gridCol w:w="720"/>
        <w:gridCol w:w="720"/>
        <w:gridCol w:w="1344"/>
        <w:gridCol w:w="1134"/>
      </w:tblGrid>
      <w:tr>
        <w:tblPrEx>
          <w:tblCellMar>
            <w:top w:w="0" w:type="dxa"/>
            <w:left w:w="108" w:type="dxa"/>
            <w:bottom w:w="0" w:type="dxa"/>
            <w:right w:w="108" w:type="dxa"/>
          </w:tblCellMar>
        </w:tblPrEx>
        <w:trPr>
          <w:trHeight w:val="396" w:hRule="atLeast"/>
        </w:trPr>
        <w:tc>
          <w:tcPr>
            <w:tcW w:w="828" w:type="dxa"/>
            <w:tcBorders>
              <w:top w:val="single" w:color="auto" w:sz="12"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1015"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宋体" w:hAnsi="宋体" w:cs="宋体"/>
                <w:color w:val="auto"/>
                <w:szCs w:val="21"/>
                <w:highlight w:val="none"/>
                <w:lang w:val="zh-CN"/>
              </w:rPr>
            </w:pPr>
            <w:r>
              <w:rPr>
                <w:rFonts w:hint="eastAsia" w:ascii="宋体" w:hAnsi="宋体" w:cs="宋体"/>
                <w:color w:val="auto"/>
                <w:szCs w:val="21"/>
                <w:highlight w:val="none"/>
                <w:lang w:val="zh-CN"/>
              </w:rPr>
              <w:t>姓名</w:t>
            </w:r>
          </w:p>
        </w:tc>
        <w:tc>
          <w:tcPr>
            <w:tcW w:w="1701"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r>
              <w:rPr>
                <w:rFonts w:hint="eastAsia" w:ascii="宋体" w:hAnsi="宋体" w:cs="宋体"/>
                <w:color w:val="auto"/>
                <w:szCs w:val="21"/>
                <w:highlight w:val="none"/>
                <w:lang w:val="zh-CN"/>
              </w:rPr>
              <w:t>本项目拟任岗位</w:t>
            </w:r>
          </w:p>
        </w:tc>
        <w:tc>
          <w:tcPr>
            <w:tcW w:w="749"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r>
              <w:rPr>
                <w:rFonts w:hint="eastAsia" w:ascii="宋体" w:hAnsi="宋体" w:cs="宋体"/>
                <w:color w:val="auto"/>
                <w:szCs w:val="21"/>
                <w:highlight w:val="none"/>
                <w:lang w:val="zh-CN"/>
              </w:rPr>
              <w:t>年龄</w:t>
            </w:r>
          </w:p>
        </w:tc>
        <w:tc>
          <w:tcPr>
            <w:tcW w:w="720"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r>
              <w:rPr>
                <w:rFonts w:hint="eastAsia" w:ascii="宋体" w:hAnsi="宋体" w:cs="宋体"/>
                <w:color w:val="auto"/>
                <w:szCs w:val="21"/>
                <w:highlight w:val="none"/>
                <w:lang w:val="zh-CN"/>
              </w:rPr>
              <w:t>性别</w:t>
            </w:r>
          </w:p>
        </w:tc>
        <w:tc>
          <w:tcPr>
            <w:tcW w:w="720"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r>
              <w:rPr>
                <w:rFonts w:hint="eastAsia" w:ascii="宋体" w:hAnsi="宋体" w:cs="宋体"/>
                <w:color w:val="auto"/>
                <w:szCs w:val="21"/>
                <w:highlight w:val="none"/>
                <w:lang w:val="zh-CN"/>
              </w:rPr>
              <w:t>专业</w:t>
            </w:r>
          </w:p>
        </w:tc>
        <w:tc>
          <w:tcPr>
            <w:tcW w:w="720"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r>
              <w:rPr>
                <w:rFonts w:hint="eastAsia" w:ascii="宋体" w:hAnsi="宋体" w:cs="宋体"/>
                <w:color w:val="auto"/>
                <w:szCs w:val="21"/>
                <w:highlight w:val="none"/>
                <w:lang w:val="zh-CN"/>
              </w:rPr>
              <w:t>专业年限</w:t>
            </w:r>
          </w:p>
        </w:tc>
        <w:tc>
          <w:tcPr>
            <w:tcW w:w="1344" w:type="dxa"/>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r>
              <w:rPr>
                <w:rFonts w:hint="eastAsia" w:ascii="宋体" w:hAnsi="宋体" w:cs="宋体"/>
                <w:color w:val="auto"/>
                <w:szCs w:val="21"/>
                <w:highlight w:val="none"/>
                <w:lang w:val="zh-CN"/>
              </w:rPr>
              <w:t>职务和职称</w:t>
            </w:r>
          </w:p>
        </w:tc>
        <w:tc>
          <w:tcPr>
            <w:tcW w:w="1134" w:type="dxa"/>
            <w:tcBorders>
              <w:top w:val="single" w:color="auto" w:sz="12" w:space="0"/>
              <w:left w:val="single" w:color="auto" w:sz="6" w:space="0"/>
              <w:bottom w:val="single" w:color="auto" w:sz="12" w:space="0"/>
              <w:right w:val="single" w:color="auto" w:sz="12" w:space="0"/>
            </w:tcBorders>
            <w:noWrap w:val="0"/>
            <w:vAlign w:val="center"/>
          </w:tcPr>
          <w:p>
            <w:pPr>
              <w:autoSpaceDE w:val="0"/>
              <w:autoSpaceDN w:val="0"/>
              <w:adjustRightInd w:val="0"/>
              <w:jc w:val="center"/>
              <w:rPr>
                <w:rFonts w:hint="eastAsia" w:ascii="宋体" w:hAnsi="宋体" w:cs="宋体"/>
                <w:color w:val="auto"/>
                <w:szCs w:val="21"/>
                <w:highlight w:val="none"/>
                <w:lang w:val="zh-CN"/>
              </w:rPr>
            </w:pPr>
            <w:r>
              <w:rPr>
                <w:rFonts w:hint="eastAsia" w:ascii="宋体" w:hAnsi="宋体" w:cs="宋体"/>
                <w:color w:val="auto"/>
                <w:szCs w:val="21"/>
                <w:highlight w:val="none"/>
                <w:lang w:val="zh-CN"/>
              </w:rPr>
              <w:t>备注</w:t>
            </w:r>
          </w:p>
        </w:tc>
      </w:tr>
      <w:tr>
        <w:tblPrEx>
          <w:tblCellMar>
            <w:top w:w="0" w:type="dxa"/>
            <w:left w:w="108" w:type="dxa"/>
            <w:bottom w:w="0" w:type="dxa"/>
            <w:right w:w="108" w:type="dxa"/>
          </w:tblCellMar>
        </w:tblPrEx>
        <w:trPr>
          <w:trHeight w:val="408" w:hRule="atLeast"/>
        </w:trPr>
        <w:tc>
          <w:tcPr>
            <w:tcW w:w="828"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015" w:type="dxa"/>
            <w:tcBorders>
              <w:top w:val="single" w:color="auto" w:sz="12"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color w:val="auto"/>
                <w:szCs w:val="21"/>
                <w:highlight w:val="none"/>
              </w:rPr>
            </w:pPr>
          </w:p>
        </w:tc>
        <w:tc>
          <w:tcPr>
            <w:tcW w:w="1701"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49"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344"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ind w:left="5250"/>
              <w:rPr>
                <w:rFonts w:hint="eastAsia" w:ascii="宋体" w:hAnsi="宋体" w:cs="宋体"/>
                <w:color w:val="auto"/>
                <w:szCs w:val="21"/>
                <w:highlight w:val="none"/>
              </w:rPr>
            </w:pPr>
          </w:p>
        </w:tc>
        <w:tc>
          <w:tcPr>
            <w:tcW w:w="1134"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left="525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0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宋体" w:hAnsi="宋体" w:cs="宋体"/>
                <w:color w:val="auto"/>
                <w:szCs w:val="21"/>
                <w:highlight w:val="none"/>
              </w:rPr>
            </w:pP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4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3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134"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08" w:hRule="atLeast"/>
        </w:trPr>
        <w:tc>
          <w:tcPr>
            <w:tcW w:w="828"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015" w:type="dxa"/>
            <w:tcBorders>
              <w:top w:val="single" w:color="auto" w:sz="6" w:space="0"/>
              <w:left w:val="single" w:color="auto" w:sz="6" w:space="0"/>
              <w:bottom w:val="single" w:color="auto" w:sz="12" w:space="0"/>
              <w:right w:val="single" w:color="auto" w:sz="6" w:space="0"/>
            </w:tcBorders>
            <w:noWrap w:val="0"/>
            <w:vAlign w:val="top"/>
          </w:tcPr>
          <w:p>
            <w:pPr>
              <w:autoSpaceDE w:val="0"/>
              <w:autoSpaceDN w:val="0"/>
              <w:adjustRightInd w:val="0"/>
              <w:rPr>
                <w:rFonts w:hint="eastAsia" w:ascii="宋体" w:hAnsi="宋体" w:cs="宋体"/>
                <w:color w:val="auto"/>
                <w:szCs w:val="21"/>
                <w:highlight w:val="none"/>
              </w:rPr>
            </w:pPr>
          </w:p>
        </w:tc>
        <w:tc>
          <w:tcPr>
            <w:tcW w:w="1701"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49"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72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344"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宋体" w:hAnsi="宋体" w:cs="宋体"/>
                <w:color w:val="auto"/>
                <w:szCs w:val="21"/>
                <w:highlight w:val="none"/>
              </w:rPr>
            </w:pPr>
          </w:p>
        </w:tc>
        <w:tc>
          <w:tcPr>
            <w:tcW w:w="1134"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hint="eastAsia" w:ascii="宋体" w:hAnsi="宋体" w:cs="宋体"/>
                <w:color w:val="auto"/>
                <w:szCs w:val="21"/>
                <w:highlight w:val="none"/>
              </w:rPr>
            </w:pPr>
          </w:p>
        </w:tc>
      </w:tr>
    </w:tbl>
    <w:p>
      <w:pPr>
        <w:snapToGrid w:val="0"/>
        <w:spacing w:line="360" w:lineRule="auto"/>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注：涉及评分项的其它证明材料附后。</w:t>
      </w:r>
    </w:p>
    <w:p>
      <w:pPr>
        <w:adjustRightInd w:val="0"/>
        <w:snapToGrid w:val="0"/>
        <w:spacing w:line="360" w:lineRule="auto"/>
        <w:ind w:firstLine="4158" w:firstLineChars="1980"/>
        <w:rPr>
          <w:rFonts w:hint="eastAsia" w:ascii="宋体" w:hAnsi="宋体" w:cs="宋体"/>
          <w:snapToGrid w:val="0"/>
          <w:color w:val="auto"/>
          <w:kern w:val="0"/>
          <w:szCs w:val="21"/>
          <w:highlight w:val="none"/>
        </w:rPr>
      </w:pPr>
    </w:p>
    <w:p>
      <w:pPr>
        <w:adjustRightInd w:val="0"/>
        <w:snapToGrid w:val="0"/>
        <w:spacing w:line="360" w:lineRule="auto"/>
        <w:ind w:firstLine="4158" w:firstLineChars="1980"/>
        <w:rPr>
          <w:rFonts w:hint="eastAsia" w:ascii="宋体" w:hAnsi="宋体" w:cs="宋体"/>
          <w:snapToGrid w:val="0"/>
          <w:color w:val="auto"/>
          <w:kern w:val="0"/>
          <w:szCs w:val="21"/>
          <w:highlight w:val="none"/>
        </w:rPr>
      </w:pPr>
    </w:p>
    <w:p>
      <w:pPr>
        <w:adjustRightInd w:val="0"/>
        <w:snapToGrid w:val="0"/>
        <w:spacing w:line="360" w:lineRule="auto"/>
        <w:ind w:firstLine="4158" w:firstLineChars="198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投标人(盖公章或</w:t>
      </w:r>
      <w:r>
        <w:rPr>
          <w:rFonts w:hint="eastAsia" w:ascii="宋体" w:hAnsi="宋体" w:cs="宋体"/>
          <w:snapToGrid w:val="0"/>
          <w:color w:val="auto"/>
          <w:kern w:val="0"/>
          <w:szCs w:val="21"/>
          <w:highlight w:val="none"/>
          <w:lang w:eastAsia="zh-CN"/>
        </w:rPr>
        <w:t>电子签章</w:t>
      </w:r>
      <w:r>
        <w:rPr>
          <w:rFonts w:hint="eastAsia" w:ascii="宋体" w:hAnsi="宋体" w:cs="宋体"/>
          <w:snapToGrid w:val="0"/>
          <w:color w:val="auto"/>
          <w:kern w:val="0"/>
          <w:szCs w:val="21"/>
          <w:highlight w:val="none"/>
        </w:rPr>
        <w:t>)</w:t>
      </w:r>
    </w:p>
    <w:p>
      <w:pPr>
        <w:snapToGrid w:val="0"/>
        <w:spacing w:line="360" w:lineRule="auto"/>
        <w:ind w:firstLine="4200" w:firstLineChars="2000"/>
        <w:rPr>
          <w:rFonts w:hint="eastAsia" w:ascii="宋体" w:hAnsi="宋体" w:cs="宋体"/>
          <w:snapToGrid w:val="0"/>
          <w:color w:val="auto"/>
          <w:kern w:val="0"/>
          <w:szCs w:val="21"/>
          <w:highlight w:val="none"/>
        </w:rPr>
      </w:pPr>
    </w:p>
    <w:p>
      <w:pPr>
        <w:snapToGrid w:val="0"/>
        <w:spacing w:line="360" w:lineRule="auto"/>
        <w:ind w:firstLine="4200" w:firstLineChars="20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日期：</w:t>
      </w:r>
    </w:p>
    <w:p>
      <w:pPr>
        <w:adjustRightInd w:val="0"/>
        <w:snapToGrid w:val="0"/>
        <w:spacing w:line="360" w:lineRule="auto"/>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br w:type="page"/>
      </w:r>
    </w:p>
    <w:p>
      <w:pPr>
        <w:pStyle w:val="11"/>
        <w:snapToGrid w:val="0"/>
        <w:spacing w:line="360" w:lineRule="auto"/>
        <w:jc w:val="center"/>
        <w:rPr>
          <w:rFonts w:hint="eastAsia" w:ascii="宋体" w:hAnsi="宋体" w:eastAsia="宋体" w:cs="宋体"/>
          <w:b/>
          <w:snapToGrid w:val="0"/>
          <w:color w:val="auto"/>
          <w:kern w:val="0"/>
          <w:sz w:val="28"/>
          <w:szCs w:val="28"/>
          <w:highlight w:val="none"/>
        </w:rPr>
      </w:pPr>
      <w:r>
        <w:rPr>
          <w:rFonts w:hint="eastAsia" w:ascii="宋体" w:hAnsi="宋体" w:eastAsia="宋体" w:cs="宋体"/>
          <w:b/>
          <w:snapToGrid w:val="0"/>
          <w:color w:val="auto"/>
          <w:kern w:val="0"/>
          <w:sz w:val="28"/>
          <w:szCs w:val="28"/>
          <w:highlight w:val="none"/>
        </w:rPr>
        <w:t>（2）项目负责人简历表</w:t>
      </w:r>
    </w:p>
    <w:tbl>
      <w:tblPr>
        <w:tblStyle w:val="19"/>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468"/>
        <w:gridCol w:w="6"/>
        <w:gridCol w:w="1389"/>
        <w:gridCol w:w="1155"/>
        <w:gridCol w:w="1050"/>
        <w:gridCol w:w="210"/>
        <w:gridCol w:w="1830"/>
        <w:gridCol w:w="262"/>
        <w:gridCol w:w="1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6" w:hRule="atLeast"/>
        </w:trPr>
        <w:tc>
          <w:tcPr>
            <w:tcW w:w="1474" w:type="dxa"/>
            <w:gridSpan w:val="2"/>
            <w:noWrap w:val="0"/>
            <w:vAlign w:val="center"/>
          </w:tcPr>
          <w:p>
            <w:pPr>
              <w:snapToGrid w:val="0"/>
              <w:spacing w:line="320" w:lineRule="atLeast"/>
              <w:jc w:val="center"/>
              <w:rPr>
                <w:rFonts w:hint="eastAsia" w:ascii="宋体" w:hAnsi="宋体" w:cs="宋体"/>
                <w:color w:val="auto"/>
                <w:highlight w:val="none"/>
              </w:rPr>
            </w:pPr>
            <w:r>
              <w:rPr>
                <w:rFonts w:hint="eastAsia" w:ascii="宋体" w:hAnsi="宋体" w:cs="宋体"/>
                <w:color w:val="auto"/>
                <w:highlight w:val="none"/>
              </w:rPr>
              <w:t>姓   名</w:t>
            </w:r>
          </w:p>
        </w:tc>
        <w:tc>
          <w:tcPr>
            <w:tcW w:w="1389" w:type="dxa"/>
            <w:noWrap w:val="0"/>
            <w:vAlign w:val="center"/>
          </w:tcPr>
          <w:p>
            <w:pPr>
              <w:snapToGrid w:val="0"/>
              <w:spacing w:line="320" w:lineRule="atLeast"/>
              <w:jc w:val="center"/>
              <w:rPr>
                <w:rFonts w:hint="eastAsia" w:ascii="宋体" w:hAnsi="宋体" w:cs="宋体"/>
                <w:color w:val="auto"/>
                <w:highlight w:val="none"/>
              </w:rPr>
            </w:pPr>
          </w:p>
        </w:tc>
        <w:tc>
          <w:tcPr>
            <w:tcW w:w="1155" w:type="dxa"/>
            <w:noWrap w:val="0"/>
            <w:vAlign w:val="center"/>
          </w:tcPr>
          <w:p>
            <w:pPr>
              <w:snapToGrid w:val="0"/>
              <w:spacing w:line="320" w:lineRule="atLeast"/>
              <w:jc w:val="center"/>
              <w:rPr>
                <w:rFonts w:hint="eastAsia" w:ascii="宋体" w:hAnsi="宋体" w:cs="宋体"/>
                <w:color w:val="auto"/>
                <w:highlight w:val="none"/>
              </w:rPr>
            </w:pPr>
            <w:r>
              <w:rPr>
                <w:rFonts w:hint="eastAsia" w:ascii="宋体" w:hAnsi="宋体" w:cs="宋体"/>
                <w:color w:val="auto"/>
                <w:highlight w:val="none"/>
              </w:rPr>
              <w:t>年   龄</w:t>
            </w:r>
          </w:p>
        </w:tc>
        <w:tc>
          <w:tcPr>
            <w:tcW w:w="1260" w:type="dxa"/>
            <w:gridSpan w:val="2"/>
            <w:noWrap w:val="0"/>
            <w:vAlign w:val="center"/>
          </w:tcPr>
          <w:p>
            <w:pPr>
              <w:snapToGrid w:val="0"/>
              <w:spacing w:line="320" w:lineRule="atLeast"/>
              <w:jc w:val="center"/>
              <w:rPr>
                <w:rFonts w:hint="eastAsia" w:ascii="宋体" w:hAnsi="宋体" w:cs="宋体"/>
                <w:color w:val="auto"/>
                <w:highlight w:val="none"/>
              </w:rPr>
            </w:pPr>
          </w:p>
        </w:tc>
        <w:tc>
          <w:tcPr>
            <w:tcW w:w="2092" w:type="dxa"/>
            <w:gridSpan w:val="2"/>
            <w:noWrap w:val="0"/>
            <w:vAlign w:val="center"/>
          </w:tcPr>
          <w:p>
            <w:pPr>
              <w:snapToGrid w:val="0"/>
              <w:spacing w:line="320" w:lineRule="atLeast"/>
              <w:jc w:val="center"/>
              <w:rPr>
                <w:rFonts w:hint="eastAsia" w:ascii="宋体" w:hAnsi="宋体" w:cs="宋体"/>
                <w:color w:val="auto"/>
                <w:highlight w:val="none"/>
              </w:rPr>
            </w:pPr>
            <w:r>
              <w:rPr>
                <w:rFonts w:hint="eastAsia" w:ascii="宋体" w:hAnsi="宋体" w:cs="宋体"/>
                <w:color w:val="auto"/>
                <w:highlight w:val="none"/>
              </w:rPr>
              <w:t>专   业</w:t>
            </w:r>
          </w:p>
        </w:tc>
        <w:tc>
          <w:tcPr>
            <w:tcW w:w="1270" w:type="dxa"/>
            <w:noWrap w:val="0"/>
            <w:vAlign w:val="center"/>
          </w:tcPr>
          <w:p>
            <w:pPr>
              <w:snapToGrid w:val="0"/>
              <w:spacing w:line="320" w:lineRule="atLeast"/>
              <w:jc w:val="center"/>
              <w:rPr>
                <w:rFonts w:hint="eastAsia"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1474" w:type="dxa"/>
            <w:gridSpan w:val="2"/>
            <w:noWrap w:val="0"/>
            <w:vAlign w:val="center"/>
          </w:tcPr>
          <w:p>
            <w:pPr>
              <w:snapToGrid w:val="0"/>
              <w:spacing w:line="320" w:lineRule="atLeast"/>
              <w:jc w:val="center"/>
              <w:rPr>
                <w:rFonts w:hint="eastAsia" w:ascii="宋体" w:hAnsi="宋体" w:cs="宋体"/>
                <w:color w:val="auto"/>
                <w:highlight w:val="none"/>
              </w:rPr>
            </w:pPr>
            <w:r>
              <w:rPr>
                <w:rFonts w:hint="eastAsia" w:ascii="宋体" w:hAnsi="宋体" w:cs="宋体"/>
                <w:color w:val="auto"/>
                <w:highlight w:val="none"/>
              </w:rPr>
              <w:t>职   称</w:t>
            </w:r>
          </w:p>
        </w:tc>
        <w:tc>
          <w:tcPr>
            <w:tcW w:w="1389" w:type="dxa"/>
            <w:noWrap w:val="0"/>
            <w:vAlign w:val="center"/>
          </w:tcPr>
          <w:p>
            <w:pPr>
              <w:snapToGrid w:val="0"/>
              <w:spacing w:line="320" w:lineRule="atLeast"/>
              <w:jc w:val="center"/>
              <w:rPr>
                <w:rFonts w:hint="eastAsia" w:ascii="宋体" w:hAnsi="宋体" w:cs="宋体"/>
                <w:color w:val="auto"/>
                <w:highlight w:val="none"/>
              </w:rPr>
            </w:pPr>
          </w:p>
        </w:tc>
        <w:tc>
          <w:tcPr>
            <w:tcW w:w="1155" w:type="dxa"/>
            <w:noWrap w:val="0"/>
            <w:vAlign w:val="center"/>
          </w:tcPr>
          <w:p>
            <w:pPr>
              <w:snapToGrid w:val="0"/>
              <w:spacing w:line="320" w:lineRule="atLeast"/>
              <w:jc w:val="center"/>
              <w:rPr>
                <w:rFonts w:hint="eastAsia" w:ascii="宋体" w:hAnsi="宋体" w:cs="宋体"/>
                <w:color w:val="auto"/>
                <w:highlight w:val="none"/>
              </w:rPr>
            </w:pPr>
            <w:r>
              <w:rPr>
                <w:rFonts w:hint="eastAsia" w:ascii="宋体" w:hAnsi="宋体" w:cs="宋体"/>
                <w:color w:val="auto"/>
                <w:highlight w:val="none"/>
              </w:rPr>
              <w:t>职   务</w:t>
            </w:r>
          </w:p>
        </w:tc>
        <w:tc>
          <w:tcPr>
            <w:tcW w:w="1260" w:type="dxa"/>
            <w:gridSpan w:val="2"/>
            <w:noWrap w:val="0"/>
            <w:vAlign w:val="center"/>
          </w:tcPr>
          <w:p>
            <w:pPr>
              <w:snapToGrid w:val="0"/>
              <w:spacing w:line="320" w:lineRule="atLeast"/>
              <w:jc w:val="center"/>
              <w:rPr>
                <w:rFonts w:hint="eastAsia" w:ascii="宋体" w:hAnsi="宋体" w:cs="宋体"/>
                <w:color w:val="auto"/>
                <w:highlight w:val="none"/>
              </w:rPr>
            </w:pPr>
          </w:p>
        </w:tc>
        <w:tc>
          <w:tcPr>
            <w:tcW w:w="2092" w:type="dxa"/>
            <w:gridSpan w:val="2"/>
            <w:noWrap w:val="0"/>
            <w:vAlign w:val="center"/>
          </w:tcPr>
          <w:p>
            <w:pPr>
              <w:snapToGrid w:val="0"/>
              <w:spacing w:line="320" w:lineRule="atLeast"/>
              <w:jc w:val="center"/>
              <w:rPr>
                <w:rFonts w:hint="eastAsia" w:ascii="宋体" w:hAnsi="宋体" w:cs="宋体"/>
                <w:color w:val="auto"/>
                <w:highlight w:val="none"/>
              </w:rPr>
            </w:pPr>
            <w:r>
              <w:rPr>
                <w:rFonts w:hint="eastAsia" w:ascii="宋体" w:hAnsi="宋体" w:cs="宋体"/>
                <w:color w:val="auto"/>
                <w:highlight w:val="none"/>
              </w:rPr>
              <w:t>拟在本合同</w:t>
            </w:r>
          </w:p>
          <w:p>
            <w:pPr>
              <w:snapToGrid w:val="0"/>
              <w:spacing w:line="320" w:lineRule="atLeast"/>
              <w:jc w:val="center"/>
              <w:rPr>
                <w:rFonts w:hint="eastAsia" w:ascii="宋体" w:hAnsi="宋体" w:cs="宋体"/>
                <w:color w:val="auto"/>
                <w:highlight w:val="none"/>
              </w:rPr>
            </w:pPr>
            <w:r>
              <w:rPr>
                <w:rFonts w:hint="eastAsia" w:ascii="宋体" w:hAnsi="宋体" w:cs="宋体"/>
                <w:color w:val="auto"/>
                <w:highlight w:val="none"/>
              </w:rPr>
              <w:t>项目担任职务</w:t>
            </w:r>
          </w:p>
        </w:tc>
        <w:tc>
          <w:tcPr>
            <w:tcW w:w="1270" w:type="dxa"/>
            <w:noWrap w:val="0"/>
            <w:vAlign w:val="center"/>
          </w:tcPr>
          <w:p>
            <w:pPr>
              <w:snapToGrid w:val="0"/>
              <w:spacing w:line="320" w:lineRule="atLeast"/>
              <w:jc w:val="center"/>
              <w:rPr>
                <w:rFonts w:hint="eastAsia"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84" w:hRule="atLeast"/>
        </w:trPr>
        <w:tc>
          <w:tcPr>
            <w:tcW w:w="1474" w:type="dxa"/>
            <w:gridSpan w:val="2"/>
            <w:noWrap w:val="0"/>
            <w:vAlign w:val="center"/>
          </w:tcPr>
          <w:p>
            <w:pPr>
              <w:snapToGrid w:val="0"/>
              <w:spacing w:line="320" w:lineRule="atLeast"/>
              <w:jc w:val="center"/>
              <w:rPr>
                <w:rFonts w:hint="eastAsia" w:ascii="宋体" w:hAnsi="宋体" w:cs="宋体"/>
                <w:color w:val="auto"/>
                <w:highlight w:val="none"/>
              </w:rPr>
            </w:pPr>
            <w:r>
              <w:rPr>
                <w:rFonts w:hint="eastAsia" w:ascii="宋体" w:hAnsi="宋体" w:cs="宋体"/>
                <w:color w:val="auto"/>
                <w:highlight w:val="none"/>
              </w:rPr>
              <w:t>毕业学校</w:t>
            </w:r>
          </w:p>
        </w:tc>
        <w:tc>
          <w:tcPr>
            <w:tcW w:w="7166" w:type="dxa"/>
            <w:gridSpan w:val="7"/>
            <w:noWrap w:val="0"/>
            <w:vAlign w:val="center"/>
          </w:tcPr>
          <w:p>
            <w:pPr>
              <w:snapToGrid w:val="0"/>
              <w:spacing w:line="320" w:lineRule="atLeast"/>
              <w:jc w:val="center"/>
              <w:rPr>
                <w:rFonts w:hint="eastAsia" w:ascii="宋体" w:hAnsi="宋体" w:cs="宋体"/>
                <w:color w:val="auto"/>
                <w:highlight w:val="none"/>
              </w:rPr>
            </w:pP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月毕业于</w:t>
            </w:r>
            <w:r>
              <w:rPr>
                <w:rFonts w:hint="eastAsia" w:ascii="宋体" w:hAnsi="宋体" w:cs="宋体"/>
                <w:color w:val="auto"/>
                <w:highlight w:val="none"/>
                <w:u w:val="single"/>
              </w:rPr>
              <w:t xml:space="preserve">      </w:t>
            </w:r>
            <w:r>
              <w:rPr>
                <w:rFonts w:hint="eastAsia" w:ascii="宋体" w:hAnsi="宋体" w:cs="宋体"/>
                <w:color w:val="auto"/>
                <w:highlight w:val="none"/>
              </w:rPr>
              <w:t>学校</w:t>
            </w:r>
            <w:r>
              <w:rPr>
                <w:rFonts w:hint="eastAsia" w:ascii="宋体" w:hAnsi="宋体" w:cs="宋体"/>
                <w:color w:val="auto"/>
                <w:highlight w:val="none"/>
                <w:u w:val="single"/>
              </w:rPr>
              <w:t xml:space="preserve">    </w:t>
            </w:r>
            <w:r>
              <w:rPr>
                <w:rFonts w:hint="eastAsia" w:ascii="宋体" w:hAnsi="宋体" w:cs="宋体"/>
                <w:color w:val="auto"/>
                <w:highlight w:val="none"/>
              </w:rPr>
              <w:t>系(科)，学制</w:t>
            </w:r>
            <w:r>
              <w:rPr>
                <w:rFonts w:hint="eastAsia" w:ascii="宋体" w:hAnsi="宋体" w:cs="宋体"/>
                <w:color w:val="auto"/>
                <w:highlight w:val="none"/>
                <w:u w:val="single"/>
              </w:rPr>
              <w:t xml:space="preserve">    </w:t>
            </w:r>
            <w:r>
              <w:rPr>
                <w:rFonts w:hint="eastAsia" w:ascii="宋体" w:hAnsi="宋体" w:cs="宋体"/>
                <w:color w:val="auto"/>
                <w:highlight w:val="none"/>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0" w:hRule="atLeast"/>
        </w:trPr>
        <w:tc>
          <w:tcPr>
            <w:tcW w:w="8640" w:type="dxa"/>
            <w:gridSpan w:val="9"/>
            <w:noWrap w:val="0"/>
            <w:vAlign w:val="center"/>
          </w:tcPr>
          <w:p>
            <w:pPr>
              <w:snapToGrid w:val="0"/>
              <w:spacing w:line="320" w:lineRule="atLeast"/>
              <w:jc w:val="center"/>
              <w:rPr>
                <w:rFonts w:hint="eastAsia" w:ascii="宋体" w:hAnsi="宋体" w:cs="宋体"/>
                <w:color w:val="auto"/>
                <w:highlight w:val="none"/>
              </w:rPr>
            </w:pPr>
            <w:r>
              <w:rPr>
                <w:rFonts w:hint="eastAsia" w:ascii="宋体" w:hAnsi="宋体" w:cs="宋体"/>
                <w:color w:val="auto"/>
                <w:highlight w:val="none"/>
              </w:rPr>
              <w:t>经                        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81" w:hRule="atLeast"/>
        </w:trPr>
        <w:tc>
          <w:tcPr>
            <w:tcW w:w="1468" w:type="dxa"/>
            <w:noWrap w:val="0"/>
            <w:vAlign w:val="center"/>
          </w:tcPr>
          <w:p>
            <w:pPr>
              <w:snapToGrid w:val="0"/>
              <w:spacing w:line="320" w:lineRule="atLeast"/>
              <w:jc w:val="center"/>
              <w:rPr>
                <w:rFonts w:hint="eastAsia" w:ascii="宋体" w:hAnsi="宋体" w:cs="宋体"/>
                <w:color w:val="auto"/>
                <w:highlight w:val="none"/>
              </w:rPr>
            </w:pPr>
            <w:r>
              <w:rPr>
                <w:rFonts w:hint="eastAsia" w:ascii="宋体" w:hAnsi="宋体" w:cs="宋体"/>
                <w:color w:val="auto"/>
                <w:highlight w:val="none"/>
              </w:rPr>
              <w:t>年   月</w:t>
            </w:r>
          </w:p>
        </w:tc>
        <w:tc>
          <w:tcPr>
            <w:tcW w:w="3600" w:type="dxa"/>
            <w:gridSpan w:val="4"/>
            <w:noWrap w:val="0"/>
            <w:vAlign w:val="center"/>
          </w:tcPr>
          <w:p>
            <w:pPr>
              <w:snapToGrid w:val="0"/>
              <w:spacing w:line="320" w:lineRule="atLeast"/>
              <w:jc w:val="center"/>
              <w:rPr>
                <w:rFonts w:hint="eastAsia" w:ascii="宋体" w:hAnsi="宋体" w:cs="宋体"/>
                <w:color w:val="auto"/>
                <w:highlight w:val="none"/>
              </w:rPr>
            </w:pPr>
            <w:r>
              <w:rPr>
                <w:rFonts w:hint="eastAsia" w:ascii="宋体" w:hAnsi="宋体" w:cs="宋体"/>
                <w:color w:val="auto"/>
                <w:highlight w:val="none"/>
              </w:rPr>
              <w:t>工作经历</w:t>
            </w:r>
          </w:p>
        </w:tc>
        <w:tc>
          <w:tcPr>
            <w:tcW w:w="2040" w:type="dxa"/>
            <w:gridSpan w:val="2"/>
            <w:noWrap w:val="0"/>
            <w:vAlign w:val="center"/>
          </w:tcPr>
          <w:p>
            <w:pPr>
              <w:snapToGrid w:val="0"/>
              <w:spacing w:line="320" w:lineRule="atLeast"/>
              <w:jc w:val="center"/>
              <w:rPr>
                <w:rFonts w:hint="eastAsia" w:ascii="宋体" w:hAnsi="宋体" w:cs="宋体"/>
                <w:color w:val="auto"/>
                <w:highlight w:val="none"/>
              </w:rPr>
            </w:pPr>
            <w:r>
              <w:rPr>
                <w:rFonts w:hint="eastAsia" w:ascii="宋体" w:hAnsi="宋体" w:cs="宋体"/>
                <w:color w:val="auto"/>
                <w:highlight w:val="none"/>
              </w:rPr>
              <w:t>担 任 何 职</w:t>
            </w:r>
          </w:p>
        </w:tc>
        <w:tc>
          <w:tcPr>
            <w:tcW w:w="1532" w:type="dxa"/>
            <w:gridSpan w:val="2"/>
            <w:noWrap w:val="0"/>
            <w:vAlign w:val="center"/>
          </w:tcPr>
          <w:p>
            <w:pPr>
              <w:snapToGrid w:val="0"/>
              <w:spacing w:line="320" w:lineRule="atLeast"/>
              <w:jc w:val="center"/>
              <w:rPr>
                <w:rFonts w:hint="eastAsia" w:ascii="宋体" w:hAnsi="宋体" w:cs="宋体"/>
                <w:color w:val="auto"/>
                <w:highlight w:val="none"/>
              </w:rPr>
            </w:pPr>
            <w:r>
              <w:rPr>
                <w:rFonts w:hint="eastAsia" w:ascii="宋体" w:hAnsi="宋体" w:cs="宋体"/>
                <w:color w:val="auto"/>
                <w:highlight w:val="none"/>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438" w:hRule="atLeast"/>
        </w:trPr>
        <w:tc>
          <w:tcPr>
            <w:tcW w:w="1468" w:type="dxa"/>
            <w:noWrap w:val="0"/>
            <w:vAlign w:val="center"/>
          </w:tcPr>
          <w:p>
            <w:pPr>
              <w:snapToGrid w:val="0"/>
              <w:spacing w:line="320" w:lineRule="atLeast"/>
              <w:jc w:val="center"/>
              <w:rPr>
                <w:rFonts w:hint="eastAsia" w:ascii="宋体" w:hAnsi="宋体" w:cs="宋体"/>
                <w:color w:val="auto"/>
                <w:highlight w:val="none"/>
              </w:rPr>
            </w:pPr>
          </w:p>
          <w:p>
            <w:pPr>
              <w:snapToGrid w:val="0"/>
              <w:spacing w:line="320" w:lineRule="atLeast"/>
              <w:jc w:val="center"/>
              <w:rPr>
                <w:rFonts w:hint="eastAsia" w:ascii="宋体" w:hAnsi="宋体" w:cs="宋体"/>
                <w:color w:val="auto"/>
                <w:highlight w:val="none"/>
              </w:rPr>
            </w:pPr>
          </w:p>
          <w:p>
            <w:pPr>
              <w:snapToGrid w:val="0"/>
              <w:spacing w:line="320" w:lineRule="atLeast"/>
              <w:jc w:val="center"/>
              <w:rPr>
                <w:rFonts w:hint="eastAsia" w:ascii="宋体" w:hAnsi="宋体" w:cs="宋体"/>
                <w:color w:val="auto"/>
                <w:highlight w:val="none"/>
              </w:rPr>
            </w:pPr>
          </w:p>
          <w:p>
            <w:pPr>
              <w:snapToGrid w:val="0"/>
              <w:spacing w:line="320" w:lineRule="atLeast"/>
              <w:jc w:val="center"/>
              <w:rPr>
                <w:rFonts w:hint="eastAsia" w:ascii="宋体" w:hAnsi="宋体" w:cs="宋体"/>
                <w:color w:val="auto"/>
                <w:highlight w:val="none"/>
              </w:rPr>
            </w:pPr>
          </w:p>
          <w:p>
            <w:pPr>
              <w:snapToGrid w:val="0"/>
              <w:spacing w:line="320" w:lineRule="atLeast"/>
              <w:jc w:val="center"/>
              <w:rPr>
                <w:rFonts w:hint="eastAsia" w:ascii="宋体" w:hAnsi="宋体" w:cs="宋体"/>
                <w:color w:val="auto"/>
                <w:highlight w:val="none"/>
              </w:rPr>
            </w:pPr>
          </w:p>
          <w:p>
            <w:pPr>
              <w:snapToGrid w:val="0"/>
              <w:spacing w:line="320" w:lineRule="atLeast"/>
              <w:jc w:val="center"/>
              <w:rPr>
                <w:rFonts w:hint="eastAsia" w:ascii="宋体" w:hAnsi="宋体" w:cs="宋体"/>
                <w:color w:val="auto"/>
                <w:highlight w:val="none"/>
              </w:rPr>
            </w:pPr>
          </w:p>
          <w:p>
            <w:pPr>
              <w:snapToGrid w:val="0"/>
              <w:spacing w:line="320" w:lineRule="atLeast"/>
              <w:jc w:val="center"/>
              <w:rPr>
                <w:rFonts w:hint="eastAsia" w:ascii="宋体" w:hAnsi="宋体" w:cs="宋体"/>
                <w:color w:val="auto"/>
                <w:highlight w:val="none"/>
              </w:rPr>
            </w:pPr>
          </w:p>
          <w:p>
            <w:pPr>
              <w:snapToGrid w:val="0"/>
              <w:spacing w:line="320" w:lineRule="atLeast"/>
              <w:jc w:val="center"/>
              <w:rPr>
                <w:rFonts w:hint="eastAsia" w:ascii="宋体" w:hAnsi="宋体" w:cs="宋体"/>
                <w:color w:val="auto"/>
                <w:highlight w:val="none"/>
              </w:rPr>
            </w:pPr>
          </w:p>
        </w:tc>
        <w:tc>
          <w:tcPr>
            <w:tcW w:w="3600" w:type="dxa"/>
            <w:gridSpan w:val="4"/>
            <w:noWrap w:val="0"/>
            <w:vAlign w:val="center"/>
          </w:tcPr>
          <w:p>
            <w:pPr>
              <w:snapToGrid w:val="0"/>
              <w:spacing w:line="320" w:lineRule="atLeast"/>
              <w:jc w:val="center"/>
              <w:rPr>
                <w:rFonts w:hint="eastAsia" w:ascii="宋体" w:hAnsi="宋体" w:cs="宋体"/>
                <w:color w:val="auto"/>
                <w:highlight w:val="none"/>
              </w:rPr>
            </w:pPr>
          </w:p>
        </w:tc>
        <w:tc>
          <w:tcPr>
            <w:tcW w:w="2040" w:type="dxa"/>
            <w:gridSpan w:val="2"/>
            <w:noWrap w:val="0"/>
            <w:vAlign w:val="center"/>
          </w:tcPr>
          <w:p>
            <w:pPr>
              <w:snapToGrid w:val="0"/>
              <w:spacing w:line="320" w:lineRule="atLeast"/>
              <w:jc w:val="center"/>
              <w:rPr>
                <w:rFonts w:hint="eastAsia" w:ascii="宋体" w:hAnsi="宋体" w:cs="宋体"/>
                <w:color w:val="auto"/>
                <w:highlight w:val="none"/>
              </w:rPr>
            </w:pPr>
          </w:p>
        </w:tc>
        <w:tc>
          <w:tcPr>
            <w:tcW w:w="1532" w:type="dxa"/>
            <w:gridSpan w:val="2"/>
            <w:noWrap w:val="0"/>
            <w:vAlign w:val="center"/>
          </w:tcPr>
          <w:p>
            <w:pPr>
              <w:snapToGrid w:val="0"/>
              <w:spacing w:line="320" w:lineRule="atLeast"/>
              <w:jc w:val="center"/>
              <w:rPr>
                <w:rFonts w:hint="eastAsia" w:ascii="宋体" w:hAnsi="宋体" w:cs="宋体"/>
                <w:color w:val="auto"/>
                <w:highlight w:val="none"/>
              </w:rPr>
            </w:pPr>
          </w:p>
          <w:p>
            <w:pPr>
              <w:snapToGrid w:val="0"/>
              <w:spacing w:line="320" w:lineRule="atLeast"/>
              <w:jc w:val="center"/>
              <w:rPr>
                <w:rFonts w:hint="eastAsia" w:ascii="宋体" w:hAnsi="宋体" w:cs="宋体"/>
                <w:color w:val="auto"/>
                <w:highlight w:val="none"/>
              </w:rPr>
            </w:pPr>
          </w:p>
          <w:p>
            <w:pPr>
              <w:snapToGrid w:val="0"/>
              <w:spacing w:line="320" w:lineRule="atLeast"/>
              <w:jc w:val="center"/>
              <w:rPr>
                <w:rFonts w:hint="eastAsia" w:ascii="宋体" w:hAnsi="宋体" w:cs="宋体"/>
                <w:color w:val="auto"/>
                <w:highlight w:val="none"/>
              </w:rPr>
            </w:pPr>
          </w:p>
          <w:p>
            <w:pPr>
              <w:snapToGrid w:val="0"/>
              <w:spacing w:line="320" w:lineRule="atLeast"/>
              <w:jc w:val="center"/>
              <w:rPr>
                <w:rFonts w:hint="eastAsia" w:ascii="宋体" w:hAnsi="宋体" w:cs="宋体"/>
                <w:color w:val="auto"/>
                <w:highlight w:val="none"/>
              </w:rPr>
            </w:pPr>
          </w:p>
          <w:p>
            <w:pPr>
              <w:snapToGrid w:val="0"/>
              <w:spacing w:line="320" w:lineRule="atLeast"/>
              <w:jc w:val="center"/>
              <w:rPr>
                <w:rFonts w:hint="eastAsia" w:ascii="宋体" w:hAnsi="宋体" w:cs="宋体"/>
                <w:color w:val="auto"/>
                <w:highlight w:val="none"/>
              </w:rPr>
            </w:pPr>
          </w:p>
        </w:tc>
      </w:tr>
    </w:tbl>
    <w:p>
      <w:pPr>
        <w:snapToGrid w:val="0"/>
        <w:spacing w:line="360" w:lineRule="auto"/>
        <w:rPr>
          <w:rFonts w:hint="eastAsia" w:ascii="宋体" w:hAnsi="宋体" w:cs="宋体"/>
          <w:color w:val="auto"/>
          <w:highlight w:val="none"/>
        </w:rPr>
      </w:pPr>
      <w:r>
        <w:rPr>
          <w:rFonts w:hint="eastAsia" w:ascii="宋体" w:hAnsi="宋体" w:cs="宋体"/>
          <w:color w:val="auto"/>
          <w:highlight w:val="none"/>
        </w:rPr>
        <w:t xml:space="preserve"> 注：与评分有关的证明材料附后。</w:t>
      </w:r>
    </w:p>
    <w:p>
      <w:pPr>
        <w:snapToGrid w:val="0"/>
        <w:spacing w:line="360" w:lineRule="auto"/>
        <w:rPr>
          <w:rFonts w:hint="eastAsia" w:ascii="宋体" w:hAnsi="宋体" w:cs="宋体"/>
          <w:color w:val="auto"/>
          <w:highlight w:val="none"/>
        </w:rPr>
      </w:pPr>
    </w:p>
    <w:p>
      <w:pPr>
        <w:snapToGrid w:val="0"/>
        <w:spacing w:line="360" w:lineRule="auto"/>
        <w:rPr>
          <w:rFonts w:hint="eastAsia" w:ascii="宋体" w:hAnsi="宋体" w:cs="宋体"/>
          <w:color w:val="auto"/>
          <w:highlight w:val="none"/>
        </w:rPr>
      </w:pPr>
    </w:p>
    <w:p>
      <w:pPr>
        <w:snapToGrid w:val="0"/>
        <w:spacing w:line="360" w:lineRule="auto"/>
        <w:rPr>
          <w:rFonts w:hint="eastAsia" w:ascii="宋体" w:hAnsi="宋体" w:cs="宋体"/>
          <w:b/>
          <w:snapToGrid w:val="0"/>
          <w:color w:val="auto"/>
          <w:kern w:val="0"/>
          <w:sz w:val="24"/>
          <w:highlight w:val="none"/>
        </w:rPr>
      </w:pPr>
    </w:p>
    <w:p>
      <w:pPr>
        <w:adjustRightInd w:val="0"/>
        <w:snapToGrid w:val="0"/>
        <w:spacing w:line="360" w:lineRule="auto"/>
        <w:ind w:firstLine="4158" w:firstLineChars="198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投标人(盖公章或</w:t>
      </w:r>
      <w:r>
        <w:rPr>
          <w:rFonts w:hint="eastAsia" w:ascii="宋体" w:hAnsi="宋体" w:cs="宋体"/>
          <w:snapToGrid w:val="0"/>
          <w:color w:val="auto"/>
          <w:kern w:val="0"/>
          <w:szCs w:val="21"/>
          <w:highlight w:val="none"/>
          <w:lang w:eastAsia="zh-CN"/>
        </w:rPr>
        <w:t>电子签章</w:t>
      </w:r>
      <w:r>
        <w:rPr>
          <w:rFonts w:hint="eastAsia" w:ascii="宋体" w:hAnsi="宋体" w:cs="宋体"/>
          <w:snapToGrid w:val="0"/>
          <w:color w:val="auto"/>
          <w:kern w:val="0"/>
          <w:szCs w:val="21"/>
          <w:highlight w:val="none"/>
        </w:rPr>
        <w:t>)</w:t>
      </w:r>
    </w:p>
    <w:p>
      <w:pPr>
        <w:adjustRightInd w:val="0"/>
        <w:snapToGrid w:val="0"/>
        <w:spacing w:line="360" w:lineRule="auto"/>
        <w:ind w:firstLine="4158" w:firstLineChars="1980"/>
        <w:rPr>
          <w:rFonts w:hint="eastAsia" w:ascii="宋体" w:hAnsi="宋体" w:cs="宋体"/>
          <w:snapToGrid w:val="0"/>
          <w:color w:val="auto"/>
          <w:kern w:val="0"/>
          <w:szCs w:val="21"/>
          <w:highlight w:val="none"/>
        </w:rPr>
      </w:pPr>
    </w:p>
    <w:p>
      <w:pPr>
        <w:snapToGrid w:val="0"/>
        <w:spacing w:line="360" w:lineRule="auto"/>
        <w:ind w:firstLine="4200" w:firstLineChars="2000"/>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日期：</w:t>
      </w:r>
    </w:p>
    <w:p>
      <w:pPr>
        <w:spacing w:line="360" w:lineRule="atLeast"/>
        <w:outlineLvl w:val="1"/>
        <w:rPr>
          <w:rFonts w:hint="eastAsia" w:ascii="宋体" w:hAnsi="宋体" w:eastAsia="宋体" w:cs="宋体"/>
          <w:b/>
          <w:bCs/>
          <w:color w:val="auto"/>
          <w:sz w:val="24"/>
          <w:highlight w:val="none"/>
          <w:lang w:val="en-US" w:eastAsia="zh-CN"/>
        </w:rPr>
      </w:pPr>
      <w:r>
        <w:rPr>
          <w:rFonts w:hint="eastAsia" w:ascii="宋体" w:hAnsi="宋体" w:cs="宋体"/>
          <w:snapToGrid w:val="0"/>
          <w:color w:val="auto"/>
          <w:kern w:val="0"/>
          <w:szCs w:val="21"/>
          <w:highlight w:val="none"/>
        </w:rPr>
        <w:br w:type="page"/>
      </w:r>
      <w:bookmarkStart w:id="403" w:name="_Toc31556"/>
      <w:bookmarkStart w:id="404" w:name="_Toc2517"/>
      <w:bookmarkStart w:id="405" w:name="_Toc28558"/>
      <w:bookmarkStart w:id="406" w:name="_Toc25970"/>
      <w:r>
        <w:rPr>
          <w:rFonts w:hint="eastAsia" w:ascii="宋体" w:hAnsi="宋体" w:eastAsia="宋体" w:cs="宋体"/>
          <w:b/>
          <w:bCs/>
          <w:color w:val="auto"/>
          <w:sz w:val="24"/>
          <w:highlight w:val="none"/>
          <w:lang w:val="en-US" w:eastAsia="zh-CN"/>
        </w:rPr>
        <w:t>四、报价响应文件部分格式</w:t>
      </w:r>
      <w:bookmarkEnd w:id="403"/>
      <w:bookmarkEnd w:id="404"/>
      <w:bookmarkEnd w:id="405"/>
      <w:bookmarkEnd w:id="406"/>
    </w:p>
    <w:p>
      <w:pPr>
        <w:autoSpaceDE w:val="0"/>
        <w:autoSpaceDN w:val="0"/>
        <w:adjustRightIn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lang w:val="en-US" w:eastAsia="zh-CN"/>
        </w:rPr>
        <w:t>4</w:t>
      </w: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1</w:t>
      </w:r>
      <w:r>
        <w:rPr>
          <w:rFonts w:hint="eastAsia" w:ascii="宋体" w:hAnsi="宋体" w:cs="宋体"/>
          <w:b/>
          <w:bCs/>
          <w:color w:val="auto"/>
          <w:szCs w:val="21"/>
          <w:highlight w:val="none"/>
        </w:rPr>
        <w:t>开标一览表</w:t>
      </w:r>
    </w:p>
    <w:p>
      <w:pPr>
        <w:pStyle w:val="2"/>
        <w:spacing w:line="600" w:lineRule="exact"/>
        <w:ind w:firstLine="0"/>
        <w:jc w:val="center"/>
        <w:rPr>
          <w:rFonts w:hint="eastAsia" w:ascii="宋体" w:hAnsi="宋体" w:eastAsia="宋体" w:cs="宋体"/>
          <w:b/>
          <w:bCs/>
          <w:snapToGrid w:val="0"/>
          <w:color w:val="auto"/>
          <w:kern w:val="0"/>
          <w:sz w:val="28"/>
          <w:szCs w:val="28"/>
          <w:highlight w:val="none"/>
        </w:rPr>
      </w:pPr>
      <w:r>
        <w:rPr>
          <w:rFonts w:hint="eastAsia" w:ascii="宋体" w:hAnsi="宋体" w:eastAsia="宋体" w:cs="宋体"/>
          <w:b/>
          <w:bCs/>
          <w:snapToGrid w:val="0"/>
          <w:color w:val="auto"/>
          <w:kern w:val="0"/>
          <w:sz w:val="28"/>
          <w:szCs w:val="28"/>
          <w:highlight w:val="none"/>
        </w:rPr>
        <w:t>开标一览表</w:t>
      </w:r>
    </w:p>
    <w:p>
      <w:pPr>
        <w:adjustRightInd w:val="0"/>
        <w:spacing w:line="360" w:lineRule="auto"/>
        <w:rPr>
          <w:rFonts w:hint="eastAsia" w:ascii="宋体" w:hAnsi="宋体" w:cs="宋体"/>
          <w:color w:val="auto"/>
          <w:szCs w:val="21"/>
          <w:highlight w:val="none"/>
        </w:rPr>
      </w:pPr>
    </w:p>
    <w:p>
      <w:pPr>
        <w:adjustRightIn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xml:space="preserve">项目名称：                                 </w:t>
      </w:r>
      <w:r>
        <w:rPr>
          <w:rFonts w:hint="eastAsia" w:ascii="宋体" w:hAnsi="宋体" w:cs="宋体"/>
          <w:color w:val="auto"/>
          <w:szCs w:val="21"/>
          <w:highlight w:val="none"/>
          <w:lang w:eastAsia="zh-CN"/>
        </w:rPr>
        <w:t>采购编号：ZJ-2272868</w:t>
      </w:r>
    </w:p>
    <w:tbl>
      <w:tblPr>
        <w:tblStyle w:val="19"/>
        <w:tblW w:w="9358" w:type="dxa"/>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3963"/>
        <w:gridCol w:w="1112"/>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416" w:type="dxa"/>
            <w:tcBorders>
              <w:top w:val="single" w:color="auto" w:sz="12" w:space="0"/>
              <w:left w:val="single" w:color="auto" w:sz="12" w:space="0"/>
              <w:bottom w:val="single" w:color="auto" w:sz="6" w:space="0"/>
              <w:right w:val="single" w:color="auto" w:sz="6" w:space="0"/>
            </w:tcBorders>
            <w:noWrap w:val="0"/>
            <w:vAlign w:val="center"/>
          </w:tcPr>
          <w:p>
            <w:pPr>
              <w:adjustRightInd w:val="0"/>
              <w:spacing w:line="360" w:lineRule="auto"/>
              <w:jc w:val="center"/>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u w:val="none"/>
                <w:lang w:eastAsia="zh-CN"/>
              </w:rPr>
              <w:t>项目内容</w:t>
            </w:r>
          </w:p>
        </w:tc>
        <w:tc>
          <w:tcPr>
            <w:tcW w:w="3963" w:type="dxa"/>
            <w:tcBorders>
              <w:top w:val="single" w:color="auto" w:sz="12" w:space="0"/>
              <w:left w:val="single" w:color="auto" w:sz="6" w:space="0"/>
              <w:bottom w:val="single" w:color="auto" w:sz="6" w:space="0"/>
              <w:right w:val="single" w:color="auto" w:sz="6" w:space="0"/>
            </w:tcBorders>
            <w:noWrap w:val="0"/>
            <w:vAlign w:val="center"/>
          </w:tcPr>
          <w:p>
            <w:pPr>
              <w:adjustRightInd w:val="0"/>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投标报价</w:t>
            </w:r>
          </w:p>
        </w:tc>
        <w:tc>
          <w:tcPr>
            <w:tcW w:w="1112" w:type="dxa"/>
            <w:tcBorders>
              <w:top w:val="single" w:color="auto" w:sz="12" w:space="0"/>
              <w:left w:val="single" w:color="auto" w:sz="6" w:space="0"/>
              <w:bottom w:val="single" w:color="auto" w:sz="6" w:space="0"/>
              <w:right w:val="single" w:color="auto" w:sz="6" w:space="0"/>
            </w:tcBorders>
            <w:noWrap w:val="0"/>
            <w:vAlign w:val="center"/>
          </w:tcPr>
          <w:p>
            <w:pPr>
              <w:adjustRightIn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预估数量</w:t>
            </w:r>
          </w:p>
        </w:tc>
        <w:tc>
          <w:tcPr>
            <w:tcW w:w="2867" w:type="dxa"/>
            <w:tcBorders>
              <w:top w:val="single" w:color="auto" w:sz="12" w:space="0"/>
              <w:left w:val="single" w:color="auto" w:sz="6" w:space="0"/>
              <w:bottom w:val="single" w:color="auto" w:sz="6" w:space="0"/>
              <w:right w:val="single" w:color="auto" w:sz="12" w:space="0"/>
            </w:tcBorders>
            <w:noWrap w:val="0"/>
            <w:vAlign w:val="center"/>
          </w:tcPr>
          <w:p>
            <w:pPr>
              <w:adjustRightInd w:val="0"/>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1416" w:type="dxa"/>
            <w:tcBorders>
              <w:top w:val="single" w:color="auto" w:sz="6" w:space="0"/>
              <w:left w:val="single" w:color="auto" w:sz="12" w:space="0"/>
              <w:bottom w:val="single" w:color="auto" w:sz="6" w:space="0"/>
              <w:right w:val="single" w:color="auto" w:sz="6" w:space="0"/>
            </w:tcBorders>
            <w:noWrap w:val="0"/>
            <w:vAlign w:val="center"/>
          </w:tcPr>
          <w:p>
            <w:pPr>
              <w:adjustRightInd w:val="0"/>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省本级预算管理一体化项目</w:t>
            </w:r>
          </w:p>
        </w:tc>
        <w:tc>
          <w:tcPr>
            <w:tcW w:w="3963"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360" w:lineRule="auto"/>
              <w:jc w:val="both"/>
              <w:rPr>
                <w:rFonts w:hint="eastAsia" w:ascii="宋体" w:hAnsi="宋体" w:cs="宋体"/>
                <w:color w:val="auto"/>
                <w:szCs w:val="21"/>
                <w:highlight w:val="none"/>
              </w:rPr>
            </w:pPr>
            <w:r>
              <w:rPr>
                <w:rFonts w:hint="eastAsia" w:ascii="宋体" w:hAnsi="宋体" w:cs="宋体"/>
                <w:color w:val="auto"/>
                <w:szCs w:val="21"/>
                <w:highlight w:val="none"/>
              </w:rPr>
              <w:t>（人民币）¥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adjustRightInd w:val="0"/>
              <w:spacing w:line="360" w:lineRule="auto"/>
              <w:jc w:val="both"/>
              <w:rPr>
                <w:rFonts w:hint="eastAsia" w:ascii="宋体" w:hAnsi="宋体" w:cs="宋体"/>
                <w:color w:val="auto"/>
                <w:szCs w:val="21"/>
                <w:highlight w:val="none"/>
              </w:rPr>
            </w:pPr>
            <w:r>
              <w:rPr>
                <w:rFonts w:hint="eastAsia" w:ascii="宋体" w:hAnsi="宋体" w:cs="宋体"/>
                <w:color w:val="auto"/>
                <w:szCs w:val="21"/>
                <w:highlight w:val="none"/>
              </w:rPr>
              <w:t>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tc>
        <w:tc>
          <w:tcPr>
            <w:tcW w:w="1112"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360"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2867" w:type="dxa"/>
            <w:vMerge w:val="restart"/>
            <w:tcBorders>
              <w:top w:val="single" w:color="auto" w:sz="6" w:space="0"/>
              <w:left w:val="single" w:color="auto" w:sz="6" w:space="0"/>
              <w:bottom w:val="single" w:color="auto" w:sz="6" w:space="0"/>
              <w:right w:val="single" w:color="auto" w:sz="12" w:space="0"/>
            </w:tcBorders>
            <w:noWrap w:val="0"/>
            <w:vAlign w:val="center"/>
          </w:tcPr>
          <w:p>
            <w:pPr>
              <w:adjustRightIn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总报价（人民币）¥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adjustRightInd w:val="0"/>
              <w:spacing w:line="360" w:lineRule="auto"/>
              <w:jc w:val="both"/>
              <w:rPr>
                <w:rFonts w:hint="eastAsia" w:ascii="宋体" w:hAnsi="宋体" w:cs="宋体"/>
                <w:color w:val="auto"/>
                <w:szCs w:val="21"/>
                <w:highlight w:val="none"/>
              </w:rPr>
            </w:pPr>
            <w:r>
              <w:rPr>
                <w:rFonts w:hint="eastAsia" w:ascii="宋体" w:hAnsi="宋体" w:cs="宋体"/>
                <w:color w:val="auto"/>
                <w:szCs w:val="21"/>
                <w:highlight w:val="none"/>
              </w:rPr>
              <w:t>大写：</w:t>
            </w:r>
          </w:p>
          <w:p>
            <w:pPr>
              <w:adjustRightInd w:val="0"/>
              <w:spacing w:line="360" w:lineRule="auto"/>
              <w:ind w:firstLine="420" w:firstLineChars="200"/>
              <w:jc w:val="both"/>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1416" w:type="dxa"/>
            <w:tcBorders>
              <w:top w:val="single" w:color="auto" w:sz="6" w:space="0"/>
              <w:left w:val="single" w:color="auto" w:sz="12" w:space="0"/>
              <w:bottom w:val="single" w:color="auto" w:sz="6" w:space="0"/>
              <w:right w:val="single" w:color="auto" w:sz="6" w:space="0"/>
            </w:tcBorders>
            <w:noWrap w:val="0"/>
            <w:vAlign w:val="center"/>
          </w:tcPr>
          <w:p>
            <w:pPr>
              <w:adjustRightInd w:val="0"/>
              <w:spacing w:line="360" w:lineRule="auto"/>
              <w:jc w:val="center"/>
              <w:rPr>
                <w:rFonts w:hint="eastAsia" w:ascii="宋体" w:hAnsi="宋体" w:cs="宋体"/>
                <w:color w:val="auto"/>
                <w:szCs w:val="21"/>
                <w:highlight w:val="none"/>
              </w:rPr>
            </w:pPr>
            <w:r>
              <w:rPr>
                <w:rFonts w:hint="eastAsia" w:ascii="宋体" w:hAnsi="宋体" w:eastAsia="宋体" w:cs="宋体"/>
                <w:color w:val="auto"/>
                <w:szCs w:val="21"/>
                <w:highlight w:val="none"/>
                <w:lang w:val="en-US" w:eastAsia="zh-CN"/>
              </w:rPr>
              <w:t>地</w:t>
            </w:r>
            <w:r>
              <w:rPr>
                <w:rFonts w:hint="eastAsia" w:ascii="宋体" w:hAnsi="宋体" w:eastAsia="宋体" w:cs="宋体"/>
                <w:color w:val="auto"/>
                <w:szCs w:val="21"/>
                <w:highlight w:val="none"/>
                <w:lang w:eastAsia="zh-CN"/>
              </w:rPr>
              <w:t>市级年度服务</w:t>
            </w:r>
          </w:p>
        </w:tc>
        <w:tc>
          <w:tcPr>
            <w:tcW w:w="3963"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（人民币）¥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none"/>
                <w:lang w:val="en-US" w:eastAsia="zh-CN"/>
              </w:rPr>
              <w:t>/年</w:t>
            </w:r>
            <w:r>
              <w:rPr>
                <w:rFonts w:hint="eastAsia" w:ascii="宋体" w:hAnsi="宋体" w:cs="宋体"/>
                <w:color w:val="auto"/>
                <w:szCs w:val="21"/>
                <w:highlight w:val="none"/>
                <w:lang w:val="en-US" w:eastAsia="zh-CN"/>
              </w:rPr>
              <w:t>/地市</w:t>
            </w:r>
            <w:r>
              <w:rPr>
                <w:rFonts w:hint="eastAsia" w:ascii="宋体" w:hAnsi="宋体" w:cs="宋体"/>
                <w:color w:val="auto"/>
                <w:szCs w:val="21"/>
                <w:highlight w:val="none"/>
              </w:rPr>
              <w:t>，</w:t>
            </w:r>
          </w:p>
          <w:p>
            <w:pPr>
              <w:adjustRightInd w:val="0"/>
              <w:spacing w:line="360" w:lineRule="auto"/>
              <w:jc w:val="both"/>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r>
              <w:rPr>
                <w:rFonts w:hint="eastAsia" w:ascii="宋体" w:hAnsi="宋体" w:cs="宋体"/>
                <w:color w:val="auto"/>
                <w:szCs w:val="21"/>
                <w:highlight w:val="none"/>
                <w:lang w:val="en-US" w:eastAsia="zh-CN"/>
              </w:rPr>
              <w:t>/年/地市</w:t>
            </w:r>
          </w:p>
        </w:tc>
        <w:tc>
          <w:tcPr>
            <w:tcW w:w="1112"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2867" w:type="dxa"/>
            <w:vMerge w:val="continue"/>
            <w:tcBorders>
              <w:top w:val="single" w:color="auto" w:sz="6" w:space="0"/>
              <w:left w:val="single" w:color="auto" w:sz="6" w:space="0"/>
              <w:bottom w:val="single" w:color="auto" w:sz="6" w:space="0"/>
              <w:right w:val="single" w:color="auto" w:sz="12" w:space="0"/>
            </w:tcBorders>
            <w:noWrap w:val="0"/>
            <w:vAlign w:val="center"/>
          </w:tcPr>
          <w:p>
            <w:pPr>
              <w:adjustRightInd w:val="0"/>
              <w:spacing w:line="360" w:lineRule="auto"/>
              <w:jc w:val="both"/>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416" w:type="dxa"/>
            <w:tcBorders>
              <w:top w:val="single" w:color="auto" w:sz="6" w:space="0"/>
              <w:left w:val="single" w:color="auto" w:sz="12" w:space="0"/>
              <w:bottom w:val="single" w:color="auto" w:sz="12" w:space="0"/>
              <w:right w:val="single" w:color="auto" w:sz="6" w:space="0"/>
            </w:tcBorders>
            <w:noWrap w:val="0"/>
            <w:vAlign w:val="center"/>
          </w:tcPr>
          <w:p>
            <w:pPr>
              <w:adjustRightInd w:val="0"/>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区县级年度服务</w:t>
            </w:r>
          </w:p>
        </w:tc>
        <w:tc>
          <w:tcPr>
            <w:tcW w:w="3963" w:type="dxa"/>
            <w:tcBorders>
              <w:top w:val="single" w:color="auto" w:sz="6" w:space="0"/>
              <w:left w:val="single" w:color="auto" w:sz="6" w:space="0"/>
              <w:bottom w:val="single" w:color="auto" w:sz="12" w:space="0"/>
              <w:right w:val="single" w:color="auto" w:sz="6" w:space="0"/>
            </w:tcBorders>
            <w:noWrap w:val="0"/>
            <w:vAlign w:val="center"/>
          </w:tcPr>
          <w:p>
            <w:pPr>
              <w:adjustRightIn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（人民币）¥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none"/>
                <w:lang w:val="en-US" w:eastAsia="zh-CN"/>
              </w:rPr>
              <w:t>/年/区县</w:t>
            </w:r>
            <w:r>
              <w:rPr>
                <w:rFonts w:hint="eastAsia" w:ascii="宋体" w:hAnsi="宋体" w:cs="宋体"/>
                <w:color w:val="auto"/>
                <w:szCs w:val="21"/>
                <w:highlight w:val="none"/>
                <w:u w:val="none"/>
              </w:rPr>
              <w:t xml:space="preserve"> </w:t>
            </w:r>
            <w:r>
              <w:rPr>
                <w:rFonts w:hint="eastAsia" w:ascii="宋体" w:hAnsi="宋体" w:cs="宋体"/>
                <w:color w:val="auto"/>
                <w:szCs w:val="21"/>
                <w:highlight w:val="none"/>
              </w:rPr>
              <w:t>，</w:t>
            </w:r>
          </w:p>
          <w:p>
            <w:pPr>
              <w:adjustRightInd w:val="0"/>
              <w:spacing w:line="360"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r>
              <w:rPr>
                <w:rFonts w:hint="eastAsia" w:ascii="宋体" w:hAnsi="宋体" w:cs="宋体"/>
                <w:color w:val="auto"/>
                <w:szCs w:val="21"/>
                <w:highlight w:val="none"/>
                <w:lang w:val="en-US" w:eastAsia="zh-CN"/>
              </w:rPr>
              <w:t>/年</w:t>
            </w:r>
            <w:r>
              <w:rPr>
                <w:rFonts w:hint="eastAsia" w:ascii="宋体" w:hAnsi="宋体" w:cs="宋体"/>
                <w:color w:val="auto"/>
                <w:szCs w:val="21"/>
                <w:highlight w:val="none"/>
                <w:u w:val="none"/>
                <w:lang w:val="en-US" w:eastAsia="zh-CN"/>
              </w:rPr>
              <w:t>/区县</w:t>
            </w:r>
          </w:p>
        </w:tc>
        <w:tc>
          <w:tcPr>
            <w:tcW w:w="1112" w:type="dxa"/>
            <w:tcBorders>
              <w:top w:val="single" w:color="auto" w:sz="6" w:space="0"/>
              <w:left w:val="single" w:color="auto" w:sz="6" w:space="0"/>
              <w:bottom w:val="single" w:color="auto" w:sz="12" w:space="0"/>
              <w:right w:val="single" w:color="auto" w:sz="6" w:space="0"/>
            </w:tcBorders>
            <w:noWrap w:val="0"/>
            <w:vAlign w:val="center"/>
          </w:tcPr>
          <w:p>
            <w:pPr>
              <w:adjustRightIn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86</w:t>
            </w:r>
          </w:p>
        </w:tc>
        <w:tc>
          <w:tcPr>
            <w:tcW w:w="2867" w:type="dxa"/>
            <w:vMerge w:val="continue"/>
            <w:tcBorders>
              <w:top w:val="single" w:color="auto" w:sz="6" w:space="0"/>
              <w:left w:val="single" w:color="auto" w:sz="6" w:space="0"/>
              <w:bottom w:val="single" w:color="auto" w:sz="12" w:space="0"/>
              <w:right w:val="single" w:color="auto" w:sz="12" w:space="0"/>
            </w:tcBorders>
            <w:noWrap w:val="0"/>
            <w:vAlign w:val="center"/>
          </w:tcPr>
          <w:p>
            <w:pPr>
              <w:adjustRightInd w:val="0"/>
              <w:spacing w:line="360" w:lineRule="auto"/>
              <w:jc w:val="center"/>
              <w:rPr>
                <w:rFonts w:hint="eastAsia" w:ascii="宋体" w:hAnsi="宋体" w:cs="宋体"/>
                <w:color w:val="auto"/>
                <w:szCs w:val="21"/>
                <w:highlight w:val="none"/>
              </w:rPr>
            </w:pPr>
          </w:p>
        </w:tc>
      </w:tr>
    </w:tbl>
    <w:p>
      <w:pPr>
        <w:adjustRightInd w:val="0"/>
        <w:spacing w:line="360" w:lineRule="auto"/>
        <w:jc w:val="left"/>
        <w:rPr>
          <w:rFonts w:hint="eastAsia" w:ascii="宋体" w:hAnsi="宋体" w:cs="宋体"/>
          <w:color w:val="auto"/>
          <w:szCs w:val="21"/>
          <w:highlight w:val="none"/>
        </w:rPr>
      </w:pPr>
    </w:p>
    <w:p>
      <w:pPr>
        <w:adjustRightIn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注：“报价方式”以一次报清，完成本项目所需的所有费用必须包含在总报价中。</w:t>
      </w:r>
    </w:p>
    <w:p>
      <w:pPr>
        <w:adjustRightInd w:val="0"/>
        <w:spacing w:line="360" w:lineRule="auto"/>
        <w:ind w:firstLine="420" w:firstLineChars="200"/>
        <w:rPr>
          <w:rFonts w:hint="eastAsia" w:ascii="宋体" w:hAnsi="宋体" w:cs="宋体"/>
          <w:color w:val="auto"/>
          <w:szCs w:val="21"/>
          <w:highlight w:val="none"/>
        </w:rPr>
      </w:pPr>
    </w:p>
    <w:p>
      <w:pPr>
        <w:adjustRightInd w:val="0"/>
        <w:spacing w:line="360" w:lineRule="auto"/>
        <w:ind w:firstLine="420" w:firstLineChars="200"/>
        <w:rPr>
          <w:rFonts w:hint="eastAsia" w:ascii="宋体" w:hAnsi="宋体" w:cs="宋体"/>
          <w:color w:val="auto"/>
          <w:szCs w:val="21"/>
          <w:highlight w:val="none"/>
        </w:rPr>
      </w:pPr>
    </w:p>
    <w:p>
      <w:pPr>
        <w:adjustRightInd w:val="0"/>
        <w:spacing w:line="360" w:lineRule="auto"/>
        <w:ind w:firstLine="420" w:firstLineChars="200"/>
        <w:rPr>
          <w:rFonts w:hint="eastAsia" w:ascii="宋体" w:hAnsi="宋体" w:cs="宋体"/>
          <w:color w:val="auto"/>
          <w:szCs w:val="21"/>
          <w:highlight w:val="none"/>
        </w:rPr>
      </w:pPr>
    </w:p>
    <w:p>
      <w:pPr>
        <w:adjustRightInd w:val="0"/>
        <w:spacing w:line="360" w:lineRule="auto"/>
        <w:ind w:firstLine="4515" w:firstLineChars="2150"/>
        <w:rPr>
          <w:rFonts w:hint="eastAsia" w:ascii="宋体" w:hAnsi="宋体" w:cs="宋体"/>
          <w:color w:val="auto"/>
          <w:szCs w:val="21"/>
          <w:highlight w:val="none"/>
        </w:rPr>
      </w:pPr>
      <w:r>
        <w:rPr>
          <w:rFonts w:hint="eastAsia" w:ascii="宋体" w:hAnsi="宋体" w:cs="宋体"/>
          <w:color w:val="auto"/>
          <w:szCs w:val="21"/>
          <w:highlight w:val="none"/>
        </w:rPr>
        <w:t>投标人(盖公章</w:t>
      </w:r>
      <w:r>
        <w:rPr>
          <w:rFonts w:hint="eastAsia" w:ascii="宋体" w:hAnsi="宋体" w:cs="宋体"/>
          <w:snapToGrid w:val="0"/>
          <w:color w:val="auto"/>
          <w:kern w:val="0"/>
          <w:szCs w:val="21"/>
          <w:highlight w:val="none"/>
        </w:rPr>
        <w:t>或</w:t>
      </w:r>
      <w:r>
        <w:rPr>
          <w:rFonts w:hint="eastAsia" w:ascii="宋体" w:hAnsi="宋体" w:cs="宋体"/>
          <w:snapToGrid w:val="0"/>
          <w:color w:val="auto"/>
          <w:kern w:val="0"/>
          <w:szCs w:val="21"/>
          <w:highlight w:val="none"/>
          <w:lang w:eastAsia="zh-CN"/>
        </w:rPr>
        <w:t>电子签章</w:t>
      </w:r>
      <w:r>
        <w:rPr>
          <w:rFonts w:hint="eastAsia" w:ascii="宋体" w:hAnsi="宋体" w:cs="宋体"/>
          <w:color w:val="auto"/>
          <w:szCs w:val="21"/>
          <w:highlight w:val="none"/>
        </w:rPr>
        <w:t>)</w:t>
      </w:r>
    </w:p>
    <w:p>
      <w:pPr>
        <w:adjustRightInd w:val="0"/>
        <w:spacing w:line="360" w:lineRule="auto"/>
        <w:ind w:firstLine="4515" w:firstLineChars="2150"/>
        <w:rPr>
          <w:rFonts w:hint="eastAsia" w:ascii="宋体" w:hAnsi="宋体" w:cs="宋体"/>
          <w:color w:val="auto"/>
          <w:szCs w:val="21"/>
          <w:highlight w:val="none"/>
        </w:rPr>
      </w:pPr>
    </w:p>
    <w:p>
      <w:pPr>
        <w:pStyle w:val="11"/>
        <w:spacing w:line="420" w:lineRule="exact"/>
        <w:ind w:firstLine="4515" w:firstLineChars="2150"/>
        <w:rPr>
          <w:rFonts w:hint="eastAsia" w:ascii="宋体" w:hAnsi="宋体" w:eastAsia="宋体" w:cs="宋体"/>
          <w:color w:val="auto"/>
          <w:highlight w:val="none"/>
        </w:rPr>
      </w:pPr>
      <w:r>
        <w:rPr>
          <w:rFonts w:hint="eastAsia" w:ascii="宋体" w:hAnsi="宋体" w:eastAsia="宋体" w:cs="宋体"/>
          <w:color w:val="auto"/>
          <w:highlight w:val="none"/>
        </w:rPr>
        <w:t>日     期：</w:t>
      </w:r>
    </w:p>
    <w:p>
      <w:pPr>
        <w:snapToGrid w:val="0"/>
        <w:spacing w:line="360" w:lineRule="auto"/>
        <w:rPr>
          <w:rFonts w:hint="eastAsia" w:ascii="宋体" w:hAnsi="宋体" w:cs="宋体"/>
          <w:b/>
          <w:bCs/>
          <w:color w:val="auto"/>
          <w:szCs w:val="21"/>
          <w:highlight w:val="none"/>
        </w:rPr>
      </w:pPr>
      <w:r>
        <w:rPr>
          <w:rFonts w:hint="eastAsia" w:ascii="宋体" w:hAnsi="宋体" w:cs="宋体"/>
          <w:color w:val="auto"/>
          <w:highlight w:val="none"/>
        </w:rPr>
        <w:br w:type="page"/>
      </w:r>
      <w:r>
        <w:rPr>
          <w:rFonts w:hint="eastAsia" w:ascii="宋体" w:hAnsi="宋体" w:cs="宋体"/>
          <w:b/>
          <w:bCs/>
          <w:color w:val="auto"/>
          <w:szCs w:val="21"/>
          <w:highlight w:val="none"/>
          <w:lang w:val="en-US" w:eastAsia="zh-CN"/>
        </w:rPr>
        <w:t>4</w:t>
      </w: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rPr>
        <w:t>投标报价明细表</w:t>
      </w:r>
    </w:p>
    <w:p>
      <w:pPr>
        <w:pStyle w:val="2"/>
        <w:spacing w:line="600" w:lineRule="exact"/>
        <w:ind w:firstLine="0"/>
        <w:jc w:val="center"/>
        <w:rPr>
          <w:rFonts w:hint="eastAsia" w:ascii="宋体" w:hAnsi="宋体" w:eastAsia="宋体" w:cs="宋体"/>
          <w:b/>
          <w:bCs/>
          <w:snapToGrid w:val="0"/>
          <w:color w:val="auto"/>
          <w:kern w:val="0"/>
          <w:sz w:val="28"/>
          <w:szCs w:val="28"/>
          <w:highlight w:val="none"/>
        </w:rPr>
      </w:pPr>
      <w:r>
        <w:rPr>
          <w:rFonts w:hint="eastAsia" w:ascii="宋体" w:hAnsi="宋体" w:eastAsia="宋体" w:cs="宋体"/>
          <w:b/>
          <w:bCs/>
          <w:snapToGrid w:val="0"/>
          <w:color w:val="auto"/>
          <w:kern w:val="0"/>
          <w:sz w:val="28"/>
          <w:szCs w:val="28"/>
          <w:highlight w:val="none"/>
        </w:rPr>
        <w:t>投标报价明细表</w:t>
      </w:r>
    </w:p>
    <w:p>
      <w:pPr>
        <w:jc w:val="center"/>
        <w:rPr>
          <w:rFonts w:hint="eastAsia" w:eastAsia="宋体"/>
          <w:color w:val="auto"/>
          <w:sz w:val="24"/>
          <w:szCs w:val="24"/>
          <w:highlight w:val="none"/>
          <w:lang w:eastAsia="zh-CN"/>
        </w:rPr>
      </w:pPr>
      <w:r>
        <w:rPr>
          <w:rFonts w:hint="eastAsia" w:ascii="宋体" w:hAnsi="宋体" w:eastAsia="宋体" w:cs="宋体"/>
          <w:b/>
          <w:bCs/>
          <w:snapToGrid w:val="0"/>
          <w:color w:val="auto"/>
          <w:kern w:val="0"/>
          <w:sz w:val="24"/>
          <w:szCs w:val="24"/>
          <w:highlight w:val="none"/>
          <w:lang w:eastAsia="zh-CN"/>
        </w:rPr>
        <w:t>（按省本级、地市级、区县级分别提供）</w:t>
      </w:r>
    </w:p>
    <w:p>
      <w:pPr>
        <w:adjustRightInd w:val="0"/>
        <w:spacing w:line="360" w:lineRule="auto"/>
        <w:jc w:val="left"/>
        <w:rPr>
          <w:rFonts w:hint="eastAsia" w:ascii="宋体" w:hAnsi="宋体" w:cs="宋体"/>
          <w:color w:val="auto"/>
          <w:szCs w:val="21"/>
          <w:highlight w:val="none"/>
        </w:rPr>
      </w:pPr>
    </w:p>
    <w:p>
      <w:pPr>
        <w:adjustRightIn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项目名称：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adjustRightInd w:val="0"/>
        <w:spacing w:line="360" w:lineRule="auto"/>
        <w:jc w:val="left"/>
        <w:rPr>
          <w:rFonts w:hint="eastAsia" w:ascii="宋体" w:hAnsi="宋体" w:cs="宋体"/>
          <w:color w:val="auto"/>
          <w:szCs w:val="21"/>
          <w:highlight w:val="none"/>
          <w:u w:val="single"/>
        </w:rPr>
      </w:pPr>
      <w:r>
        <w:rPr>
          <w:rFonts w:hint="eastAsia" w:ascii="宋体" w:hAnsi="宋体" w:cs="宋体"/>
          <w:color w:val="auto"/>
          <w:szCs w:val="21"/>
          <w:highlight w:val="none"/>
          <w:lang w:eastAsia="zh-CN"/>
        </w:rPr>
        <w:t>采购编号：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eastAsia="zh-CN"/>
        </w:rPr>
        <w:t>ZJ-2272868</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jc w:val="right"/>
        <w:rPr>
          <w:rFonts w:hint="eastAsia" w:ascii="宋体" w:hAnsi="宋体" w:cs="宋体"/>
          <w:color w:val="auto"/>
          <w:highlight w:val="none"/>
        </w:rPr>
      </w:pPr>
      <w:r>
        <w:rPr>
          <w:rFonts w:hint="eastAsia" w:ascii="宋体" w:hAnsi="宋体" w:cs="宋体"/>
          <w:color w:val="auto"/>
          <w:highlight w:val="none"/>
        </w:rPr>
        <w:t xml:space="preserve"> 元人民币</w:t>
      </w:r>
    </w:p>
    <w:tbl>
      <w:tblPr>
        <w:tblStyle w:val="19"/>
        <w:tblW w:w="8940" w:type="dxa"/>
        <w:tblInd w:w="-1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25"/>
        <w:gridCol w:w="2551"/>
        <w:gridCol w:w="1659"/>
        <w:gridCol w:w="1132"/>
        <w:gridCol w:w="1746"/>
        <w:gridCol w:w="1127"/>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center"/>
          </w:tcPr>
          <w:p>
            <w:pPr>
              <w:spacing w:line="460" w:lineRule="exact"/>
              <w:jc w:val="center"/>
              <w:rPr>
                <w:rFonts w:hint="eastAsia" w:ascii="宋体" w:hAnsi="宋体" w:cs="宋体"/>
                <w:color w:val="auto"/>
                <w:sz w:val="24"/>
                <w:highlight w:val="none"/>
              </w:rPr>
            </w:pPr>
            <w:r>
              <w:rPr>
                <w:rFonts w:hint="eastAsia" w:ascii="宋体" w:hAnsi="宋体" w:cs="宋体"/>
                <w:color w:val="auto"/>
                <w:sz w:val="24"/>
                <w:highlight w:val="none"/>
              </w:rPr>
              <w:t>序号</w:t>
            </w:r>
          </w:p>
        </w:tc>
        <w:tc>
          <w:tcPr>
            <w:tcW w:w="2551" w:type="dxa"/>
            <w:noWrap w:val="0"/>
            <w:vAlign w:val="center"/>
          </w:tcPr>
          <w:p>
            <w:pPr>
              <w:spacing w:line="460" w:lineRule="exact"/>
              <w:jc w:val="center"/>
              <w:rPr>
                <w:rFonts w:hint="eastAsia" w:ascii="宋体" w:hAnsi="宋体" w:cs="宋体"/>
                <w:color w:val="auto"/>
                <w:sz w:val="24"/>
                <w:highlight w:val="none"/>
              </w:rPr>
            </w:pPr>
            <w:r>
              <w:rPr>
                <w:rFonts w:hint="eastAsia" w:ascii="宋体" w:hAnsi="宋体" w:cs="宋体"/>
                <w:color w:val="auto"/>
                <w:sz w:val="24"/>
                <w:highlight w:val="none"/>
              </w:rPr>
              <w:t>名称</w:t>
            </w:r>
          </w:p>
        </w:tc>
        <w:tc>
          <w:tcPr>
            <w:tcW w:w="1659" w:type="dxa"/>
            <w:noWrap w:val="0"/>
            <w:vAlign w:val="center"/>
          </w:tcPr>
          <w:p>
            <w:pPr>
              <w:spacing w:line="460" w:lineRule="exact"/>
              <w:jc w:val="center"/>
              <w:rPr>
                <w:rFonts w:hint="eastAsia" w:ascii="宋体" w:hAnsi="宋体" w:cs="宋体"/>
                <w:color w:val="auto"/>
                <w:sz w:val="24"/>
                <w:highlight w:val="none"/>
              </w:rPr>
            </w:pPr>
            <w:r>
              <w:rPr>
                <w:rFonts w:hint="eastAsia" w:ascii="宋体" w:hAnsi="宋体" w:cs="宋体"/>
                <w:color w:val="auto"/>
                <w:sz w:val="24"/>
                <w:highlight w:val="none"/>
              </w:rPr>
              <w:t>数量</w:t>
            </w:r>
          </w:p>
        </w:tc>
        <w:tc>
          <w:tcPr>
            <w:tcW w:w="1132" w:type="dxa"/>
            <w:noWrap w:val="0"/>
            <w:vAlign w:val="center"/>
          </w:tcPr>
          <w:p>
            <w:pPr>
              <w:spacing w:line="460" w:lineRule="exact"/>
              <w:jc w:val="center"/>
              <w:rPr>
                <w:rFonts w:hint="eastAsia" w:ascii="宋体" w:hAnsi="宋体" w:cs="宋体"/>
                <w:color w:val="auto"/>
                <w:sz w:val="24"/>
                <w:highlight w:val="none"/>
              </w:rPr>
            </w:pPr>
            <w:r>
              <w:rPr>
                <w:rFonts w:hint="eastAsia" w:ascii="宋体" w:hAnsi="宋体" w:cs="宋体"/>
                <w:color w:val="auto"/>
                <w:sz w:val="24"/>
                <w:highlight w:val="none"/>
              </w:rPr>
              <w:t>单价</w:t>
            </w:r>
          </w:p>
        </w:tc>
        <w:tc>
          <w:tcPr>
            <w:tcW w:w="1746" w:type="dxa"/>
            <w:noWrap w:val="0"/>
            <w:vAlign w:val="center"/>
          </w:tcPr>
          <w:p>
            <w:pPr>
              <w:spacing w:line="460" w:lineRule="exact"/>
              <w:jc w:val="center"/>
              <w:rPr>
                <w:rFonts w:hint="eastAsia" w:ascii="宋体" w:hAnsi="宋体" w:cs="宋体"/>
                <w:color w:val="auto"/>
                <w:sz w:val="24"/>
                <w:highlight w:val="none"/>
              </w:rPr>
            </w:pPr>
            <w:r>
              <w:rPr>
                <w:rFonts w:hint="eastAsia" w:ascii="宋体" w:hAnsi="宋体" w:cs="宋体"/>
                <w:color w:val="auto"/>
                <w:sz w:val="24"/>
                <w:highlight w:val="none"/>
              </w:rPr>
              <w:t>总价</w:t>
            </w:r>
          </w:p>
        </w:tc>
        <w:tc>
          <w:tcPr>
            <w:tcW w:w="1127" w:type="dxa"/>
            <w:noWrap w:val="0"/>
            <w:vAlign w:val="center"/>
          </w:tcPr>
          <w:p>
            <w:pPr>
              <w:spacing w:line="460" w:lineRule="exact"/>
              <w:jc w:val="center"/>
              <w:rPr>
                <w:rFonts w:hint="eastAsia"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center"/>
          </w:tcPr>
          <w:p>
            <w:pPr>
              <w:spacing w:line="460" w:lineRule="exact"/>
              <w:jc w:val="center"/>
              <w:rPr>
                <w:rFonts w:hint="eastAsia" w:ascii="宋体" w:hAnsi="宋体" w:cs="宋体"/>
                <w:i/>
                <w:iCs/>
                <w:color w:val="auto"/>
                <w:sz w:val="24"/>
                <w:highlight w:val="none"/>
              </w:rPr>
            </w:pPr>
          </w:p>
        </w:tc>
        <w:tc>
          <w:tcPr>
            <w:tcW w:w="2551" w:type="dxa"/>
            <w:noWrap w:val="0"/>
            <w:vAlign w:val="center"/>
          </w:tcPr>
          <w:p>
            <w:pPr>
              <w:spacing w:line="460" w:lineRule="exact"/>
              <w:rPr>
                <w:rFonts w:hint="eastAsia" w:ascii="宋体" w:hAnsi="宋体" w:cs="宋体"/>
                <w:i/>
                <w:iCs/>
                <w:color w:val="auto"/>
                <w:sz w:val="24"/>
                <w:highlight w:val="none"/>
              </w:rPr>
            </w:pPr>
            <w:r>
              <w:rPr>
                <w:rFonts w:hint="eastAsia" w:ascii="宋体" w:hAnsi="宋体" w:cs="宋体"/>
                <w:i/>
                <w:iCs/>
                <w:color w:val="auto"/>
                <w:sz w:val="24"/>
                <w:highlight w:val="none"/>
                <w:lang w:eastAsia="zh-CN"/>
              </w:rPr>
              <w:t>……</w:t>
            </w:r>
          </w:p>
        </w:tc>
        <w:tc>
          <w:tcPr>
            <w:tcW w:w="1659" w:type="dxa"/>
            <w:noWrap w:val="0"/>
            <w:vAlign w:val="center"/>
          </w:tcPr>
          <w:p>
            <w:pPr>
              <w:spacing w:line="460" w:lineRule="exact"/>
              <w:jc w:val="center"/>
              <w:rPr>
                <w:rFonts w:hint="eastAsia" w:ascii="宋体" w:hAnsi="宋体" w:cs="宋体"/>
                <w:color w:val="auto"/>
                <w:sz w:val="24"/>
                <w:highlight w:val="none"/>
              </w:rPr>
            </w:pPr>
          </w:p>
        </w:tc>
        <w:tc>
          <w:tcPr>
            <w:tcW w:w="1132" w:type="dxa"/>
            <w:noWrap w:val="0"/>
            <w:vAlign w:val="center"/>
          </w:tcPr>
          <w:p>
            <w:pPr>
              <w:spacing w:line="460" w:lineRule="exact"/>
              <w:jc w:val="center"/>
              <w:rPr>
                <w:rFonts w:hint="eastAsia" w:ascii="宋体" w:hAnsi="宋体" w:cs="宋体"/>
                <w:color w:val="auto"/>
                <w:sz w:val="24"/>
                <w:highlight w:val="none"/>
              </w:rPr>
            </w:pPr>
          </w:p>
        </w:tc>
        <w:tc>
          <w:tcPr>
            <w:tcW w:w="1746" w:type="dxa"/>
            <w:noWrap w:val="0"/>
            <w:vAlign w:val="center"/>
          </w:tcPr>
          <w:p>
            <w:pPr>
              <w:spacing w:line="460" w:lineRule="exact"/>
              <w:jc w:val="center"/>
              <w:rPr>
                <w:rFonts w:hint="eastAsia" w:ascii="宋体" w:hAnsi="宋体" w:cs="宋体"/>
                <w:color w:val="auto"/>
                <w:sz w:val="24"/>
                <w:highlight w:val="none"/>
              </w:rPr>
            </w:pPr>
          </w:p>
        </w:tc>
        <w:tc>
          <w:tcPr>
            <w:tcW w:w="1127" w:type="dxa"/>
            <w:noWrap w:val="0"/>
            <w:vAlign w:val="center"/>
          </w:tcPr>
          <w:p>
            <w:pPr>
              <w:spacing w:line="460" w:lineRule="exact"/>
              <w:jc w:val="center"/>
              <w:rPr>
                <w:rFonts w:hint="eastAsia"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center"/>
          </w:tcPr>
          <w:p>
            <w:pPr>
              <w:spacing w:line="460" w:lineRule="exact"/>
              <w:jc w:val="center"/>
              <w:rPr>
                <w:rFonts w:hint="eastAsia" w:ascii="宋体" w:hAnsi="宋体" w:cs="宋体"/>
                <w:i/>
                <w:iCs/>
                <w:color w:val="auto"/>
                <w:sz w:val="24"/>
                <w:highlight w:val="none"/>
              </w:rPr>
            </w:pPr>
          </w:p>
        </w:tc>
        <w:tc>
          <w:tcPr>
            <w:tcW w:w="2551" w:type="dxa"/>
            <w:noWrap w:val="0"/>
            <w:vAlign w:val="center"/>
          </w:tcPr>
          <w:p>
            <w:pPr>
              <w:spacing w:line="460" w:lineRule="exact"/>
              <w:rPr>
                <w:rFonts w:hint="eastAsia" w:ascii="宋体" w:hAnsi="宋体" w:cs="宋体"/>
                <w:i/>
                <w:iCs/>
                <w:color w:val="auto"/>
                <w:sz w:val="24"/>
                <w:highlight w:val="none"/>
              </w:rPr>
            </w:pPr>
            <w:r>
              <w:rPr>
                <w:rFonts w:hint="eastAsia" w:ascii="宋体" w:hAnsi="宋体" w:eastAsia="宋体" w:cs="宋体"/>
                <w:b w:val="0"/>
                <w:bCs/>
                <w:color w:val="auto"/>
                <w:kern w:val="0"/>
                <w:sz w:val="21"/>
                <w:szCs w:val="21"/>
                <w:highlight w:val="none"/>
                <w:lang w:val="en-US" w:eastAsia="zh-CN" w:bidi="ar-SA"/>
              </w:rPr>
              <w:t>预算（基础信息、项目库、预算编制与批复、预算绩效、预算调整与调剂）</w:t>
            </w:r>
          </w:p>
        </w:tc>
        <w:tc>
          <w:tcPr>
            <w:tcW w:w="1659" w:type="dxa"/>
            <w:noWrap w:val="0"/>
            <w:vAlign w:val="center"/>
          </w:tcPr>
          <w:p>
            <w:pPr>
              <w:spacing w:line="460" w:lineRule="exact"/>
              <w:jc w:val="center"/>
              <w:rPr>
                <w:rFonts w:hint="eastAsia" w:ascii="宋体" w:hAnsi="宋体" w:cs="宋体"/>
                <w:color w:val="auto"/>
                <w:sz w:val="24"/>
                <w:highlight w:val="none"/>
              </w:rPr>
            </w:pPr>
          </w:p>
        </w:tc>
        <w:tc>
          <w:tcPr>
            <w:tcW w:w="1132" w:type="dxa"/>
            <w:noWrap w:val="0"/>
            <w:vAlign w:val="center"/>
          </w:tcPr>
          <w:p>
            <w:pPr>
              <w:spacing w:line="460" w:lineRule="exact"/>
              <w:jc w:val="center"/>
              <w:rPr>
                <w:rFonts w:hint="eastAsia" w:ascii="宋体" w:hAnsi="宋体" w:cs="宋体"/>
                <w:color w:val="auto"/>
                <w:sz w:val="24"/>
                <w:highlight w:val="none"/>
              </w:rPr>
            </w:pPr>
          </w:p>
        </w:tc>
        <w:tc>
          <w:tcPr>
            <w:tcW w:w="1746" w:type="dxa"/>
            <w:noWrap w:val="0"/>
            <w:vAlign w:val="center"/>
          </w:tcPr>
          <w:p>
            <w:pPr>
              <w:spacing w:line="460" w:lineRule="exact"/>
              <w:jc w:val="center"/>
              <w:rPr>
                <w:rFonts w:hint="eastAsia" w:ascii="宋体" w:hAnsi="宋体" w:cs="宋体"/>
                <w:color w:val="auto"/>
                <w:sz w:val="24"/>
                <w:highlight w:val="none"/>
              </w:rPr>
            </w:pPr>
          </w:p>
        </w:tc>
        <w:tc>
          <w:tcPr>
            <w:tcW w:w="1127" w:type="dxa"/>
            <w:noWrap w:val="0"/>
            <w:vAlign w:val="center"/>
          </w:tcPr>
          <w:p>
            <w:pPr>
              <w:spacing w:line="460" w:lineRule="exact"/>
              <w:jc w:val="center"/>
              <w:rPr>
                <w:rFonts w:hint="eastAsia"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center"/>
          </w:tcPr>
          <w:p>
            <w:pPr>
              <w:spacing w:line="460" w:lineRule="exact"/>
              <w:jc w:val="center"/>
              <w:rPr>
                <w:rFonts w:hint="eastAsia" w:ascii="宋体" w:hAnsi="宋体" w:cs="宋体"/>
                <w:i/>
                <w:iCs/>
                <w:color w:val="auto"/>
                <w:sz w:val="24"/>
                <w:highlight w:val="none"/>
              </w:rPr>
            </w:pPr>
          </w:p>
        </w:tc>
        <w:tc>
          <w:tcPr>
            <w:tcW w:w="2551" w:type="dxa"/>
            <w:noWrap w:val="0"/>
            <w:vAlign w:val="center"/>
          </w:tcPr>
          <w:p>
            <w:pPr>
              <w:adjustRightInd w:val="0"/>
              <w:snapToGrid w:val="0"/>
              <w:spacing w:line="460" w:lineRule="exact"/>
              <w:rPr>
                <w:rFonts w:hint="eastAsia" w:ascii="宋体" w:hAnsi="宋体" w:cs="宋体"/>
                <w:i/>
                <w:iCs/>
                <w:color w:val="auto"/>
                <w:sz w:val="24"/>
                <w:highlight w:val="none"/>
              </w:rPr>
            </w:pPr>
            <w:r>
              <w:rPr>
                <w:rFonts w:hint="eastAsia" w:ascii="宋体" w:hAnsi="宋体" w:eastAsia="宋体" w:cs="宋体"/>
                <w:b w:val="0"/>
                <w:bCs/>
                <w:color w:val="auto"/>
                <w:kern w:val="0"/>
                <w:sz w:val="21"/>
                <w:szCs w:val="21"/>
                <w:highlight w:val="none"/>
                <w:lang w:val="en-US" w:eastAsia="zh-CN" w:bidi="ar-SA"/>
              </w:rPr>
              <w:t>执行（预算执行、预算指标会计核算）</w:t>
            </w:r>
          </w:p>
        </w:tc>
        <w:tc>
          <w:tcPr>
            <w:tcW w:w="1659" w:type="dxa"/>
            <w:noWrap w:val="0"/>
            <w:vAlign w:val="center"/>
          </w:tcPr>
          <w:p>
            <w:pPr>
              <w:spacing w:line="460" w:lineRule="exact"/>
              <w:jc w:val="center"/>
              <w:rPr>
                <w:rFonts w:hint="eastAsia" w:ascii="宋体" w:hAnsi="宋体" w:cs="宋体"/>
                <w:color w:val="auto"/>
                <w:sz w:val="24"/>
                <w:highlight w:val="none"/>
              </w:rPr>
            </w:pPr>
          </w:p>
        </w:tc>
        <w:tc>
          <w:tcPr>
            <w:tcW w:w="1132" w:type="dxa"/>
            <w:noWrap w:val="0"/>
            <w:vAlign w:val="center"/>
          </w:tcPr>
          <w:p>
            <w:pPr>
              <w:spacing w:line="460" w:lineRule="exact"/>
              <w:jc w:val="center"/>
              <w:rPr>
                <w:rFonts w:hint="eastAsia" w:ascii="宋体" w:hAnsi="宋体" w:cs="宋体"/>
                <w:color w:val="auto"/>
                <w:sz w:val="24"/>
                <w:highlight w:val="none"/>
              </w:rPr>
            </w:pPr>
          </w:p>
        </w:tc>
        <w:tc>
          <w:tcPr>
            <w:tcW w:w="1746" w:type="dxa"/>
            <w:noWrap w:val="0"/>
            <w:vAlign w:val="center"/>
          </w:tcPr>
          <w:p>
            <w:pPr>
              <w:spacing w:line="460" w:lineRule="exact"/>
              <w:jc w:val="center"/>
              <w:rPr>
                <w:rFonts w:hint="eastAsia" w:ascii="宋体" w:hAnsi="宋体" w:cs="宋体"/>
                <w:color w:val="auto"/>
                <w:sz w:val="24"/>
                <w:highlight w:val="none"/>
              </w:rPr>
            </w:pPr>
          </w:p>
        </w:tc>
        <w:tc>
          <w:tcPr>
            <w:tcW w:w="1127" w:type="dxa"/>
            <w:noWrap w:val="0"/>
            <w:vAlign w:val="center"/>
          </w:tcPr>
          <w:p>
            <w:pPr>
              <w:spacing w:line="460" w:lineRule="exact"/>
              <w:jc w:val="center"/>
              <w:rPr>
                <w:rFonts w:hint="eastAsia"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center"/>
          </w:tcPr>
          <w:p>
            <w:pPr>
              <w:spacing w:line="460" w:lineRule="exact"/>
              <w:jc w:val="center"/>
              <w:rPr>
                <w:rFonts w:hint="eastAsia" w:ascii="宋体" w:hAnsi="宋体" w:cs="宋体"/>
                <w:i/>
                <w:iCs/>
                <w:color w:val="auto"/>
                <w:sz w:val="24"/>
                <w:highlight w:val="none"/>
              </w:rPr>
            </w:pPr>
          </w:p>
        </w:tc>
        <w:tc>
          <w:tcPr>
            <w:tcW w:w="2551" w:type="dxa"/>
            <w:noWrap w:val="0"/>
            <w:vAlign w:val="top"/>
          </w:tcPr>
          <w:p>
            <w:pPr>
              <w:adjustRightInd w:val="0"/>
              <w:snapToGrid w:val="0"/>
              <w:spacing w:line="460" w:lineRule="exact"/>
              <w:rPr>
                <w:rFonts w:hint="eastAsia" w:ascii="宋体" w:hAnsi="宋体" w:cs="宋体"/>
                <w:i/>
                <w:iCs/>
                <w:color w:val="auto"/>
                <w:sz w:val="24"/>
                <w:highlight w:val="none"/>
              </w:rPr>
            </w:pPr>
            <w:r>
              <w:rPr>
                <w:rFonts w:ascii="宋体" w:hAnsi="宋体" w:eastAsia="宋体" w:cs="宋体"/>
                <w:b w:val="0"/>
                <w:bCs/>
                <w:color w:val="auto"/>
                <w:sz w:val="21"/>
                <w:szCs w:val="21"/>
                <w:highlight w:val="none"/>
              </w:rPr>
              <w:t>安全服务</w:t>
            </w:r>
          </w:p>
        </w:tc>
        <w:tc>
          <w:tcPr>
            <w:tcW w:w="1659" w:type="dxa"/>
            <w:noWrap w:val="0"/>
            <w:vAlign w:val="center"/>
          </w:tcPr>
          <w:p>
            <w:pPr>
              <w:spacing w:line="460" w:lineRule="exact"/>
              <w:jc w:val="center"/>
              <w:rPr>
                <w:rFonts w:hint="eastAsia" w:ascii="宋体" w:hAnsi="宋体" w:cs="宋体"/>
                <w:color w:val="auto"/>
                <w:sz w:val="24"/>
                <w:highlight w:val="none"/>
              </w:rPr>
            </w:pPr>
          </w:p>
        </w:tc>
        <w:tc>
          <w:tcPr>
            <w:tcW w:w="1132" w:type="dxa"/>
            <w:noWrap w:val="0"/>
            <w:vAlign w:val="center"/>
          </w:tcPr>
          <w:p>
            <w:pPr>
              <w:spacing w:line="460" w:lineRule="exact"/>
              <w:jc w:val="center"/>
              <w:rPr>
                <w:rFonts w:hint="eastAsia" w:ascii="宋体" w:hAnsi="宋体" w:cs="宋体"/>
                <w:color w:val="auto"/>
                <w:sz w:val="24"/>
                <w:highlight w:val="none"/>
              </w:rPr>
            </w:pPr>
          </w:p>
        </w:tc>
        <w:tc>
          <w:tcPr>
            <w:tcW w:w="1746" w:type="dxa"/>
            <w:noWrap w:val="0"/>
            <w:vAlign w:val="center"/>
          </w:tcPr>
          <w:p>
            <w:pPr>
              <w:spacing w:line="460" w:lineRule="exact"/>
              <w:jc w:val="center"/>
              <w:rPr>
                <w:rFonts w:hint="eastAsia" w:ascii="宋体" w:hAnsi="宋体" w:cs="宋体"/>
                <w:color w:val="auto"/>
                <w:sz w:val="24"/>
                <w:highlight w:val="none"/>
              </w:rPr>
            </w:pPr>
          </w:p>
        </w:tc>
        <w:tc>
          <w:tcPr>
            <w:tcW w:w="1127" w:type="dxa"/>
            <w:noWrap w:val="0"/>
            <w:vAlign w:val="center"/>
          </w:tcPr>
          <w:p>
            <w:pPr>
              <w:spacing w:line="460" w:lineRule="exact"/>
              <w:jc w:val="center"/>
              <w:rPr>
                <w:rFonts w:hint="eastAsia"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top"/>
          </w:tcPr>
          <w:p>
            <w:pPr>
              <w:spacing w:line="460" w:lineRule="exact"/>
              <w:jc w:val="center"/>
              <w:rPr>
                <w:rFonts w:hint="eastAsia" w:ascii="宋体" w:hAnsi="宋体" w:cs="宋体"/>
                <w:i/>
                <w:iCs/>
                <w:color w:val="auto"/>
                <w:sz w:val="24"/>
                <w:highlight w:val="none"/>
              </w:rPr>
            </w:pPr>
          </w:p>
        </w:tc>
        <w:tc>
          <w:tcPr>
            <w:tcW w:w="2551" w:type="dxa"/>
            <w:noWrap w:val="0"/>
            <w:vAlign w:val="center"/>
          </w:tcPr>
          <w:p>
            <w:pPr>
              <w:spacing w:line="460" w:lineRule="exact"/>
              <w:rPr>
                <w:rFonts w:hint="eastAsia" w:ascii="宋体" w:hAnsi="宋体" w:cs="宋体"/>
                <w:i/>
                <w:iCs/>
                <w:color w:val="auto"/>
                <w:sz w:val="24"/>
                <w:highlight w:val="none"/>
              </w:rPr>
            </w:pPr>
            <w:r>
              <w:rPr>
                <w:rFonts w:hint="eastAsia" w:ascii="宋体" w:hAnsi="宋体" w:cs="宋体"/>
                <w:i/>
                <w:iCs/>
                <w:color w:val="auto"/>
                <w:sz w:val="24"/>
                <w:highlight w:val="none"/>
                <w:lang w:eastAsia="zh-CN"/>
              </w:rPr>
              <w:t>……</w:t>
            </w:r>
          </w:p>
        </w:tc>
        <w:tc>
          <w:tcPr>
            <w:tcW w:w="1659" w:type="dxa"/>
            <w:noWrap w:val="0"/>
            <w:vAlign w:val="center"/>
          </w:tcPr>
          <w:p>
            <w:pPr>
              <w:spacing w:line="460" w:lineRule="exact"/>
              <w:jc w:val="center"/>
              <w:rPr>
                <w:rFonts w:hint="eastAsia" w:ascii="宋体" w:hAnsi="宋体" w:cs="宋体"/>
                <w:color w:val="auto"/>
                <w:sz w:val="24"/>
                <w:highlight w:val="none"/>
              </w:rPr>
            </w:pPr>
          </w:p>
        </w:tc>
        <w:tc>
          <w:tcPr>
            <w:tcW w:w="1132" w:type="dxa"/>
            <w:noWrap w:val="0"/>
            <w:vAlign w:val="center"/>
          </w:tcPr>
          <w:p>
            <w:pPr>
              <w:spacing w:line="460" w:lineRule="exact"/>
              <w:jc w:val="center"/>
              <w:rPr>
                <w:rFonts w:hint="eastAsia" w:ascii="宋体" w:hAnsi="宋体" w:cs="宋体"/>
                <w:color w:val="auto"/>
                <w:sz w:val="24"/>
                <w:highlight w:val="none"/>
              </w:rPr>
            </w:pPr>
          </w:p>
        </w:tc>
        <w:tc>
          <w:tcPr>
            <w:tcW w:w="1746" w:type="dxa"/>
            <w:noWrap w:val="0"/>
            <w:vAlign w:val="center"/>
          </w:tcPr>
          <w:p>
            <w:pPr>
              <w:spacing w:line="460" w:lineRule="exact"/>
              <w:jc w:val="center"/>
              <w:rPr>
                <w:rFonts w:hint="eastAsia" w:ascii="宋体" w:hAnsi="宋体" w:cs="宋体"/>
                <w:color w:val="auto"/>
                <w:sz w:val="24"/>
                <w:highlight w:val="none"/>
              </w:rPr>
            </w:pPr>
          </w:p>
        </w:tc>
        <w:tc>
          <w:tcPr>
            <w:tcW w:w="1127" w:type="dxa"/>
            <w:noWrap w:val="0"/>
            <w:vAlign w:val="center"/>
          </w:tcPr>
          <w:p>
            <w:pPr>
              <w:spacing w:line="460" w:lineRule="exact"/>
              <w:jc w:val="center"/>
              <w:rPr>
                <w:rFonts w:hint="eastAsia"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top"/>
          </w:tcPr>
          <w:p>
            <w:pPr>
              <w:spacing w:line="460" w:lineRule="exact"/>
              <w:jc w:val="center"/>
              <w:rPr>
                <w:rFonts w:hint="eastAsia" w:ascii="宋体" w:hAnsi="宋体" w:cs="宋体"/>
                <w:i/>
                <w:iCs/>
                <w:color w:val="auto"/>
                <w:sz w:val="24"/>
                <w:highlight w:val="none"/>
              </w:rPr>
            </w:pPr>
          </w:p>
        </w:tc>
        <w:tc>
          <w:tcPr>
            <w:tcW w:w="2551" w:type="dxa"/>
            <w:noWrap w:val="0"/>
            <w:vAlign w:val="center"/>
          </w:tcPr>
          <w:p>
            <w:pPr>
              <w:spacing w:line="460" w:lineRule="exact"/>
              <w:rPr>
                <w:rFonts w:hint="eastAsia" w:ascii="宋体" w:hAnsi="宋体" w:cs="宋体"/>
                <w:i/>
                <w:iCs/>
                <w:color w:val="auto"/>
                <w:sz w:val="24"/>
                <w:highlight w:val="none"/>
              </w:rPr>
            </w:pPr>
            <w:r>
              <w:rPr>
                <w:rFonts w:hint="eastAsia" w:ascii="宋体" w:hAnsi="宋体" w:cs="宋体"/>
                <w:i/>
                <w:iCs/>
                <w:color w:val="auto"/>
                <w:sz w:val="24"/>
                <w:highlight w:val="none"/>
                <w:lang w:eastAsia="zh-CN"/>
              </w:rPr>
              <w:t>……</w:t>
            </w:r>
          </w:p>
        </w:tc>
        <w:tc>
          <w:tcPr>
            <w:tcW w:w="1659" w:type="dxa"/>
            <w:noWrap w:val="0"/>
            <w:vAlign w:val="center"/>
          </w:tcPr>
          <w:p>
            <w:pPr>
              <w:spacing w:line="460" w:lineRule="exact"/>
              <w:jc w:val="center"/>
              <w:rPr>
                <w:rFonts w:hint="eastAsia" w:ascii="宋体" w:hAnsi="宋体" w:cs="宋体"/>
                <w:color w:val="auto"/>
                <w:sz w:val="24"/>
                <w:highlight w:val="none"/>
              </w:rPr>
            </w:pPr>
          </w:p>
        </w:tc>
        <w:tc>
          <w:tcPr>
            <w:tcW w:w="1132" w:type="dxa"/>
            <w:noWrap w:val="0"/>
            <w:vAlign w:val="center"/>
          </w:tcPr>
          <w:p>
            <w:pPr>
              <w:spacing w:line="460" w:lineRule="exact"/>
              <w:jc w:val="center"/>
              <w:rPr>
                <w:rFonts w:hint="eastAsia" w:ascii="宋体" w:hAnsi="宋体" w:cs="宋体"/>
                <w:color w:val="auto"/>
                <w:sz w:val="24"/>
                <w:highlight w:val="none"/>
              </w:rPr>
            </w:pPr>
          </w:p>
        </w:tc>
        <w:tc>
          <w:tcPr>
            <w:tcW w:w="1746" w:type="dxa"/>
            <w:noWrap w:val="0"/>
            <w:vAlign w:val="center"/>
          </w:tcPr>
          <w:p>
            <w:pPr>
              <w:spacing w:line="460" w:lineRule="exact"/>
              <w:jc w:val="center"/>
              <w:rPr>
                <w:rFonts w:hint="eastAsia" w:ascii="宋体" w:hAnsi="宋体" w:cs="宋体"/>
                <w:color w:val="auto"/>
                <w:sz w:val="24"/>
                <w:highlight w:val="none"/>
              </w:rPr>
            </w:pPr>
          </w:p>
        </w:tc>
        <w:tc>
          <w:tcPr>
            <w:tcW w:w="1127" w:type="dxa"/>
            <w:noWrap w:val="0"/>
            <w:vAlign w:val="center"/>
          </w:tcPr>
          <w:p>
            <w:pPr>
              <w:spacing w:line="460" w:lineRule="exact"/>
              <w:jc w:val="center"/>
              <w:rPr>
                <w:rFonts w:hint="eastAsia"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top"/>
          </w:tcPr>
          <w:p>
            <w:pPr>
              <w:spacing w:line="460" w:lineRule="exact"/>
              <w:jc w:val="center"/>
              <w:rPr>
                <w:rFonts w:hint="eastAsia" w:ascii="宋体" w:hAnsi="宋体" w:cs="宋体"/>
                <w:i/>
                <w:iCs/>
                <w:color w:val="auto"/>
                <w:sz w:val="24"/>
                <w:highlight w:val="none"/>
              </w:rPr>
            </w:pPr>
          </w:p>
        </w:tc>
        <w:tc>
          <w:tcPr>
            <w:tcW w:w="2551" w:type="dxa"/>
            <w:noWrap w:val="0"/>
            <w:vAlign w:val="top"/>
          </w:tcPr>
          <w:p>
            <w:pPr>
              <w:adjustRightInd w:val="0"/>
              <w:snapToGrid w:val="0"/>
              <w:spacing w:line="460" w:lineRule="exact"/>
              <w:rPr>
                <w:rFonts w:hint="eastAsia" w:ascii="宋体" w:hAnsi="宋体" w:cs="宋体"/>
                <w:i/>
                <w:iCs/>
                <w:color w:val="auto"/>
                <w:sz w:val="24"/>
                <w:highlight w:val="none"/>
              </w:rPr>
            </w:pPr>
          </w:p>
        </w:tc>
        <w:tc>
          <w:tcPr>
            <w:tcW w:w="1659" w:type="dxa"/>
            <w:noWrap w:val="0"/>
            <w:vAlign w:val="center"/>
          </w:tcPr>
          <w:p>
            <w:pPr>
              <w:spacing w:line="460" w:lineRule="exact"/>
              <w:jc w:val="center"/>
              <w:rPr>
                <w:rFonts w:hint="eastAsia" w:ascii="宋体" w:hAnsi="宋体" w:cs="宋体"/>
                <w:color w:val="auto"/>
                <w:sz w:val="24"/>
                <w:highlight w:val="none"/>
              </w:rPr>
            </w:pPr>
          </w:p>
        </w:tc>
        <w:tc>
          <w:tcPr>
            <w:tcW w:w="1132" w:type="dxa"/>
            <w:noWrap w:val="0"/>
            <w:vAlign w:val="center"/>
          </w:tcPr>
          <w:p>
            <w:pPr>
              <w:spacing w:line="460" w:lineRule="exact"/>
              <w:jc w:val="center"/>
              <w:rPr>
                <w:rFonts w:hint="eastAsia" w:ascii="宋体" w:hAnsi="宋体" w:cs="宋体"/>
                <w:color w:val="auto"/>
                <w:sz w:val="24"/>
                <w:highlight w:val="none"/>
              </w:rPr>
            </w:pPr>
          </w:p>
        </w:tc>
        <w:tc>
          <w:tcPr>
            <w:tcW w:w="1746" w:type="dxa"/>
            <w:noWrap w:val="0"/>
            <w:vAlign w:val="center"/>
          </w:tcPr>
          <w:p>
            <w:pPr>
              <w:spacing w:line="460" w:lineRule="exact"/>
              <w:jc w:val="center"/>
              <w:rPr>
                <w:rFonts w:hint="eastAsia" w:ascii="宋体" w:hAnsi="宋体" w:cs="宋体"/>
                <w:color w:val="auto"/>
                <w:sz w:val="24"/>
                <w:highlight w:val="none"/>
              </w:rPr>
            </w:pPr>
          </w:p>
        </w:tc>
        <w:tc>
          <w:tcPr>
            <w:tcW w:w="1127" w:type="dxa"/>
            <w:noWrap w:val="0"/>
            <w:vAlign w:val="center"/>
          </w:tcPr>
          <w:p>
            <w:pPr>
              <w:spacing w:line="460" w:lineRule="exact"/>
              <w:jc w:val="center"/>
              <w:rPr>
                <w:rFonts w:hint="eastAsia"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top"/>
          </w:tcPr>
          <w:p>
            <w:pPr>
              <w:spacing w:line="460" w:lineRule="exact"/>
              <w:jc w:val="center"/>
              <w:rPr>
                <w:rFonts w:hint="eastAsia" w:ascii="宋体" w:hAnsi="宋体" w:cs="宋体"/>
                <w:i/>
                <w:iCs/>
                <w:color w:val="auto"/>
                <w:sz w:val="24"/>
                <w:highlight w:val="none"/>
              </w:rPr>
            </w:pPr>
          </w:p>
        </w:tc>
        <w:tc>
          <w:tcPr>
            <w:tcW w:w="2551" w:type="dxa"/>
            <w:noWrap w:val="0"/>
            <w:vAlign w:val="top"/>
          </w:tcPr>
          <w:p>
            <w:pPr>
              <w:adjustRightInd w:val="0"/>
              <w:snapToGrid w:val="0"/>
              <w:spacing w:line="460" w:lineRule="exact"/>
              <w:rPr>
                <w:rFonts w:hint="eastAsia" w:ascii="宋体" w:hAnsi="宋体" w:cs="宋体"/>
                <w:i/>
                <w:iCs/>
                <w:color w:val="auto"/>
                <w:sz w:val="24"/>
                <w:highlight w:val="none"/>
              </w:rPr>
            </w:pPr>
          </w:p>
        </w:tc>
        <w:tc>
          <w:tcPr>
            <w:tcW w:w="1659" w:type="dxa"/>
            <w:noWrap w:val="0"/>
            <w:vAlign w:val="center"/>
          </w:tcPr>
          <w:p>
            <w:pPr>
              <w:spacing w:line="460" w:lineRule="exact"/>
              <w:jc w:val="center"/>
              <w:rPr>
                <w:rFonts w:hint="eastAsia" w:ascii="宋体" w:hAnsi="宋体" w:cs="宋体"/>
                <w:color w:val="auto"/>
                <w:sz w:val="24"/>
                <w:highlight w:val="none"/>
              </w:rPr>
            </w:pPr>
          </w:p>
        </w:tc>
        <w:tc>
          <w:tcPr>
            <w:tcW w:w="1132" w:type="dxa"/>
            <w:noWrap w:val="0"/>
            <w:vAlign w:val="center"/>
          </w:tcPr>
          <w:p>
            <w:pPr>
              <w:spacing w:line="460" w:lineRule="exact"/>
              <w:jc w:val="center"/>
              <w:rPr>
                <w:rFonts w:hint="eastAsia" w:ascii="宋体" w:hAnsi="宋体" w:cs="宋体"/>
                <w:color w:val="auto"/>
                <w:sz w:val="24"/>
                <w:highlight w:val="none"/>
              </w:rPr>
            </w:pPr>
          </w:p>
        </w:tc>
        <w:tc>
          <w:tcPr>
            <w:tcW w:w="1746" w:type="dxa"/>
            <w:noWrap w:val="0"/>
            <w:vAlign w:val="center"/>
          </w:tcPr>
          <w:p>
            <w:pPr>
              <w:spacing w:line="460" w:lineRule="exact"/>
              <w:jc w:val="center"/>
              <w:rPr>
                <w:rFonts w:hint="eastAsia" w:ascii="宋体" w:hAnsi="宋体" w:cs="宋体"/>
                <w:color w:val="auto"/>
                <w:sz w:val="24"/>
                <w:highlight w:val="none"/>
              </w:rPr>
            </w:pPr>
          </w:p>
        </w:tc>
        <w:tc>
          <w:tcPr>
            <w:tcW w:w="1127" w:type="dxa"/>
            <w:noWrap w:val="0"/>
            <w:vAlign w:val="center"/>
          </w:tcPr>
          <w:p>
            <w:pPr>
              <w:spacing w:line="460" w:lineRule="exact"/>
              <w:jc w:val="center"/>
              <w:rPr>
                <w:rFonts w:hint="eastAsia"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725" w:type="dxa"/>
            <w:noWrap w:val="0"/>
            <w:vAlign w:val="center"/>
          </w:tcPr>
          <w:p>
            <w:pPr>
              <w:spacing w:line="460" w:lineRule="exact"/>
              <w:jc w:val="center"/>
              <w:rPr>
                <w:rFonts w:hint="eastAsia" w:ascii="宋体" w:hAnsi="宋体" w:cs="宋体"/>
                <w:color w:val="auto"/>
                <w:sz w:val="24"/>
                <w:highlight w:val="none"/>
              </w:rPr>
            </w:pPr>
          </w:p>
        </w:tc>
        <w:tc>
          <w:tcPr>
            <w:tcW w:w="2551" w:type="dxa"/>
            <w:noWrap w:val="0"/>
            <w:vAlign w:val="center"/>
          </w:tcPr>
          <w:p>
            <w:pPr>
              <w:spacing w:line="460" w:lineRule="exact"/>
              <w:jc w:val="center"/>
              <w:rPr>
                <w:rFonts w:hint="eastAsia" w:ascii="宋体" w:hAnsi="宋体" w:cs="宋体"/>
                <w:color w:val="auto"/>
                <w:sz w:val="24"/>
                <w:highlight w:val="none"/>
              </w:rPr>
            </w:pPr>
          </w:p>
        </w:tc>
        <w:tc>
          <w:tcPr>
            <w:tcW w:w="1659" w:type="dxa"/>
            <w:noWrap w:val="0"/>
            <w:vAlign w:val="center"/>
          </w:tcPr>
          <w:p>
            <w:pPr>
              <w:spacing w:line="460" w:lineRule="exact"/>
              <w:jc w:val="center"/>
              <w:rPr>
                <w:rFonts w:hint="eastAsia" w:ascii="宋体" w:hAnsi="宋体" w:cs="宋体"/>
                <w:color w:val="auto"/>
                <w:sz w:val="24"/>
                <w:highlight w:val="none"/>
              </w:rPr>
            </w:pPr>
          </w:p>
        </w:tc>
        <w:tc>
          <w:tcPr>
            <w:tcW w:w="1132" w:type="dxa"/>
            <w:noWrap w:val="0"/>
            <w:vAlign w:val="center"/>
          </w:tcPr>
          <w:p>
            <w:pPr>
              <w:spacing w:line="460" w:lineRule="exact"/>
              <w:jc w:val="center"/>
              <w:rPr>
                <w:rFonts w:hint="eastAsia" w:ascii="宋体" w:hAnsi="宋体" w:cs="宋体"/>
                <w:color w:val="auto"/>
                <w:sz w:val="24"/>
                <w:highlight w:val="none"/>
              </w:rPr>
            </w:pPr>
          </w:p>
        </w:tc>
        <w:tc>
          <w:tcPr>
            <w:tcW w:w="1746" w:type="dxa"/>
            <w:noWrap w:val="0"/>
            <w:vAlign w:val="center"/>
          </w:tcPr>
          <w:p>
            <w:pPr>
              <w:spacing w:line="460" w:lineRule="exact"/>
              <w:jc w:val="center"/>
              <w:rPr>
                <w:rFonts w:hint="eastAsia" w:ascii="宋体" w:hAnsi="宋体" w:cs="宋体"/>
                <w:color w:val="auto"/>
                <w:sz w:val="24"/>
                <w:highlight w:val="none"/>
              </w:rPr>
            </w:pPr>
          </w:p>
        </w:tc>
        <w:tc>
          <w:tcPr>
            <w:tcW w:w="1127" w:type="dxa"/>
            <w:noWrap w:val="0"/>
            <w:vAlign w:val="center"/>
          </w:tcPr>
          <w:p>
            <w:pPr>
              <w:spacing w:line="460" w:lineRule="exact"/>
              <w:jc w:val="center"/>
              <w:rPr>
                <w:rFonts w:hint="eastAsia"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3276" w:type="dxa"/>
            <w:gridSpan w:val="2"/>
            <w:noWrap w:val="0"/>
            <w:vAlign w:val="center"/>
          </w:tcPr>
          <w:p>
            <w:pPr>
              <w:spacing w:line="4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投标总价（小写）</w:t>
            </w:r>
          </w:p>
        </w:tc>
        <w:tc>
          <w:tcPr>
            <w:tcW w:w="5664" w:type="dxa"/>
            <w:gridSpan w:val="4"/>
            <w:noWrap w:val="0"/>
            <w:vAlign w:val="center"/>
          </w:tcPr>
          <w:p>
            <w:pPr>
              <w:spacing w:line="460" w:lineRule="exact"/>
              <w:jc w:val="center"/>
              <w:rPr>
                <w:rFonts w:hint="eastAsia"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c>
          <w:tcPr>
            <w:tcW w:w="3276" w:type="dxa"/>
            <w:gridSpan w:val="2"/>
            <w:noWrap w:val="0"/>
            <w:vAlign w:val="center"/>
          </w:tcPr>
          <w:p>
            <w:pPr>
              <w:spacing w:line="4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投标总价（大写）</w:t>
            </w:r>
          </w:p>
        </w:tc>
        <w:tc>
          <w:tcPr>
            <w:tcW w:w="5664" w:type="dxa"/>
            <w:gridSpan w:val="4"/>
            <w:noWrap w:val="0"/>
            <w:vAlign w:val="center"/>
          </w:tcPr>
          <w:p>
            <w:pPr>
              <w:spacing w:line="460" w:lineRule="exact"/>
              <w:jc w:val="center"/>
              <w:rPr>
                <w:rFonts w:hint="eastAsia" w:ascii="宋体" w:hAnsi="宋体" w:cs="宋体"/>
                <w:color w:val="auto"/>
                <w:sz w:val="24"/>
                <w:highlight w:val="none"/>
              </w:rPr>
            </w:pPr>
          </w:p>
        </w:tc>
      </w:tr>
    </w:tbl>
    <w:p>
      <w:pPr>
        <w:spacing w:line="360" w:lineRule="auto"/>
        <w:rPr>
          <w:rFonts w:hint="eastAsia" w:ascii="宋体" w:hAnsi="宋体" w:cs="宋体"/>
          <w:color w:val="auto"/>
          <w:highlight w:val="none"/>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rPr>
        <w:t>注：1. 投标人根据实际情况可在表中报价明细的基础上进行扩展</w:t>
      </w:r>
      <w:r>
        <w:rPr>
          <w:rFonts w:hint="eastAsia" w:ascii="宋体" w:hAnsi="宋体" w:cs="宋体"/>
          <w:color w:val="auto"/>
          <w:highlight w:val="none"/>
          <w:lang w:eastAsia="zh-CN"/>
        </w:rPr>
        <w:t>，</w:t>
      </w:r>
      <w:r>
        <w:rPr>
          <w:rFonts w:hint="eastAsia" w:ascii="宋体" w:hAnsi="宋体" w:cs="宋体"/>
          <w:b/>
          <w:bCs/>
          <w:color w:val="auto"/>
          <w:highlight w:val="none"/>
          <w:lang w:eastAsia="zh-CN"/>
        </w:rPr>
        <w:t>但至少应包含以上所列内容分项</w:t>
      </w:r>
      <w:r>
        <w:rPr>
          <w:rFonts w:hint="eastAsia" w:ascii="宋体" w:hAnsi="宋体" w:cs="宋体"/>
          <w:b/>
          <w:bCs/>
          <w:color w:val="auto"/>
          <w:highlight w:val="none"/>
        </w:rPr>
        <w:t>。</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上表所述“总报价”应与“开标一览表”中的总报价一致，如有矛盾，以“开标一览表”中的为准。</w:t>
      </w:r>
    </w:p>
    <w:p>
      <w:pPr>
        <w:spacing w:line="360" w:lineRule="auto"/>
        <w:ind w:firstLine="420" w:firstLineChars="200"/>
        <w:rPr>
          <w:rFonts w:hint="eastAsia"/>
          <w:color w:val="auto"/>
          <w:highlight w:val="none"/>
        </w:rPr>
      </w:pPr>
      <w:r>
        <w:rPr>
          <w:rFonts w:hint="eastAsia" w:ascii="宋体" w:hAnsi="宋体" w:cs="宋体"/>
          <w:color w:val="auto"/>
          <w:highlight w:val="none"/>
        </w:rPr>
        <w:t>3.▲采购人将以合同形式有偿取得服务，不接受投标人给予的赠品、回扣或者与采购无关的其他商品、服务，各项明细费用请按实填写（不得出现“0元”“免费赠送”等形式的无偿报价）。</w:t>
      </w:r>
    </w:p>
    <w:p>
      <w:pPr>
        <w:adjustRightInd w:val="0"/>
        <w:spacing w:line="360" w:lineRule="auto"/>
        <w:ind w:firstLine="4515" w:firstLineChars="2150"/>
        <w:rPr>
          <w:rFonts w:hint="eastAsia" w:ascii="宋体" w:hAnsi="宋体" w:cs="宋体"/>
          <w:color w:val="auto"/>
          <w:szCs w:val="21"/>
          <w:highlight w:val="none"/>
        </w:rPr>
      </w:pPr>
    </w:p>
    <w:p>
      <w:pPr>
        <w:adjustRightInd w:val="0"/>
        <w:spacing w:line="360" w:lineRule="auto"/>
        <w:ind w:firstLine="4515" w:firstLineChars="2150"/>
        <w:rPr>
          <w:rFonts w:hint="eastAsia" w:ascii="宋体" w:hAnsi="宋体" w:cs="宋体"/>
          <w:color w:val="auto"/>
          <w:szCs w:val="21"/>
          <w:highlight w:val="none"/>
        </w:rPr>
      </w:pPr>
      <w:r>
        <w:rPr>
          <w:rFonts w:hint="eastAsia" w:ascii="宋体" w:hAnsi="宋体" w:cs="宋体"/>
          <w:color w:val="auto"/>
          <w:szCs w:val="21"/>
          <w:highlight w:val="none"/>
        </w:rPr>
        <w:t>投标人(盖公章</w:t>
      </w:r>
      <w:r>
        <w:rPr>
          <w:rFonts w:hint="eastAsia" w:ascii="宋体" w:hAnsi="宋体" w:cs="宋体"/>
          <w:snapToGrid w:val="0"/>
          <w:color w:val="auto"/>
          <w:kern w:val="0"/>
          <w:szCs w:val="21"/>
          <w:highlight w:val="none"/>
        </w:rPr>
        <w:t>或</w:t>
      </w:r>
      <w:r>
        <w:rPr>
          <w:rFonts w:hint="eastAsia" w:ascii="宋体" w:hAnsi="宋体" w:cs="宋体"/>
          <w:snapToGrid w:val="0"/>
          <w:color w:val="auto"/>
          <w:kern w:val="0"/>
          <w:szCs w:val="21"/>
          <w:highlight w:val="none"/>
          <w:lang w:eastAsia="zh-CN"/>
        </w:rPr>
        <w:t>电子签章</w:t>
      </w:r>
      <w:r>
        <w:rPr>
          <w:rFonts w:hint="eastAsia" w:ascii="宋体" w:hAnsi="宋体" w:cs="宋体"/>
          <w:color w:val="auto"/>
          <w:szCs w:val="21"/>
          <w:highlight w:val="none"/>
        </w:rPr>
        <w:t>)</w:t>
      </w:r>
    </w:p>
    <w:p>
      <w:pPr>
        <w:adjustRightInd w:val="0"/>
        <w:spacing w:line="360" w:lineRule="auto"/>
        <w:ind w:firstLine="4515" w:firstLineChars="2150"/>
        <w:rPr>
          <w:rFonts w:hint="eastAsia" w:ascii="宋体" w:hAnsi="宋体" w:cs="宋体"/>
          <w:color w:val="auto"/>
          <w:szCs w:val="21"/>
          <w:highlight w:val="none"/>
        </w:rPr>
      </w:pPr>
    </w:p>
    <w:p>
      <w:pPr>
        <w:pStyle w:val="11"/>
        <w:spacing w:line="420" w:lineRule="exact"/>
        <w:ind w:firstLine="4515" w:firstLineChars="2150"/>
        <w:rPr>
          <w:rFonts w:hint="eastAsia" w:ascii="宋体" w:hAnsi="宋体" w:eastAsia="宋体" w:cs="宋体"/>
          <w:color w:val="auto"/>
          <w:highlight w:val="none"/>
        </w:rPr>
      </w:pPr>
      <w:r>
        <w:rPr>
          <w:rFonts w:hint="eastAsia" w:ascii="宋体" w:hAnsi="宋体" w:eastAsia="宋体" w:cs="宋体"/>
          <w:color w:val="auto"/>
          <w:highlight w:val="none"/>
        </w:rPr>
        <w:t>日     期：</w:t>
      </w:r>
    </w:p>
    <w:p>
      <w:pPr>
        <w:snapToGrid w:val="0"/>
        <w:spacing w:line="360" w:lineRule="auto"/>
        <w:rPr>
          <w:rFonts w:hint="eastAsia" w:ascii="宋体" w:hAnsi="宋体" w:eastAsia="宋体" w:cs="宋体"/>
          <w:b/>
          <w:color w:val="auto"/>
          <w:szCs w:val="21"/>
          <w:highlight w:val="none"/>
          <w:lang w:eastAsia="zh-CN"/>
        </w:rPr>
      </w:pPr>
      <w:r>
        <w:rPr>
          <w:rFonts w:hint="eastAsia" w:ascii="宋体" w:hAnsi="宋体" w:cs="宋体"/>
          <w:color w:val="auto"/>
          <w:highlight w:val="none"/>
        </w:rPr>
        <w:br w:type="page"/>
      </w:r>
      <w:r>
        <w:rPr>
          <w:rFonts w:hint="eastAsia" w:ascii="宋体" w:hAnsi="宋体" w:cs="宋体"/>
          <w:b/>
          <w:color w:val="auto"/>
          <w:szCs w:val="21"/>
          <w:highlight w:val="none"/>
          <w:lang w:val="en-US" w:eastAsia="zh-CN"/>
        </w:rPr>
        <w:t>4</w:t>
      </w:r>
      <w:r>
        <w:rPr>
          <w:rFonts w:hint="eastAsia" w:ascii="宋体" w:hAnsi="宋体" w:cs="宋体"/>
          <w:b/>
          <w:color w:val="auto"/>
          <w:szCs w:val="21"/>
          <w:highlight w:val="none"/>
        </w:rPr>
        <w:t>.</w:t>
      </w:r>
      <w:r>
        <w:rPr>
          <w:rFonts w:hint="eastAsia" w:ascii="宋体" w:hAnsi="宋体" w:cs="宋体"/>
          <w:b/>
          <w:color w:val="auto"/>
          <w:szCs w:val="21"/>
          <w:highlight w:val="none"/>
          <w:lang w:val="en-US" w:eastAsia="zh-CN"/>
        </w:rPr>
        <w:t>3</w:t>
      </w:r>
      <w:r>
        <w:rPr>
          <w:rFonts w:hint="eastAsia" w:ascii="宋体" w:hAnsi="宋体" w:cs="宋体"/>
          <w:b/>
          <w:color w:val="auto"/>
          <w:szCs w:val="21"/>
          <w:highlight w:val="none"/>
        </w:rPr>
        <w:t>成本测算依据</w:t>
      </w:r>
    </w:p>
    <w:p>
      <w:pPr>
        <w:pStyle w:val="2"/>
        <w:spacing w:line="600" w:lineRule="exact"/>
        <w:ind w:firstLine="0"/>
        <w:jc w:val="center"/>
        <w:rPr>
          <w:rFonts w:hint="eastAsia" w:ascii="宋体" w:hAnsi="宋体" w:eastAsia="宋体" w:cs="宋体"/>
          <w:b/>
          <w:bCs/>
          <w:snapToGrid w:val="0"/>
          <w:color w:val="auto"/>
          <w:kern w:val="0"/>
          <w:sz w:val="28"/>
          <w:szCs w:val="28"/>
          <w:highlight w:val="none"/>
        </w:rPr>
      </w:pPr>
      <w:r>
        <w:rPr>
          <w:rFonts w:hint="eastAsia" w:ascii="宋体" w:hAnsi="宋体" w:eastAsia="宋体" w:cs="宋体"/>
          <w:b/>
          <w:bCs/>
          <w:snapToGrid w:val="0"/>
          <w:color w:val="auto"/>
          <w:kern w:val="0"/>
          <w:sz w:val="28"/>
          <w:szCs w:val="28"/>
          <w:highlight w:val="none"/>
        </w:rPr>
        <w:t>成本测算依据</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7" w:hRule="atLeast"/>
        </w:trPr>
        <w:tc>
          <w:tcPr>
            <w:tcW w:w="8946" w:type="dxa"/>
            <w:noWrap w:val="0"/>
            <w:vAlign w:val="top"/>
          </w:tcPr>
          <w:p>
            <w:pPr>
              <w:snapToGrid w:val="0"/>
              <w:spacing w:line="360" w:lineRule="auto"/>
              <w:rPr>
                <w:rFonts w:hint="eastAsia" w:ascii="宋体" w:hAnsi="宋体" w:cs="宋体"/>
                <w:color w:val="auto"/>
                <w:highlight w:val="none"/>
              </w:rPr>
            </w:pPr>
          </w:p>
        </w:tc>
      </w:tr>
    </w:tbl>
    <w:p>
      <w:pPr>
        <w:snapToGrid w:val="0"/>
        <w:spacing w:line="360" w:lineRule="auto"/>
        <w:rPr>
          <w:rFonts w:hint="eastAsia" w:ascii="宋体" w:hAnsi="宋体" w:cs="宋体"/>
          <w:color w:val="auto"/>
          <w:highlight w:val="none"/>
        </w:rPr>
      </w:pPr>
      <w:r>
        <w:rPr>
          <w:rFonts w:hint="eastAsia" w:ascii="宋体" w:hAnsi="宋体" w:cs="宋体"/>
          <w:color w:val="auto"/>
          <w:highlight w:val="none"/>
        </w:rPr>
        <w:t>注：各投标人须对本项目投标报价的合理性进行说明，形式不限。</w:t>
      </w:r>
    </w:p>
    <w:p>
      <w:pPr>
        <w:snapToGrid w:val="0"/>
        <w:spacing w:line="360" w:lineRule="auto"/>
        <w:rPr>
          <w:rFonts w:hint="eastAsia" w:ascii="宋体" w:hAnsi="宋体" w:cs="宋体"/>
          <w:color w:val="auto"/>
          <w:highlight w:val="none"/>
        </w:rPr>
      </w:pPr>
    </w:p>
    <w:p>
      <w:pPr>
        <w:snapToGrid w:val="0"/>
        <w:spacing w:line="360" w:lineRule="auto"/>
        <w:rPr>
          <w:rFonts w:hint="eastAsia" w:ascii="宋体" w:hAnsi="宋体" w:cs="宋体"/>
          <w:color w:val="auto"/>
          <w:highlight w:val="none"/>
        </w:rPr>
      </w:pPr>
    </w:p>
    <w:p>
      <w:pPr>
        <w:adjustRightInd w:val="0"/>
        <w:spacing w:line="360" w:lineRule="auto"/>
        <w:ind w:firstLine="4515" w:firstLineChars="2150"/>
        <w:rPr>
          <w:rFonts w:hint="eastAsia" w:ascii="宋体" w:hAnsi="宋体" w:cs="宋体"/>
          <w:color w:val="auto"/>
          <w:szCs w:val="21"/>
          <w:highlight w:val="none"/>
        </w:rPr>
      </w:pPr>
      <w:r>
        <w:rPr>
          <w:rFonts w:hint="eastAsia" w:ascii="宋体" w:hAnsi="宋体" w:cs="宋体"/>
          <w:color w:val="auto"/>
          <w:szCs w:val="21"/>
          <w:highlight w:val="none"/>
        </w:rPr>
        <w:t>投标人(盖公章</w:t>
      </w:r>
      <w:r>
        <w:rPr>
          <w:rFonts w:hint="eastAsia" w:ascii="宋体" w:hAnsi="宋体" w:cs="宋体"/>
          <w:snapToGrid w:val="0"/>
          <w:color w:val="auto"/>
          <w:kern w:val="0"/>
          <w:szCs w:val="21"/>
          <w:highlight w:val="none"/>
        </w:rPr>
        <w:t>或</w:t>
      </w:r>
      <w:r>
        <w:rPr>
          <w:rFonts w:hint="eastAsia" w:ascii="宋体" w:hAnsi="宋体" w:cs="宋体"/>
          <w:snapToGrid w:val="0"/>
          <w:color w:val="auto"/>
          <w:kern w:val="0"/>
          <w:szCs w:val="21"/>
          <w:highlight w:val="none"/>
          <w:lang w:eastAsia="zh-CN"/>
        </w:rPr>
        <w:t>电子签章</w:t>
      </w:r>
      <w:r>
        <w:rPr>
          <w:rFonts w:hint="eastAsia" w:ascii="宋体" w:hAnsi="宋体" w:cs="宋体"/>
          <w:color w:val="auto"/>
          <w:szCs w:val="21"/>
          <w:highlight w:val="none"/>
        </w:rPr>
        <w:t>)</w:t>
      </w:r>
    </w:p>
    <w:p>
      <w:pPr>
        <w:adjustRightInd w:val="0"/>
        <w:spacing w:line="360" w:lineRule="auto"/>
        <w:ind w:firstLine="4515" w:firstLineChars="2150"/>
        <w:rPr>
          <w:rFonts w:hint="eastAsia" w:ascii="宋体" w:hAnsi="宋体" w:cs="宋体"/>
          <w:color w:val="auto"/>
          <w:szCs w:val="21"/>
          <w:highlight w:val="none"/>
        </w:rPr>
      </w:pPr>
    </w:p>
    <w:p>
      <w:pPr>
        <w:pStyle w:val="11"/>
        <w:spacing w:line="420" w:lineRule="exact"/>
        <w:ind w:firstLine="4515" w:firstLineChars="2150"/>
        <w:rPr>
          <w:rFonts w:hint="eastAsia" w:ascii="宋体" w:hAnsi="宋体" w:eastAsia="宋体" w:cs="宋体"/>
          <w:color w:val="auto"/>
          <w:highlight w:val="none"/>
        </w:rPr>
      </w:pPr>
      <w:r>
        <w:rPr>
          <w:rFonts w:hint="eastAsia" w:ascii="宋体" w:hAnsi="宋体" w:eastAsia="宋体" w:cs="宋体"/>
          <w:color w:val="auto"/>
          <w:highlight w:val="none"/>
        </w:rPr>
        <w:t>日     期：</w:t>
      </w:r>
    </w:p>
    <w:p>
      <w:pPr>
        <w:snapToGrid w:val="0"/>
        <w:spacing w:line="360" w:lineRule="auto"/>
        <w:rPr>
          <w:rFonts w:hint="eastAsia" w:ascii="宋体" w:hAnsi="宋体" w:eastAsia="宋体" w:cs="宋体"/>
          <w:b/>
          <w:color w:val="auto"/>
          <w:szCs w:val="21"/>
          <w:highlight w:val="none"/>
          <w:lang w:eastAsia="zh-CN"/>
        </w:rPr>
      </w:pPr>
      <w:r>
        <w:rPr>
          <w:rFonts w:hint="eastAsia" w:ascii="宋体" w:hAnsi="宋体" w:cs="宋体"/>
          <w:color w:val="auto"/>
          <w:highlight w:val="none"/>
        </w:rPr>
        <w:br w:type="page"/>
      </w:r>
      <w:r>
        <w:rPr>
          <w:rFonts w:hint="eastAsia" w:ascii="宋体" w:hAnsi="宋体" w:cs="宋体"/>
          <w:color w:val="auto"/>
          <w:highlight w:val="none"/>
          <w:lang w:val="en-US" w:eastAsia="zh-CN"/>
        </w:rPr>
        <w:t>4.4</w:t>
      </w:r>
      <w:r>
        <w:rPr>
          <w:rFonts w:hint="eastAsia" w:ascii="宋体" w:hAnsi="宋体" w:cs="宋体"/>
          <w:b/>
          <w:color w:val="auto"/>
          <w:szCs w:val="21"/>
          <w:highlight w:val="none"/>
        </w:rPr>
        <w:t>中小企业声明函</w:t>
      </w:r>
      <w:r>
        <w:rPr>
          <w:rFonts w:hint="eastAsia" w:ascii="宋体" w:hAnsi="宋体" w:cs="宋体"/>
          <w:b/>
          <w:color w:val="auto"/>
          <w:szCs w:val="21"/>
          <w:highlight w:val="none"/>
          <w:lang w:eastAsia="zh-CN"/>
        </w:rPr>
        <w:t>（如有）</w:t>
      </w:r>
    </w:p>
    <w:p>
      <w:pPr>
        <w:pStyle w:val="2"/>
        <w:spacing w:line="600" w:lineRule="exact"/>
        <w:ind w:firstLine="0"/>
        <w:jc w:val="center"/>
        <w:rPr>
          <w:rFonts w:hint="eastAsia" w:ascii="宋体" w:hAnsi="宋体" w:eastAsia="宋体" w:cs="宋体"/>
          <w:b/>
          <w:bCs/>
          <w:snapToGrid w:val="0"/>
          <w:color w:val="auto"/>
          <w:kern w:val="0"/>
          <w:sz w:val="28"/>
          <w:szCs w:val="28"/>
          <w:highlight w:val="none"/>
        </w:rPr>
      </w:pPr>
      <w:r>
        <w:rPr>
          <w:rFonts w:hint="eastAsia" w:ascii="宋体" w:hAnsi="宋体" w:eastAsia="宋体" w:cs="宋体"/>
          <w:b/>
          <w:bCs/>
          <w:snapToGrid w:val="0"/>
          <w:color w:val="auto"/>
          <w:kern w:val="0"/>
          <w:sz w:val="28"/>
          <w:szCs w:val="28"/>
          <w:highlight w:val="none"/>
        </w:rPr>
        <w:t>中小企业声明函（服务）</w:t>
      </w:r>
    </w:p>
    <w:p>
      <w:pPr>
        <w:pStyle w:val="8"/>
        <w:spacing w:before="5"/>
        <w:ind w:left="0"/>
        <w:rPr>
          <w:rFonts w:ascii="宋体"/>
          <w:b/>
          <w:color w:val="auto"/>
          <w:spacing w:val="0"/>
          <w:position w:val="0"/>
          <w:sz w:val="18"/>
          <w:szCs w:val="18"/>
          <w:highlight w:val="none"/>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0" w:leftChars="0" w:right="-54" w:rightChars="0" w:firstLine="420" w:firstLineChars="200"/>
        <w:jc w:val="both"/>
        <w:textAlignment w:val="auto"/>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本公司（联合体）郑重声明，根据《政府采购促进中小企业发展管理办法》（财库﹝2020﹞46 号）的规定，本公司（联合体）参加</w:t>
      </w:r>
      <w:r>
        <w:rPr>
          <w:rFonts w:hint="eastAsia" w:ascii="宋体" w:hAnsi="宋体" w:eastAsia="宋体" w:cs="宋体"/>
          <w:i/>
          <w:color w:val="auto"/>
          <w:spacing w:val="0"/>
          <w:position w:val="0"/>
          <w:sz w:val="21"/>
          <w:szCs w:val="21"/>
          <w:highlight w:val="none"/>
          <w:u w:val="single"/>
        </w:rPr>
        <w:t>（单位名称）</w:t>
      </w:r>
      <w:r>
        <w:rPr>
          <w:rFonts w:hint="eastAsia" w:ascii="宋体" w:hAnsi="宋体" w:eastAsia="宋体" w:cs="宋体"/>
          <w:color w:val="auto"/>
          <w:spacing w:val="0"/>
          <w:position w:val="0"/>
          <w:sz w:val="21"/>
          <w:szCs w:val="21"/>
          <w:highlight w:val="none"/>
        </w:rPr>
        <w:t>的</w:t>
      </w:r>
      <w:r>
        <w:rPr>
          <w:rFonts w:hint="eastAsia" w:ascii="宋体" w:hAnsi="宋体" w:eastAsia="宋体" w:cs="宋体"/>
          <w:i/>
          <w:color w:val="auto"/>
          <w:spacing w:val="0"/>
          <w:position w:val="0"/>
          <w:sz w:val="21"/>
          <w:szCs w:val="21"/>
          <w:highlight w:val="none"/>
          <w:u w:val="single"/>
        </w:rPr>
        <w:t>（项目名称）</w:t>
      </w:r>
      <w:r>
        <w:rPr>
          <w:rFonts w:hint="eastAsia" w:ascii="宋体" w:hAnsi="宋体" w:eastAsia="宋体" w:cs="宋体"/>
          <w:color w:val="auto"/>
          <w:spacing w:val="0"/>
          <w:position w:val="0"/>
          <w:sz w:val="21"/>
          <w:szCs w:val="21"/>
          <w:highlight w:val="none"/>
        </w:rPr>
        <w:t>采购活动，</w:t>
      </w:r>
      <w:r>
        <w:rPr>
          <w:rFonts w:hint="eastAsia" w:ascii="宋体" w:hAnsi="宋体" w:eastAsia="宋体" w:cs="宋体"/>
          <w:b/>
          <w:bCs/>
          <w:color w:val="auto"/>
          <w:spacing w:val="0"/>
          <w:position w:val="0"/>
          <w:sz w:val="21"/>
          <w:szCs w:val="21"/>
          <w:highlight w:val="none"/>
        </w:rPr>
        <w:t>服务</w:t>
      </w:r>
      <w:r>
        <w:rPr>
          <w:rFonts w:hint="eastAsia" w:ascii="宋体" w:hAnsi="宋体" w:eastAsia="宋体" w:cs="宋体"/>
          <w:b/>
          <w:bCs/>
          <w:color w:val="auto"/>
          <w:spacing w:val="0"/>
          <w:w w:val="95"/>
          <w:position w:val="0"/>
          <w:sz w:val="21"/>
          <w:szCs w:val="21"/>
          <w:highlight w:val="none"/>
        </w:rPr>
        <w:t>全部由符合政策要求的中小企业承接。</w:t>
      </w:r>
      <w:r>
        <w:rPr>
          <w:rFonts w:hint="eastAsia" w:ascii="宋体" w:hAnsi="宋体" w:eastAsia="宋体" w:cs="宋体"/>
          <w:color w:val="auto"/>
          <w:spacing w:val="0"/>
          <w:w w:val="95"/>
          <w:position w:val="0"/>
          <w:sz w:val="21"/>
          <w:szCs w:val="21"/>
          <w:highlight w:val="none"/>
        </w:rPr>
        <w:t>相关企业（含联合</w:t>
      </w:r>
      <w:r>
        <w:rPr>
          <w:rFonts w:hint="eastAsia" w:ascii="宋体" w:hAnsi="宋体" w:eastAsia="宋体" w:cs="宋体"/>
          <w:color w:val="auto"/>
          <w:spacing w:val="0"/>
          <w:position w:val="0"/>
          <w:sz w:val="21"/>
          <w:szCs w:val="21"/>
          <w:highlight w:val="none"/>
        </w:rPr>
        <w:t>体中的中小企业、签订分包意向协议的中小企业）的具体情况如下：</w:t>
      </w:r>
    </w:p>
    <w:p>
      <w:pPr>
        <w:pStyle w:val="25"/>
        <w:keepNext w:val="0"/>
        <w:keepLines w:val="0"/>
        <w:pageBreakBefore w:val="0"/>
        <w:widowControl w:val="0"/>
        <w:numPr>
          <w:ilvl w:val="0"/>
          <w:numId w:val="0"/>
        </w:numPr>
        <w:tabs>
          <w:tab w:val="left" w:pos="1243"/>
        </w:tabs>
        <w:kinsoku/>
        <w:wordWrap/>
        <w:overflowPunct/>
        <w:topLinePunct w:val="0"/>
        <w:autoSpaceDE w:val="0"/>
        <w:autoSpaceDN w:val="0"/>
        <w:bidi w:val="0"/>
        <w:adjustRightInd/>
        <w:snapToGrid/>
        <w:spacing w:before="0" w:after="0" w:line="360" w:lineRule="auto"/>
        <w:ind w:left="19" w:leftChars="0" w:right="0" w:rightChars="0" w:firstLine="480" w:firstLineChars="239"/>
        <w:jc w:val="both"/>
        <w:textAlignment w:val="auto"/>
        <w:rPr>
          <w:rFonts w:hint="eastAsia" w:ascii="宋体" w:hAnsi="宋体" w:eastAsia="宋体" w:cs="宋体"/>
          <w:color w:val="auto"/>
          <w:spacing w:val="0"/>
          <w:position w:val="0"/>
          <w:sz w:val="21"/>
          <w:szCs w:val="21"/>
          <w:highlight w:val="none"/>
        </w:rPr>
      </w:pPr>
      <w:r>
        <w:rPr>
          <w:rFonts w:hint="eastAsia" w:ascii="宋体" w:hAnsi="宋体" w:eastAsia="宋体" w:cs="宋体"/>
          <w:i w:val="0"/>
          <w:iCs/>
          <w:color w:val="auto"/>
          <w:spacing w:val="0"/>
          <w:w w:val="96"/>
          <w:position w:val="0"/>
          <w:sz w:val="21"/>
          <w:szCs w:val="21"/>
          <w:highlight w:val="none"/>
          <w:u w:val="none" w:color="auto"/>
          <w:lang w:val="en-US" w:eastAsia="zh-CN"/>
        </w:rPr>
        <w:t>1.</w:t>
      </w:r>
      <w:r>
        <w:rPr>
          <w:rFonts w:hint="eastAsia" w:ascii="宋体" w:hAnsi="宋体" w:eastAsia="宋体" w:cs="宋体"/>
          <w:i/>
          <w:color w:val="auto"/>
          <w:spacing w:val="0"/>
          <w:w w:val="96"/>
          <w:position w:val="0"/>
          <w:sz w:val="21"/>
          <w:szCs w:val="21"/>
          <w:highlight w:val="none"/>
          <w:u w:val="single"/>
        </w:rPr>
        <w:t>（标的名称）</w:t>
      </w:r>
      <w:r>
        <w:rPr>
          <w:rFonts w:hint="eastAsia" w:ascii="宋体" w:hAnsi="宋体" w:eastAsia="宋体" w:cs="宋体"/>
          <w:color w:val="auto"/>
          <w:spacing w:val="0"/>
          <w:w w:val="99"/>
          <w:position w:val="0"/>
          <w:sz w:val="21"/>
          <w:szCs w:val="21"/>
          <w:highlight w:val="none"/>
          <w:u w:val="none"/>
        </w:rPr>
        <w:t>，属于</w:t>
      </w:r>
      <w:r>
        <w:rPr>
          <w:rFonts w:hint="eastAsia" w:ascii="宋体" w:hAnsi="宋体" w:eastAsia="宋体" w:cs="宋体"/>
          <w:i/>
          <w:color w:val="auto"/>
          <w:spacing w:val="0"/>
          <w:w w:val="96"/>
          <w:position w:val="0"/>
          <w:sz w:val="21"/>
          <w:szCs w:val="21"/>
          <w:highlight w:val="none"/>
          <w:u w:val="none"/>
        </w:rPr>
        <w:t>（</w:t>
      </w:r>
      <w:r>
        <w:rPr>
          <w:rFonts w:hint="eastAsia"/>
          <w:b/>
          <w:bCs/>
          <w:color w:val="auto"/>
          <w:highlight w:val="none"/>
          <w:u w:val="single"/>
          <w:lang w:val="en-US" w:eastAsia="zh-CN"/>
        </w:rPr>
        <w:t>软件和信息技术服务业</w:t>
      </w:r>
      <w:r>
        <w:rPr>
          <w:rFonts w:hint="eastAsia" w:ascii="宋体" w:hAnsi="宋体" w:eastAsia="宋体" w:cs="宋体"/>
          <w:i/>
          <w:color w:val="auto"/>
          <w:spacing w:val="0"/>
          <w:w w:val="96"/>
          <w:position w:val="0"/>
          <w:sz w:val="21"/>
          <w:szCs w:val="21"/>
          <w:highlight w:val="none"/>
          <w:u w:val="single"/>
        </w:rPr>
        <w:t>）</w:t>
      </w:r>
      <w:r>
        <w:rPr>
          <w:rFonts w:hint="eastAsia" w:ascii="宋体" w:hAnsi="宋体" w:eastAsia="宋体" w:cs="宋体"/>
          <w:color w:val="auto"/>
          <w:spacing w:val="0"/>
          <w:w w:val="99"/>
          <w:position w:val="0"/>
          <w:sz w:val="21"/>
          <w:szCs w:val="21"/>
          <w:highlight w:val="none"/>
          <w:u w:val="none"/>
        </w:rPr>
        <w:t>；</w:t>
      </w:r>
      <w:r>
        <w:rPr>
          <w:rFonts w:hint="eastAsia" w:ascii="宋体" w:hAnsi="宋体" w:eastAsia="宋体" w:cs="宋体"/>
          <w:color w:val="auto"/>
          <w:spacing w:val="0"/>
          <w:w w:val="99"/>
          <w:position w:val="0"/>
          <w:sz w:val="21"/>
          <w:szCs w:val="21"/>
          <w:highlight w:val="none"/>
          <w:u w:val="none" w:color="auto"/>
        </w:rPr>
        <w:t>承建（承接）企业为</w:t>
      </w:r>
      <w:r>
        <w:rPr>
          <w:rFonts w:hint="eastAsia" w:ascii="宋体" w:hAnsi="宋体" w:eastAsia="宋体" w:cs="宋体"/>
          <w:i/>
          <w:color w:val="auto"/>
          <w:spacing w:val="0"/>
          <w:w w:val="96"/>
          <w:position w:val="0"/>
          <w:sz w:val="21"/>
          <w:szCs w:val="21"/>
          <w:highlight w:val="none"/>
          <w:u w:val="single"/>
        </w:rPr>
        <w:t>（企业名称）</w:t>
      </w:r>
      <w:r>
        <w:rPr>
          <w:rFonts w:hint="eastAsia" w:ascii="宋体" w:hAnsi="宋体" w:eastAsia="宋体" w:cs="宋体"/>
          <w:color w:val="auto"/>
          <w:spacing w:val="0"/>
          <w:w w:val="99"/>
          <w:position w:val="0"/>
          <w:sz w:val="21"/>
          <w:szCs w:val="21"/>
          <w:highlight w:val="none"/>
          <w:u w:val="none" w:color="auto"/>
        </w:rPr>
        <w:t>，从业人员</w:t>
      </w:r>
      <w:r>
        <w:rPr>
          <w:rFonts w:hint="eastAsia" w:ascii="宋体" w:hAnsi="宋体" w:eastAsia="宋体" w:cs="宋体"/>
          <w:color w:val="auto"/>
          <w:spacing w:val="0"/>
          <w:w w:val="99"/>
          <w:position w:val="0"/>
          <w:sz w:val="21"/>
          <w:szCs w:val="21"/>
          <w:highlight w:val="none"/>
          <w:u w:val="single"/>
        </w:rPr>
        <w:t xml:space="preserve"> </w:t>
      </w:r>
      <w:r>
        <w:rPr>
          <w:rFonts w:hint="eastAsia" w:ascii="宋体" w:hAnsi="宋体" w:eastAsia="宋体" w:cs="宋体"/>
          <w:color w:val="auto"/>
          <w:spacing w:val="0"/>
          <w:position w:val="0"/>
          <w:sz w:val="21"/>
          <w:szCs w:val="21"/>
          <w:highlight w:val="none"/>
          <w:u w:val="single"/>
        </w:rPr>
        <w:tab/>
      </w:r>
      <w:r>
        <w:rPr>
          <w:rFonts w:hint="eastAsia" w:ascii="宋体" w:hAnsi="宋体" w:eastAsia="宋体" w:cs="宋体"/>
          <w:color w:val="auto"/>
          <w:spacing w:val="0"/>
          <w:position w:val="0"/>
          <w:sz w:val="21"/>
          <w:szCs w:val="21"/>
          <w:highlight w:val="none"/>
          <w:u w:val="single"/>
          <w:lang w:val="en-US" w:eastAsia="zh-CN"/>
        </w:rPr>
        <w:t xml:space="preserve"> </w:t>
      </w:r>
      <w:r>
        <w:rPr>
          <w:rFonts w:hint="eastAsia" w:ascii="宋体" w:hAnsi="宋体" w:eastAsia="宋体" w:cs="宋体"/>
          <w:color w:val="auto"/>
          <w:spacing w:val="0"/>
          <w:w w:val="99"/>
          <w:position w:val="0"/>
          <w:sz w:val="21"/>
          <w:szCs w:val="21"/>
          <w:highlight w:val="none"/>
          <w:u w:val="none" w:color="auto"/>
        </w:rPr>
        <w:t>人，营业</w:t>
      </w:r>
      <w:r>
        <w:rPr>
          <w:rFonts w:hint="eastAsia" w:ascii="宋体" w:hAnsi="宋体" w:eastAsia="宋体" w:cs="宋体"/>
          <w:color w:val="auto"/>
          <w:spacing w:val="0"/>
          <w:position w:val="0"/>
          <w:sz w:val="21"/>
          <w:szCs w:val="21"/>
          <w:highlight w:val="none"/>
          <w:u w:val="none" w:color="auto"/>
        </w:rPr>
        <w:t>收入为</w:t>
      </w:r>
      <w:r>
        <w:rPr>
          <w:rFonts w:hint="eastAsia" w:ascii="宋体" w:hAnsi="宋体" w:eastAsia="宋体" w:cs="宋体"/>
          <w:color w:val="auto"/>
          <w:spacing w:val="0"/>
          <w:position w:val="0"/>
          <w:sz w:val="21"/>
          <w:szCs w:val="21"/>
          <w:highlight w:val="none"/>
          <w:u w:val="single"/>
        </w:rPr>
        <w:t xml:space="preserve"> </w:t>
      </w:r>
      <w:r>
        <w:rPr>
          <w:rFonts w:hint="eastAsia" w:ascii="宋体" w:hAnsi="宋体" w:eastAsia="宋体" w:cs="宋体"/>
          <w:color w:val="auto"/>
          <w:spacing w:val="0"/>
          <w:position w:val="0"/>
          <w:sz w:val="21"/>
          <w:szCs w:val="21"/>
          <w:highlight w:val="none"/>
          <w:u w:val="single"/>
        </w:rPr>
        <w:tab/>
      </w:r>
      <w:r>
        <w:rPr>
          <w:rFonts w:hint="eastAsia" w:ascii="宋体" w:hAnsi="宋体" w:eastAsia="宋体" w:cs="宋体"/>
          <w:color w:val="auto"/>
          <w:spacing w:val="0"/>
          <w:position w:val="0"/>
          <w:sz w:val="21"/>
          <w:szCs w:val="21"/>
          <w:highlight w:val="none"/>
          <w:u w:val="single"/>
          <w:lang w:val="en-US" w:eastAsia="zh-CN"/>
        </w:rPr>
        <w:t xml:space="preserve"> </w:t>
      </w:r>
      <w:r>
        <w:rPr>
          <w:rFonts w:hint="eastAsia" w:ascii="宋体" w:hAnsi="宋体" w:eastAsia="宋体" w:cs="宋体"/>
          <w:color w:val="auto"/>
          <w:spacing w:val="0"/>
          <w:position w:val="0"/>
          <w:sz w:val="21"/>
          <w:szCs w:val="21"/>
          <w:highlight w:val="none"/>
          <w:u w:val="none" w:color="auto"/>
        </w:rPr>
        <w:t>万元，资产总额为</w:t>
      </w:r>
      <w:r>
        <w:rPr>
          <w:rFonts w:hint="eastAsia" w:ascii="宋体" w:hAnsi="宋体" w:eastAsia="宋体" w:cs="宋体"/>
          <w:color w:val="auto"/>
          <w:spacing w:val="0"/>
          <w:position w:val="0"/>
          <w:sz w:val="21"/>
          <w:szCs w:val="21"/>
          <w:highlight w:val="none"/>
          <w:u w:val="single"/>
        </w:rPr>
        <w:t xml:space="preserve"> </w:t>
      </w:r>
      <w:r>
        <w:rPr>
          <w:rFonts w:hint="eastAsia" w:ascii="宋体" w:hAnsi="宋体" w:eastAsia="宋体" w:cs="宋体"/>
          <w:color w:val="auto"/>
          <w:spacing w:val="0"/>
          <w:position w:val="0"/>
          <w:sz w:val="21"/>
          <w:szCs w:val="21"/>
          <w:highlight w:val="none"/>
          <w:u w:val="single"/>
        </w:rPr>
        <w:tab/>
      </w:r>
      <w:r>
        <w:rPr>
          <w:rFonts w:hint="eastAsia" w:ascii="宋体" w:hAnsi="宋体" w:eastAsia="宋体" w:cs="宋体"/>
          <w:color w:val="auto"/>
          <w:spacing w:val="0"/>
          <w:position w:val="0"/>
          <w:sz w:val="21"/>
          <w:szCs w:val="21"/>
          <w:highlight w:val="none"/>
          <w:u w:val="none" w:color="auto"/>
        </w:rPr>
        <w:t>万元</w:t>
      </w:r>
      <w:r>
        <w:rPr>
          <w:rFonts w:hint="eastAsia" w:ascii="宋体" w:hAnsi="宋体" w:eastAsia="宋体" w:cs="宋体"/>
          <w:color w:val="auto"/>
          <w:spacing w:val="0"/>
          <w:position w:val="0"/>
          <w:sz w:val="21"/>
          <w:szCs w:val="21"/>
          <w:highlight w:val="none"/>
          <w:u w:val="none" w:color="auto"/>
          <w:vertAlign w:val="superscript"/>
        </w:rPr>
        <w:fldChar w:fldCharType="begin"/>
      </w:r>
      <w:r>
        <w:rPr>
          <w:rFonts w:hint="eastAsia" w:ascii="宋体" w:hAnsi="宋体" w:eastAsia="宋体" w:cs="宋体"/>
          <w:color w:val="auto"/>
          <w:spacing w:val="0"/>
          <w:position w:val="0"/>
          <w:sz w:val="21"/>
          <w:szCs w:val="21"/>
          <w:highlight w:val="none"/>
          <w:u w:val="none" w:color="auto"/>
          <w:vertAlign w:val="superscript"/>
        </w:rPr>
        <w:instrText xml:space="preserve"> HYPERLINK \l "_bookmark1" </w:instrText>
      </w:r>
      <w:r>
        <w:rPr>
          <w:rFonts w:hint="eastAsia" w:ascii="宋体" w:hAnsi="宋体" w:eastAsia="宋体" w:cs="宋体"/>
          <w:color w:val="auto"/>
          <w:spacing w:val="0"/>
          <w:position w:val="0"/>
          <w:sz w:val="21"/>
          <w:szCs w:val="21"/>
          <w:highlight w:val="none"/>
          <w:u w:val="none" w:color="auto"/>
          <w:vertAlign w:val="superscript"/>
        </w:rPr>
        <w:fldChar w:fldCharType="separate"/>
      </w:r>
      <w:r>
        <w:rPr>
          <w:rFonts w:hint="eastAsia" w:ascii="宋体" w:hAnsi="宋体" w:eastAsia="宋体" w:cs="宋体"/>
          <w:color w:val="auto"/>
          <w:spacing w:val="0"/>
          <w:position w:val="0"/>
          <w:sz w:val="21"/>
          <w:szCs w:val="21"/>
          <w:highlight w:val="none"/>
          <w:u w:val="none" w:color="auto"/>
          <w:vertAlign w:val="superscript"/>
        </w:rPr>
        <w:t>1</w:t>
      </w:r>
      <w:r>
        <w:rPr>
          <w:rFonts w:hint="eastAsia" w:ascii="宋体" w:hAnsi="宋体" w:eastAsia="宋体" w:cs="宋体"/>
          <w:color w:val="auto"/>
          <w:spacing w:val="0"/>
          <w:position w:val="0"/>
          <w:sz w:val="21"/>
          <w:szCs w:val="21"/>
          <w:highlight w:val="none"/>
          <w:u w:val="none" w:color="auto"/>
          <w:vertAlign w:val="superscript"/>
        </w:rPr>
        <w:fldChar w:fldCharType="end"/>
      </w:r>
      <w:r>
        <w:rPr>
          <w:rFonts w:hint="eastAsia" w:ascii="宋体" w:hAnsi="宋体" w:eastAsia="宋体" w:cs="宋体"/>
          <w:color w:val="auto"/>
          <w:spacing w:val="0"/>
          <w:position w:val="0"/>
          <w:sz w:val="21"/>
          <w:szCs w:val="21"/>
          <w:highlight w:val="none"/>
          <w:u w:val="none" w:color="auto"/>
        </w:rPr>
        <w:t>，属于</w:t>
      </w:r>
      <w:r>
        <w:rPr>
          <w:rFonts w:hint="eastAsia" w:ascii="宋体" w:hAnsi="宋体" w:eastAsia="宋体" w:cs="宋体"/>
          <w:i/>
          <w:color w:val="auto"/>
          <w:spacing w:val="0"/>
          <w:position w:val="0"/>
          <w:sz w:val="21"/>
          <w:szCs w:val="21"/>
          <w:highlight w:val="none"/>
          <w:u w:val="single"/>
        </w:rPr>
        <w:t>（中型企业、</w:t>
      </w:r>
      <w:r>
        <w:rPr>
          <w:rFonts w:hint="eastAsia" w:ascii="宋体" w:hAnsi="宋体" w:eastAsia="宋体" w:cs="宋体"/>
          <w:i/>
          <w:color w:val="auto"/>
          <w:spacing w:val="0"/>
          <w:w w:val="96"/>
          <w:position w:val="0"/>
          <w:sz w:val="21"/>
          <w:szCs w:val="21"/>
          <w:highlight w:val="none"/>
          <w:u w:val="single"/>
        </w:rPr>
        <w:t>小型企业、微型企业）</w:t>
      </w:r>
      <w:r>
        <w:rPr>
          <w:rFonts w:hint="eastAsia" w:ascii="宋体" w:hAnsi="宋体" w:eastAsia="宋体" w:cs="宋体"/>
          <w:color w:val="auto"/>
          <w:spacing w:val="0"/>
          <w:w w:val="99"/>
          <w:position w:val="0"/>
          <w:sz w:val="21"/>
          <w:szCs w:val="21"/>
          <w:highlight w:val="none"/>
          <w:u w:val="none" w:color="auto"/>
        </w:rPr>
        <w:t>；</w:t>
      </w:r>
    </w:p>
    <w:p>
      <w:pPr>
        <w:pStyle w:val="25"/>
        <w:keepNext w:val="0"/>
        <w:keepLines w:val="0"/>
        <w:pageBreakBefore w:val="0"/>
        <w:widowControl w:val="0"/>
        <w:numPr>
          <w:ilvl w:val="0"/>
          <w:numId w:val="0"/>
        </w:numPr>
        <w:tabs>
          <w:tab w:val="left" w:pos="1243"/>
          <w:tab w:val="left" w:pos="1806"/>
          <w:tab w:val="left" w:pos="5005"/>
          <w:tab w:val="left" w:pos="7213"/>
        </w:tabs>
        <w:kinsoku/>
        <w:wordWrap/>
        <w:overflowPunct/>
        <w:topLinePunct w:val="0"/>
        <w:autoSpaceDE w:val="0"/>
        <w:autoSpaceDN w:val="0"/>
        <w:bidi w:val="0"/>
        <w:adjustRightInd/>
        <w:snapToGrid/>
        <w:spacing w:before="0" w:after="0" w:line="360" w:lineRule="auto"/>
        <w:ind w:left="15" w:leftChars="0" w:right="-54" w:rightChars="0" w:firstLine="478" w:firstLineChars="238"/>
        <w:jc w:val="left"/>
        <w:textAlignment w:val="auto"/>
        <w:rPr>
          <w:rFonts w:hint="eastAsia" w:ascii="宋体" w:hAnsi="宋体" w:eastAsia="宋体" w:cs="宋体"/>
          <w:color w:val="auto"/>
          <w:spacing w:val="0"/>
          <w:position w:val="0"/>
          <w:sz w:val="21"/>
          <w:szCs w:val="21"/>
          <w:highlight w:val="none"/>
          <w:u w:val="none"/>
        </w:rPr>
      </w:pPr>
      <w:r>
        <w:rPr>
          <w:rFonts w:hint="eastAsia" w:ascii="宋体" w:hAnsi="宋体" w:eastAsia="宋体" w:cs="宋体"/>
          <w:i w:val="0"/>
          <w:iCs/>
          <w:color w:val="auto"/>
          <w:spacing w:val="0"/>
          <w:w w:val="96"/>
          <w:position w:val="0"/>
          <w:sz w:val="21"/>
          <w:szCs w:val="21"/>
          <w:highlight w:val="none"/>
          <w:u w:val="none" w:color="auto"/>
          <w:lang w:val="en-US" w:eastAsia="zh-CN"/>
        </w:rPr>
        <w:t>2.</w:t>
      </w:r>
      <w:r>
        <w:rPr>
          <w:rFonts w:hint="eastAsia" w:ascii="宋体" w:hAnsi="宋体" w:eastAsia="宋体" w:cs="宋体"/>
          <w:i/>
          <w:color w:val="auto"/>
          <w:spacing w:val="0"/>
          <w:w w:val="96"/>
          <w:position w:val="0"/>
          <w:sz w:val="21"/>
          <w:szCs w:val="21"/>
          <w:highlight w:val="none"/>
          <w:u w:val="single"/>
        </w:rPr>
        <w:t>（标的名称）</w:t>
      </w:r>
      <w:r>
        <w:rPr>
          <w:rFonts w:hint="eastAsia" w:ascii="宋体" w:hAnsi="宋体" w:eastAsia="宋体" w:cs="宋体"/>
          <w:color w:val="auto"/>
          <w:spacing w:val="0"/>
          <w:w w:val="99"/>
          <w:position w:val="0"/>
          <w:sz w:val="21"/>
          <w:szCs w:val="21"/>
          <w:highlight w:val="none"/>
          <w:u w:val="none"/>
        </w:rPr>
        <w:t>，属于</w:t>
      </w:r>
      <w:r>
        <w:rPr>
          <w:rFonts w:hint="eastAsia" w:ascii="宋体" w:hAnsi="宋体" w:eastAsia="宋体" w:cs="宋体"/>
          <w:i/>
          <w:color w:val="auto"/>
          <w:spacing w:val="0"/>
          <w:w w:val="96"/>
          <w:position w:val="0"/>
          <w:sz w:val="21"/>
          <w:szCs w:val="21"/>
          <w:highlight w:val="none"/>
          <w:u w:val="none"/>
        </w:rPr>
        <w:t>（</w:t>
      </w:r>
      <w:r>
        <w:rPr>
          <w:rFonts w:hint="eastAsia"/>
          <w:b/>
          <w:bCs/>
          <w:color w:val="auto"/>
          <w:highlight w:val="none"/>
          <w:u w:val="single"/>
          <w:lang w:val="en-US" w:eastAsia="zh-CN"/>
        </w:rPr>
        <w:t>软件和信息技术服务业</w:t>
      </w:r>
      <w:r>
        <w:rPr>
          <w:rFonts w:hint="eastAsia" w:ascii="宋体" w:hAnsi="宋体" w:eastAsia="宋体" w:cs="宋体"/>
          <w:i/>
          <w:color w:val="auto"/>
          <w:spacing w:val="0"/>
          <w:w w:val="96"/>
          <w:position w:val="0"/>
          <w:sz w:val="21"/>
          <w:szCs w:val="21"/>
          <w:highlight w:val="none"/>
          <w:u w:val="single"/>
        </w:rPr>
        <w:t>）</w:t>
      </w:r>
      <w:r>
        <w:rPr>
          <w:rFonts w:hint="eastAsia" w:ascii="宋体" w:hAnsi="宋体" w:eastAsia="宋体" w:cs="宋体"/>
          <w:color w:val="auto"/>
          <w:spacing w:val="0"/>
          <w:w w:val="99"/>
          <w:position w:val="0"/>
          <w:sz w:val="21"/>
          <w:szCs w:val="21"/>
          <w:highlight w:val="none"/>
          <w:u w:val="none"/>
        </w:rPr>
        <w:t>； 承建（承接）企业为</w:t>
      </w:r>
      <w:r>
        <w:rPr>
          <w:rFonts w:hint="eastAsia" w:ascii="宋体" w:hAnsi="宋体" w:eastAsia="宋体" w:cs="宋体"/>
          <w:i/>
          <w:color w:val="auto"/>
          <w:spacing w:val="0"/>
          <w:w w:val="96"/>
          <w:position w:val="0"/>
          <w:sz w:val="21"/>
          <w:szCs w:val="21"/>
          <w:highlight w:val="none"/>
          <w:u w:val="single"/>
        </w:rPr>
        <w:t>（企业名称）</w:t>
      </w:r>
      <w:r>
        <w:rPr>
          <w:rFonts w:hint="eastAsia" w:ascii="宋体" w:hAnsi="宋体" w:eastAsia="宋体" w:cs="宋体"/>
          <w:color w:val="auto"/>
          <w:spacing w:val="0"/>
          <w:w w:val="99"/>
          <w:position w:val="0"/>
          <w:sz w:val="21"/>
          <w:szCs w:val="21"/>
          <w:highlight w:val="none"/>
          <w:u w:val="none"/>
        </w:rPr>
        <w:t>，从业人员</w:t>
      </w:r>
      <w:r>
        <w:rPr>
          <w:rFonts w:hint="eastAsia" w:ascii="宋体" w:hAnsi="宋体" w:eastAsia="宋体" w:cs="宋体"/>
          <w:color w:val="auto"/>
          <w:spacing w:val="0"/>
          <w:w w:val="99"/>
          <w:position w:val="0"/>
          <w:sz w:val="21"/>
          <w:szCs w:val="21"/>
          <w:highlight w:val="none"/>
          <w:u w:val="single"/>
        </w:rPr>
        <w:t xml:space="preserve"> </w:t>
      </w:r>
      <w:r>
        <w:rPr>
          <w:rFonts w:hint="eastAsia" w:ascii="宋体" w:hAnsi="宋体" w:eastAsia="宋体" w:cs="宋体"/>
          <w:color w:val="auto"/>
          <w:spacing w:val="0"/>
          <w:position w:val="0"/>
          <w:sz w:val="21"/>
          <w:szCs w:val="21"/>
          <w:highlight w:val="none"/>
          <w:u w:val="single"/>
        </w:rPr>
        <w:tab/>
      </w:r>
      <w:r>
        <w:rPr>
          <w:rFonts w:hint="eastAsia" w:ascii="宋体" w:hAnsi="宋体" w:eastAsia="宋体" w:cs="宋体"/>
          <w:color w:val="auto"/>
          <w:spacing w:val="0"/>
          <w:w w:val="99"/>
          <w:position w:val="0"/>
          <w:sz w:val="21"/>
          <w:szCs w:val="21"/>
          <w:highlight w:val="none"/>
          <w:u w:val="none"/>
        </w:rPr>
        <w:t>人，营业</w:t>
      </w:r>
      <w:r>
        <w:rPr>
          <w:rFonts w:hint="eastAsia" w:ascii="宋体" w:hAnsi="宋体" w:eastAsia="宋体" w:cs="宋体"/>
          <w:color w:val="auto"/>
          <w:spacing w:val="0"/>
          <w:position w:val="0"/>
          <w:sz w:val="21"/>
          <w:szCs w:val="21"/>
          <w:highlight w:val="none"/>
          <w:u w:val="none"/>
        </w:rPr>
        <w:t>收入为</w:t>
      </w:r>
      <w:r>
        <w:rPr>
          <w:rFonts w:hint="eastAsia" w:ascii="宋体" w:hAnsi="宋体" w:eastAsia="宋体" w:cs="宋体"/>
          <w:color w:val="auto"/>
          <w:spacing w:val="0"/>
          <w:position w:val="0"/>
          <w:sz w:val="21"/>
          <w:szCs w:val="21"/>
          <w:highlight w:val="none"/>
          <w:u w:val="single"/>
        </w:rPr>
        <w:t xml:space="preserve"> </w:t>
      </w:r>
      <w:r>
        <w:rPr>
          <w:rFonts w:hint="eastAsia" w:ascii="宋体" w:hAnsi="宋体" w:eastAsia="宋体" w:cs="宋体"/>
          <w:color w:val="auto"/>
          <w:spacing w:val="0"/>
          <w:position w:val="0"/>
          <w:sz w:val="21"/>
          <w:szCs w:val="21"/>
          <w:highlight w:val="none"/>
          <w:u w:val="single"/>
          <w:lang w:val="en-US" w:eastAsia="zh-CN"/>
        </w:rPr>
        <w:t xml:space="preserve"> </w:t>
      </w:r>
      <w:r>
        <w:rPr>
          <w:rFonts w:hint="eastAsia" w:ascii="宋体" w:hAnsi="宋体" w:eastAsia="宋体" w:cs="宋体"/>
          <w:color w:val="auto"/>
          <w:spacing w:val="0"/>
          <w:position w:val="0"/>
          <w:sz w:val="21"/>
          <w:szCs w:val="21"/>
          <w:highlight w:val="none"/>
          <w:u w:val="none"/>
        </w:rPr>
        <w:t>万元，资产总额为</w:t>
      </w:r>
      <w:r>
        <w:rPr>
          <w:rFonts w:hint="eastAsia" w:ascii="宋体" w:hAnsi="宋体" w:eastAsia="宋体" w:cs="宋体"/>
          <w:color w:val="auto"/>
          <w:spacing w:val="0"/>
          <w:position w:val="0"/>
          <w:sz w:val="21"/>
          <w:szCs w:val="21"/>
          <w:highlight w:val="none"/>
          <w:u w:val="single"/>
        </w:rPr>
        <w:t xml:space="preserve"> </w:t>
      </w:r>
      <w:r>
        <w:rPr>
          <w:rFonts w:hint="eastAsia" w:ascii="宋体" w:hAnsi="宋体" w:eastAsia="宋体" w:cs="宋体"/>
          <w:color w:val="auto"/>
          <w:spacing w:val="0"/>
          <w:position w:val="0"/>
          <w:sz w:val="21"/>
          <w:szCs w:val="21"/>
          <w:highlight w:val="none"/>
          <w:u w:val="single"/>
          <w:lang w:val="en-US" w:eastAsia="zh-CN"/>
        </w:rPr>
        <w:t xml:space="preserve">  </w:t>
      </w:r>
      <w:r>
        <w:rPr>
          <w:rFonts w:hint="eastAsia" w:ascii="宋体" w:hAnsi="宋体" w:eastAsia="宋体" w:cs="宋体"/>
          <w:color w:val="auto"/>
          <w:spacing w:val="0"/>
          <w:position w:val="0"/>
          <w:sz w:val="21"/>
          <w:szCs w:val="21"/>
          <w:highlight w:val="none"/>
          <w:u w:val="none"/>
        </w:rPr>
        <w:t>万元，属于</w:t>
      </w:r>
      <w:r>
        <w:rPr>
          <w:rFonts w:hint="eastAsia" w:ascii="宋体" w:hAnsi="宋体" w:eastAsia="宋体" w:cs="宋体"/>
          <w:i/>
          <w:color w:val="auto"/>
          <w:spacing w:val="0"/>
          <w:position w:val="0"/>
          <w:sz w:val="21"/>
          <w:szCs w:val="21"/>
          <w:highlight w:val="none"/>
          <w:u w:val="single"/>
        </w:rPr>
        <w:t>（中型企业、</w:t>
      </w:r>
      <w:r>
        <w:rPr>
          <w:rFonts w:hint="eastAsia" w:ascii="宋体" w:hAnsi="宋体" w:eastAsia="宋体" w:cs="宋体"/>
          <w:i/>
          <w:color w:val="auto"/>
          <w:spacing w:val="0"/>
          <w:w w:val="96"/>
          <w:position w:val="0"/>
          <w:sz w:val="21"/>
          <w:szCs w:val="21"/>
          <w:highlight w:val="none"/>
          <w:u w:val="single"/>
        </w:rPr>
        <w:t>小型企业、微型企业）</w:t>
      </w:r>
      <w:r>
        <w:rPr>
          <w:rFonts w:hint="eastAsia" w:ascii="宋体" w:hAnsi="宋体" w:eastAsia="宋体" w:cs="宋体"/>
          <w:color w:val="auto"/>
          <w:spacing w:val="0"/>
          <w:w w:val="99"/>
          <w:position w:val="0"/>
          <w:sz w:val="21"/>
          <w:szCs w:val="21"/>
          <w:highlight w:val="none"/>
          <w:u w:val="none"/>
        </w:rPr>
        <w:t>；</w:t>
      </w:r>
    </w:p>
    <w:p>
      <w:pPr>
        <w:pStyle w:val="8"/>
        <w:keepNext w:val="0"/>
        <w:keepLines w:val="0"/>
        <w:pageBreakBefore w:val="0"/>
        <w:widowControl w:val="0"/>
        <w:kinsoku/>
        <w:wordWrap/>
        <w:overflowPunct/>
        <w:topLinePunct w:val="0"/>
        <w:autoSpaceDE w:val="0"/>
        <w:autoSpaceDN w:val="0"/>
        <w:bidi w:val="0"/>
        <w:adjustRightInd/>
        <w:snapToGrid/>
        <w:spacing w:before="11" w:line="360" w:lineRule="auto"/>
        <w:ind w:left="860"/>
        <w:textAlignment w:val="auto"/>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w:t>
      </w:r>
    </w:p>
    <w:p>
      <w:pPr>
        <w:pStyle w:val="8"/>
        <w:keepNext w:val="0"/>
        <w:keepLines w:val="0"/>
        <w:pageBreakBefore w:val="0"/>
        <w:widowControl w:val="0"/>
        <w:kinsoku/>
        <w:wordWrap/>
        <w:overflowPunct/>
        <w:topLinePunct w:val="0"/>
        <w:autoSpaceDE w:val="0"/>
        <w:autoSpaceDN w:val="0"/>
        <w:bidi w:val="0"/>
        <w:adjustRightInd/>
        <w:snapToGrid/>
        <w:spacing w:before="108" w:line="360" w:lineRule="auto"/>
        <w:ind w:left="0" w:leftChars="0" w:right="-54" w:rightChars="0" w:firstLine="645" w:firstLineChars="0"/>
        <w:jc w:val="both"/>
        <w:textAlignment w:val="auto"/>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以上企业，不属于大企业的分支机构，不存在控股股东为大企业的情形，也不存在与大企业的负责人为同一人的情形。</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0" w:leftChars="0" w:right="-54" w:rightChars="0" w:firstLine="640" w:firstLineChars="0"/>
        <w:textAlignment w:val="auto"/>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本企业对上述声明内容的真实性负责。如有虚假，将依法承担相应责任。</w:t>
      </w:r>
    </w:p>
    <w:p>
      <w:pPr>
        <w:pStyle w:val="8"/>
        <w:keepNext w:val="0"/>
        <w:keepLines w:val="0"/>
        <w:pageBreakBefore w:val="0"/>
        <w:widowControl w:val="0"/>
        <w:kinsoku/>
        <w:wordWrap/>
        <w:overflowPunct/>
        <w:topLinePunct w:val="0"/>
        <w:autoSpaceDE w:val="0"/>
        <w:autoSpaceDN w:val="0"/>
        <w:bidi w:val="0"/>
        <w:adjustRightInd/>
        <w:snapToGrid/>
        <w:spacing w:before="29" w:line="360" w:lineRule="auto"/>
        <w:ind w:left="4060" w:right="-54" w:rightChars="0"/>
        <w:textAlignment w:val="auto"/>
        <w:rPr>
          <w:rFonts w:hint="eastAsia" w:ascii="宋体" w:hAnsi="宋体" w:eastAsia="宋体" w:cs="宋体"/>
          <w:color w:val="auto"/>
          <w:spacing w:val="0"/>
          <w:w w:val="99"/>
          <w:position w:val="0"/>
          <w:sz w:val="21"/>
          <w:szCs w:val="21"/>
          <w:highlight w:val="none"/>
        </w:rPr>
      </w:pPr>
    </w:p>
    <w:p>
      <w:pPr>
        <w:pStyle w:val="8"/>
        <w:keepNext w:val="0"/>
        <w:keepLines w:val="0"/>
        <w:pageBreakBefore w:val="0"/>
        <w:widowControl w:val="0"/>
        <w:kinsoku/>
        <w:wordWrap/>
        <w:overflowPunct/>
        <w:topLinePunct w:val="0"/>
        <w:autoSpaceDE w:val="0"/>
        <w:autoSpaceDN w:val="0"/>
        <w:bidi w:val="0"/>
        <w:adjustRightInd/>
        <w:snapToGrid/>
        <w:spacing w:before="29" w:line="360" w:lineRule="auto"/>
        <w:ind w:left="4060" w:right="-54" w:rightChars="0"/>
        <w:textAlignment w:val="auto"/>
        <w:rPr>
          <w:rFonts w:hint="eastAsia" w:ascii="宋体" w:hAnsi="宋体" w:eastAsia="宋体" w:cs="宋体"/>
          <w:color w:val="auto"/>
          <w:spacing w:val="0"/>
          <w:w w:val="99"/>
          <w:position w:val="0"/>
          <w:sz w:val="21"/>
          <w:szCs w:val="21"/>
          <w:highlight w:val="none"/>
        </w:rPr>
      </w:pPr>
    </w:p>
    <w:p>
      <w:pPr>
        <w:pStyle w:val="8"/>
        <w:keepNext w:val="0"/>
        <w:keepLines w:val="0"/>
        <w:pageBreakBefore w:val="0"/>
        <w:widowControl w:val="0"/>
        <w:kinsoku/>
        <w:wordWrap/>
        <w:overflowPunct/>
        <w:topLinePunct w:val="0"/>
        <w:autoSpaceDE w:val="0"/>
        <w:autoSpaceDN w:val="0"/>
        <w:bidi w:val="0"/>
        <w:adjustRightInd/>
        <w:snapToGrid/>
        <w:spacing w:before="29" w:line="360" w:lineRule="auto"/>
        <w:ind w:left="4060" w:right="-54" w:rightChars="0"/>
        <w:textAlignment w:val="auto"/>
        <w:rPr>
          <w:rFonts w:hint="eastAsia" w:ascii="宋体" w:hAnsi="宋体" w:eastAsia="宋体" w:cs="宋体"/>
          <w:color w:val="auto"/>
          <w:spacing w:val="0"/>
          <w:w w:val="99"/>
          <w:position w:val="0"/>
          <w:sz w:val="21"/>
          <w:szCs w:val="21"/>
          <w:highlight w:val="none"/>
        </w:rPr>
      </w:pPr>
      <w:r>
        <w:rPr>
          <w:rFonts w:hint="eastAsia" w:ascii="宋体" w:hAnsi="宋体" w:eastAsia="宋体" w:cs="宋体"/>
          <w:color w:val="auto"/>
          <w:spacing w:val="0"/>
          <w:w w:val="99"/>
          <w:position w:val="0"/>
          <w:sz w:val="21"/>
          <w:szCs w:val="21"/>
          <w:highlight w:val="none"/>
        </w:rPr>
        <w:t>企业名称（盖章）：</w:t>
      </w:r>
    </w:p>
    <w:p>
      <w:pPr>
        <w:pStyle w:val="8"/>
        <w:keepNext w:val="0"/>
        <w:keepLines w:val="0"/>
        <w:pageBreakBefore w:val="0"/>
        <w:widowControl w:val="0"/>
        <w:kinsoku/>
        <w:wordWrap/>
        <w:overflowPunct/>
        <w:topLinePunct w:val="0"/>
        <w:autoSpaceDE w:val="0"/>
        <w:autoSpaceDN w:val="0"/>
        <w:bidi w:val="0"/>
        <w:adjustRightInd/>
        <w:snapToGrid/>
        <w:spacing w:before="29" w:line="360" w:lineRule="auto"/>
        <w:ind w:left="4060" w:right="-54" w:rightChars="0"/>
        <w:textAlignment w:val="auto"/>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日期：</w:t>
      </w:r>
    </w:p>
    <w:p>
      <w:pPr>
        <w:pStyle w:val="8"/>
        <w:keepNext w:val="0"/>
        <w:keepLines w:val="0"/>
        <w:pageBreakBefore w:val="0"/>
        <w:widowControl w:val="0"/>
        <w:kinsoku/>
        <w:wordWrap/>
        <w:overflowPunct/>
        <w:topLinePunct w:val="0"/>
        <w:autoSpaceDE w:val="0"/>
        <w:autoSpaceDN w:val="0"/>
        <w:bidi w:val="0"/>
        <w:adjustRightInd/>
        <w:snapToGrid/>
        <w:spacing w:before="29" w:line="360" w:lineRule="auto"/>
        <w:ind w:left="4060" w:right="-54" w:rightChars="0"/>
        <w:textAlignment w:val="auto"/>
        <w:rPr>
          <w:rFonts w:hint="eastAsia" w:ascii="宋体" w:hAnsi="宋体" w:eastAsia="宋体" w:cs="宋体"/>
          <w:color w:val="auto"/>
          <w:spacing w:val="0"/>
          <w:position w:val="0"/>
          <w:sz w:val="21"/>
          <w:szCs w:val="21"/>
          <w:highlight w:val="none"/>
        </w:rPr>
      </w:pPr>
    </w:p>
    <w:p>
      <w:pPr>
        <w:snapToGrid w:val="0"/>
        <w:spacing w:line="360" w:lineRule="auto"/>
        <w:rPr>
          <w:rFonts w:hint="eastAsia" w:ascii="宋体" w:hAnsi="宋体" w:eastAsia="宋体" w:cs="宋体"/>
          <w:b/>
          <w:color w:val="auto"/>
          <w:szCs w:val="21"/>
          <w:highlight w:val="none"/>
          <w:lang w:val="en-US" w:eastAsia="zh-CN"/>
        </w:rPr>
      </w:pPr>
    </w:p>
    <w:p>
      <w:pPr>
        <w:snapToGrid w:val="0"/>
        <w:spacing w:line="360" w:lineRule="auto"/>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说明：</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cs="宋体"/>
          <w:b/>
          <w:bCs w:val="0"/>
          <w:color w:val="auto"/>
          <w:sz w:val="18"/>
          <w:highlight w:val="none"/>
        </w:rPr>
      </w:pPr>
      <w:r>
        <w:rPr>
          <w:rFonts w:hint="eastAsia" w:ascii="宋体" w:hAnsi="宋体" w:eastAsia="宋体" w:cs="宋体"/>
          <w:b/>
          <w:bCs w:val="0"/>
          <w:color w:val="auto"/>
          <w:szCs w:val="21"/>
          <w:highlight w:val="none"/>
          <w:lang w:val="en-US" w:eastAsia="zh-CN"/>
        </w:rPr>
        <w:t>1.</w:t>
      </w:r>
      <w:r>
        <w:rPr>
          <w:rFonts w:hint="eastAsia" w:ascii="宋体" w:hAnsi="宋体" w:eastAsia="宋体" w:cs="宋体"/>
          <w:b/>
          <w:bCs w:val="0"/>
          <w:color w:val="auto"/>
          <w:position w:val="6"/>
          <w:sz w:val="11"/>
          <w:highlight w:val="none"/>
        </w:rPr>
        <w:t>1</w:t>
      </w:r>
      <w:r>
        <w:rPr>
          <w:rFonts w:hint="eastAsia" w:ascii="宋体" w:hAnsi="宋体" w:eastAsia="宋体" w:cs="宋体"/>
          <w:b/>
          <w:bCs w:val="0"/>
          <w:color w:val="auto"/>
          <w:sz w:val="18"/>
          <w:highlight w:val="none"/>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val="0"/>
        <w:snapToGrid w:val="0"/>
        <w:spacing w:line="320" w:lineRule="exact"/>
        <w:ind w:left="20" w:right="0" w:firstLine="0"/>
        <w:jc w:val="left"/>
        <w:textAlignment w:val="auto"/>
        <w:rPr>
          <w:rFonts w:hint="eastAsia" w:ascii="宋体" w:hAnsi="宋体" w:eastAsia="宋体" w:cs="宋体"/>
          <w:b/>
          <w:bCs w:val="0"/>
          <w:color w:val="auto"/>
          <w:sz w:val="18"/>
          <w:highlight w:val="none"/>
          <w:lang w:val="en-US" w:eastAsia="zh-CN"/>
        </w:rPr>
      </w:pPr>
      <w:r>
        <w:rPr>
          <w:rFonts w:hint="eastAsia" w:ascii="宋体" w:hAnsi="宋体" w:eastAsia="宋体" w:cs="宋体"/>
          <w:b/>
          <w:bCs w:val="0"/>
          <w:color w:val="auto"/>
          <w:sz w:val="18"/>
          <w:highlight w:val="none"/>
          <w:lang w:val="en-US" w:eastAsia="zh-CN"/>
        </w:rPr>
        <w:t>2.</w:t>
      </w:r>
      <w:r>
        <w:rPr>
          <w:rFonts w:hint="eastAsia" w:ascii="宋体" w:hAnsi="宋体" w:eastAsia="宋体" w:cs="宋体"/>
          <w:b/>
          <w:bCs w:val="0"/>
          <w:color w:val="auto"/>
          <w:sz w:val="18"/>
          <w:highlight w:val="none"/>
          <w:lang w:eastAsia="zh-CN"/>
        </w:rPr>
        <w:t>本项目所</w:t>
      </w:r>
      <w:r>
        <w:rPr>
          <w:rFonts w:hint="eastAsia" w:ascii="宋体" w:hAnsi="宋体" w:eastAsia="宋体" w:cs="宋体"/>
          <w:b/>
          <w:bCs w:val="0"/>
          <w:color w:val="auto"/>
          <w:sz w:val="18"/>
          <w:highlight w:val="none"/>
        </w:rPr>
        <w:t>属行业</w:t>
      </w:r>
      <w:r>
        <w:rPr>
          <w:rFonts w:hint="eastAsia" w:ascii="宋体" w:hAnsi="宋体" w:eastAsia="宋体" w:cs="宋体"/>
          <w:b/>
          <w:bCs w:val="0"/>
          <w:color w:val="auto"/>
          <w:sz w:val="18"/>
          <w:highlight w:val="none"/>
          <w:lang w:eastAsia="zh-CN"/>
        </w:rPr>
        <w:t>见前附表。</w:t>
      </w:r>
    </w:p>
    <w:p>
      <w:pPr>
        <w:keepNext w:val="0"/>
        <w:keepLines w:val="0"/>
        <w:pageBreakBefore w:val="0"/>
        <w:widowControl w:val="0"/>
        <w:kinsoku/>
        <w:wordWrap/>
        <w:overflowPunct/>
        <w:topLinePunct w:val="0"/>
        <w:autoSpaceDE/>
        <w:autoSpaceDN/>
        <w:bidi w:val="0"/>
        <w:adjustRightInd w:val="0"/>
        <w:snapToGrid w:val="0"/>
        <w:spacing w:line="320" w:lineRule="exact"/>
        <w:ind w:left="20" w:right="0" w:firstLine="0"/>
        <w:jc w:val="left"/>
        <w:textAlignment w:val="auto"/>
        <w:rPr>
          <w:rFonts w:hint="eastAsia" w:ascii="宋体" w:hAnsi="宋体" w:eastAsia="宋体" w:cs="宋体"/>
          <w:b/>
          <w:bCs/>
          <w:color w:val="auto"/>
          <w:sz w:val="18"/>
          <w:highlight w:val="none"/>
          <w:lang w:eastAsia="zh-CN"/>
        </w:rPr>
      </w:pPr>
      <w:r>
        <w:rPr>
          <w:rFonts w:hint="eastAsia" w:ascii="宋体" w:hAnsi="宋体" w:eastAsia="宋体" w:cs="宋体"/>
          <w:b/>
          <w:bCs/>
          <w:color w:val="auto"/>
          <w:sz w:val="18"/>
          <w:highlight w:val="none"/>
          <w:lang w:val="en-US" w:eastAsia="zh-CN"/>
        </w:rPr>
        <w:t>3.</w:t>
      </w:r>
      <w:r>
        <w:rPr>
          <w:rFonts w:hint="eastAsia" w:ascii="宋体" w:hAnsi="宋体" w:eastAsia="宋体" w:cs="宋体"/>
          <w:b/>
          <w:bCs/>
          <w:color w:val="auto"/>
          <w:sz w:val="18"/>
          <w:highlight w:val="none"/>
          <w:lang w:eastAsia="zh-CN"/>
        </w:rPr>
        <w:t>中小企业划型标准规定（工信部联企业[2011]300号）附后。</w:t>
      </w:r>
    </w:p>
    <w:p>
      <w:pPr>
        <w:keepNext w:val="0"/>
        <w:keepLines w:val="0"/>
        <w:pageBreakBefore w:val="0"/>
        <w:widowControl w:val="0"/>
        <w:kinsoku/>
        <w:wordWrap/>
        <w:overflowPunct/>
        <w:topLinePunct w:val="0"/>
        <w:autoSpaceDE/>
        <w:autoSpaceDN/>
        <w:bidi w:val="0"/>
        <w:adjustRightInd w:val="0"/>
        <w:snapToGrid w:val="0"/>
        <w:spacing w:line="320" w:lineRule="exact"/>
        <w:ind w:left="20" w:right="0" w:firstLine="0"/>
        <w:jc w:val="left"/>
        <w:textAlignment w:val="auto"/>
        <w:rPr>
          <w:rFonts w:hint="eastAsia" w:ascii="宋体" w:hAnsi="宋体" w:eastAsia="宋体" w:cs="宋体"/>
          <w:b/>
          <w:bCs w:val="0"/>
          <w:color w:val="auto"/>
          <w:sz w:val="18"/>
          <w:highlight w:val="none"/>
          <w:lang w:val="en-US" w:eastAsia="zh-CN"/>
        </w:rPr>
      </w:pPr>
      <w:r>
        <w:rPr>
          <w:rFonts w:hint="eastAsia" w:ascii="宋体" w:hAnsi="宋体" w:eastAsia="宋体" w:cs="宋体"/>
          <w:b/>
          <w:bCs w:val="0"/>
          <w:color w:val="auto"/>
          <w:sz w:val="18"/>
          <w:highlight w:val="none"/>
          <w:lang w:val="en-US" w:eastAsia="zh-CN"/>
        </w:rPr>
        <w:t>4.《中小企业声明函》格式不得擅自调整，格式中划横线的部分需要各投标人按实际情况如实填写，括号中的内容是对拟填写内容的说明。</w:t>
      </w:r>
    </w:p>
    <w:p>
      <w:pPr>
        <w:keepNext w:val="0"/>
        <w:keepLines w:val="0"/>
        <w:pageBreakBefore w:val="0"/>
        <w:widowControl w:val="0"/>
        <w:kinsoku/>
        <w:wordWrap/>
        <w:overflowPunct/>
        <w:topLinePunct w:val="0"/>
        <w:autoSpaceDE/>
        <w:autoSpaceDN/>
        <w:bidi w:val="0"/>
        <w:adjustRightInd w:val="0"/>
        <w:snapToGrid w:val="0"/>
        <w:spacing w:line="320" w:lineRule="exact"/>
        <w:ind w:left="20" w:right="0" w:firstLine="0"/>
        <w:jc w:val="left"/>
        <w:textAlignment w:val="auto"/>
        <w:rPr>
          <w:rFonts w:hint="eastAsia" w:ascii="宋体" w:hAnsi="宋体" w:eastAsia="宋体" w:cs="宋体"/>
          <w:b/>
          <w:bCs/>
          <w:color w:val="auto"/>
          <w:sz w:val="1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20" w:lineRule="exact"/>
        <w:ind w:left="20" w:right="0" w:firstLine="0"/>
        <w:jc w:val="left"/>
        <w:textAlignment w:val="auto"/>
        <w:rPr>
          <w:rFonts w:hint="default" w:ascii="宋体" w:hAnsi="宋体" w:eastAsia="宋体" w:cs="宋体"/>
          <w:b/>
          <w:bCs/>
          <w:color w:val="auto"/>
          <w:sz w:val="18"/>
          <w:highlight w:val="none"/>
          <w:lang w:val="en-US" w:eastAsia="zh-CN"/>
        </w:rPr>
        <w:sectPr>
          <w:pgSz w:w="11906" w:h="16838"/>
          <w:pgMar w:top="1247" w:right="1588" w:bottom="1089" w:left="1588" w:header="851" w:footer="992" w:gutter="0"/>
          <w:pgBorders>
            <w:top w:val="none" w:sz="0" w:space="0"/>
            <w:left w:val="none" w:sz="0" w:space="0"/>
            <w:bottom w:val="none" w:sz="0" w:space="0"/>
            <w:right w:val="none" w:sz="0" w:space="0"/>
          </w:pgBorders>
          <w:cols w:space="720" w:num="1"/>
          <w:docGrid w:linePitch="312" w:charSpace="0"/>
        </w:sectPr>
      </w:pPr>
    </w:p>
    <w:p>
      <w:pPr>
        <w:pStyle w:val="2"/>
        <w:ind w:left="0" w:leftChars="0" w:firstLine="0" w:firstLineChars="0"/>
        <w:rPr>
          <w:rFonts w:hint="eastAsia"/>
          <w:color w:val="auto"/>
          <w:highlight w:val="none"/>
          <w:lang w:eastAsia="zh-CN"/>
        </w:rPr>
      </w:pPr>
      <w:r>
        <w:rPr>
          <w:color w:val="auto"/>
          <w:highlight w:val="none"/>
        </w:rPr>
        <w:drawing>
          <wp:inline distT="0" distB="0" distL="114300" distR="114300">
            <wp:extent cx="9091295" cy="5498465"/>
            <wp:effectExtent l="0" t="0" r="14605" b="698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stretch>
                      <a:fillRect/>
                    </a:stretch>
                  </pic:blipFill>
                  <pic:spPr>
                    <a:xfrm>
                      <a:off x="0" y="0"/>
                      <a:ext cx="9091295" cy="5498465"/>
                    </a:xfrm>
                    <a:prstGeom prst="rect">
                      <a:avLst/>
                    </a:prstGeom>
                    <a:noFill/>
                    <a:ln>
                      <a:noFill/>
                    </a:ln>
                  </pic:spPr>
                </pic:pic>
              </a:graphicData>
            </a:graphic>
          </wp:inline>
        </w:drawing>
      </w:r>
    </w:p>
    <w:p>
      <w:pPr>
        <w:snapToGrid w:val="0"/>
        <w:spacing w:line="360" w:lineRule="auto"/>
        <w:rPr>
          <w:rFonts w:hint="eastAsia" w:ascii="宋体" w:hAnsi="宋体" w:cs="宋体"/>
          <w:b/>
          <w:color w:val="auto"/>
          <w:szCs w:val="21"/>
          <w:highlight w:val="none"/>
          <w:lang w:val="en-US" w:eastAsia="zh-CN"/>
        </w:rPr>
        <w:sectPr>
          <w:pgSz w:w="16838" w:h="11906" w:orient="landscape"/>
          <w:pgMar w:top="1587" w:right="1247" w:bottom="1587" w:left="1089" w:header="851" w:footer="992" w:gutter="0"/>
          <w:pgBorders>
            <w:top w:val="none" w:sz="0" w:space="0"/>
            <w:left w:val="none" w:sz="0" w:space="0"/>
            <w:bottom w:val="none" w:sz="0" w:space="0"/>
            <w:right w:val="none" w:sz="0" w:space="0"/>
          </w:pgBorders>
          <w:cols w:space="720" w:num="1"/>
          <w:rtlGutter w:val="0"/>
          <w:docGrid w:linePitch="312" w:charSpace="0"/>
        </w:sectPr>
      </w:pPr>
    </w:p>
    <w:p>
      <w:pPr>
        <w:snapToGrid w:val="0"/>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投标人为监狱企业的证明文件：省级以上监狱管理局、戒毒管理局（含新疆生产建设兵团）出具（如有）</w:t>
      </w:r>
    </w:p>
    <w:p>
      <w:pPr>
        <w:snapToGrid w:val="0"/>
        <w:spacing w:line="360" w:lineRule="auto"/>
        <w:rPr>
          <w:rFonts w:hint="eastAsia" w:ascii="宋体" w:hAnsi="宋体" w:cs="宋体"/>
          <w:snapToGrid w:val="0"/>
          <w:color w:val="auto"/>
          <w:kern w:val="0"/>
          <w:szCs w:val="21"/>
          <w:highlight w:val="none"/>
        </w:rPr>
      </w:pPr>
    </w:p>
    <w:p>
      <w:pPr>
        <w:snapToGrid w:val="0"/>
        <w:spacing w:line="360" w:lineRule="auto"/>
        <w:rPr>
          <w:rFonts w:hint="eastAsia" w:ascii="宋体" w:hAnsi="宋体" w:cs="宋体"/>
          <w:snapToGrid w:val="0"/>
          <w:color w:val="auto"/>
          <w:kern w:val="0"/>
          <w:szCs w:val="21"/>
          <w:highlight w:val="none"/>
        </w:rPr>
      </w:pPr>
    </w:p>
    <w:p>
      <w:pPr>
        <w:snapToGrid w:val="0"/>
        <w:spacing w:line="360" w:lineRule="auto"/>
        <w:rPr>
          <w:rFonts w:hint="eastAsia" w:ascii="宋体" w:hAnsi="宋体" w:cs="宋体"/>
          <w:snapToGrid w:val="0"/>
          <w:color w:val="auto"/>
          <w:kern w:val="0"/>
          <w:szCs w:val="21"/>
          <w:highlight w:val="none"/>
        </w:rPr>
      </w:pPr>
    </w:p>
    <w:p>
      <w:pPr>
        <w:snapToGrid w:val="0"/>
        <w:spacing w:line="360" w:lineRule="auto"/>
        <w:rPr>
          <w:rFonts w:hint="eastAsia" w:ascii="宋体" w:hAnsi="宋体" w:cs="宋体"/>
          <w:snapToGrid w:val="0"/>
          <w:color w:val="auto"/>
          <w:kern w:val="0"/>
          <w:szCs w:val="21"/>
          <w:highlight w:val="none"/>
        </w:rPr>
      </w:pPr>
    </w:p>
    <w:p>
      <w:pPr>
        <w:snapToGrid w:val="0"/>
        <w:spacing w:line="360" w:lineRule="auto"/>
        <w:rPr>
          <w:rFonts w:hint="eastAsia" w:ascii="宋体" w:hAnsi="宋体" w:cs="宋体"/>
          <w:snapToGrid w:val="0"/>
          <w:color w:val="auto"/>
          <w:kern w:val="0"/>
          <w:szCs w:val="21"/>
          <w:highlight w:val="none"/>
        </w:rPr>
      </w:pPr>
    </w:p>
    <w:p>
      <w:pPr>
        <w:snapToGrid w:val="0"/>
        <w:spacing w:line="360" w:lineRule="auto"/>
        <w:rPr>
          <w:rFonts w:hint="eastAsia" w:ascii="宋体" w:hAnsi="宋体" w:cs="宋体"/>
          <w:snapToGrid w:val="0"/>
          <w:color w:val="auto"/>
          <w:kern w:val="0"/>
          <w:szCs w:val="21"/>
          <w:highlight w:val="none"/>
        </w:rPr>
      </w:pPr>
    </w:p>
    <w:p>
      <w:pPr>
        <w:spacing w:line="588" w:lineRule="exact"/>
        <w:rPr>
          <w:rFonts w:hint="eastAsia" w:ascii="宋体" w:hAnsi="宋体" w:cs="宋体"/>
          <w:b/>
          <w:color w:val="auto"/>
          <w:szCs w:val="21"/>
          <w:highlight w:val="none"/>
        </w:rPr>
      </w:pPr>
      <w:r>
        <w:rPr>
          <w:rFonts w:hint="eastAsia" w:ascii="宋体" w:hAnsi="宋体" w:cs="宋体"/>
          <w:snapToGrid w:val="0"/>
          <w:color w:val="auto"/>
          <w:kern w:val="0"/>
          <w:szCs w:val="21"/>
          <w:highlight w:val="none"/>
        </w:rPr>
        <w:br w:type="page"/>
      </w:r>
      <w:r>
        <w:rPr>
          <w:rFonts w:hint="eastAsia" w:ascii="宋体" w:hAnsi="宋体" w:cs="宋体"/>
          <w:b/>
          <w:color w:val="auto"/>
          <w:szCs w:val="21"/>
          <w:highlight w:val="none"/>
        </w:rPr>
        <w:t>残疾人福利性单位声明函（如有）</w:t>
      </w:r>
    </w:p>
    <w:p>
      <w:pPr>
        <w:pStyle w:val="2"/>
        <w:spacing w:line="600" w:lineRule="exact"/>
        <w:ind w:firstLine="0"/>
        <w:jc w:val="center"/>
        <w:rPr>
          <w:rFonts w:hint="eastAsia" w:ascii="宋体" w:hAnsi="宋体" w:eastAsia="宋体" w:cs="宋体"/>
          <w:b/>
          <w:bCs/>
          <w:snapToGrid w:val="0"/>
          <w:color w:val="auto"/>
          <w:kern w:val="0"/>
          <w:sz w:val="28"/>
          <w:szCs w:val="28"/>
          <w:highlight w:val="none"/>
        </w:rPr>
      </w:pPr>
    </w:p>
    <w:p>
      <w:pPr>
        <w:spacing w:line="360" w:lineRule="atLeast"/>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残疾人福利性单位声明函</w:t>
      </w:r>
    </w:p>
    <w:p>
      <w:pPr>
        <w:spacing w:line="588" w:lineRule="exact"/>
        <w:rPr>
          <w:rFonts w:hint="eastAsia" w:ascii="宋体" w:hAnsi="宋体" w:cs="宋体"/>
          <w:b/>
          <w:color w:val="auto"/>
          <w:spacing w:val="6"/>
          <w:sz w:val="30"/>
          <w:szCs w:val="30"/>
          <w:highlight w:val="none"/>
        </w:rPr>
      </w:pPr>
    </w:p>
    <w:p>
      <w:pPr>
        <w:spacing w:line="588" w:lineRule="exact"/>
        <w:ind w:firstLine="444" w:firstLineChars="200"/>
        <w:rPr>
          <w:rFonts w:hint="eastAsia" w:ascii="宋体" w:hAnsi="宋体" w:cs="宋体"/>
          <w:color w:val="auto"/>
          <w:spacing w:val="6"/>
          <w:szCs w:val="21"/>
          <w:highlight w:val="none"/>
        </w:rPr>
      </w:pPr>
      <w:r>
        <w:rPr>
          <w:rFonts w:hint="eastAsia" w:ascii="宋体" w:hAnsi="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cs="宋体"/>
          <w:color w:val="auto"/>
          <w:szCs w:val="21"/>
          <w:highlight w:val="none"/>
        </w:rPr>
        <w:t>〔2017〕 141</w:t>
      </w:r>
      <w:r>
        <w:rPr>
          <w:rFonts w:hint="eastAsia" w:ascii="宋体" w:hAnsi="宋体" w:cs="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cs="宋体"/>
          <w:color w:val="auto"/>
          <w:spacing w:val="6"/>
          <w:szCs w:val="21"/>
          <w:highlight w:val="none"/>
        </w:rPr>
      </w:pPr>
      <w:r>
        <w:rPr>
          <w:rFonts w:hint="eastAsia" w:ascii="宋体" w:hAnsi="宋体" w:cs="宋体"/>
          <w:color w:val="auto"/>
          <w:spacing w:val="6"/>
          <w:szCs w:val="21"/>
          <w:highlight w:val="none"/>
        </w:rPr>
        <w:t>本单位对上述声明的真实性负责。如有虚假，将依法承担相应责任。</w:t>
      </w:r>
    </w:p>
    <w:p>
      <w:pPr>
        <w:spacing w:line="588" w:lineRule="exact"/>
        <w:ind w:firstLine="444" w:firstLineChars="200"/>
        <w:rPr>
          <w:rFonts w:hint="eastAsia" w:ascii="宋体" w:hAnsi="宋体" w:cs="宋体"/>
          <w:color w:val="auto"/>
          <w:spacing w:val="6"/>
          <w:szCs w:val="21"/>
          <w:highlight w:val="none"/>
        </w:rPr>
      </w:pPr>
    </w:p>
    <w:p>
      <w:pPr>
        <w:spacing w:line="588" w:lineRule="exact"/>
        <w:ind w:firstLine="444" w:firstLineChars="200"/>
        <w:rPr>
          <w:rFonts w:hint="eastAsia" w:ascii="宋体" w:hAnsi="宋体" w:cs="宋体"/>
          <w:color w:val="auto"/>
          <w:spacing w:val="6"/>
          <w:szCs w:val="21"/>
          <w:highlight w:val="none"/>
        </w:rPr>
      </w:pPr>
    </w:p>
    <w:p>
      <w:pPr>
        <w:tabs>
          <w:tab w:val="left" w:pos="4860"/>
        </w:tabs>
        <w:spacing w:line="588" w:lineRule="exact"/>
        <w:ind w:right="1560" w:firstLine="444" w:firstLineChars="200"/>
        <w:jc w:val="center"/>
        <w:rPr>
          <w:rFonts w:hint="eastAsia" w:ascii="宋体" w:hAnsi="宋体" w:cs="宋体"/>
          <w:color w:val="auto"/>
          <w:spacing w:val="6"/>
          <w:szCs w:val="21"/>
          <w:highlight w:val="none"/>
        </w:rPr>
      </w:pPr>
      <w:r>
        <w:rPr>
          <w:rFonts w:hint="eastAsia" w:ascii="宋体" w:hAnsi="宋体" w:cs="宋体"/>
          <w:color w:val="auto"/>
          <w:spacing w:val="6"/>
          <w:szCs w:val="21"/>
          <w:highlight w:val="none"/>
        </w:rPr>
        <w:t xml:space="preserve">               单位名称（盖公章或电子签章）：</w:t>
      </w:r>
    </w:p>
    <w:p>
      <w:pPr>
        <w:tabs>
          <w:tab w:val="left" w:pos="4860"/>
        </w:tabs>
        <w:spacing w:line="588" w:lineRule="exact"/>
        <w:ind w:right="1560" w:firstLine="444" w:firstLineChars="200"/>
        <w:jc w:val="center"/>
        <w:rPr>
          <w:rFonts w:hint="eastAsia" w:ascii="宋体" w:hAnsi="宋体" w:cs="宋体"/>
          <w:color w:val="auto"/>
          <w:spacing w:val="6"/>
          <w:szCs w:val="21"/>
          <w:highlight w:val="none"/>
        </w:rPr>
      </w:pPr>
      <w:r>
        <w:rPr>
          <w:rFonts w:hint="eastAsia" w:ascii="宋体" w:hAnsi="宋体" w:cs="宋体"/>
          <w:color w:val="auto"/>
          <w:spacing w:val="6"/>
          <w:szCs w:val="21"/>
          <w:highlight w:val="none"/>
        </w:rPr>
        <w:t xml:space="preserve">      日  期：</w:t>
      </w:r>
    </w:p>
    <w:p>
      <w:pPr>
        <w:widowControl/>
        <w:spacing w:line="360" w:lineRule="auto"/>
        <w:ind w:firstLine="411" w:firstLineChars="196"/>
        <w:jc w:val="left"/>
        <w:rPr>
          <w:rFonts w:ascii="仿宋_GB2312" w:hAnsi="仿宋" w:eastAsia="仿宋_GB2312" w:cs="仿宋_GB2312"/>
          <w:b/>
          <w:color w:val="auto"/>
          <w:sz w:val="24"/>
          <w:highlight w:val="none"/>
        </w:rPr>
      </w:pPr>
      <w:r>
        <w:rPr>
          <w:rFonts w:hint="eastAsia" w:ascii="宋体" w:hAnsi="宋体" w:cs="宋体"/>
          <w:color w:val="auto"/>
          <w:highlight w:val="none"/>
        </w:rPr>
        <w:br w:type="page"/>
      </w:r>
      <w:r>
        <w:rPr>
          <w:rFonts w:hint="eastAsia" w:ascii="仿宋_GB2312" w:hAnsi="仿宋" w:eastAsia="仿宋_GB2312" w:cs="仿宋_GB2312"/>
          <w:color w:val="auto"/>
          <w:sz w:val="24"/>
          <w:highlight w:val="none"/>
        </w:rPr>
        <w:t>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联合协议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w:t>
      </w:r>
      <w:r>
        <w:rPr>
          <w:rFonts w:hint="eastAsia" w:ascii="仿宋_GB2312" w:hAnsi="仿宋" w:eastAsia="仿宋_GB2312" w:cs="仿宋_GB2312"/>
          <w:color w:val="auto"/>
          <w:kern w:val="0"/>
          <w:sz w:val="24"/>
          <w:highlight w:val="none"/>
          <w:lang w:val="zh-CN"/>
        </w:rPr>
        <w:t>采购代理机构</w:t>
      </w:r>
      <w:r>
        <w:rPr>
          <w:rFonts w:ascii="仿宋_GB2312" w:hAnsi="仿宋" w:eastAsia="仿宋_GB2312" w:cs="仿宋_GB2312"/>
          <w:color w:val="auto"/>
          <w:kern w:val="0"/>
          <w:sz w:val="24"/>
          <w:highlight w:val="none"/>
          <w:lang w:val="zh-CN"/>
        </w:rPr>
        <w:t>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pageBreakBefore w:val="0"/>
        <w:widowControl/>
        <w:kinsoku/>
        <w:wordWrap/>
        <w:overflowPunct/>
        <w:topLinePunct w:val="0"/>
        <w:autoSpaceDE/>
        <w:autoSpaceDN/>
        <w:bidi w:val="0"/>
        <w:adjustRightInd w:val="0"/>
        <w:snapToGrid w:val="0"/>
        <w:spacing w:line="360" w:lineRule="auto"/>
        <w:ind w:firstLine="420" w:firstLineChars="0"/>
        <w:jc w:val="left"/>
        <w:textAlignment w:val="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pageBreakBefore w:val="0"/>
        <w:kinsoku/>
        <w:wordWrap/>
        <w:overflowPunct/>
        <w:topLinePunct w:val="0"/>
        <w:autoSpaceDE/>
        <w:autoSpaceDN/>
        <w:bidi w:val="0"/>
        <w:adjustRightInd w:val="0"/>
        <w:snapToGrid w:val="0"/>
        <w:spacing w:line="360" w:lineRule="auto"/>
        <w:ind w:firstLine="576"/>
        <w:textAlignment w:val="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pageBreakBefore w:val="0"/>
        <w:kinsoku/>
        <w:wordWrap/>
        <w:overflowPunct/>
        <w:topLinePunct w:val="0"/>
        <w:autoSpaceDE/>
        <w:autoSpaceDN/>
        <w:bidi w:val="0"/>
        <w:adjustRightInd w:val="0"/>
        <w:snapToGrid w:val="0"/>
        <w:spacing w:line="360" w:lineRule="auto"/>
        <w:ind w:firstLine="576"/>
        <w:textAlignment w:val="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pageBreakBefore w:val="0"/>
        <w:kinsoku/>
        <w:wordWrap/>
        <w:overflowPunct/>
        <w:topLinePunct w:val="0"/>
        <w:autoSpaceDE/>
        <w:autoSpaceDN/>
        <w:bidi w:val="0"/>
        <w:adjustRightInd w:val="0"/>
        <w:snapToGrid w:val="0"/>
        <w:spacing w:line="360" w:lineRule="auto"/>
        <w:ind w:firstLine="576"/>
        <w:textAlignment w:val="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bidi w:val="0"/>
        <w:ind w:firstLine="420" w:firstLineChars="0"/>
        <w:rPr>
          <w:color w:val="auto"/>
          <w:highlight w:val="none"/>
        </w:rPr>
      </w:pPr>
      <w:r>
        <w:rPr>
          <w:rFonts w:hint="eastAsia"/>
          <w:color w:val="auto"/>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576"/>
        <w:textAlignment w:val="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keepNext w:val="0"/>
        <w:keepLines w:val="0"/>
        <w:pageBreakBefore w:val="0"/>
        <w:widowControl w:val="0"/>
        <w:kinsoku/>
        <w:wordWrap/>
        <w:overflowPunct/>
        <w:topLinePunct w:val="0"/>
        <w:autoSpaceDE/>
        <w:autoSpaceDN/>
        <w:bidi w:val="0"/>
        <w:adjustRightInd w:val="0"/>
        <w:snapToGrid w:val="0"/>
        <w:spacing w:line="440" w:lineRule="exact"/>
        <w:ind w:firstLine="576"/>
        <w:textAlignment w:val="auto"/>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576"/>
        <w:textAlignment w:val="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keepNext w:val="0"/>
        <w:keepLines w:val="0"/>
        <w:pageBreakBefore w:val="0"/>
        <w:widowControl w:val="0"/>
        <w:kinsoku/>
        <w:wordWrap/>
        <w:overflowPunct/>
        <w:topLinePunct w:val="0"/>
        <w:autoSpaceDE/>
        <w:autoSpaceDN/>
        <w:bidi w:val="0"/>
        <w:adjustRightInd w:val="0"/>
        <w:snapToGrid w:val="0"/>
        <w:spacing w:line="440" w:lineRule="exact"/>
        <w:ind w:firstLine="576"/>
        <w:textAlignment w:val="auto"/>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576"/>
        <w:textAlignment w:val="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keepNext w:val="0"/>
        <w:keepLines w:val="0"/>
        <w:pageBreakBefore w:val="0"/>
        <w:widowControl w:val="0"/>
        <w:kinsoku/>
        <w:wordWrap/>
        <w:overflowPunct/>
        <w:topLinePunct w:val="0"/>
        <w:autoSpaceDE/>
        <w:autoSpaceDN/>
        <w:bidi w:val="0"/>
        <w:adjustRightInd w:val="0"/>
        <w:snapToGrid w:val="0"/>
        <w:spacing w:line="440" w:lineRule="exact"/>
        <w:ind w:left="573" w:leftChars="273"/>
        <w:textAlignment w:val="auto"/>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left="573" w:leftChars="273"/>
        <w:textAlignment w:val="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keepNext w:val="0"/>
        <w:keepLines w:val="0"/>
        <w:pageBreakBefore w:val="0"/>
        <w:widowControl w:val="0"/>
        <w:kinsoku/>
        <w:wordWrap/>
        <w:overflowPunct/>
        <w:topLinePunct w:val="0"/>
        <w:autoSpaceDE/>
        <w:autoSpaceDN/>
        <w:bidi w:val="0"/>
        <w:adjustRightInd w:val="0"/>
        <w:snapToGrid w:val="0"/>
        <w:spacing w:line="440" w:lineRule="exact"/>
        <w:ind w:firstLine="576"/>
        <w:textAlignment w:val="auto"/>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576"/>
        <w:textAlignment w:val="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keepNext w:val="0"/>
        <w:keepLines w:val="0"/>
        <w:pageBreakBefore w:val="0"/>
        <w:widowControl w:val="0"/>
        <w:kinsoku/>
        <w:wordWrap/>
        <w:overflowPunct/>
        <w:topLinePunct w:val="0"/>
        <w:autoSpaceDE/>
        <w:autoSpaceDN/>
        <w:bidi w:val="0"/>
        <w:adjustRightInd w:val="0"/>
        <w:snapToGrid w:val="0"/>
        <w:spacing w:line="440" w:lineRule="exact"/>
        <w:ind w:firstLine="576"/>
        <w:textAlignment w:val="auto"/>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576"/>
        <w:textAlignment w:val="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keepNext w:val="0"/>
        <w:keepLines w:val="0"/>
        <w:pageBreakBefore w:val="0"/>
        <w:widowControl w:val="0"/>
        <w:kinsoku/>
        <w:wordWrap/>
        <w:overflowPunct/>
        <w:topLinePunct w:val="0"/>
        <w:autoSpaceDE/>
        <w:autoSpaceDN/>
        <w:bidi w:val="0"/>
        <w:adjustRightInd w:val="0"/>
        <w:snapToGrid w:val="0"/>
        <w:spacing w:line="440" w:lineRule="exact"/>
        <w:ind w:left="5758" w:leftChars="342" w:hanging="5040" w:hangingChars="2100"/>
        <w:textAlignment w:val="auto"/>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xml:space="preserve">  。                                           投标人名称(电子签名)：</w:t>
      </w:r>
    </w:p>
    <w:p>
      <w:pPr>
        <w:pageBreakBefore w:val="0"/>
        <w:kinsoku/>
        <w:wordWrap/>
        <w:overflowPunct/>
        <w:topLinePunct w:val="0"/>
        <w:autoSpaceDE/>
        <w:autoSpaceDN/>
        <w:bidi w:val="0"/>
        <w:adjustRightInd w:val="0"/>
        <w:snapToGrid w:val="0"/>
        <w:spacing w:line="360" w:lineRule="auto"/>
        <w:ind w:firstLine="5640" w:firstLineChars="2350"/>
        <w:textAlignment w:val="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pageBreakBefore w:val="0"/>
        <w:kinsoku/>
        <w:wordWrap/>
        <w:overflowPunct/>
        <w:topLinePunct w:val="0"/>
        <w:autoSpaceDE/>
        <w:autoSpaceDN/>
        <w:bidi w:val="0"/>
        <w:adjustRightInd w:val="0"/>
        <w:snapToGrid w:val="0"/>
        <w:spacing w:line="360" w:lineRule="auto"/>
        <w:ind w:firstLine="5760" w:firstLineChars="2400"/>
        <w:textAlignment w:val="auto"/>
        <w:rPr>
          <w:color w:val="auto"/>
          <w:highlight w:val="none"/>
        </w:rPr>
      </w:pPr>
      <w:r>
        <w:rPr>
          <w:rFonts w:hint="eastAsia" w:ascii="仿宋_GB2312" w:hAnsi="仿宋" w:eastAsia="仿宋_GB2312" w:cs="仿宋_GB2312"/>
          <w:color w:val="auto"/>
          <w:kern w:val="0"/>
          <w:sz w:val="24"/>
          <w:highlight w:val="none"/>
          <w:lang w:val="zh-CN"/>
        </w:rPr>
        <w:t>……</w:t>
      </w:r>
    </w:p>
    <w:p>
      <w:pPr>
        <w:pageBreakBefore w:val="0"/>
        <w:kinsoku/>
        <w:wordWrap/>
        <w:overflowPunct/>
        <w:topLinePunct w:val="0"/>
        <w:autoSpaceDE/>
        <w:autoSpaceDN/>
        <w:bidi w:val="0"/>
        <w:adjustRightInd w:val="0"/>
        <w:snapToGrid w:val="0"/>
        <w:spacing w:line="360" w:lineRule="auto"/>
        <w:jc w:val="center"/>
        <w:textAlignment w:val="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adjustRightInd w:val="0"/>
        <w:snapToGrid w:val="0"/>
        <w:spacing w:before="120" w:beforeLines="50" w:after="120" w:afterLines="50" w:line="360" w:lineRule="auto"/>
        <w:jc w:val="center"/>
        <w:outlineLvl w:val="0"/>
        <w:rPr>
          <w:rFonts w:hint="eastAsia" w:ascii="宋体" w:hAnsi="宋体" w:cs="宋体"/>
          <w:b/>
          <w:color w:val="auto"/>
          <w:sz w:val="30"/>
          <w:szCs w:val="30"/>
          <w:highlight w:val="none"/>
        </w:rPr>
      </w:pPr>
      <w:r>
        <w:rPr>
          <w:rFonts w:hint="eastAsia" w:ascii="宋体" w:hAnsi="宋体" w:cs="宋体"/>
          <w:color w:val="auto"/>
          <w:highlight w:val="none"/>
        </w:rPr>
        <w:br w:type="page"/>
      </w:r>
      <w:bookmarkStart w:id="407" w:name="_Toc21885"/>
      <w:bookmarkStart w:id="408" w:name="_Toc21291"/>
      <w:bookmarkStart w:id="409" w:name="_Toc29263"/>
      <w:bookmarkStart w:id="410" w:name="_Toc19910"/>
      <w:r>
        <w:rPr>
          <w:rFonts w:hint="eastAsia" w:ascii="宋体" w:hAnsi="宋体" w:cs="宋体"/>
          <w:b/>
          <w:color w:val="auto"/>
          <w:sz w:val="30"/>
          <w:szCs w:val="30"/>
          <w:highlight w:val="none"/>
        </w:rPr>
        <w:t>第七部分   其它</w:t>
      </w:r>
      <w:bookmarkEnd w:id="407"/>
      <w:bookmarkEnd w:id="408"/>
      <w:bookmarkEnd w:id="409"/>
      <w:bookmarkEnd w:id="410"/>
    </w:p>
    <w:p>
      <w:pPr>
        <w:pStyle w:val="26"/>
        <w:widowControl w:val="0"/>
        <w:snapToGrid w:val="0"/>
        <w:spacing w:line="500" w:lineRule="exact"/>
        <w:jc w:val="center"/>
        <w:rPr>
          <w:rFonts w:hAnsi="宋体" w:cs="方正小标宋简体"/>
          <w:b/>
          <w:color w:val="auto"/>
          <w:sz w:val="28"/>
          <w:szCs w:val="28"/>
          <w:highlight w:val="none"/>
        </w:rPr>
      </w:pPr>
      <w:r>
        <w:rPr>
          <w:rFonts w:hAnsi="宋体" w:cs="方正小标宋简体"/>
          <w:b/>
          <w:color w:val="auto"/>
          <w:sz w:val="28"/>
          <w:szCs w:val="28"/>
          <w:highlight w:val="none"/>
        </w:rPr>
        <w:t>政府采购活动现场确认声明书</w:t>
      </w:r>
    </w:p>
    <w:p>
      <w:pPr>
        <w:pStyle w:val="26"/>
        <w:widowControl w:val="0"/>
        <w:adjustRightInd w:val="0"/>
        <w:snapToGrid w:val="0"/>
        <w:spacing w:line="360" w:lineRule="auto"/>
        <w:jc w:val="both"/>
        <w:rPr>
          <w:rFonts w:ascii="仿宋" w:hAnsi="仿宋"/>
          <w:color w:val="auto"/>
          <w:kern w:val="0"/>
          <w:szCs w:val="21"/>
          <w:highlight w:val="none"/>
          <w:u w:val="single"/>
        </w:rPr>
      </w:pPr>
    </w:p>
    <w:p>
      <w:pPr>
        <w:pStyle w:val="26"/>
        <w:widowControl w:val="0"/>
        <w:adjustRightInd w:val="0"/>
        <w:snapToGrid w:val="0"/>
        <w:spacing w:line="360" w:lineRule="auto"/>
        <w:jc w:val="both"/>
        <w:rPr>
          <w:rFonts w:hint="default" w:ascii="仿宋" w:hAnsi="仿宋"/>
          <w:b/>
          <w:color w:val="auto"/>
          <w:szCs w:val="21"/>
          <w:highlight w:val="none"/>
        </w:rPr>
      </w:pPr>
      <w:r>
        <w:rPr>
          <w:rFonts w:hint="eastAsia" w:ascii="仿宋" w:hAnsi="仿宋"/>
          <w:color w:val="auto"/>
          <w:kern w:val="0"/>
          <w:szCs w:val="21"/>
          <w:highlight w:val="none"/>
          <w:u w:val="single"/>
          <w:lang w:eastAsia="zh-CN"/>
        </w:rPr>
        <w:t>浙江国际招投标有限公司</w:t>
      </w:r>
      <w:r>
        <w:rPr>
          <w:rFonts w:ascii="仿宋" w:hAnsi="仿宋"/>
          <w:color w:val="auto"/>
          <w:kern w:val="0"/>
          <w:szCs w:val="21"/>
          <w:highlight w:val="none"/>
        </w:rPr>
        <w:t>：</w:t>
      </w:r>
    </w:p>
    <w:p>
      <w:pPr>
        <w:pStyle w:val="26"/>
        <w:widowControl w:val="0"/>
        <w:adjustRightInd w:val="0"/>
        <w:snapToGrid w:val="0"/>
        <w:spacing w:line="360" w:lineRule="auto"/>
        <w:ind w:firstLine="444" w:firstLineChars="200"/>
        <w:jc w:val="both"/>
        <w:rPr>
          <w:rFonts w:ascii="仿宋" w:hAnsi="仿宋"/>
          <w:color w:val="auto"/>
          <w:spacing w:val="6"/>
          <w:szCs w:val="21"/>
          <w:highlight w:val="none"/>
        </w:rPr>
      </w:pPr>
      <w:r>
        <w:rPr>
          <w:rFonts w:ascii="仿宋" w:hAnsi="仿宋"/>
          <w:color w:val="auto"/>
          <w:spacing w:val="6"/>
          <w:szCs w:val="21"/>
          <w:highlight w:val="none"/>
        </w:rPr>
        <w:t>本人经由</w:t>
      </w:r>
      <w:r>
        <w:rPr>
          <w:rFonts w:ascii="仿宋" w:hAnsi="仿宋"/>
          <w:color w:val="auto"/>
          <w:spacing w:val="6"/>
          <w:szCs w:val="21"/>
          <w:highlight w:val="none"/>
          <w:u w:val="single"/>
        </w:rPr>
        <w:t xml:space="preserve">              （单位）</w:t>
      </w:r>
      <w:r>
        <w:rPr>
          <w:rFonts w:ascii="仿宋" w:hAnsi="仿宋"/>
          <w:color w:val="auto"/>
          <w:spacing w:val="6"/>
          <w:szCs w:val="21"/>
          <w:highlight w:val="none"/>
        </w:rPr>
        <w:t>负责人</w:t>
      </w:r>
      <w:r>
        <w:rPr>
          <w:rFonts w:ascii="仿宋" w:hAnsi="仿宋"/>
          <w:color w:val="auto"/>
          <w:spacing w:val="6"/>
          <w:szCs w:val="21"/>
          <w:highlight w:val="none"/>
          <w:u w:val="single"/>
        </w:rPr>
        <w:t xml:space="preserve">      （姓名）</w:t>
      </w:r>
      <w:r>
        <w:rPr>
          <w:rFonts w:ascii="仿宋" w:hAnsi="仿宋"/>
          <w:color w:val="auto"/>
          <w:spacing w:val="6"/>
          <w:szCs w:val="21"/>
          <w:highlight w:val="none"/>
        </w:rPr>
        <w:t>合法授权参加</w:t>
      </w:r>
      <w:r>
        <w:rPr>
          <w:rFonts w:hint="eastAsia" w:ascii="仿宋" w:hAnsi="仿宋"/>
          <w:color w:val="auto"/>
          <w:spacing w:val="6"/>
          <w:szCs w:val="21"/>
          <w:highlight w:val="none"/>
          <w:u w:val="single"/>
          <w:lang w:val="en-US" w:eastAsia="zh-CN"/>
        </w:rPr>
        <w:t xml:space="preserve">           </w:t>
      </w:r>
      <w:r>
        <w:rPr>
          <w:rFonts w:ascii="仿宋" w:hAnsi="仿宋"/>
          <w:color w:val="auto"/>
          <w:spacing w:val="6"/>
          <w:szCs w:val="21"/>
          <w:highlight w:val="none"/>
        </w:rPr>
        <w:t>项目</w:t>
      </w:r>
      <w:r>
        <w:rPr>
          <w:rFonts w:ascii="仿宋" w:hAnsi="仿宋"/>
          <w:color w:val="auto"/>
          <w:spacing w:val="6"/>
          <w:szCs w:val="21"/>
          <w:highlight w:val="none"/>
          <w:u w:val="single"/>
        </w:rPr>
        <w:t>（编号：</w:t>
      </w:r>
      <w:r>
        <w:rPr>
          <w:rFonts w:hint="eastAsia" w:ascii="仿宋" w:hAnsi="仿宋"/>
          <w:color w:val="auto"/>
          <w:spacing w:val="6"/>
          <w:szCs w:val="21"/>
          <w:highlight w:val="none"/>
          <w:u w:val="single"/>
          <w:lang w:val="en-US" w:eastAsia="zh-CN"/>
        </w:rPr>
        <w:t xml:space="preserve">    </w:t>
      </w:r>
      <w:r>
        <w:rPr>
          <w:rFonts w:ascii="仿宋" w:hAnsi="仿宋"/>
          <w:color w:val="auto"/>
          <w:spacing w:val="6"/>
          <w:szCs w:val="21"/>
          <w:highlight w:val="none"/>
          <w:u w:val="single"/>
        </w:rPr>
        <w:t>）</w:t>
      </w:r>
      <w:r>
        <w:rPr>
          <w:rFonts w:ascii="仿宋" w:hAnsi="仿宋"/>
          <w:color w:val="auto"/>
          <w:spacing w:val="6"/>
          <w:szCs w:val="21"/>
          <w:highlight w:val="none"/>
        </w:rPr>
        <w:t xml:space="preserve">政府采购活动，经与本单位法人代表（负责人）联系确认，现就有关公平竞争事项郑重声明如下： </w:t>
      </w:r>
    </w:p>
    <w:p>
      <w:pPr>
        <w:pStyle w:val="27"/>
        <w:widowControl/>
        <w:numPr>
          <w:ilvl w:val="0"/>
          <w:numId w:val="28"/>
        </w:numPr>
        <w:adjustRightInd w:val="0"/>
        <w:snapToGrid w:val="0"/>
        <w:spacing w:line="360" w:lineRule="auto"/>
        <w:ind w:firstLine="396" w:firstLineChars="189"/>
        <w:rPr>
          <w:rFonts w:hint="default" w:ascii="仿宋" w:hAnsi="仿宋"/>
          <w:color w:val="auto"/>
          <w:kern w:val="0"/>
          <w:szCs w:val="21"/>
          <w:highlight w:val="none"/>
        </w:rPr>
      </w:pPr>
      <w:r>
        <w:rPr>
          <w:rFonts w:ascii="仿宋" w:hAnsi="仿宋"/>
          <w:color w:val="auto"/>
          <w:kern w:val="0"/>
          <w:szCs w:val="21"/>
          <w:highlight w:val="none"/>
        </w:rPr>
        <w:t xml:space="preserve">本单位与采购人之间 </w:t>
      </w:r>
      <w:r>
        <w:rPr>
          <w:rFonts w:ascii="宋体" w:hAnsi="宋体" w:cs="宋体"/>
          <w:color w:val="auto"/>
          <w:kern w:val="0"/>
          <w:szCs w:val="21"/>
          <w:highlight w:val="none"/>
        </w:rPr>
        <w:t>□</w:t>
      </w:r>
      <w:r>
        <w:rPr>
          <w:rFonts w:ascii="仿宋" w:hAnsi="仿宋"/>
          <w:color w:val="auto"/>
          <w:kern w:val="0"/>
          <w:szCs w:val="21"/>
          <w:highlight w:val="none"/>
        </w:rPr>
        <w:t xml:space="preserve">不存在利害关系 </w:t>
      </w:r>
      <w:r>
        <w:rPr>
          <w:rFonts w:ascii="宋体" w:hAnsi="宋体" w:cs="宋体"/>
          <w:color w:val="auto"/>
          <w:kern w:val="0"/>
          <w:szCs w:val="21"/>
          <w:highlight w:val="none"/>
        </w:rPr>
        <w:t>□</w:t>
      </w:r>
      <w:r>
        <w:rPr>
          <w:rFonts w:ascii="仿宋" w:hAnsi="仿宋"/>
          <w:color w:val="auto"/>
          <w:kern w:val="0"/>
          <w:szCs w:val="21"/>
          <w:highlight w:val="none"/>
        </w:rPr>
        <w:t>存在下列利害关系</w:t>
      </w:r>
      <w:r>
        <w:rPr>
          <w:rFonts w:ascii="仿宋" w:hAnsi="仿宋"/>
          <w:color w:val="auto"/>
          <w:kern w:val="0"/>
          <w:szCs w:val="21"/>
          <w:highlight w:val="none"/>
          <w:u w:val="single"/>
        </w:rPr>
        <w:t xml:space="preserve">           </w:t>
      </w:r>
      <w:r>
        <w:rPr>
          <w:rFonts w:ascii="仿宋" w:hAnsi="仿宋"/>
          <w:color w:val="auto"/>
          <w:kern w:val="0"/>
          <w:szCs w:val="21"/>
          <w:highlight w:val="none"/>
        </w:rPr>
        <w:t>：</w:t>
      </w:r>
    </w:p>
    <w:p>
      <w:pPr>
        <w:pStyle w:val="27"/>
        <w:widowControl/>
        <w:adjustRightInd w:val="0"/>
        <w:snapToGrid w:val="0"/>
        <w:spacing w:line="360" w:lineRule="auto"/>
        <w:ind w:firstLine="200"/>
        <w:rPr>
          <w:rFonts w:ascii="仿宋" w:hAnsi="仿宋"/>
          <w:color w:val="auto"/>
          <w:kern w:val="0"/>
          <w:szCs w:val="21"/>
          <w:highlight w:val="none"/>
        </w:rPr>
      </w:pPr>
      <w:r>
        <w:rPr>
          <w:rFonts w:ascii="仿宋" w:hAnsi="仿宋"/>
          <w:color w:val="auto"/>
          <w:kern w:val="0"/>
          <w:szCs w:val="21"/>
          <w:highlight w:val="none"/>
        </w:rPr>
        <w:t xml:space="preserve">  A.投资关系    B.行政隶属关系    C.业务指导关系</w:t>
      </w:r>
    </w:p>
    <w:p>
      <w:pPr>
        <w:pStyle w:val="27"/>
        <w:widowControl/>
        <w:adjustRightInd w:val="0"/>
        <w:snapToGrid w:val="0"/>
        <w:spacing w:line="360" w:lineRule="auto"/>
        <w:ind w:firstLine="200"/>
        <w:rPr>
          <w:rFonts w:hint="default" w:ascii="仿宋" w:hAnsi="仿宋"/>
          <w:color w:val="auto"/>
          <w:kern w:val="0"/>
          <w:szCs w:val="21"/>
          <w:highlight w:val="none"/>
        </w:rPr>
      </w:pPr>
      <w:r>
        <w:rPr>
          <w:rFonts w:ascii="仿宋" w:hAnsi="仿宋"/>
          <w:color w:val="auto"/>
          <w:kern w:val="0"/>
          <w:szCs w:val="21"/>
          <w:highlight w:val="none"/>
        </w:rPr>
        <w:t xml:space="preserve">  D.其他可能</w:t>
      </w:r>
      <w:r>
        <w:rPr>
          <w:rFonts w:ascii="仿宋" w:hAnsi="仿宋"/>
          <w:color w:val="auto"/>
          <w:szCs w:val="21"/>
          <w:highlight w:val="none"/>
        </w:rPr>
        <w:t>影响采购公正的</w:t>
      </w:r>
      <w:r>
        <w:rPr>
          <w:rFonts w:ascii="仿宋" w:hAnsi="仿宋"/>
          <w:color w:val="auto"/>
          <w:kern w:val="0"/>
          <w:szCs w:val="21"/>
          <w:highlight w:val="none"/>
        </w:rPr>
        <w:t>利害关系</w:t>
      </w:r>
      <w:r>
        <w:rPr>
          <w:rFonts w:ascii="仿宋" w:hAnsi="仿宋"/>
          <w:color w:val="auto"/>
          <w:kern w:val="0"/>
          <w:szCs w:val="21"/>
          <w:highlight w:val="none"/>
          <w:u w:val="single"/>
        </w:rPr>
        <w:t xml:space="preserve">（如有，请如实说明）                 </w:t>
      </w:r>
      <w:r>
        <w:rPr>
          <w:rFonts w:ascii="仿宋" w:hAnsi="仿宋"/>
          <w:color w:val="auto"/>
          <w:kern w:val="0"/>
          <w:szCs w:val="21"/>
          <w:highlight w:val="none"/>
        </w:rPr>
        <w:t>。</w:t>
      </w:r>
    </w:p>
    <w:p>
      <w:pPr>
        <w:pStyle w:val="27"/>
        <w:widowControl/>
        <w:adjustRightInd w:val="0"/>
        <w:snapToGrid w:val="0"/>
        <w:spacing w:line="360" w:lineRule="auto"/>
        <w:ind w:firstLine="200"/>
        <w:rPr>
          <w:rFonts w:ascii="仿宋" w:hAnsi="仿宋"/>
          <w:color w:val="auto"/>
          <w:kern w:val="0"/>
          <w:szCs w:val="21"/>
          <w:highlight w:val="none"/>
        </w:rPr>
      </w:pPr>
      <w:r>
        <w:rPr>
          <w:rFonts w:ascii="仿宋" w:hAnsi="仿宋"/>
          <w:color w:val="auto"/>
          <w:spacing w:val="6"/>
          <w:szCs w:val="21"/>
          <w:highlight w:val="none"/>
        </w:rPr>
        <w:t xml:space="preserve">  二、</w:t>
      </w:r>
      <w:r>
        <w:rPr>
          <w:rFonts w:ascii="仿宋" w:hAnsi="仿宋"/>
          <w:color w:val="auto"/>
          <w:kern w:val="0"/>
          <w:szCs w:val="21"/>
          <w:highlight w:val="none"/>
        </w:rPr>
        <w:t xml:space="preserve">现已清楚知道参加本项目采购活动的其他所有供应商名称，本单位 </w:t>
      </w:r>
      <w:r>
        <w:rPr>
          <w:rFonts w:ascii="宋体" w:hAnsi="宋体" w:cs="宋体"/>
          <w:color w:val="auto"/>
          <w:kern w:val="0"/>
          <w:szCs w:val="21"/>
          <w:highlight w:val="none"/>
        </w:rPr>
        <w:t>□与其他所有供应商之间均</w:t>
      </w:r>
      <w:r>
        <w:rPr>
          <w:rFonts w:ascii="仿宋" w:hAnsi="仿宋"/>
          <w:color w:val="auto"/>
          <w:kern w:val="0"/>
          <w:szCs w:val="21"/>
          <w:highlight w:val="none"/>
        </w:rPr>
        <w:t xml:space="preserve">不存在利害关系 </w:t>
      </w:r>
      <w:r>
        <w:rPr>
          <w:rFonts w:ascii="宋体" w:hAnsi="宋体" w:cs="宋体"/>
          <w:color w:val="auto"/>
          <w:kern w:val="0"/>
          <w:szCs w:val="21"/>
          <w:highlight w:val="none"/>
        </w:rPr>
        <w:t>□与</w:t>
      </w:r>
      <w:r>
        <w:rPr>
          <w:rFonts w:ascii="宋体" w:hAnsi="宋体" w:cs="宋体"/>
          <w:color w:val="auto"/>
          <w:kern w:val="0"/>
          <w:szCs w:val="21"/>
          <w:highlight w:val="none"/>
          <w:u w:val="single"/>
        </w:rPr>
        <w:t xml:space="preserve">           （供应商名称）</w:t>
      </w:r>
      <w:r>
        <w:rPr>
          <w:rFonts w:ascii="宋体" w:hAnsi="宋体" w:cs="宋体"/>
          <w:color w:val="auto"/>
          <w:kern w:val="0"/>
          <w:szCs w:val="21"/>
          <w:highlight w:val="none"/>
        </w:rPr>
        <w:t>之间</w:t>
      </w:r>
      <w:r>
        <w:rPr>
          <w:rFonts w:ascii="仿宋" w:hAnsi="仿宋"/>
          <w:color w:val="auto"/>
          <w:kern w:val="0"/>
          <w:szCs w:val="21"/>
          <w:highlight w:val="none"/>
        </w:rPr>
        <w:t>存在下列利害关系</w:t>
      </w:r>
      <w:r>
        <w:rPr>
          <w:rFonts w:ascii="仿宋" w:hAnsi="仿宋"/>
          <w:color w:val="auto"/>
          <w:kern w:val="0"/>
          <w:szCs w:val="21"/>
          <w:highlight w:val="none"/>
          <w:u w:val="single"/>
        </w:rPr>
        <w:t xml:space="preserve">          </w:t>
      </w:r>
      <w:r>
        <w:rPr>
          <w:rFonts w:ascii="仿宋" w:hAnsi="仿宋"/>
          <w:color w:val="auto"/>
          <w:kern w:val="0"/>
          <w:szCs w:val="21"/>
          <w:highlight w:val="none"/>
        </w:rPr>
        <w:t>：</w:t>
      </w:r>
    </w:p>
    <w:p>
      <w:pPr>
        <w:pStyle w:val="26"/>
        <w:widowControl w:val="0"/>
        <w:adjustRightInd w:val="0"/>
        <w:snapToGrid w:val="0"/>
        <w:spacing w:line="360" w:lineRule="auto"/>
        <w:ind w:firstLine="200"/>
        <w:jc w:val="both"/>
        <w:rPr>
          <w:rFonts w:ascii="仿宋" w:hAnsi="仿宋"/>
          <w:color w:val="auto"/>
          <w:kern w:val="0"/>
          <w:szCs w:val="21"/>
          <w:highlight w:val="none"/>
        </w:rPr>
      </w:pPr>
      <w:r>
        <w:rPr>
          <w:rFonts w:ascii="仿宋" w:hAnsi="仿宋"/>
          <w:color w:val="auto"/>
          <w:kern w:val="0"/>
          <w:szCs w:val="21"/>
          <w:highlight w:val="none"/>
        </w:rPr>
        <w:t xml:space="preserve">  A.法定代表人或负责人或实际控制人是同一人</w:t>
      </w:r>
    </w:p>
    <w:p>
      <w:pPr>
        <w:pStyle w:val="26"/>
        <w:widowControl w:val="0"/>
        <w:adjustRightInd w:val="0"/>
        <w:snapToGrid w:val="0"/>
        <w:spacing w:line="360" w:lineRule="auto"/>
        <w:ind w:firstLine="200"/>
        <w:jc w:val="both"/>
        <w:rPr>
          <w:rFonts w:hint="default" w:ascii="仿宋" w:hAnsi="仿宋"/>
          <w:color w:val="auto"/>
          <w:spacing w:val="6"/>
          <w:szCs w:val="21"/>
          <w:highlight w:val="none"/>
        </w:rPr>
      </w:pPr>
      <w:r>
        <w:rPr>
          <w:rFonts w:ascii="仿宋" w:hAnsi="仿宋"/>
          <w:color w:val="auto"/>
          <w:kern w:val="0"/>
          <w:szCs w:val="21"/>
          <w:highlight w:val="none"/>
        </w:rPr>
        <w:t xml:space="preserve">  B.法定代表人或负责人或实际控制人是夫妻关系</w:t>
      </w:r>
    </w:p>
    <w:p>
      <w:pPr>
        <w:pStyle w:val="26"/>
        <w:widowControl w:val="0"/>
        <w:adjustRightInd w:val="0"/>
        <w:snapToGrid w:val="0"/>
        <w:spacing w:line="360" w:lineRule="auto"/>
        <w:ind w:firstLine="200"/>
        <w:jc w:val="both"/>
        <w:rPr>
          <w:rFonts w:hint="default" w:ascii="仿宋" w:hAnsi="仿宋"/>
          <w:color w:val="auto"/>
          <w:spacing w:val="6"/>
          <w:szCs w:val="21"/>
          <w:highlight w:val="none"/>
        </w:rPr>
      </w:pPr>
      <w:r>
        <w:rPr>
          <w:rFonts w:ascii="仿宋" w:hAnsi="仿宋"/>
          <w:color w:val="auto"/>
          <w:kern w:val="0"/>
          <w:szCs w:val="21"/>
          <w:highlight w:val="none"/>
        </w:rPr>
        <w:t xml:space="preserve">  C.法定代表人或负责人或实际控制人是直系血亲关系</w:t>
      </w:r>
    </w:p>
    <w:p>
      <w:pPr>
        <w:pStyle w:val="26"/>
        <w:widowControl w:val="0"/>
        <w:adjustRightInd w:val="0"/>
        <w:snapToGrid w:val="0"/>
        <w:spacing w:line="360" w:lineRule="auto"/>
        <w:ind w:firstLine="200"/>
        <w:jc w:val="both"/>
        <w:rPr>
          <w:rFonts w:hint="default" w:ascii="仿宋" w:hAnsi="仿宋"/>
          <w:color w:val="auto"/>
          <w:spacing w:val="6"/>
          <w:szCs w:val="21"/>
          <w:highlight w:val="none"/>
        </w:rPr>
      </w:pPr>
      <w:r>
        <w:rPr>
          <w:rFonts w:ascii="仿宋" w:hAnsi="仿宋"/>
          <w:color w:val="auto"/>
          <w:kern w:val="0"/>
          <w:szCs w:val="21"/>
          <w:highlight w:val="none"/>
        </w:rPr>
        <w:t xml:space="preserve">  D.法定代表人或负责人或实际控制人存在三代以内旁系血亲关系</w:t>
      </w:r>
    </w:p>
    <w:p>
      <w:pPr>
        <w:pStyle w:val="26"/>
        <w:widowControl w:val="0"/>
        <w:adjustRightInd w:val="0"/>
        <w:snapToGrid w:val="0"/>
        <w:spacing w:line="360" w:lineRule="auto"/>
        <w:ind w:firstLine="200"/>
        <w:jc w:val="both"/>
        <w:rPr>
          <w:rFonts w:ascii="仿宋" w:hAnsi="仿宋"/>
          <w:color w:val="auto"/>
          <w:kern w:val="0"/>
          <w:szCs w:val="21"/>
          <w:highlight w:val="none"/>
        </w:rPr>
      </w:pPr>
      <w:r>
        <w:rPr>
          <w:rFonts w:ascii="仿宋" w:hAnsi="仿宋"/>
          <w:color w:val="auto"/>
          <w:kern w:val="0"/>
          <w:szCs w:val="21"/>
          <w:highlight w:val="none"/>
        </w:rPr>
        <w:t xml:space="preserve">  E.法定代表人或负责人或实际控制人存在近姻亲关系</w:t>
      </w:r>
    </w:p>
    <w:p>
      <w:pPr>
        <w:pStyle w:val="26"/>
        <w:widowControl w:val="0"/>
        <w:adjustRightInd w:val="0"/>
        <w:snapToGrid w:val="0"/>
        <w:spacing w:line="360" w:lineRule="auto"/>
        <w:ind w:firstLine="200"/>
        <w:jc w:val="both"/>
        <w:rPr>
          <w:rFonts w:ascii="仿宋" w:hAnsi="仿宋"/>
          <w:color w:val="auto"/>
          <w:kern w:val="0"/>
          <w:szCs w:val="21"/>
          <w:highlight w:val="none"/>
        </w:rPr>
      </w:pPr>
      <w:r>
        <w:rPr>
          <w:rFonts w:ascii="仿宋" w:hAnsi="仿宋"/>
          <w:color w:val="auto"/>
          <w:kern w:val="0"/>
          <w:szCs w:val="21"/>
          <w:highlight w:val="none"/>
        </w:rPr>
        <w:t xml:space="preserve">  F.法定代表人或负责人或实际控制人存在股份控制或实际控制关系</w:t>
      </w:r>
    </w:p>
    <w:p>
      <w:pPr>
        <w:pStyle w:val="26"/>
        <w:widowControl w:val="0"/>
        <w:adjustRightInd w:val="0"/>
        <w:snapToGrid w:val="0"/>
        <w:spacing w:line="360" w:lineRule="auto"/>
        <w:ind w:firstLine="200"/>
        <w:jc w:val="both"/>
        <w:rPr>
          <w:rFonts w:ascii="仿宋" w:hAnsi="仿宋" w:cs="Times New Roman"/>
          <w:color w:val="auto"/>
          <w:kern w:val="0"/>
          <w:szCs w:val="21"/>
          <w:highlight w:val="none"/>
        </w:rPr>
      </w:pPr>
      <w:r>
        <w:rPr>
          <w:rFonts w:ascii="仿宋" w:hAnsi="仿宋" w:cs="Times New Roman"/>
          <w:color w:val="auto"/>
          <w:kern w:val="0"/>
          <w:szCs w:val="21"/>
          <w:highlight w:val="none"/>
        </w:rPr>
        <w:t xml:space="preserve">  G.存在共同直接或间接投资设立子公司、联营企业和合营企业情况</w:t>
      </w:r>
    </w:p>
    <w:p>
      <w:pPr>
        <w:pStyle w:val="26"/>
        <w:widowControl w:val="0"/>
        <w:adjustRightInd w:val="0"/>
        <w:snapToGrid w:val="0"/>
        <w:spacing w:line="360" w:lineRule="auto"/>
        <w:ind w:firstLine="200"/>
        <w:jc w:val="both"/>
        <w:rPr>
          <w:rFonts w:ascii="仿宋" w:hAnsi="仿宋"/>
          <w:color w:val="auto"/>
          <w:szCs w:val="21"/>
          <w:highlight w:val="none"/>
        </w:rPr>
      </w:pPr>
      <w:r>
        <w:rPr>
          <w:rFonts w:ascii="仿宋" w:hAnsi="仿宋"/>
          <w:color w:val="auto"/>
          <w:kern w:val="0"/>
          <w:szCs w:val="21"/>
          <w:highlight w:val="none"/>
        </w:rPr>
        <w:t xml:space="preserve">  H.存在分级代理或代销关系、同一生产制造商关系、</w:t>
      </w:r>
      <w:r>
        <w:rPr>
          <w:rFonts w:ascii="仿宋" w:hAnsi="仿宋"/>
          <w:color w:val="auto"/>
          <w:szCs w:val="21"/>
          <w:highlight w:val="none"/>
        </w:rPr>
        <w:t>管理关系、重要业务（占主营业务收入50%以上）或重要财务往来关系（如融资）等其他实质性控制关系</w:t>
      </w:r>
    </w:p>
    <w:p>
      <w:pPr>
        <w:pStyle w:val="26"/>
        <w:widowControl w:val="0"/>
        <w:adjustRightInd w:val="0"/>
        <w:snapToGrid w:val="0"/>
        <w:spacing w:line="360" w:lineRule="auto"/>
        <w:ind w:firstLine="200"/>
        <w:jc w:val="both"/>
        <w:rPr>
          <w:rFonts w:hint="default" w:ascii="仿宋" w:hAnsi="仿宋"/>
          <w:color w:val="auto"/>
          <w:spacing w:val="6"/>
          <w:szCs w:val="21"/>
          <w:highlight w:val="none"/>
        </w:rPr>
      </w:pPr>
      <w:r>
        <w:rPr>
          <w:rFonts w:ascii="仿宋" w:hAnsi="仿宋"/>
          <w:color w:val="auto"/>
          <w:szCs w:val="21"/>
          <w:highlight w:val="none"/>
        </w:rPr>
        <w:t xml:space="preserve">   I</w:t>
      </w:r>
      <w:r>
        <w:rPr>
          <w:rFonts w:ascii="仿宋" w:hAnsi="仿宋"/>
          <w:color w:val="auto"/>
          <w:kern w:val="0"/>
          <w:szCs w:val="21"/>
          <w:highlight w:val="none"/>
        </w:rPr>
        <w:t>.</w:t>
      </w:r>
      <w:r>
        <w:rPr>
          <w:rFonts w:ascii="仿宋" w:hAnsi="仿宋"/>
          <w:color w:val="auto"/>
          <w:szCs w:val="21"/>
          <w:highlight w:val="none"/>
        </w:rPr>
        <w:t>其他利害关系情况</w:t>
      </w:r>
      <w:r>
        <w:rPr>
          <w:rFonts w:ascii="仿宋" w:hAnsi="仿宋"/>
          <w:color w:val="auto"/>
          <w:szCs w:val="21"/>
          <w:highlight w:val="none"/>
          <w:u w:val="single"/>
        </w:rPr>
        <w:t xml:space="preserve">                              </w:t>
      </w:r>
      <w:r>
        <w:rPr>
          <w:rFonts w:ascii="仿宋" w:hAnsi="仿宋"/>
          <w:color w:val="auto"/>
          <w:kern w:val="0"/>
          <w:szCs w:val="21"/>
          <w:highlight w:val="none"/>
        </w:rPr>
        <w:t>。</w:t>
      </w:r>
    </w:p>
    <w:p>
      <w:pPr>
        <w:pStyle w:val="27"/>
        <w:widowControl/>
        <w:numPr>
          <w:ilvl w:val="0"/>
          <w:numId w:val="29"/>
        </w:numPr>
        <w:adjustRightInd w:val="0"/>
        <w:snapToGrid w:val="0"/>
        <w:spacing w:line="360" w:lineRule="auto"/>
        <w:ind w:firstLine="396" w:firstLineChars="189"/>
        <w:rPr>
          <w:rFonts w:ascii="仿宋" w:hAnsi="仿宋"/>
          <w:color w:val="auto"/>
          <w:kern w:val="0"/>
          <w:szCs w:val="21"/>
          <w:highlight w:val="none"/>
        </w:rPr>
      </w:pPr>
      <w:r>
        <w:rPr>
          <w:rFonts w:ascii="仿宋" w:hAnsi="仿宋"/>
          <w:color w:val="auto"/>
          <w:szCs w:val="21"/>
          <w:highlight w:val="none"/>
        </w:rPr>
        <w:t>现已清楚知道并</w:t>
      </w:r>
      <w:r>
        <w:rPr>
          <w:rFonts w:ascii="仿宋" w:hAnsi="仿宋"/>
          <w:color w:val="auto"/>
          <w:kern w:val="0"/>
          <w:szCs w:val="21"/>
          <w:highlight w:val="none"/>
        </w:rPr>
        <w:t>严格遵守政府采购法律法规和现场纪律。</w:t>
      </w:r>
    </w:p>
    <w:p>
      <w:pPr>
        <w:pStyle w:val="27"/>
        <w:widowControl/>
        <w:numPr>
          <w:ilvl w:val="0"/>
          <w:numId w:val="29"/>
        </w:numPr>
        <w:adjustRightInd w:val="0"/>
        <w:snapToGrid w:val="0"/>
        <w:spacing w:line="360" w:lineRule="auto"/>
        <w:ind w:firstLine="396" w:firstLineChars="189"/>
        <w:rPr>
          <w:rFonts w:ascii="仿宋" w:hAnsi="仿宋"/>
          <w:color w:val="auto"/>
          <w:kern w:val="0"/>
          <w:szCs w:val="21"/>
          <w:highlight w:val="none"/>
        </w:rPr>
      </w:pPr>
      <w:r>
        <w:rPr>
          <w:rFonts w:ascii="仿宋" w:hAnsi="仿宋"/>
          <w:color w:val="auto"/>
          <w:kern w:val="0"/>
          <w:szCs w:val="21"/>
          <w:highlight w:val="none"/>
        </w:rPr>
        <w:t>我发现</w:t>
      </w:r>
      <w:r>
        <w:rPr>
          <w:rFonts w:ascii="仿宋" w:hAnsi="仿宋"/>
          <w:color w:val="auto"/>
          <w:kern w:val="0"/>
          <w:szCs w:val="21"/>
          <w:highlight w:val="none"/>
          <w:u w:val="single"/>
        </w:rPr>
        <w:t xml:space="preserve">                    </w:t>
      </w:r>
      <w:r>
        <w:rPr>
          <w:rFonts w:ascii="仿宋" w:hAnsi="仿宋"/>
          <w:color w:val="auto"/>
          <w:kern w:val="0"/>
          <w:szCs w:val="21"/>
          <w:highlight w:val="none"/>
        </w:rPr>
        <w:t>供应商之间存在或可能存在上述第二条第</w:t>
      </w:r>
      <w:r>
        <w:rPr>
          <w:rFonts w:ascii="仿宋" w:hAnsi="仿宋"/>
          <w:color w:val="auto"/>
          <w:kern w:val="0"/>
          <w:szCs w:val="21"/>
          <w:highlight w:val="none"/>
          <w:u w:val="single"/>
        </w:rPr>
        <w:t xml:space="preserve">      </w:t>
      </w:r>
      <w:r>
        <w:rPr>
          <w:rFonts w:hint="default" w:ascii="仿宋" w:hAnsi="仿宋"/>
          <w:color w:val="auto"/>
          <w:kern w:val="0"/>
          <w:szCs w:val="21"/>
          <w:highlight w:val="none"/>
          <w:u w:val="single"/>
        </w:rPr>
        <w:t xml:space="preserve">  </w:t>
      </w:r>
      <w:r>
        <w:rPr>
          <w:rFonts w:ascii="仿宋" w:hAnsi="仿宋"/>
          <w:color w:val="auto"/>
          <w:kern w:val="0"/>
          <w:szCs w:val="21"/>
          <w:highlight w:val="none"/>
        </w:rPr>
        <w:t>项利害关系。</w:t>
      </w:r>
    </w:p>
    <w:p>
      <w:pPr>
        <w:pStyle w:val="27"/>
        <w:widowControl/>
        <w:adjustRightInd w:val="0"/>
        <w:snapToGrid w:val="0"/>
        <w:spacing w:line="360" w:lineRule="auto"/>
        <w:rPr>
          <w:rFonts w:hint="default" w:ascii="仿宋" w:hAnsi="仿宋"/>
          <w:color w:val="auto"/>
          <w:kern w:val="0"/>
          <w:szCs w:val="21"/>
          <w:highlight w:val="none"/>
        </w:rPr>
      </w:pPr>
    </w:p>
    <w:p>
      <w:pPr>
        <w:pStyle w:val="27"/>
        <w:widowControl/>
        <w:adjustRightInd w:val="0"/>
        <w:snapToGrid w:val="0"/>
        <w:spacing w:line="360" w:lineRule="auto"/>
        <w:rPr>
          <w:rFonts w:hint="default" w:ascii="仿宋" w:hAnsi="仿宋"/>
          <w:color w:val="auto"/>
          <w:kern w:val="0"/>
          <w:szCs w:val="21"/>
          <w:highlight w:val="none"/>
        </w:rPr>
      </w:pPr>
    </w:p>
    <w:p>
      <w:pPr>
        <w:pStyle w:val="27"/>
        <w:widowControl/>
        <w:adjustRightInd w:val="0"/>
        <w:snapToGrid w:val="0"/>
        <w:spacing w:line="360" w:lineRule="auto"/>
        <w:rPr>
          <w:rFonts w:hint="default" w:ascii="仿宋" w:hAnsi="仿宋"/>
          <w:color w:val="auto"/>
          <w:kern w:val="0"/>
          <w:szCs w:val="21"/>
          <w:highlight w:val="none"/>
        </w:rPr>
      </w:pPr>
    </w:p>
    <w:p>
      <w:pPr>
        <w:pStyle w:val="26"/>
        <w:widowControl w:val="0"/>
        <w:adjustRightInd w:val="0"/>
        <w:snapToGrid w:val="0"/>
        <w:spacing w:line="360" w:lineRule="auto"/>
        <w:ind w:firstLine="420" w:firstLineChars="200"/>
        <w:jc w:val="both"/>
        <w:rPr>
          <w:rFonts w:hint="default" w:ascii="仿宋" w:hAnsi="仿宋"/>
          <w:color w:val="auto"/>
          <w:szCs w:val="21"/>
          <w:highlight w:val="none"/>
        </w:rPr>
      </w:pPr>
      <w:r>
        <w:rPr>
          <w:rFonts w:ascii="仿宋" w:hAnsi="仿宋"/>
          <w:color w:val="auto"/>
          <w:szCs w:val="21"/>
          <w:highlight w:val="none"/>
        </w:rPr>
        <w:t xml:space="preserve">                                （供应商代表签名）</w:t>
      </w:r>
    </w:p>
    <w:p>
      <w:pPr>
        <w:adjustRightInd w:val="0"/>
        <w:snapToGrid w:val="0"/>
        <w:spacing w:line="360" w:lineRule="auto"/>
        <w:jc w:val="right"/>
        <w:rPr>
          <w:color w:val="auto"/>
          <w:szCs w:val="21"/>
          <w:highlight w:val="none"/>
        </w:rPr>
      </w:pPr>
      <w:r>
        <w:rPr>
          <w:color w:val="auto"/>
          <w:szCs w:val="21"/>
          <w:highlight w:val="none"/>
        </w:rPr>
        <w:t xml:space="preserve">                                   </w:t>
      </w:r>
      <w:r>
        <w:rPr>
          <w:rFonts w:hint="eastAsia"/>
          <w:color w:val="auto"/>
          <w:szCs w:val="21"/>
          <w:highlight w:val="none"/>
          <w:lang w:val="en-US" w:eastAsia="zh-CN"/>
        </w:rPr>
        <w:t xml:space="preserve">    </w:t>
      </w:r>
      <w:r>
        <w:rPr>
          <w:color w:val="auto"/>
          <w:szCs w:val="21"/>
          <w:highlight w:val="none"/>
        </w:rPr>
        <w:t>年</w:t>
      </w:r>
      <w:r>
        <w:rPr>
          <w:rFonts w:hint="eastAsia"/>
          <w:color w:val="auto"/>
          <w:szCs w:val="21"/>
          <w:highlight w:val="none"/>
          <w:lang w:val="en-US" w:eastAsia="zh-CN"/>
        </w:rPr>
        <w:t xml:space="preserve">  </w:t>
      </w:r>
      <w:r>
        <w:rPr>
          <w:color w:val="auto"/>
          <w:szCs w:val="21"/>
          <w:highlight w:val="none"/>
        </w:rPr>
        <w:t>月</w:t>
      </w:r>
      <w:r>
        <w:rPr>
          <w:rFonts w:hint="eastAsia"/>
          <w:color w:val="auto"/>
          <w:szCs w:val="21"/>
          <w:highlight w:val="none"/>
          <w:lang w:val="en-US" w:eastAsia="zh-CN"/>
        </w:rPr>
        <w:t xml:space="preserve">  </w:t>
      </w:r>
      <w:r>
        <w:rPr>
          <w:color w:val="auto"/>
          <w:szCs w:val="21"/>
          <w:highlight w:val="none"/>
        </w:rPr>
        <w:t>日</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spacing w:line="360" w:lineRule="auto"/>
        <w:jc w:val="center"/>
        <w:rPr>
          <w:rFonts w:hint="eastAsia" w:ascii="宋体" w:hAnsi="宋体" w:cs="宋体"/>
          <w:color w:val="auto"/>
          <w:sz w:val="30"/>
          <w:szCs w:val="30"/>
          <w:highlight w:val="none"/>
        </w:rPr>
      </w:pPr>
    </w:p>
    <w:p>
      <w:pPr>
        <w:pStyle w:val="2"/>
        <w:ind w:left="0" w:leftChars="0" w:firstLine="0" w:firstLineChars="0"/>
        <w:rPr>
          <w:rFonts w:hint="eastAsia" w:ascii="宋体" w:hAnsi="宋体" w:cs="宋体"/>
          <w:b/>
          <w:color w:val="auto"/>
          <w:sz w:val="21"/>
          <w:szCs w:val="21"/>
          <w:highlight w:val="none"/>
          <w:lang w:val="en-US" w:eastAsia="zh-CN"/>
        </w:rPr>
      </w:pPr>
      <w:r>
        <w:rPr>
          <w:rFonts w:hint="eastAsia"/>
          <w:color w:val="auto"/>
          <w:highlight w:val="none"/>
        </w:rPr>
        <w:br w:type="page"/>
      </w:r>
    </w:p>
    <w:p>
      <w:pPr>
        <w:tabs>
          <w:tab w:val="left" w:pos="0"/>
        </w:tabs>
        <w:autoSpaceDE w:val="0"/>
        <w:autoSpaceDN w:val="0"/>
        <w:spacing w:line="360" w:lineRule="auto"/>
        <w:jc w:val="center"/>
        <w:rPr>
          <w:rFonts w:hint="eastAsia" w:ascii="黑体" w:hAnsi="黑体" w:eastAsia="黑体" w:cs="黑体"/>
          <w:b/>
          <w:bCs/>
          <w:color w:val="auto"/>
          <w:sz w:val="30"/>
          <w:szCs w:val="30"/>
          <w:highlight w:val="none"/>
        </w:rPr>
      </w:pPr>
      <w:r>
        <w:rPr>
          <w:rFonts w:hint="eastAsia" w:ascii="黑体" w:hAnsi="黑体" w:eastAsia="黑体" w:cs="黑体"/>
          <w:b/>
          <w:bCs/>
          <w:color w:val="auto"/>
          <w:sz w:val="30"/>
          <w:szCs w:val="30"/>
          <w:highlight w:val="none"/>
        </w:rPr>
        <w:t>质疑函范本</w:t>
      </w:r>
    </w:p>
    <w:p>
      <w:pPr>
        <w:adjustRightInd w:val="0"/>
        <w:snapToGrid w:val="0"/>
        <w:spacing w:beforeLines="100" w:line="360" w:lineRule="auto"/>
        <w:rPr>
          <w:rFonts w:ascii="黑体" w:hAnsi="黑体" w:eastAsia="黑体" w:cs="仿宋"/>
          <w:bCs/>
          <w:color w:val="auto"/>
          <w:sz w:val="24"/>
          <w:szCs w:val="24"/>
          <w:highlight w:val="none"/>
        </w:rPr>
      </w:pPr>
      <w:r>
        <w:rPr>
          <w:rFonts w:hint="eastAsia" w:ascii="黑体" w:hAnsi="黑体" w:eastAsia="黑体" w:cs="仿宋"/>
          <w:bCs/>
          <w:color w:val="auto"/>
          <w:sz w:val="24"/>
          <w:szCs w:val="24"/>
          <w:highlight w:val="none"/>
        </w:rPr>
        <w:t>一、质疑供应商基本信息</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质疑供应商：</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授权代表：</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 xml:space="preserve">地址： </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ascii="黑体" w:hAnsi="黑体" w:eastAsia="黑体" w:cs="仿宋"/>
          <w:bCs/>
          <w:color w:val="auto"/>
          <w:sz w:val="24"/>
          <w:szCs w:val="24"/>
          <w:highlight w:val="none"/>
        </w:rPr>
      </w:pPr>
      <w:r>
        <w:rPr>
          <w:rFonts w:hint="eastAsia" w:ascii="黑体" w:hAnsi="黑体" w:eastAsia="黑体" w:cs="仿宋"/>
          <w:bCs/>
          <w:color w:val="auto"/>
          <w:sz w:val="24"/>
          <w:szCs w:val="24"/>
          <w:highlight w:val="none"/>
        </w:rPr>
        <w:t>二、质疑项目基本情况</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质疑项目的编号：</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包号：</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采购人名称：</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采购文件获取日期：</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ascii="黑体" w:hAnsi="黑体" w:eastAsia="黑体" w:cs="仿宋"/>
          <w:bCs/>
          <w:color w:val="auto"/>
          <w:sz w:val="24"/>
          <w:szCs w:val="24"/>
          <w:highlight w:val="none"/>
        </w:rPr>
      </w:pPr>
      <w:r>
        <w:rPr>
          <w:rFonts w:hint="eastAsia" w:ascii="黑体" w:hAnsi="黑体" w:eastAsia="黑体" w:cs="仿宋"/>
          <w:bCs/>
          <w:color w:val="auto"/>
          <w:sz w:val="24"/>
          <w:szCs w:val="24"/>
          <w:highlight w:val="none"/>
        </w:rPr>
        <w:t>三、质疑事项具体内容</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质疑事项1：</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事实依据：</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法律依据：</w:t>
      </w: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质疑事项2</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adjustRightInd w:val="0"/>
        <w:snapToGrid w:val="0"/>
        <w:spacing w:line="360" w:lineRule="auto"/>
        <w:rPr>
          <w:rFonts w:ascii="黑体" w:hAnsi="黑体" w:eastAsia="黑体" w:cs="仿宋"/>
          <w:bCs/>
          <w:color w:val="auto"/>
          <w:sz w:val="24"/>
          <w:szCs w:val="24"/>
          <w:highlight w:val="none"/>
        </w:rPr>
      </w:pPr>
      <w:r>
        <w:rPr>
          <w:rFonts w:hint="eastAsia" w:ascii="黑体" w:hAnsi="黑体" w:eastAsia="黑体" w:cs="仿宋"/>
          <w:bCs/>
          <w:color w:val="auto"/>
          <w:sz w:val="24"/>
          <w:szCs w:val="24"/>
          <w:highlight w:val="none"/>
        </w:rPr>
        <w:t>四、与质疑事项相关的质疑请求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请求：</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签字(签章)：                   公章：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w:t>
      </w:r>
    </w:p>
    <w:p>
      <w:pPr>
        <w:adjustRightInd w:val="0"/>
        <w:snapToGrid w:val="0"/>
        <w:spacing w:line="360" w:lineRule="auto"/>
        <w:rPr>
          <w:rFonts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b/>
          <w:color w:val="auto"/>
          <w:sz w:val="24"/>
          <w:szCs w:val="24"/>
          <w:highlight w:val="none"/>
        </w:rPr>
      </w:pPr>
      <w:r>
        <w:rPr>
          <w:rFonts w:hint="eastAsia" w:ascii="黑体" w:hAnsi="黑体" w:eastAsia="黑体"/>
          <w:b/>
          <w:color w:val="auto"/>
          <w:sz w:val="24"/>
          <w:szCs w:val="24"/>
          <w:highlight w:val="none"/>
        </w:rPr>
        <w:br w:type="page"/>
      </w:r>
      <w:r>
        <w:rPr>
          <w:rFonts w:hint="eastAsia" w:ascii="黑体" w:hAnsi="黑体" w:eastAsia="黑体"/>
          <w:b/>
          <w:color w:val="auto"/>
          <w:sz w:val="24"/>
          <w:szCs w:val="24"/>
          <w:highlight w:val="none"/>
        </w:rPr>
        <w:t>质疑函制作说明：</w:t>
      </w:r>
    </w:p>
    <w:p>
      <w:pPr>
        <w:pStyle w:val="2"/>
        <w:rPr>
          <w:color w:val="auto"/>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1.供应商提出质疑时，应提交质疑函和必要的证明材料。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szCs w:val="24"/>
          <w:highlight w:val="none"/>
        </w:rPr>
        <w:t>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3.质疑供应商若对项目的某一分包进行质疑，质疑函中应列明具体分包号。</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4.质疑函的质疑事项应具体、明确，并有必要的事实依据和法律依据。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5.质疑函的质疑请求应与质疑事项相关。</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6.质疑供应商为自然人的，质疑函应由本人签字；质疑供应商为法人或者其他组织的，质疑函应由法定代表人、主要负责人，或者其授权代表签字或者盖章，并加盖公章。</w:t>
      </w:r>
    </w:p>
    <w:p>
      <w:pPr>
        <w:widowControl/>
        <w:ind w:firstLine="480" w:firstLineChars="200"/>
        <w:jc w:val="left"/>
        <w:rPr>
          <w:rFonts w:ascii="仿宋_GB2312" w:eastAsia="仿宋_GB2312"/>
          <w:color w:val="auto"/>
          <w:sz w:val="24"/>
          <w:szCs w:val="24"/>
          <w:highlight w:val="none"/>
        </w:rPr>
      </w:pPr>
    </w:p>
    <w:p>
      <w:pPr>
        <w:rPr>
          <w:rFonts w:hint="default"/>
          <w:color w:val="auto"/>
          <w:highlight w:val="none"/>
          <w:lang w:val="en-US" w:eastAsia="zh-CN"/>
        </w:rPr>
      </w:pPr>
    </w:p>
    <w:p>
      <w:pPr>
        <w:jc w:val="both"/>
        <w:rPr>
          <w:rFonts w:hint="eastAsia" w:ascii="宋体" w:hAnsi="宋体"/>
          <w:b/>
          <w:color w:val="auto"/>
          <w:sz w:val="28"/>
          <w:szCs w:val="28"/>
          <w:highlight w:val="none"/>
        </w:rPr>
      </w:pPr>
      <w:r>
        <w:rPr>
          <w:rFonts w:hint="default"/>
          <w:color w:val="auto"/>
          <w:highlight w:val="none"/>
          <w:lang w:val="en-US" w:eastAsia="zh-CN"/>
        </w:rPr>
        <w:br w:type="page"/>
      </w:r>
    </w:p>
    <w:p>
      <w:pPr>
        <w:tabs>
          <w:tab w:val="left" w:pos="0"/>
        </w:tabs>
        <w:autoSpaceDE w:val="0"/>
        <w:autoSpaceDN w:val="0"/>
        <w:spacing w:line="360" w:lineRule="auto"/>
        <w:jc w:val="center"/>
        <w:rPr>
          <w:rFonts w:hint="eastAsia" w:ascii="黑体" w:hAnsi="黑体" w:eastAsia="黑体" w:cs="黑体"/>
          <w:b/>
          <w:bCs/>
          <w:color w:val="auto"/>
          <w:sz w:val="30"/>
          <w:szCs w:val="30"/>
          <w:highlight w:val="none"/>
        </w:rPr>
      </w:pPr>
      <w:r>
        <w:rPr>
          <w:rFonts w:hint="eastAsia" w:ascii="黑体" w:hAnsi="黑体" w:eastAsia="黑体" w:cs="黑体"/>
          <w:b/>
          <w:bCs/>
          <w:color w:val="auto"/>
          <w:sz w:val="30"/>
          <w:szCs w:val="30"/>
          <w:highlight w:val="none"/>
        </w:rPr>
        <w:t>投诉书范本</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color w:val="auto"/>
          <w:sz w:val="24"/>
          <w:szCs w:val="24"/>
          <w:highlight w:val="none"/>
        </w:rPr>
      </w:pPr>
      <w:r>
        <w:rPr>
          <w:rFonts w:hint="eastAsia" w:ascii="黑体" w:hAnsi="黑体" w:eastAsia="黑体"/>
          <w:color w:val="auto"/>
          <w:sz w:val="24"/>
          <w:szCs w:val="24"/>
          <w:highlight w:val="none"/>
        </w:rPr>
        <w:t>一、投诉相关主体基本情况</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投诉人：</w:t>
      </w: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keepNext w:val="0"/>
        <w:keepLines w:val="0"/>
        <w:pageBreakBefore w:val="0"/>
        <w:tabs>
          <w:tab w:val="left" w:pos="6510"/>
        </w:tabs>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法定代表人/主要负责人：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 xml:space="preserve">  </w:t>
      </w:r>
    </w:p>
    <w:p>
      <w:pPr>
        <w:keepNext w:val="0"/>
        <w:keepLines w:val="0"/>
        <w:pageBreakBefore w:val="0"/>
        <w:tabs>
          <w:tab w:val="left" w:pos="651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授权代表：</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被投诉人1：</w:t>
      </w: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被投诉人2</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相关供应商：</w:t>
      </w: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color w:val="auto"/>
          <w:sz w:val="24"/>
          <w:szCs w:val="24"/>
          <w:highlight w:val="none"/>
        </w:rPr>
      </w:pPr>
      <w:r>
        <w:rPr>
          <w:rFonts w:hint="eastAsia" w:ascii="黑体" w:hAnsi="黑体" w:eastAsia="黑体"/>
          <w:color w:val="auto"/>
          <w:sz w:val="24"/>
          <w:szCs w:val="24"/>
          <w:highlight w:val="none"/>
        </w:rPr>
        <w:t>二、投诉项目基本情况</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采购项目名称：</w:t>
      </w: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采购项目编号：</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包号：</w:t>
      </w: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采购人名称：</w:t>
      </w: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代理机构名称：</w:t>
      </w: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采购文件公告:</w:t>
      </w:r>
      <w:r>
        <w:rPr>
          <w:rFonts w:hint="eastAsia" w:ascii="宋体" w:hAnsi="宋体" w:eastAsia="宋体" w:cs="宋体"/>
          <w:color w:val="auto"/>
          <w:sz w:val="24"/>
          <w:szCs w:val="24"/>
          <w:highlight w:val="none"/>
          <w:u w:val="dotted"/>
        </w:rPr>
        <w:t xml:space="preserve">是/否 </w:t>
      </w:r>
      <w:r>
        <w:rPr>
          <w:rFonts w:hint="eastAsia" w:ascii="宋体" w:hAnsi="宋体" w:eastAsia="宋体" w:cs="宋体"/>
          <w:color w:val="auto"/>
          <w:sz w:val="24"/>
          <w:szCs w:val="24"/>
          <w:highlight w:val="none"/>
        </w:rPr>
        <w:t>公告期限：</w:t>
      </w: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采购结果公告:</w:t>
      </w:r>
      <w:r>
        <w:rPr>
          <w:rFonts w:hint="eastAsia" w:ascii="宋体" w:hAnsi="宋体" w:eastAsia="宋体" w:cs="宋体"/>
          <w:color w:val="auto"/>
          <w:sz w:val="24"/>
          <w:szCs w:val="24"/>
          <w:highlight w:val="none"/>
          <w:u w:val="dotted"/>
        </w:rPr>
        <w:t xml:space="preserve">是/否 </w:t>
      </w:r>
      <w:r>
        <w:rPr>
          <w:rFonts w:hint="eastAsia" w:ascii="宋体" w:hAnsi="宋体" w:eastAsia="宋体" w:cs="宋体"/>
          <w:color w:val="auto"/>
          <w:sz w:val="24"/>
          <w:szCs w:val="24"/>
          <w:highlight w:val="none"/>
        </w:rPr>
        <w:t>公告期限：</w:t>
      </w: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color w:val="auto"/>
          <w:sz w:val="24"/>
          <w:szCs w:val="24"/>
          <w:highlight w:val="none"/>
        </w:rPr>
      </w:pPr>
      <w:r>
        <w:rPr>
          <w:rFonts w:hint="eastAsia" w:ascii="黑体" w:hAnsi="黑体" w:eastAsia="黑体"/>
          <w:color w:val="auto"/>
          <w:sz w:val="24"/>
          <w:szCs w:val="24"/>
          <w:highlight w:val="none"/>
        </w:rPr>
        <w:t>三、质疑基本情况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投诉人于</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日,向</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提出质疑，质疑事项为：</w:t>
      </w: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 xml:space="preserve">  </w:t>
      </w:r>
    </w:p>
    <w:p>
      <w:pPr>
        <w:keepNext w:val="0"/>
        <w:keepLines w:val="0"/>
        <w:pageBreakBefore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dotted"/>
        </w:rPr>
        <w:t>采购人/代理机构</w:t>
      </w:r>
      <w:r>
        <w:rPr>
          <w:rFonts w:hint="eastAsia" w:ascii="宋体" w:hAnsi="宋体" w:eastAsia="宋体" w:cs="宋体"/>
          <w:color w:val="auto"/>
          <w:sz w:val="24"/>
          <w:szCs w:val="24"/>
          <w:highlight w:val="none"/>
        </w:rPr>
        <w:t>于</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日,就质疑事项作出了答复/没有在法定期限内作出答复。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color w:val="auto"/>
          <w:sz w:val="24"/>
          <w:szCs w:val="24"/>
          <w:highlight w:val="none"/>
        </w:rPr>
      </w:pPr>
      <w:r>
        <w:rPr>
          <w:rFonts w:hint="eastAsia" w:ascii="黑体" w:hAnsi="黑体" w:eastAsia="黑体"/>
          <w:color w:val="auto"/>
          <w:sz w:val="24"/>
          <w:szCs w:val="24"/>
          <w:highlight w:val="none"/>
        </w:rPr>
        <w:t>四、投诉事项具体内容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投诉事项 1：</w:t>
      </w: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事实依据：</w:t>
      </w: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法律依据：</w:t>
      </w: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u w:val="dotted"/>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投诉事项2</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color w:val="auto"/>
          <w:sz w:val="24"/>
          <w:szCs w:val="24"/>
          <w:highlight w:val="none"/>
        </w:rPr>
      </w:pPr>
      <w:r>
        <w:rPr>
          <w:rFonts w:hint="eastAsia" w:ascii="黑体" w:hAnsi="黑体" w:eastAsia="黑体"/>
          <w:color w:val="auto"/>
          <w:sz w:val="24"/>
          <w:szCs w:val="24"/>
          <w:highlight w:val="none"/>
        </w:rPr>
        <w:t>五、与投诉事项相关的投诉请求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请求：</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签字(签章)：                   公章：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b/>
          <w:color w:val="auto"/>
          <w:sz w:val="24"/>
          <w:szCs w:val="24"/>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b/>
          <w:color w:val="auto"/>
          <w:sz w:val="24"/>
          <w:szCs w:val="24"/>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b/>
          <w:color w:val="auto"/>
          <w:sz w:val="24"/>
          <w:szCs w:val="24"/>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b/>
          <w:color w:val="auto"/>
          <w:sz w:val="24"/>
          <w:szCs w:val="24"/>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b/>
          <w:color w:val="auto"/>
          <w:sz w:val="24"/>
          <w:szCs w:val="24"/>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b/>
          <w:color w:val="auto"/>
          <w:sz w:val="24"/>
          <w:szCs w:val="24"/>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b/>
          <w:color w:val="auto"/>
          <w:sz w:val="24"/>
          <w:szCs w:val="24"/>
          <w:highlight w:val="none"/>
        </w:rPr>
      </w:pPr>
    </w:p>
    <w:p>
      <w:pPr>
        <w:rPr>
          <w:rFonts w:hint="eastAsia" w:ascii="黑体" w:hAnsi="黑体" w:eastAsia="黑体"/>
          <w:b/>
          <w:color w:val="auto"/>
          <w:sz w:val="24"/>
          <w:szCs w:val="24"/>
          <w:highlight w:val="none"/>
        </w:rPr>
      </w:pPr>
      <w:r>
        <w:rPr>
          <w:rFonts w:hint="eastAsia" w:ascii="黑体" w:hAnsi="黑体" w:eastAsia="黑体"/>
          <w:b/>
          <w:color w:val="auto"/>
          <w:sz w:val="24"/>
          <w:szCs w:val="24"/>
          <w:highlight w:val="none"/>
        </w:rPr>
        <w:br w:type="page"/>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b/>
          <w:color w:val="auto"/>
          <w:sz w:val="24"/>
          <w:szCs w:val="24"/>
          <w:highlight w:val="none"/>
        </w:rPr>
      </w:pPr>
      <w:r>
        <w:rPr>
          <w:rFonts w:hint="eastAsia" w:ascii="黑体" w:hAnsi="黑体" w:eastAsia="黑体"/>
          <w:b/>
          <w:color w:val="auto"/>
          <w:sz w:val="24"/>
          <w:szCs w:val="24"/>
          <w:highlight w:val="none"/>
        </w:rPr>
        <w:t>投诉书制作说明：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1.投诉人提起投诉时，应当提交投诉书和必要的证明材料，并按照被投诉人和与投诉事项有关的供应商数量提供投诉书副本。</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szCs w:val="24"/>
          <w:highlight w:val="none"/>
        </w:rPr>
        <w:t>投诉人签署的授权委托书。授权委托书应当载明代</w:t>
      </w:r>
      <w:r>
        <w:rPr>
          <w:rFonts w:hint="eastAsia" w:ascii="宋体" w:hAnsi="宋体" w:eastAsia="宋体" w:cs="宋体"/>
          <w:color w:val="auto"/>
          <w:sz w:val="24"/>
          <w:szCs w:val="24"/>
          <w:highlight w:val="none"/>
        </w:rPr>
        <w:t>理人的姓名或者名称、代理事项、具体权限、期限和相关事项。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3.投诉人若对项目的某一分包进行投诉，投诉书应列明具体分包号。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4.投诉书应简要列明质疑事项，质疑函、质疑答复等作为附件材料提供。</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5.投诉书的投诉事项应具体、明确，并有必要的事实依据和法律依据。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6.投诉书的投诉请求应与投诉事项相关。</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7.投诉人为自然人的，投诉书应当由本人签字；投诉人为法人或者其他组织的，投诉书应当由法定代表人、主要负责人，或者其授权代表签字或者盖章，并加盖公章。</w:t>
      </w:r>
    </w:p>
    <w:p>
      <w:pPr>
        <w:pStyle w:val="2"/>
        <w:ind w:left="0" w:leftChars="0" w:firstLine="0" w:firstLineChars="0"/>
        <w:rPr>
          <w:rFonts w:hint="eastAsia"/>
          <w:color w:val="auto"/>
          <w:highlight w:val="none"/>
        </w:rPr>
      </w:pPr>
    </w:p>
    <w:p>
      <w:pPr>
        <w:rPr>
          <w:color w:val="auto"/>
          <w:highlight w:val="none"/>
        </w:rPr>
      </w:pPr>
    </w:p>
    <w:sectPr>
      <w:pgSz w:w="11906" w:h="16838"/>
      <w:pgMar w:top="1247" w:right="1587" w:bottom="1088" w:left="1587" w:header="851" w:footer="992" w:gutter="0"/>
      <w:pgBorders>
        <w:top w:val="none" w:sz="0" w:space="0"/>
        <w:left w:val="none" w:sz="0" w:space="0"/>
        <w:bottom w:val="none" w:sz="0" w:space="0"/>
        <w:right w:val="none" w:sz="0" w:space="0"/>
      </w:pgBorders>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Times New Roman"/>
    <w:panose1 w:val="020B0502020202020204"/>
    <w:charset w:val="00"/>
    <w:family w:val="swiss"/>
    <w:pitch w:val="default"/>
    <w:sig w:usb0="00000000"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Angsana New">
    <w:altName w:val="Times New Roman"/>
    <w:panose1 w:val="02020603050405020304"/>
    <w:charset w:val="00"/>
    <w:family w:val="roman"/>
    <w:pitch w:val="default"/>
    <w:sig w:usb0="00000000" w:usb1="00000000" w:usb2="00000000" w:usb3="00000000" w:csb0="0001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rPr>
        <w:rStyle w:val="22"/>
      </w:rPr>
      <w:instrText xml:space="preserve"> PAGE </w:instrText>
    </w:r>
    <w:r>
      <w:fldChar w:fldCharType="separate"/>
    </w:r>
    <w:r>
      <w:rPr>
        <w:rStyle w:val="22"/>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900"/>
        <w:tab w:val="clear" w:pos="4153"/>
        <w:tab w:val="clear" w:pos="8306"/>
      </w:tabs>
      <w:jc w:val="center"/>
    </w:pPr>
    <w:r>
      <w:fldChar w:fldCharType="begin"/>
    </w:r>
    <w:r>
      <w:rPr>
        <w:rStyle w:val="22"/>
      </w:rPr>
      <w:instrText xml:space="preserve"> PAGE </w:instrText>
    </w:r>
    <w:r>
      <w:fldChar w:fldCharType="separate"/>
    </w:r>
    <w:r>
      <w:rPr>
        <w:rStyle w:val="22"/>
      </w:rPr>
      <w:t>27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0"/>
      </w:pBdr>
      <w:jc w:val="right"/>
      <w:rPr>
        <w:rFonts w:hint="eastAsia" w:ascii="宋体" w:hAnsi="宋体" w:cs="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0"/>
      </w:pBdr>
      <w:jc w:val="right"/>
      <w:rPr>
        <w:rFonts w:hint="eastAsia" w:ascii="宋体" w:hAnsi="宋体" w:cs="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7853C1"/>
    <w:multiLevelType w:val="singleLevel"/>
    <w:tmpl w:val="837853C1"/>
    <w:lvl w:ilvl="0" w:tentative="0">
      <w:start w:val="1"/>
      <w:numFmt w:val="lowerLetter"/>
      <w:lvlText w:val="%1."/>
      <w:lvlJc w:val="left"/>
      <w:pPr>
        <w:tabs>
          <w:tab w:val="left" w:pos="312"/>
        </w:tabs>
      </w:pPr>
    </w:lvl>
  </w:abstractNum>
  <w:abstractNum w:abstractNumId="1">
    <w:nsid w:val="9443C1F7"/>
    <w:multiLevelType w:val="multilevel"/>
    <w:tmpl w:val="9443C1F7"/>
    <w:lvl w:ilvl="0" w:tentative="0">
      <w:start w:val="1"/>
      <w:numFmt w:val="decimal"/>
      <w:lvlText w:val="（%1）"/>
      <w:lvlJc w:val="left"/>
      <w:pPr>
        <w:tabs>
          <w:tab w:val="left" w:pos="1273"/>
        </w:tabs>
        <w:ind w:left="1262" w:hanging="500"/>
      </w:pPr>
      <w:rPr>
        <w:rFonts w:hint="eastAsia"/>
      </w:rPr>
    </w:lvl>
    <w:lvl w:ilvl="1" w:tentative="0">
      <w:start w:val="1"/>
      <w:numFmt w:val="japaneseCounting"/>
      <w:lvlText w:val="（%2）"/>
      <w:lvlJc w:val="left"/>
      <w:pPr>
        <w:ind w:left="1562" w:hanging="720"/>
      </w:pPr>
      <w:rPr>
        <w:rFonts w:hint="default"/>
      </w:r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2">
    <w:nsid w:val="98C19939"/>
    <w:multiLevelType w:val="singleLevel"/>
    <w:tmpl w:val="98C19939"/>
    <w:lvl w:ilvl="0" w:tentative="0">
      <w:start w:val="1"/>
      <w:numFmt w:val="decimal"/>
      <w:suff w:val="nothing"/>
      <w:lvlText w:val="（%1）"/>
      <w:lvlJc w:val="left"/>
    </w:lvl>
  </w:abstractNum>
  <w:abstractNum w:abstractNumId="3">
    <w:nsid w:val="99449755"/>
    <w:multiLevelType w:val="singleLevel"/>
    <w:tmpl w:val="99449755"/>
    <w:lvl w:ilvl="0" w:tentative="0">
      <w:start w:val="1"/>
      <w:numFmt w:val="decimal"/>
      <w:lvlText w:val="%1."/>
      <w:lvlJc w:val="left"/>
      <w:pPr>
        <w:tabs>
          <w:tab w:val="left" w:pos="312"/>
        </w:tabs>
      </w:pPr>
    </w:lvl>
  </w:abstractNum>
  <w:abstractNum w:abstractNumId="4">
    <w:nsid w:val="A6956879"/>
    <w:multiLevelType w:val="multilevel"/>
    <w:tmpl w:val="A6956879"/>
    <w:lvl w:ilvl="0" w:tentative="0">
      <w:start w:val="2"/>
      <w:numFmt w:val="decimal"/>
      <w:suff w:val="nothing"/>
      <w:lvlText w:val="（%1）"/>
      <w:lvlJc w:val="left"/>
    </w:lvl>
    <w:lvl w:ilvl="1" w:tentative="0">
      <w:start w:val="1"/>
      <w:numFmt w:val="decimalEnclosedCircleChinese"/>
      <w:lvlText w:val="%2"/>
      <w:lvlJc w:val="left"/>
      <w:pPr>
        <w:tabs>
          <w:tab w:val="left" w:pos="840"/>
        </w:tabs>
        <w:ind w:left="840" w:hanging="420"/>
      </w:pPr>
      <w:rPr>
        <w:rFonts w:hint="default"/>
      </w:rPr>
    </w:lvl>
    <w:lvl w:ilvl="2" w:tentative="0">
      <w:start w:val="1"/>
      <w:numFmt w:val="decimal"/>
      <w:lvlText w:val="%3)"/>
      <w:lvlJc w:val="left"/>
      <w:pPr>
        <w:tabs>
          <w:tab w:val="left" w:pos="1260"/>
        </w:tabs>
        <w:ind w:left="1260" w:hanging="420"/>
      </w:pPr>
      <w:rPr>
        <w:rFonts w:hint="default"/>
      </w:rPr>
    </w:lvl>
    <w:lvl w:ilvl="3" w:tentative="0">
      <w:start w:val="1"/>
      <w:numFmt w:val="lowerLetter"/>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5">
    <w:nsid w:val="A748B2BA"/>
    <w:multiLevelType w:val="singleLevel"/>
    <w:tmpl w:val="A748B2BA"/>
    <w:lvl w:ilvl="0" w:tentative="0">
      <w:start w:val="1"/>
      <w:numFmt w:val="decimal"/>
      <w:lvlText w:val="%1."/>
      <w:lvlJc w:val="left"/>
      <w:pPr>
        <w:tabs>
          <w:tab w:val="left" w:pos="312"/>
        </w:tabs>
      </w:pPr>
    </w:lvl>
  </w:abstractNum>
  <w:abstractNum w:abstractNumId="6">
    <w:nsid w:val="AB92FBAC"/>
    <w:multiLevelType w:val="singleLevel"/>
    <w:tmpl w:val="AB92FBAC"/>
    <w:lvl w:ilvl="0" w:tentative="0">
      <w:start w:val="1"/>
      <w:numFmt w:val="decimalEnclosedCircleChinese"/>
      <w:suff w:val="nothing"/>
      <w:lvlText w:val="%1　"/>
      <w:lvlJc w:val="left"/>
      <w:pPr>
        <w:ind w:left="0" w:firstLine="400"/>
      </w:pPr>
      <w:rPr>
        <w:rFonts w:hint="eastAsia"/>
      </w:rPr>
    </w:lvl>
  </w:abstractNum>
  <w:abstractNum w:abstractNumId="7">
    <w:nsid w:val="B09E43A5"/>
    <w:multiLevelType w:val="singleLevel"/>
    <w:tmpl w:val="B09E43A5"/>
    <w:lvl w:ilvl="0" w:tentative="0">
      <w:start w:val="1"/>
      <w:numFmt w:val="decimal"/>
      <w:suff w:val="space"/>
      <w:lvlText w:val="%1."/>
      <w:lvlJc w:val="left"/>
    </w:lvl>
  </w:abstractNum>
  <w:abstractNum w:abstractNumId="8">
    <w:nsid w:val="C52A12FF"/>
    <w:multiLevelType w:val="singleLevel"/>
    <w:tmpl w:val="C52A12FF"/>
    <w:lvl w:ilvl="0" w:tentative="0">
      <w:start w:val="2"/>
      <w:numFmt w:val="decimal"/>
      <w:suff w:val="nothing"/>
      <w:lvlText w:val="（%1）"/>
      <w:lvlJc w:val="left"/>
      <w:pPr>
        <w:ind w:left="-2"/>
      </w:pPr>
    </w:lvl>
  </w:abstractNum>
  <w:abstractNum w:abstractNumId="9">
    <w:nsid w:val="C8E4A651"/>
    <w:multiLevelType w:val="singleLevel"/>
    <w:tmpl w:val="C8E4A651"/>
    <w:lvl w:ilvl="0" w:tentative="0">
      <w:start w:val="1"/>
      <w:numFmt w:val="decimal"/>
      <w:lvlText w:val="(%1)"/>
      <w:lvlJc w:val="left"/>
      <w:pPr>
        <w:ind w:left="425" w:hanging="425"/>
      </w:pPr>
      <w:rPr>
        <w:rFonts w:hint="default"/>
      </w:rPr>
    </w:lvl>
  </w:abstractNum>
  <w:abstractNum w:abstractNumId="10">
    <w:nsid w:val="CBC0DC41"/>
    <w:multiLevelType w:val="singleLevel"/>
    <w:tmpl w:val="CBC0DC41"/>
    <w:lvl w:ilvl="0" w:tentative="0">
      <w:start w:val="1"/>
      <w:numFmt w:val="decimal"/>
      <w:lvlText w:val="%1."/>
      <w:lvlJc w:val="left"/>
      <w:pPr>
        <w:tabs>
          <w:tab w:val="left" w:pos="312"/>
        </w:tabs>
      </w:pPr>
    </w:lvl>
  </w:abstractNum>
  <w:abstractNum w:abstractNumId="11">
    <w:nsid w:val="F1D14BBD"/>
    <w:multiLevelType w:val="multilevel"/>
    <w:tmpl w:val="F1D14BBD"/>
    <w:lvl w:ilvl="0" w:tentative="0">
      <w:start w:val="1"/>
      <w:numFmt w:val="decimal"/>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2">
    <w:nsid w:val="F6CE8F93"/>
    <w:multiLevelType w:val="singleLevel"/>
    <w:tmpl w:val="F6CE8F93"/>
    <w:lvl w:ilvl="0" w:tentative="0">
      <w:start w:val="1"/>
      <w:numFmt w:val="decimalEnclosedCircleChinese"/>
      <w:suff w:val="nothing"/>
      <w:lvlText w:val="%1　"/>
      <w:lvlJc w:val="left"/>
      <w:pPr>
        <w:ind w:left="0" w:firstLine="400"/>
      </w:pPr>
      <w:rPr>
        <w:rFonts w:hint="eastAsia"/>
      </w:rPr>
    </w:lvl>
  </w:abstractNum>
  <w:abstractNum w:abstractNumId="13">
    <w:nsid w:val="FD8902AC"/>
    <w:multiLevelType w:val="singleLevel"/>
    <w:tmpl w:val="FD8902AC"/>
    <w:lvl w:ilvl="0" w:tentative="0">
      <w:start w:val="1"/>
      <w:numFmt w:val="lowerLetter"/>
      <w:lvlText w:val="%1."/>
      <w:lvlJc w:val="left"/>
      <w:pPr>
        <w:ind w:left="425" w:hanging="425"/>
      </w:pPr>
      <w:rPr>
        <w:rFonts w:hint="default"/>
      </w:rPr>
    </w:lvl>
  </w:abstractNum>
  <w:abstractNum w:abstractNumId="14">
    <w:nsid w:val="00000003"/>
    <w:multiLevelType w:val="multilevel"/>
    <w:tmpl w:val="00000003"/>
    <w:lvl w:ilvl="0" w:tentative="0">
      <w:start w:val="1"/>
      <w:numFmt w:val="decimal"/>
      <w:lvlText w:val="（%1）"/>
      <w:lvlJc w:val="left"/>
      <w:pPr>
        <w:tabs>
          <w:tab w:val="left" w:pos="937"/>
        </w:tabs>
        <w:ind w:left="926" w:hanging="50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2FCA2B6"/>
    <w:multiLevelType w:val="singleLevel"/>
    <w:tmpl w:val="02FCA2B6"/>
    <w:lvl w:ilvl="0" w:tentative="0">
      <w:start w:val="1"/>
      <w:numFmt w:val="decimal"/>
      <w:suff w:val="space"/>
      <w:lvlText w:val="%1."/>
      <w:lvlJc w:val="left"/>
    </w:lvl>
  </w:abstractNum>
  <w:abstractNum w:abstractNumId="16">
    <w:nsid w:val="0AB90C6B"/>
    <w:multiLevelType w:val="multilevel"/>
    <w:tmpl w:val="0AB90C6B"/>
    <w:lvl w:ilvl="0" w:tentative="0">
      <w:start w:val="1"/>
      <w:numFmt w:val="decimal"/>
      <w:lvlText w:val="（%1）"/>
      <w:lvlJc w:val="left"/>
      <w:pPr>
        <w:tabs>
          <w:tab w:val="left" w:pos="1273"/>
        </w:tabs>
        <w:ind w:left="1262" w:hanging="500"/>
      </w:pPr>
      <w:rPr>
        <w:rFonts w:hint="eastAsia"/>
      </w:rPr>
    </w:lvl>
    <w:lvl w:ilvl="1" w:tentative="0">
      <w:start w:val="1"/>
      <w:numFmt w:val="japaneseCounting"/>
      <w:lvlText w:val="（%2）"/>
      <w:lvlJc w:val="left"/>
      <w:pPr>
        <w:ind w:left="1562" w:hanging="720"/>
      </w:pPr>
      <w:rPr>
        <w:rFonts w:hint="default"/>
      </w:r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17">
    <w:nsid w:val="155271F1"/>
    <w:multiLevelType w:val="singleLevel"/>
    <w:tmpl w:val="155271F1"/>
    <w:lvl w:ilvl="0" w:tentative="0">
      <w:start w:val="1"/>
      <w:numFmt w:val="chineseCounting"/>
      <w:suff w:val="nothing"/>
      <w:lvlText w:val="%1、"/>
      <w:lvlJc w:val="left"/>
      <w:rPr>
        <w:rFonts w:hint="eastAsia"/>
      </w:rPr>
    </w:lvl>
  </w:abstractNum>
  <w:abstractNum w:abstractNumId="18">
    <w:nsid w:val="176A3C49"/>
    <w:multiLevelType w:val="multilevel"/>
    <w:tmpl w:val="176A3C49"/>
    <w:lvl w:ilvl="0" w:tentative="0">
      <w:start w:val="1"/>
      <w:numFmt w:val="decimal"/>
      <w:lvlText w:val="（%1）"/>
      <w:lvlJc w:val="left"/>
      <w:pPr>
        <w:tabs>
          <w:tab w:val="left" w:pos="1273"/>
        </w:tabs>
        <w:ind w:left="1262" w:hanging="500"/>
      </w:pPr>
      <w:rPr>
        <w:rFonts w:hint="eastAsia"/>
      </w:rPr>
    </w:lvl>
    <w:lvl w:ilvl="1" w:tentative="0">
      <w:start w:val="1"/>
      <w:numFmt w:val="japaneseCounting"/>
      <w:lvlText w:val="（%2）"/>
      <w:lvlJc w:val="left"/>
      <w:pPr>
        <w:ind w:left="1562" w:hanging="720"/>
      </w:pPr>
      <w:rPr>
        <w:rFonts w:hint="default"/>
      </w:r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19">
    <w:nsid w:val="22F0BE78"/>
    <w:multiLevelType w:val="multilevel"/>
    <w:tmpl w:val="22F0BE78"/>
    <w:lvl w:ilvl="0" w:tentative="0">
      <w:start w:val="1"/>
      <w:numFmt w:val="decimal"/>
      <w:lvlText w:val="（%1）"/>
      <w:lvlJc w:val="left"/>
      <w:pPr>
        <w:tabs>
          <w:tab w:val="left" w:pos="937"/>
        </w:tabs>
        <w:ind w:left="926" w:hanging="50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30F850BC"/>
    <w:multiLevelType w:val="singleLevel"/>
    <w:tmpl w:val="30F850BC"/>
    <w:lvl w:ilvl="0" w:tentative="0">
      <w:start w:val="5"/>
      <w:numFmt w:val="decimal"/>
      <w:suff w:val="nothing"/>
      <w:lvlText w:val="（%1）"/>
      <w:lvlJc w:val="left"/>
    </w:lvl>
  </w:abstractNum>
  <w:abstractNum w:abstractNumId="21">
    <w:nsid w:val="39E4E3C9"/>
    <w:multiLevelType w:val="singleLevel"/>
    <w:tmpl w:val="39E4E3C9"/>
    <w:lvl w:ilvl="0" w:tentative="0">
      <w:start w:val="13"/>
      <w:numFmt w:val="decimal"/>
      <w:suff w:val="nothing"/>
      <w:lvlText w:val="%1．"/>
      <w:lvlJc w:val="left"/>
    </w:lvl>
  </w:abstractNum>
  <w:abstractNum w:abstractNumId="22">
    <w:nsid w:val="47A7DCD3"/>
    <w:multiLevelType w:val="singleLevel"/>
    <w:tmpl w:val="47A7DCD3"/>
    <w:lvl w:ilvl="0" w:tentative="0">
      <w:start w:val="1"/>
      <w:numFmt w:val="decimal"/>
      <w:suff w:val="space"/>
      <w:lvlText w:val="%1."/>
      <w:lvlJc w:val="left"/>
    </w:lvl>
  </w:abstractNum>
  <w:abstractNum w:abstractNumId="23">
    <w:nsid w:val="54F403B5"/>
    <w:multiLevelType w:val="singleLevel"/>
    <w:tmpl w:val="54F403B5"/>
    <w:lvl w:ilvl="0" w:tentative="0">
      <w:start w:val="1"/>
      <w:numFmt w:val="chineseCounting"/>
      <w:suff w:val="nothing"/>
      <w:lvlText w:val="%1、"/>
      <w:lvlJc w:val="left"/>
    </w:lvl>
  </w:abstractNum>
  <w:abstractNum w:abstractNumId="24">
    <w:nsid w:val="557FD3DA"/>
    <w:multiLevelType w:val="singleLevel"/>
    <w:tmpl w:val="557FD3DA"/>
    <w:lvl w:ilvl="0" w:tentative="0">
      <w:start w:val="3"/>
      <w:numFmt w:val="chineseCounting"/>
      <w:suff w:val="nothing"/>
      <w:lvlText w:val="%1、"/>
      <w:lvlJc w:val="left"/>
    </w:lvl>
  </w:abstractNum>
  <w:abstractNum w:abstractNumId="25">
    <w:nsid w:val="5A3C02B2"/>
    <w:multiLevelType w:val="singleLevel"/>
    <w:tmpl w:val="5A3C02B2"/>
    <w:lvl w:ilvl="0" w:tentative="0">
      <w:start w:val="1"/>
      <w:numFmt w:val="lowerLetter"/>
      <w:lvlText w:val="%1."/>
      <w:lvlJc w:val="left"/>
      <w:pPr>
        <w:ind w:left="425" w:hanging="425"/>
      </w:pPr>
      <w:rPr>
        <w:rFonts w:hint="default"/>
      </w:rPr>
    </w:lvl>
  </w:abstractNum>
  <w:abstractNum w:abstractNumId="26">
    <w:nsid w:val="5A3F51AF"/>
    <w:multiLevelType w:val="singleLevel"/>
    <w:tmpl w:val="5A3F51AF"/>
    <w:lvl w:ilvl="0" w:tentative="0">
      <w:start w:val="1"/>
      <w:numFmt w:val="bullet"/>
      <w:pStyle w:val="6"/>
      <w:lvlText w:val=""/>
      <w:lvlJc w:val="left"/>
      <w:pPr>
        <w:tabs>
          <w:tab w:val="left" w:pos="360"/>
        </w:tabs>
        <w:ind w:left="360" w:hanging="360"/>
      </w:pPr>
      <w:rPr>
        <w:rFonts w:hint="default" w:ascii="Wingdings" w:hAnsi="Wingdings"/>
      </w:rPr>
    </w:lvl>
  </w:abstractNum>
  <w:abstractNum w:abstractNumId="27">
    <w:nsid w:val="631C03F0"/>
    <w:multiLevelType w:val="multilevel"/>
    <w:tmpl w:val="631C03F0"/>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7D4C19BB"/>
    <w:multiLevelType w:val="multilevel"/>
    <w:tmpl w:val="7D4C19BB"/>
    <w:lvl w:ilvl="0" w:tentative="0">
      <w:start w:val="1"/>
      <w:numFmt w:val="decimal"/>
      <w:lvlText w:val="（%1）"/>
      <w:lvlJc w:val="left"/>
      <w:pPr>
        <w:ind w:left="1249" w:hanging="420"/>
      </w:pPr>
      <w:rPr>
        <w:rFonts w:hint="eastAsia"/>
      </w:rPr>
    </w:lvl>
    <w:lvl w:ilvl="1" w:tentative="0">
      <w:start w:val="1"/>
      <w:numFmt w:val="decimal"/>
      <w:lvlText w:val="（%2）"/>
      <w:lvlJc w:val="left"/>
      <w:pPr>
        <w:ind w:left="3398" w:hanging="420"/>
      </w:pPr>
      <w:rPr>
        <w:rFonts w:hint="eastAsia"/>
      </w:rPr>
    </w:lvl>
    <w:lvl w:ilvl="2" w:tentative="0">
      <w:start w:val="1"/>
      <w:numFmt w:val="lowerRoman"/>
      <w:lvlText w:val="%3."/>
      <w:lvlJc w:val="right"/>
      <w:pPr>
        <w:ind w:left="2089" w:hanging="420"/>
      </w:pPr>
    </w:lvl>
    <w:lvl w:ilvl="3" w:tentative="0">
      <w:start w:val="1"/>
      <w:numFmt w:val="decimal"/>
      <w:lvlText w:val="%4."/>
      <w:lvlJc w:val="left"/>
      <w:pPr>
        <w:ind w:left="2509" w:hanging="420"/>
      </w:pPr>
    </w:lvl>
    <w:lvl w:ilvl="4" w:tentative="0">
      <w:start w:val="1"/>
      <w:numFmt w:val="lowerLetter"/>
      <w:lvlText w:val="%5)"/>
      <w:lvlJc w:val="left"/>
      <w:pPr>
        <w:ind w:left="2929" w:hanging="420"/>
      </w:pPr>
    </w:lvl>
    <w:lvl w:ilvl="5" w:tentative="0">
      <w:start w:val="1"/>
      <w:numFmt w:val="lowerRoman"/>
      <w:lvlText w:val="%6."/>
      <w:lvlJc w:val="right"/>
      <w:pPr>
        <w:ind w:left="3349" w:hanging="420"/>
      </w:pPr>
    </w:lvl>
    <w:lvl w:ilvl="6" w:tentative="0">
      <w:start w:val="1"/>
      <w:numFmt w:val="decimal"/>
      <w:lvlText w:val="%7."/>
      <w:lvlJc w:val="left"/>
      <w:pPr>
        <w:ind w:left="3769" w:hanging="420"/>
      </w:pPr>
    </w:lvl>
    <w:lvl w:ilvl="7" w:tentative="0">
      <w:start w:val="1"/>
      <w:numFmt w:val="lowerLetter"/>
      <w:lvlText w:val="%8)"/>
      <w:lvlJc w:val="left"/>
      <w:pPr>
        <w:ind w:left="4189" w:hanging="420"/>
      </w:pPr>
    </w:lvl>
    <w:lvl w:ilvl="8" w:tentative="0">
      <w:start w:val="1"/>
      <w:numFmt w:val="lowerRoman"/>
      <w:lvlText w:val="%9."/>
      <w:lvlJc w:val="right"/>
      <w:pPr>
        <w:ind w:left="4609" w:hanging="420"/>
      </w:pPr>
    </w:lvl>
  </w:abstractNum>
  <w:num w:numId="1">
    <w:abstractNumId w:val="26"/>
  </w:num>
  <w:num w:numId="2">
    <w:abstractNumId w:val="4"/>
  </w:num>
  <w:num w:numId="3">
    <w:abstractNumId w:val="7"/>
  </w:num>
  <w:num w:numId="4">
    <w:abstractNumId w:val="22"/>
  </w:num>
  <w:num w:numId="5">
    <w:abstractNumId w:val="15"/>
  </w:num>
  <w:num w:numId="6">
    <w:abstractNumId w:val="5"/>
  </w:num>
  <w:num w:numId="7">
    <w:abstractNumId w:val="25"/>
  </w:num>
  <w:num w:numId="8">
    <w:abstractNumId w:val="6"/>
  </w:num>
  <w:num w:numId="9">
    <w:abstractNumId w:val="8"/>
  </w:num>
  <w:num w:numId="10">
    <w:abstractNumId w:val="14"/>
  </w:num>
  <w:num w:numId="11">
    <w:abstractNumId w:val="19"/>
  </w:num>
  <w:num w:numId="12">
    <w:abstractNumId w:val="11"/>
  </w:num>
  <w:num w:numId="13">
    <w:abstractNumId w:val="27"/>
  </w:num>
  <w:num w:numId="14">
    <w:abstractNumId w:val="21"/>
  </w:num>
  <w:num w:numId="15">
    <w:abstractNumId w:val="0"/>
  </w:num>
  <w:num w:numId="16">
    <w:abstractNumId w:val="20"/>
  </w:num>
  <w:num w:numId="17">
    <w:abstractNumId w:val="17"/>
  </w:num>
  <w:num w:numId="18">
    <w:abstractNumId w:val="28"/>
  </w:num>
  <w:num w:numId="19">
    <w:abstractNumId w:val="2"/>
  </w:num>
  <w:num w:numId="20">
    <w:abstractNumId w:val="9"/>
  </w:num>
  <w:num w:numId="21">
    <w:abstractNumId w:val="16"/>
  </w:num>
  <w:num w:numId="22">
    <w:abstractNumId w:val="18"/>
  </w:num>
  <w:num w:numId="23">
    <w:abstractNumId w:val="1"/>
  </w:num>
  <w:num w:numId="24">
    <w:abstractNumId w:val="3"/>
  </w:num>
  <w:num w:numId="25">
    <w:abstractNumId w:val="13"/>
  </w:num>
  <w:num w:numId="26">
    <w:abstractNumId w:val="12"/>
  </w:num>
  <w:num w:numId="27">
    <w:abstractNumId w:val="10"/>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hMmRiZGM3ZTg4N2MzMmJlY2YyOGY4Y2Q5MDdlMzUifQ=="/>
  </w:docVars>
  <w:rsids>
    <w:rsidRoot w:val="39410A6D"/>
    <w:rsid w:val="00C00574"/>
    <w:rsid w:val="00E741C3"/>
    <w:rsid w:val="013D4B42"/>
    <w:rsid w:val="07A37123"/>
    <w:rsid w:val="09CF3A68"/>
    <w:rsid w:val="151D0E2B"/>
    <w:rsid w:val="16893F4C"/>
    <w:rsid w:val="1C880A5C"/>
    <w:rsid w:val="1E586658"/>
    <w:rsid w:val="1E9D20DE"/>
    <w:rsid w:val="27333133"/>
    <w:rsid w:val="2AD76B43"/>
    <w:rsid w:val="2C5B759D"/>
    <w:rsid w:val="2E47221F"/>
    <w:rsid w:val="325154C6"/>
    <w:rsid w:val="387824DE"/>
    <w:rsid w:val="39410A6D"/>
    <w:rsid w:val="39A400D7"/>
    <w:rsid w:val="3A3E1C33"/>
    <w:rsid w:val="3ABE6841"/>
    <w:rsid w:val="3AFE160D"/>
    <w:rsid w:val="41087E14"/>
    <w:rsid w:val="41931657"/>
    <w:rsid w:val="43065C6B"/>
    <w:rsid w:val="43C561F3"/>
    <w:rsid w:val="4A270584"/>
    <w:rsid w:val="4C0074F9"/>
    <w:rsid w:val="58E45172"/>
    <w:rsid w:val="608A797F"/>
    <w:rsid w:val="6745444A"/>
    <w:rsid w:val="70FD41A2"/>
    <w:rsid w:val="754756A3"/>
    <w:rsid w:val="7B1041DF"/>
    <w:rsid w:val="7BCE71FD"/>
    <w:rsid w:val="7D566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rFonts w:eastAsia="Century Gothic"/>
      <w:b/>
      <w:bCs/>
      <w:kern w:val="44"/>
      <w:sz w:val="44"/>
      <w:szCs w:val="44"/>
    </w:rPr>
  </w:style>
  <w:style w:type="paragraph" w:styleId="4">
    <w:name w:val="heading 2"/>
    <w:basedOn w:val="1"/>
    <w:next w:val="1"/>
    <w:qFormat/>
    <w:uiPriority w:val="0"/>
    <w:pPr>
      <w:keepNext/>
      <w:keepLines/>
      <w:adjustRightInd w:val="0"/>
      <w:spacing w:before="260" w:beforeLines="0" w:after="260" w:afterLines="0" w:line="415" w:lineRule="auto"/>
      <w:jc w:val="left"/>
      <w:outlineLvl w:val="1"/>
    </w:pPr>
    <w:rPr>
      <w:rFonts w:ascii="黑体" w:hAnsi="黑体" w:eastAsia="楷体"/>
      <w:b/>
      <w:bCs/>
      <w:sz w:val="32"/>
      <w:szCs w:val="32"/>
    </w:rPr>
  </w:style>
  <w:style w:type="paragraph" w:styleId="5">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adjustRightInd w:val="0"/>
      <w:spacing w:line="360" w:lineRule="auto"/>
      <w:ind w:firstLine="490"/>
      <w:jc w:val="left"/>
    </w:pPr>
    <w:rPr>
      <w:rFonts w:ascii="Century Gothic" w:hAnsi="Century Gothic" w:eastAsia="Century Gothic"/>
      <w:sz w:val="24"/>
      <w:szCs w:val="20"/>
    </w:rPr>
  </w:style>
  <w:style w:type="paragraph" w:styleId="6">
    <w:name w:val="List Bullet"/>
    <w:basedOn w:val="1"/>
    <w:next w:val="1"/>
    <w:qFormat/>
    <w:uiPriority w:val="0"/>
    <w:pPr>
      <w:numPr>
        <w:ilvl w:val="0"/>
        <w:numId w:val="1"/>
      </w:numPr>
    </w:pPr>
  </w:style>
  <w:style w:type="paragraph" w:styleId="7">
    <w:name w:val="annotation text"/>
    <w:basedOn w:val="1"/>
    <w:semiHidden/>
    <w:qFormat/>
    <w:uiPriority w:val="0"/>
    <w:pPr>
      <w:jc w:val="left"/>
    </w:pPr>
  </w:style>
  <w:style w:type="paragraph" w:styleId="8">
    <w:name w:val="Body Text"/>
    <w:basedOn w:val="1"/>
    <w:next w:val="9"/>
    <w:qFormat/>
    <w:uiPriority w:val="0"/>
    <w:pPr>
      <w:spacing w:after="120" w:afterLines="0"/>
    </w:pPr>
  </w:style>
  <w:style w:type="paragraph" w:styleId="9">
    <w:name w:val="Body Text First Indent"/>
    <w:basedOn w:val="8"/>
    <w:next w:val="10"/>
    <w:qFormat/>
    <w:uiPriority w:val="0"/>
    <w:pPr>
      <w:ind w:firstLine="420"/>
    </w:pPr>
  </w:style>
  <w:style w:type="paragraph" w:customStyle="1" w:styleId="10">
    <w:name w:val="样式 正文首行缩进 + 首行缩进:  1 字符"/>
    <w:basedOn w:val="9"/>
    <w:next w:val="6"/>
    <w:qFormat/>
    <w:uiPriority w:val="0"/>
    <w:pPr>
      <w:spacing w:after="40"/>
      <w:ind w:firstLine="200" w:firstLineChars="200"/>
    </w:pPr>
    <w:rPr>
      <w:rFonts w:eastAsia="隶书" w:cs="宋体"/>
      <w:snapToGrid/>
      <w:kern w:val="2"/>
      <w:shd w:val="clear" w:color="auto" w:fill="FFFFFF"/>
    </w:rPr>
  </w:style>
  <w:style w:type="paragraph" w:styleId="11">
    <w:name w:val="Plain Text"/>
    <w:basedOn w:val="1"/>
    <w:qFormat/>
    <w:uiPriority w:val="0"/>
    <w:rPr>
      <w:rFonts w:ascii="Century Gothic" w:hAnsi="楷体_GB2312" w:eastAsia="Century Gothic" w:cs="楷体_GB2312"/>
      <w:szCs w:val="21"/>
    </w:rPr>
  </w:style>
  <w:style w:type="paragraph" w:styleId="12">
    <w:name w:val="Date"/>
    <w:basedOn w:val="1"/>
    <w:next w:val="1"/>
    <w:qFormat/>
    <w:uiPriority w:val="0"/>
    <w:pPr>
      <w:ind w:left="100" w:leftChars="2500"/>
    </w:pPr>
  </w:style>
  <w:style w:type="paragraph" w:styleId="13">
    <w:name w:val="footer"/>
    <w:basedOn w:val="1"/>
    <w:qFormat/>
    <w:uiPriority w:val="0"/>
    <w:pPr>
      <w:tabs>
        <w:tab w:val="center" w:pos="4153"/>
        <w:tab w:val="right" w:pos="8306"/>
      </w:tabs>
      <w:adjustRightInd w:val="0"/>
      <w:jc w:val="left"/>
    </w:pPr>
    <w:rPr>
      <w:rFonts w:eastAsia="Century Gothic"/>
      <w:sz w:val="18"/>
      <w:szCs w:val="20"/>
    </w:rPr>
  </w:style>
  <w:style w:type="paragraph" w:styleId="14">
    <w:name w:val="header"/>
    <w:basedOn w:val="1"/>
    <w:qFormat/>
    <w:uiPriority w:val="0"/>
    <w:pPr>
      <w:pBdr>
        <w:bottom w:val="single" w:color="auto" w:sz="6" w:space="1"/>
      </w:pBdr>
      <w:tabs>
        <w:tab w:val="center" w:pos="4153"/>
        <w:tab w:val="right" w:pos="8306"/>
      </w:tabs>
      <w:adjustRightInd w:val="0"/>
      <w:jc w:val="center"/>
    </w:pPr>
    <w:rPr>
      <w:sz w:val="18"/>
      <w:szCs w:val="20"/>
    </w:rPr>
  </w:style>
  <w:style w:type="paragraph" w:styleId="15">
    <w:name w:val="toc 1"/>
    <w:basedOn w:val="1"/>
    <w:next w:val="1"/>
    <w:qFormat/>
    <w:uiPriority w:val="39"/>
    <w:pPr>
      <w:tabs>
        <w:tab w:val="right" w:leader="dot" w:pos="8720"/>
      </w:tabs>
      <w:spacing w:before="120" w:beforeLines="0" w:after="120" w:afterLines="0"/>
      <w:jc w:val="left"/>
    </w:pPr>
    <w:rPr>
      <w:rFonts w:ascii="Century Gothic" w:hAnsi="Century Gothic"/>
      <w:bCs/>
      <w:caps/>
      <w:sz w:val="20"/>
      <w:szCs w:val="20"/>
    </w:rPr>
  </w:style>
  <w:style w:type="paragraph" w:styleId="16">
    <w:name w:val="toc 2"/>
    <w:basedOn w:val="1"/>
    <w:next w:val="1"/>
    <w:qFormat/>
    <w:uiPriority w:val="39"/>
    <w:pPr>
      <w:tabs>
        <w:tab w:val="right" w:leader="dot" w:pos="8720"/>
      </w:tabs>
      <w:adjustRightInd w:val="0"/>
      <w:snapToGrid w:val="0"/>
      <w:jc w:val="left"/>
    </w:pPr>
    <w:rPr>
      <w:smallCaps/>
      <w:sz w:val="20"/>
      <w:szCs w:val="20"/>
    </w:rPr>
  </w:style>
  <w:style w:type="paragraph" w:styleId="17">
    <w:name w:val="Normal (Web)"/>
    <w:basedOn w:val="1"/>
    <w:qFormat/>
    <w:uiPriority w:val="0"/>
    <w:pPr>
      <w:widowControl/>
      <w:shd w:val="clear" w:color="auto" w:fill="FFFFFF"/>
      <w:spacing w:before="100" w:beforeLines="0" w:beforeAutospacing="1" w:after="100" w:afterLines="0" w:afterAutospacing="1"/>
      <w:jc w:val="left"/>
    </w:pPr>
    <w:rPr>
      <w:rFonts w:ascii="Century Gothic" w:hAnsi="Century Gothic"/>
      <w:kern w:val="0"/>
      <w:sz w:val="18"/>
      <w:szCs w:val="18"/>
    </w:rPr>
  </w:style>
  <w:style w:type="paragraph" w:styleId="18">
    <w:name w:val="Body Text First Indent 2"/>
    <w:basedOn w:val="2"/>
    <w:qFormat/>
    <w:uiPriority w:val="99"/>
    <w:pPr>
      <w:adjustRightInd w:val="0"/>
      <w:spacing w:after="0" w:line="360" w:lineRule="auto"/>
      <w:ind w:left="0" w:leftChars="0" w:firstLine="420" w:firstLineChars="200"/>
      <w:jc w:val="left"/>
    </w:pPr>
    <w:rPr>
      <w:rFonts w:ascii="Century Gothic" w:hAnsi="Century Gothic" w:eastAsia="Century Gothic" w:cs="Times New Roman"/>
      <w:sz w:val="24"/>
      <w:szCs w:val="20"/>
    </w:rPr>
  </w:style>
  <w:style w:type="table" w:styleId="20">
    <w:name w:val="Table Grid"/>
    <w:basedOn w:val="1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paragraph" w:customStyle="1" w:styleId="23">
    <w:name w:val="p0"/>
    <w:basedOn w:val="1"/>
    <w:unhideWhenUsed/>
    <w:qFormat/>
    <w:uiPriority w:val="0"/>
    <w:pPr>
      <w:widowControl/>
    </w:pPr>
    <w:rPr>
      <w:rFonts w:hint="eastAsia"/>
    </w:rPr>
  </w:style>
  <w:style w:type="paragraph" w:customStyle="1" w:styleId="24">
    <w:name w:val="列表段落1"/>
    <w:basedOn w:val="1"/>
    <w:qFormat/>
    <w:uiPriority w:val="34"/>
    <w:pPr>
      <w:ind w:firstLine="420" w:firstLineChars="200"/>
    </w:pPr>
  </w:style>
  <w:style w:type="paragraph" w:styleId="25">
    <w:name w:val="List Paragraph"/>
    <w:basedOn w:val="1"/>
    <w:qFormat/>
    <w:uiPriority w:val="0"/>
    <w:pPr>
      <w:ind w:firstLine="420" w:firstLineChars="200"/>
    </w:pPr>
    <w:rPr>
      <w:rFonts w:ascii="Times New Roman" w:hAnsi="Times New Roman" w:cs="Times New Roman"/>
    </w:rPr>
  </w:style>
  <w:style w:type="paragraph" w:customStyle="1" w:styleId="26">
    <w:name w:val="Plain Text"/>
    <w:basedOn w:val="27"/>
    <w:qFormat/>
    <w:uiPriority w:val="0"/>
    <w:pPr>
      <w:widowControl/>
      <w:jc w:val="left"/>
    </w:pPr>
    <w:rPr>
      <w:rFonts w:ascii="宋体" w:hAnsi="Courier New"/>
    </w:rPr>
  </w:style>
  <w:style w:type="paragraph" w:customStyle="1" w:styleId="27">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8">
    <w:name w:val="表格文字"/>
    <w:basedOn w:val="1"/>
    <w:next w:val="8"/>
    <w:qFormat/>
    <w:uiPriority w:val="0"/>
    <w:pPr>
      <w:jc w:val="center"/>
    </w:pPr>
    <w:rPr>
      <w:szCs w:val="20"/>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B表格正文"/>
    <w:next w:val="1"/>
    <w:qFormat/>
    <w:uiPriority w:val="0"/>
    <w:rPr>
      <w:rFonts w:eastAsia="黑体" w:asciiTheme="minorHAnsi" w:hAnsiTheme="minorHAnsi" w:cstheme="minorBidi"/>
      <w:kern w:val="2"/>
      <w:sz w:val="21"/>
      <w:szCs w:val="21"/>
      <w:lang w:val="en-US" w:eastAsia="zh-CN" w:bidi="ar-SA"/>
    </w:rPr>
  </w:style>
  <w:style w:type="paragraph" w:customStyle="1" w:styleId="31">
    <w:name w:val="B表头样式"/>
    <w:next w:val="1"/>
    <w:qFormat/>
    <w:uiPriority w:val="0"/>
    <w:pPr>
      <w:jc w:val="center"/>
    </w:pPr>
    <w:rPr>
      <w:rFonts w:eastAsia="黑体" w:asciiTheme="minorHAnsi" w:hAnsiTheme="minorHAnsi" w:cstheme="minorBidi"/>
      <w:b/>
      <w:kern w:val="2"/>
      <w:sz w:val="21"/>
      <w:szCs w:val="21"/>
      <w:lang w:val="en-US" w:eastAsia="zh-CN" w:bidi="ar-SA"/>
    </w:rPr>
  </w:style>
  <w:style w:type="paragraph" w:customStyle="1" w:styleId="32">
    <w:name w:val="正文（首行缩进2字符）"/>
    <w:basedOn w:val="1"/>
    <w:qFormat/>
    <w:uiPriority w:val="0"/>
    <w:pPr>
      <w:widowControl w:val="0"/>
      <w:snapToGrid w:val="0"/>
      <w:spacing w:line="240" w:lineRule="auto"/>
      <w:ind w:firstLine="461" w:firstLineChars="192"/>
      <w:jc w:val="both"/>
    </w:pPr>
    <w:rPr>
      <w:rFonts w:ascii="Times New Roman" w:hAnsi="Times New Roman" w:eastAsia="宋体" w:cs="Times New Roman"/>
      <w:kern w:val="0"/>
      <w:szCs w:val="28"/>
    </w:rPr>
  </w:style>
  <w:style w:type="character" w:customStyle="1" w:styleId="33">
    <w:name w:val="font11"/>
    <w:basedOn w:val="21"/>
    <w:qFormat/>
    <w:uiPriority w:val="0"/>
    <w:rPr>
      <w:rFonts w:hint="eastAsia" w:ascii="宋体" w:hAnsi="宋体" w:eastAsia="宋体" w:cs="宋体"/>
      <w:b/>
      <w:color w:val="000000"/>
      <w:sz w:val="21"/>
      <w:szCs w:val="21"/>
      <w:u w:val="none"/>
    </w:rPr>
  </w:style>
  <w:style w:type="character" w:customStyle="1" w:styleId="34">
    <w:name w:val="font01"/>
    <w:basedOn w:val="21"/>
    <w:qFormat/>
    <w:uiPriority w:val="0"/>
    <w:rPr>
      <w:rFonts w:hint="eastAsia" w:ascii="宋体" w:hAnsi="宋体" w:eastAsia="宋体" w:cs="宋体"/>
      <w:color w:val="000000"/>
      <w:sz w:val="21"/>
      <w:szCs w:val="21"/>
      <w:u w:val="none"/>
    </w:rPr>
  </w:style>
  <w:style w:type="paragraph" w:customStyle="1" w:styleId="35">
    <w:name w:val="_正文段落"/>
    <w:basedOn w:val="1"/>
    <w:qFormat/>
    <w:uiPriority w:val="0"/>
    <w:pPr>
      <w:spacing w:before="15" w:beforeLines="15" w:after="15" w:afterLines="15" w:line="360" w:lineRule="auto"/>
      <w:ind w:firstLine="560" w:firstLineChars="200"/>
    </w:pPr>
    <w:rPr>
      <w:rFonts w:eastAsia="宋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95</Pages>
  <Words>52030</Words>
  <Characters>54052</Characters>
  <Lines>0</Lines>
  <Paragraphs>0</Paragraphs>
  <TotalTime>12</TotalTime>
  <ScaleCrop>false</ScaleCrop>
  <LinksUpToDate>false</LinksUpToDate>
  <CharactersWithSpaces>59053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2022-10-09T11:24:00Z</dcterms:created>
  <dc:creator>33小姑娘</dc:creator>
  <cp:lastModifiedBy>CQY</cp:lastModifiedBy>
  <dcterms:modified xsi:type="dcterms:W3CDTF">2022-11-02T01:57:06Z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D006A11664934E4684344E8818C2BC6A</vt:lpwstr>
  </property>
</Properties>
</file>