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color w:val="auto"/>
          <w:w w:val="80"/>
          <w:sz w:val="52"/>
          <w:szCs w:val="52"/>
          <w:highlight w:val="none"/>
          <w:lang w:bidi="th-TH"/>
        </w:rPr>
      </w:pPr>
    </w:p>
    <w:p>
      <w:pPr>
        <w:pStyle w:val="3"/>
        <w:adjustRightInd w:val="0"/>
        <w:snapToGrid w:val="0"/>
        <w:spacing w:line="360" w:lineRule="auto"/>
        <w:ind w:firstLine="0"/>
        <w:rPr>
          <w:rFonts w:ascii="仿宋" w:hAnsi="仿宋" w:eastAsia="仿宋" w:cs="仿宋"/>
          <w:color w:val="auto"/>
          <w:highlight w:val="none"/>
        </w:rPr>
      </w:pPr>
    </w:p>
    <w:p>
      <w:pPr>
        <w:pStyle w:val="25"/>
        <w:widowControl w:val="0"/>
        <w:adjustRightInd w:val="0"/>
        <w:snapToGrid w:val="0"/>
        <w:spacing w:line="360" w:lineRule="auto"/>
        <w:ind w:firstLine="0"/>
        <w:jc w:val="center"/>
        <w:rPr>
          <w:rFonts w:hint="eastAsia" w:ascii="仿宋" w:hAnsi="仿宋" w:eastAsia="仿宋" w:cs="仿宋"/>
          <w:color w:val="auto"/>
          <w:sz w:val="52"/>
          <w:szCs w:val="52"/>
          <w:highlight w:val="none"/>
          <w:lang w:val="en-US" w:eastAsia="zh-CN"/>
        </w:rPr>
      </w:pPr>
      <w:r>
        <w:rPr>
          <w:rFonts w:hint="eastAsia" w:ascii="仿宋" w:hAnsi="仿宋" w:eastAsia="仿宋" w:cs="仿宋"/>
          <w:b/>
          <w:color w:val="auto"/>
          <w:spacing w:val="0"/>
          <w:w w:val="100"/>
          <w:kern w:val="21"/>
          <w:sz w:val="36"/>
          <w:szCs w:val="36"/>
          <w:highlight w:val="none"/>
        </w:rPr>
        <w:t>杭州市第一社会福利院（杭州市精神病人社会福利院）</w:t>
      </w:r>
    </w:p>
    <w:p>
      <w:pPr>
        <w:pStyle w:val="25"/>
        <w:widowControl w:val="0"/>
        <w:adjustRightInd w:val="0"/>
        <w:snapToGrid w:val="0"/>
        <w:spacing w:line="360" w:lineRule="auto"/>
        <w:ind w:firstLine="0"/>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val="en-US" w:eastAsia="zh-CN"/>
        </w:rPr>
        <w:t>2023年度</w:t>
      </w:r>
      <w:r>
        <w:rPr>
          <w:rFonts w:hint="eastAsia" w:ascii="仿宋" w:hAnsi="仿宋" w:eastAsia="仿宋" w:cs="仿宋"/>
          <w:color w:val="auto"/>
          <w:sz w:val="52"/>
          <w:szCs w:val="52"/>
          <w:highlight w:val="none"/>
          <w:lang w:eastAsia="zh-CN"/>
        </w:rPr>
        <w:t>服务对象护理服务</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2"/>
        <w:rPr>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CESI小标宋-GB2312" w:hAnsi="CESI小标宋-GB2312" w:eastAsia="CESI小标宋-GB2312" w:cs="CESI小标宋-GB2312"/>
          <w:b/>
          <w:color w:val="auto"/>
          <w:sz w:val="84"/>
          <w:szCs w:val="84"/>
          <w:highlight w:val="none"/>
        </w:rPr>
      </w:pPr>
      <w:r>
        <w:rPr>
          <w:rFonts w:hint="eastAsia" w:ascii="CESI小标宋-GB2312" w:hAnsi="CESI小标宋-GB2312" w:eastAsia="CESI小标宋-GB2312" w:cs="CESI小标宋-GB2312"/>
          <w:b/>
          <w:color w:val="auto"/>
          <w:spacing w:val="40"/>
          <w:w w:val="80"/>
          <w:sz w:val="96"/>
          <w:szCs w:val="96"/>
          <w:highlight w:val="none"/>
          <w:lang w:bidi="th-TH"/>
        </w:rPr>
        <w:t>招 标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default" w:ascii="仿宋" w:hAnsi="仿宋" w:eastAsia="仿宋" w:cs="仿宋"/>
          <w:b/>
          <w:color w:val="auto"/>
          <w:w w:val="80"/>
          <w:sz w:val="36"/>
          <w:szCs w:val="36"/>
          <w:highlight w:val="none"/>
          <w:lang w:val="en-US" w:eastAsia="zh-CN" w:bidi="th-TH"/>
        </w:rPr>
      </w:pPr>
      <w:r>
        <w:rPr>
          <w:rFonts w:hint="eastAsia" w:ascii="仿宋" w:hAnsi="仿宋" w:eastAsia="仿宋" w:cs="仿宋"/>
          <w:b/>
          <w:color w:val="auto"/>
          <w:w w:val="80"/>
          <w:sz w:val="36"/>
          <w:szCs w:val="36"/>
          <w:highlight w:val="none"/>
          <w:lang w:bidi="th-TH"/>
        </w:rPr>
        <w:t>项目编号：ZJ-2360055</w:t>
      </w:r>
    </w:p>
    <w:p>
      <w:pPr>
        <w:pStyle w:val="11"/>
        <w:ind w:left="5250"/>
        <w:rPr>
          <w:rFonts w:ascii="仿宋" w:hAnsi="仿宋" w:eastAsia="仿宋" w:cs="仿宋"/>
          <w:b/>
          <w:color w:val="auto"/>
          <w:szCs w:val="28"/>
          <w:highlight w:val="none"/>
        </w:rPr>
      </w:pPr>
      <w:r>
        <w:rPr>
          <w:rFonts w:hint="eastAsia" w:ascii="仿宋" w:hAnsi="仿宋" w:eastAsia="仿宋" w:cs="仿宋"/>
          <w:b/>
          <w:color w:val="auto"/>
          <w:highlight w:val="none"/>
        </w:rPr>
        <w:t xml:space="preserve">      </w:t>
      </w:r>
    </w:p>
    <w:p>
      <w:pPr>
        <w:rPr>
          <w:rFonts w:ascii="仿宋" w:hAnsi="仿宋" w:eastAsia="仿宋" w:cs="仿宋"/>
          <w:b/>
          <w:color w:val="auto"/>
          <w:highlight w:val="none"/>
        </w:rPr>
      </w:pPr>
    </w:p>
    <w:p>
      <w:pPr>
        <w:pStyle w:val="2"/>
        <w:rPr>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20"/>
        <w:tblW w:w="0" w:type="auto"/>
        <w:jc w:val="center"/>
        <w:tblLayout w:type="fixed"/>
        <w:tblCellMar>
          <w:top w:w="0" w:type="dxa"/>
          <w:left w:w="57" w:type="dxa"/>
          <w:bottom w:w="0" w:type="dxa"/>
          <w:right w:w="57" w:type="dxa"/>
        </w:tblCellMar>
      </w:tblPr>
      <w:tblGrid>
        <w:gridCol w:w="2032"/>
        <w:gridCol w:w="306"/>
        <w:gridCol w:w="4477"/>
      </w:tblGrid>
      <w:tr>
        <w:tblPrEx>
          <w:tblCellMar>
            <w:top w:w="0" w:type="dxa"/>
            <w:left w:w="57" w:type="dxa"/>
            <w:bottom w:w="0" w:type="dxa"/>
            <w:right w:w="57" w:type="dxa"/>
          </w:tblCellMar>
        </w:tblPrEx>
        <w:trPr>
          <w:trHeight w:val="680" w:hRule="atLeast"/>
          <w:jc w:val="center"/>
        </w:trPr>
        <w:tc>
          <w:tcPr>
            <w:tcW w:w="2032" w:type="dxa"/>
            <w:noWrap w:val="0"/>
            <w:vAlign w:val="top"/>
          </w:tcPr>
          <w:p>
            <w:pPr>
              <w:snapToGrid w:val="0"/>
              <w:jc w:val="distribute"/>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采购人</w:t>
            </w:r>
          </w:p>
        </w:tc>
        <w:tc>
          <w:tcPr>
            <w:tcW w:w="306" w:type="dxa"/>
            <w:noWrap w:val="0"/>
            <w:vAlign w:val="top"/>
          </w:tcPr>
          <w:p>
            <w:pPr>
              <w:snapToGrid w:val="0"/>
              <w:jc w:val="distribute"/>
              <w:rPr>
                <w:rFonts w:hint="eastAsia" w:ascii="仿宋" w:hAnsi="仿宋" w:eastAsia="仿宋" w:cs="仿宋"/>
                <w:color w:val="auto"/>
                <w:spacing w:val="0"/>
                <w:w w:val="100"/>
                <w:kern w:val="21"/>
                <w:sz w:val="30"/>
                <w:szCs w:val="30"/>
                <w:highlight w:val="none"/>
                <w:lang w:eastAsia="zh-CN"/>
              </w:rPr>
            </w:pPr>
            <w:r>
              <w:rPr>
                <w:rFonts w:hint="eastAsia" w:ascii="仿宋" w:hAnsi="仿宋" w:eastAsia="仿宋" w:cs="仿宋"/>
                <w:color w:val="auto"/>
                <w:spacing w:val="0"/>
                <w:w w:val="100"/>
                <w:kern w:val="21"/>
                <w:sz w:val="30"/>
                <w:szCs w:val="30"/>
                <w:highlight w:val="none"/>
                <w:lang w:val="en-US" w:eastAsia="zh-CN"/>
              </w:rPr>
              <w:t>:</w:t>
            </w:r>
          </w:p>
        </w:tc>
        <w:tc>
          <w:tcPr>
            <w:tcW w:w="4477" w:type="dxa"/>
            <w:noWrap w:val="0"/>
            <w:vAlign w:val="center"/>
          </w:tcPr>
          <w:p>
            <w:pPr>
              <w:snapToGrid w:val="0"/>
              <w:jc w:val="distribute"/>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杭州市第一社会福利院</w:t>
            </w:r>
          </w:p>
          <w:p>
            <w:pPr>
              <w:snapToGrid w:val="0"/>
              <w:jc w:val="distribute"/>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（杭州市精神病人社会福利院）</w:t>
            </w:r>
          </w:p>
        </w:tc>
      </w:tr>
      <w:tr>
        <w:tblPrEx>
          <w:tblCellMar>
            <w:top w:w="0" w:type="dxa"/>
            <w:left w:w="57" w:type="dxa"/>
            <w:bottom w:w="0" w:type="dxa"/>
            <w:right w:w="57" w:type="dxa"/>
          </w:tblCellMar>
        </w:tblPrEx>
        <w:trPr>
          <w:trHeight w:val="297" w:hRule="atLeast"/>
          <w:jc w:val="center"/>
        </w:trPr>
        <w:tc>
          <w:tcPr>
            <w:tcW w:w="2032" w:type="dxa"/>
            <w:noWrap w:val="0"/>
            <w:vAlign w:val="center"/>
          </w:tcPr>
          <w:p>
            <w:pPr>
              <w:snapToGrid w:val="0"/>
              <w:jc w:val="distribute"/>
              <w:rPr>
                <w:rFonts w:hint="eastAsia" w:ascii="仿宋" w:hAnsi="仿宋" w:eastAsia="仿宋" w:cs="仿宋"/>
                <w:color w:val="auto"/>
                <w:spacing w:val="0"/>
                <w:w w:val="100"/>
                <w:kern w:val="21"/>
                <w:szCs w:val="21"/>
                <w:highlight w:val="none"/>
              </w:rPr>
            </w:pPr>
          </w:p>
        </w:tc>
        <w:tc>
          <w:tcPr>
            <w:tcW w:w="306" w:type="dxa"/>
            <w:noWrap w:val="0"/>
            <w:vAlign w:val="center"/>
          </w:tcPr>
          <w:p>
            <w:pPr>
              <w:snapToGrid w:val="0"/>
              <w:jc w:val="distribute"/>
              <w:rPr>
                <w:rFonts w:hint="eastAsia" w:ascii="仿宋" w:hAnsi="仿宋" w:eastAsia="仿宋" w:cs="仿宋"/>
                <w:color w:val="auto"/>
                <w:spacing w:val="0"/>
                <w:w w:val="100"/>
                <w:kern w:val="21"/>
                <w:szCs w:val="21"/>
                <w:highlight w:val="none"/>
              </w:rPr>
            </w:pPr>
          </w:p>
        </w:tc>
        <w:tc>
          <w:tcPr>
            <w:tcW w:w="4477" w:type="dxa"/>
            <w:noWrap w:val="0"/>
            <w:vAlign w:val="center"/>
          </w:tcPr>
          <w:p>
            <w:pPr>
              <w:snapToGrid w:val="0"/>
              <w:jc w:val="distribute"/>
              <w:rPr>
                <w:rFonts w:hint="eastAsia" w:ascii="仿宋" w:hAnsi="仿宋" w:eastAsia="仿宋" w:cs="仿宋"/>
                <w:color w:val="auto"/>
                <w:spacing w:val="0"/>
                <w:w w:val="100"/>
                <w:kern w:val="21"/>
                <w:szCs w:val="21"/>
                <w:highlight w:val="none"/>
              </w:rPr>
            </w:pPr>
          </w:p>
        </w:tc>
      </w:tr>
      <w:tr>
        <w:tblPrEx>
          <w:tblCellMar>
            <w:top w:w="0" w:type="dxa"/>
            <w:left w:w="57" w:type="dxa"/>
            <w:bottom w:w="0" w:type="dxa"/>
            <w:right w:w="57" w:type="dxa"/>
          </w:tblCellMar>
        </w:tblPrEx>
        <w:trPr>
          <w:trHeight w:val="680" w:hRule="atLeast"/>
          <w:jc w:val="center"/>
        </w:trPr>
        <w:tc>
          <w:tcPr>
            <w:tcW w:w="2032" w:type="dxa"/>
            <w:noWrap w:val="0"/>
            <w:vAlign w:val="center"/>
          </w:tcPr>
          <w:p>
            <w:pPr>
              <w:snapToGrid w:val="0"/>
              <w:jc w:val="distribute"/>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采购代理机构</w:t>
            </w:r>
          </w:p>
        </w:tc>
        <w:tc>
          <w:tcPr>
            <w:tcW w:w="306" w:type="dxa"/>
            <w:noWrap w:val="0"/>
            <w:vAlign w:val="center"/>
          </w:tcPr>
          <w:p>
            <w:pPr>
              <w:snapToGrid w:val="0"/>
              <w:jc w:val="distribute"/>
              <w:rPr>
                <w:rFonts w:hint="eastAsia" w:ascii="仿宋" w:hAnsi="仿宋" w:eastAsia="仿宋" w:cs="仿宋"/>
                <w:color w:val="auto"/>
                <w:spacing w:val="0"/>
                <w:w w:val="100"/>
                <w:kern w:val="21"/>
                <w:sz w:val="30"/>
                <w:szCs w:val="30"/>
                <w:highlight w:val="none"/>
                <w:lang w:eastAsia="zh-CN"/>
              </w:rPr>
            </w:pPr>
            <w:r>
              <w:rPr>
                <w:rFonts w:hint="eastAsia" w:ascii="仿宋" w:hAnsi="仿宋" w:eastAsia="仿宋" w:cs="仿宋"/>
                <w:color w:val="auto"/>
                <w:spacing w:val="0"/>
                <w:w w:val="100"/>
                <w:kern w:val="21"/>
                <w:sz w:val="30"/>
                <w:szCs w:val="30"/>
                <w:highlight w:val="none"/>
                <w:lang w:val="en-US" w:eastAsia="zh-CN"/>
              </w:rPr>
              <w:t>:</w:t>
            </w:r>
          </w:p>
        </w:tc>
        <w:tc>
          <w:tcPr>
            <w:tcW w:w="4477" w:type="dxa"/>
            <w:noWrap w:val="0"/>
            <w:vAlign w:val="center"/>
          </w:tcPr>
          <w:p>
            <w:pPr>
              <w:snapToGrid w:val="0"/>
              <w:jc w:val="distribute"/>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浙江国际招投标</w:t>
            </w:r>
            <w:r>
              <w:rPr>
                <w:rFonts w:hint="eastAsia" w:ascii="仿宋" w:hAnsi="仿宋" w:eastAsia="仿宋" w:cs="仿宋"/>
                <w:color w:val="auto"/>
                <w:spacing w:val="0"/>
                <w:w w:val="100"/>
                <w:kern w:val="21"/>
                <w:sz w:val="30"/>
                <w:szCs w:val="30"/>
                <w:highlight w:val="none"/>
                <w:lang w:eastAsia="zh-CN"/>
              </w:rPr>
              <w:t>有限</w:t>
            </w:r>
            <w:r>
              <w:rPr>
                <w:rFonts w:hint="eastAsia" w:ascii="仿宋" w:hAnsi="仿宋" w:eastAsia="仿宋" w:cs="仿宋"/>
                <w:color w:val="auto"/>
                <w:spacing w:val="0"/>
                <w:w w:val="100"/>
                <w:kern w:val="21"/>
                <w:sz w:val="30"/>
                <w:szCs w:val="30"/>
                <w:highlight w:val="none"/>
              </w:rPr>
              <w:t>公司</w:t>
            </w:r>
          </w:p>
        </w:tc>
      </w:tr>
      <w:tr>
        <w:tblPrEx>
          <w:tblCellMar>
            <w:top w:w="0" w:type="dxa"/>
            <w:left w:w="57" w:type="dxa"/>
            <w:bottom w:w="0" w:type="dxa"/>
            <w:right w:w="57" w:type="dxa"/>
          </w:tblCellMar>
        </w:tblPrEx>
        <w:trPr>
          <w:trHeight w:val="680" w:hRule="atLeast"/>
          <w:jc w:val="center"/>
        </w:trPr>
        <w:tc>
          <w:tcPr>
            <w:tcW w:w="6815" w:type="dxa"/>
            <w:gridSpan w:val="3"/>
            <w:noWrap w:val="0"/>
            <w:vAlign w:val="bottom"/>
          </w:tcPr>
          <w:p>
            <w:pPr>
              <w:snapToGrid w:val="0"/>
              <w:jc w:val="center"/>
              <w:rPr>
                <w:rFonts w:hint="eastAsia" w:ascii="仿宋" w:hAnsi="仿宋" w:eastAsia="仿宋" w:cs="仿宋"/>
                <w:color w:val="auto"/>
                <w:spacing w:val="0"/>
                <w:w w:val="100"/>
                <w:kern w:val="21"/>
                <w:sz w:val="30"/>
                <w:szCs w:val="30"/>
                <w:highlight w:val="none"/>
              </w:rPr>
            </w:pPr>
            <w:r>
              <w:rPr>
                <w:rFonts w:hint="eastAsia" w:ascii="仿宋" w:hAnsi="仿宋" w:eastAsia="仿宋" w:cs="仿宋"/>
                <w:color w:val="auto"/>
                <w:spacing w:val="0"/>
                <w:w w:val="100"/>
                <w:kern w:val="21"/>
                <w:sz w:val="30"/>
                <w:szCs w:val="30"/>
                <w:highlight w:val="none"/>
              </w:rPr>
              <w:t>202</w:t>
            </w:r>
            <w:r>
              <w:rPr>
                <w:rFonts w:hint="eastAsia" w:ascii="仿宋" w:hAnsi="仿宋" w:eastAsia="仿宋" w:cs="仿宋"/>
                <w:color w:val="auto"/>
                <w:spacing w:val="0"/>
                <w:w w:val="100"/>
                <w:kern w:val="21"/>
                <w:sz w:val="30"/>
                <w:szCs w:val="30"/>
                <w:highlight w:val="none"/>
                <w:lang w:val="en-US" w:eastAsia="zh-CN"/>
              </w:rPr>
              <w:t>2</w:t>
            </w:r>
            <w:r>
              <w:rPr>
                <w:rFonts w:hint="eastAsia" w:ascii="仿宋" w:hAnsi="仿宋" w:eastAsia="仿宋" w:cs="仿宋"/>
                <w:color w:val="auto"/>
                <w:spacing w:val="0"/>
                <w:w w:val="100"/>
                <w:kern w:val="21"/>
                <w:sz w:val="30"/>
                <w:szCs w:val="30"/>
                <w:highlight w:val="none"/>
              </w:rPr>
              <w:t>年</w:t>
            </w:r>
            <w:r>
              <w:rPr>
                <w:rFonts w:hint="eastAsia" w:ascii="仿宋" w:hAnsi="仿宋" w:eastAsia="仿宋" w:cs="仿宋"/>
                <w:color w:val="auto"/>
                <w:spacing w:val="0"/>
                <w:w w:val="100"/>
                <w:kern w:val="21"/>
                <w:sz w:val="30"/>
                <w:szCs w:val="30"/>
                <w:highlight w:val="none"/>
                <w:lang w:val="en-US" w:eastAsia="zh-CN"/>
              </w:rPr>
              <w:t>12</w:t>
            </w:r>
            <w:r>
              <w:rPr>
                <w:rFonts w:hint="eastAsia" w:ascii="仿宋" w:hAnsi="仿宋" w:eastAsia="仿宋" w:cs="仿宋"/>
                <w:color w:val="auto"/>
                <w:spacing w:val="0"/>
                <w:w w:val="100"/>
                <w:kern w:val="21"/>
                <w:sz w:val="30"/>
                <w:szCs w:val="30"/>
                <w:highlight w:val="none"/>
              </w:rPr>
              <w:t>月</w:t>
            </w:r>
          </w:p>
        </w:tc>
      </w:tr>
    </w:tbl>
    <w:p>
      <w:pPr>
        <w:pStyle w:val="1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14"/>
        <w:tabs>
          <w:tab w:val="right" w:leader="dot" w:pos="9070"/>
          <w:tab w:val="clear" w:pos="8720"/>
        </w:tabs>
        <w:rPr>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highlight w:val="none"/>
        </w:rPr>
        <w:tab/>
      </w:r>
      <w:r>
        <w:rPr>
          <w:highlight w:val="none"/>
        </w:rPr>
        <w:fldChar w:fldCharType="begin"/>
      </w:r>
      <w:r>
        <w:rPr>
          <w:highlight w:val="none"/>
        </w:rPr>
        <w:instrText xml:space="preserve"> PAGEREF _Toc14260 \h </w:instrText>
      </w:r>
      <w:r>
        <w:rPr>
          <w:highlight w:val="none"/>
        </w:rPr>
        <w:fldChar w:fldCharType="separate"/>
      </w:r>
      <w:r>
        <w:rPr>
          <w:highlight w:val="none"/>
        </w:rPr>
        <w:t>3</w:t>
      </w:r>
      <w:r>
        <w:rPr>
          <w:highlight w:val="none"/>
        </w:rPr>
        <w:fldChar w:fldCharType="end"/>
      </w:r>
    </w:p>
    <w:p>
      <w:pPr>
        <w:pStyle w:val="15"/>
        <w:tabs>
          <w:tab w:val="right" w:leader="dot" w:pos="9070"/>
          <w:tab w:val="clear" w:pos="8720"/>
        </w:tabs>
        <w:rPr>
          <w:highlight w:val="none"/>
        </w:rPr>
      </w:pPr>
      <w:r>
        <w:rPr>
          <w:rFonts w:hint="eastAsia" w:ascii="仿宋" w:hAnsi="仿宋" w:eastAsia="仿宋" w:cs="仿宋"/>
          <w:color w:val="auto"/>
          <w:szCs w:val="30"/>
          <w:highlight w:val="none"/>
        </w:rPr>
        <w:t>前 附 表</w:t>
      </w:r>
      <w:r>
        <w:rPr>
          <w:highlight w:val="none"/>
        </w:rPr>
        <w:tab/>
      </w:r>
      <w:r>
        <w:rPr>
          <w:highlight w:val="none"/>
        </w:rPr>
        <w:fldChar w:fldCharType="begin"/>
      </w:r>
      <w:r>
        <w:rPr>
          <w:highlight w:val="none"/>
        </w:rPr>
        <w:instrText xml:space="preserve"> PAGEREF _Toc26345 \h </w:instrText>
      </w:r>
      <w:r>
        <w:rPr>
          <w:highlight w:val="none"/>
        </w:rPr>
        <w:fldChar w:fldCharType="separate"/>
      </w:r>
      <w:r>
        <w:rPr>
          <w:highlight w:val="none"/>
        </w:rPr>
        <w:t>8</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zCs w:val="30"/>
          <w:highlight w:val="none"/>
        </w:rPr>
        <w:t>第二部分  投标须知</w:t>
      </w:r>
      <w:r>
        <w:rPr>
          <w:highlight w:val="none"/>
        </w:rPr>
        <w:tab/>
      </w:r>
      <w:r>
        <w:rPr>
          <w:highlight w:val="none"/>
        </w:rPr>
        <w:fldChar w:fldCharType="begin"/>
      </w:r>
      <w:r>
        <w:rPr>
          <w:highlight w:val="none"/>
        </w:rPr>
        <w:instrText xml:space="preserve"> PAGEREF _Toc7086 \h </w:instrText>
      </w:r>
      <w:r>
        <w:rPr>
          <w:highlight w:val="none"/>
        </w:rPr>
        <w:fldChar w:fldCharType="separate"/>
      </w:r>
      <w:r>
        <w:rPr>
          <w:highlight w:val="none"/>
        </w:rPr>
        <w:t>12</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一、总则</w:t>
      </w:r>
      <w:r>
        <w:rPr>
          <w:highlight w:val="none"/>
        </w:rPr>
        <w:tab/>
      </w:r>
      <w:r>
        <w:rPr>
          <w:highlight w:val="none"/>
        </w:rPr>
        <w:fldChar w:fldCharType="begin"/>
      </w:r>
      <w:r>
        <w:rPr>
          <w:highlight w:val="none"/>
        </w:rPr>
        <w:instrText xml:space="preserve"> PAGEREF _Toc29347 \h </w:instrText>
      </w:r>
      <w:r>
        <w:rPr>
          <w:highlight w:val="none"/>
        </w:rPr>
        <w:fldChar w:fldCharType="separate"/>
      </w:r>
      <w:r>
        <w:rPr>
          <w:highlight w:val="none"/>
        </w:rPr>
        <w:t>12</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二、招标文件的构成、澄清、修改</w:t>
      </w:r>
      <w:r>
        <w:rPr>
          <w:highlight w:val="none"/>
        </w:rPr>
        <w:tab/>
      </w:r>
      <w:r>
        <w:rPr>
          <w:highlight w:val="none"/>
        </w:rPr>
        <w:fldChar w:fldCharType="begin"/>
      </w:r>
      <w:r>
        <w:rPr>
          <w:highlight w:val="none"/>
        </w:rPr>
        <w:instrText xml:space="preserve"> PAGEREF _Toc6316 \h </w:instrText>
      </w:r>
      <w:r>
        <w:rPr>
          <w:highlight w:val="none"/>
        </w:rPr>
        <w:fldChar w:fldCharType="separate"/>
      </w:r>
      <w:r>
        <w:rPr>
          <w:highlight w:val="none"/>
        </w:rPr>
        <w:t>16</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三、投标</w:t>
      </w:r>
      <w:r>
        <w:rPr>
          <w:highlight w:val="none"/>
        </w:rPr>
        <w:tab/>
      </w:r>
      <w:r>
        <w:rPr>
          <w:highlight w:val="none"/>
        </w:rPr>
        <w:fldChar w:fldCharType="begin"/>
      </w:r>
      <w:r>
        <w:rPr>
          <w:highlight w:val="none"/>
        </w:rPr>
        <w:instrText xml:space="preserve"> PAGEREF _Toc17867 \h </w:instrText>
      </w:r>
      <w:r>
        <w:rPr>
          <w:highlight w:val="none"/>
        </w:rPr>
        <w:fldChar w:fldCharType="separate"/>
      </w:r>
      <w:r>
        <w:rPr>
          <w:highlight w:val="none"/>
        </w:rPr>
        <w:t>17</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四、开标、资格审查与信用信息查询</w:t>
      </w:r>
      <w:r>
        <w:rPr>
          <w:highlight w:val="none"/>
        </w:rPr>
        <w:tab/>
      </w:r>
      <w:r>
        <w:rPr>
          <w:highlight w:val="none"/>
        </w:rPr>
        <w:fldChar w:fldCharType="begin"/>
      </w:r>
      <w:r>
        <w:rPr>
          <w:highlight w:val="none"/>
        </w:rPr>
        <w:instrText xml:space="preserve"> PAGEREF _Toc16623 \h </w:instrText>
      </w:r>
      <w:r>
        <w:rPr>
          <w:highlight w:val="none"/>
        </w:rPr>
        <w:fldChar w:fldCharType="separate"/>
      </w:r>
      <w:r>
        <w:rPr>
          <w:highlight w:val="none"/>
        </w:rPr>
        <w:t>20</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五、评标</w:t>
      </w:r>
      <w:r>
        <w:rPr>
          <w:highlight w:val="none"/>
        </w:rPr>
        <w:tab/>
      </w:r>
      <w:r>
        <w:rPr>
          <w:highlight w:val="none"/>
        </w:rPr>
        <w:fldChar w:fldCharType="begin"/>
      </w:r>
      <w:r>
        <w:rPr>
          <w:highlight w:val="none"/>
        </w:rPr>
        <w:instrText xml:space="preserve"> PAGEREF _Toc26480 \h </w:instrText>
      </w:r>
      <w:r>
        <w:rPr>
          <w:highlight w:val="none"/>
        </w:rPr>
        <w:fldChar w:fldCharType="separate"/>
      </w:r>
      <w:r>
        <w:rPr>
          <w:highlight w:val="none"/>
        </w:rPr>
        <w:t>21</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六、定 标</w:t>
      </w:r>
      <w:r>
        <w:rPr>
          <w:highlight w:val="none"/>
        </w:rPr>
        <w:tab/>
      </w:r>
      <w:r>
        <w:rPr>
          <w:highlight w:val="none"/>
        </w:rPr>
        <w:fldChar w:fldCharType="begin"/>
      </w:r>
      <w:r>
        <w:rPr>
          <w:highlight w:val="none"/>
        </w:rPr>
        <w:instrText xml:space="preserve"> PAGEREF _Toc3542 \h </w:instrText>
      </w:r>
      <w:r>
        <w:rPr>
          <w:highlight w:val="none"/>
        </w:rPr>
        <w:fldChar w:fldCharType="separate"/>
      </w:r>
      <w:r>
        <w:rPr>
          <w:highlight w:val="none"/>
        </w:rPr>
        <w:t>21</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七、合同授予</w:t>
      </w:r>
      <w:r>
        <w:rPr>
          <w:highlight w:val="none"/>
        </w:rPr>
        <w:tab/>
      </w:r>
      <w:r>
        <w:rPr>
          <w:highlight w:val="none"/>
        </w:rPr>
        <w:fldChar w:fldCharType="begin"/>
      </w:r>
      <w:r>
        <w:rPr>
          <w:highlight w:val="none"/>
        </w:rPr>
        <w:instrText xml:space="preserve"> PAGEREF _Toc26580 \h </w:instrText>
      </w:r>
      <w:r>
        <w:rPr>
          <w:highlight w:val="none"/>
        </w:rPr>
        <w:fldChar w:fldCharType="separate"/>
      </w:r>
      <w:r>
        <w:rPr>
          <w:highlight w:val="none"/>
        </w:rPr>
        <w:t>22</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八、电子交易活动的中止</w:t>
      </w:r>
      <w:r>
        <w:rPr>
          <w:highlight w:val="none"/>
        </w:rPr>
        <w:tab/>
      </w:r>
      <w:r>
        <w:rPr>
          <w:highlight w:val="none"/>
        </w:rPr>
        <w:fldChar w:fldCharType="begin"/>
      </w:r>
      <w:r>
        <w:rPr>
          <w:highlight w:val="none"/>
        </w:rPr>
        <w:instrText xml:space="preserve"> PAGEREF _Toc24948 \h </w:instrText>
      </w:r>
      <w:r>
        <w:rPr>
          <w:highlight w:val="none"/>
        </w:rPr>
        <w:fldChar w:fldCharType="separate"/>
      </w:r>
      <w:r>
        <w:rPr>
          <w:highlight w:val="none"/>
        </w:rPr>
        <w:t>23</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szCs w:val="20"/>
          <w:highlight w:val="none"/>
        </w:rPr>
        <w:t>九、验收</w:t>
      </w:r>
      <w:r>
        <w:rPr>
          <w:highlight w:val="none"/>
        </w:rPr>
        <w:tab/>
      </w:r>
      <w:r>
        <w:rPr>
          <w:highlight w:val="none"/>
        </w:rPr>
        <w:fldChar w:fldCharType="begin"/>
      </w:r>
      <w:r>
        <w:rPr>
          <w:highlight w:val="none"/>
        </w:rPr>
        <w:instrText xml:space="preserve"> PAGEREF _Toc20535 \h </w:instrText>
      </w:r>
      <w:r>
        <w:rPr>
          <w:highlight w:val="none"/>
        </w:rPr>
        <w:fldChar w:fldCharType="separate"/>
      </w:r>
      <w:r>
        <w:rPr>
          <w:highlight w:val="none"/>
        </w:rPr>
        <w:t>23</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zCs w:val="30"/>
          <w:highlight w:val="none"/>
        </w:rPr>
        <w:t>第三部分  采购需求</w:t>
      </w:r>
      <w:r>
        <w:rPr>
          <w:highlight w:val="none"/>
        </w:rPr>
        <w:tab/>
      </w:r>
      <w:r>
        <w:rPr>
          <w:highlight w:val="none"/>
        </w:rPr>
        <w:fldChar w:fldCharType="begin"/>
      </w:r>
      <w:r>
        <w:rPr>
          <w:highlight w:val="none"/>
        </w:rPr>
        <w:instrText xml:space="preserve"> PAGEREF _Toc22967 \h </w:instrText>
      </w:r>
      <w:r>
        <w:rPr>
          <w:highlight w:val="none"/>
        </w:rPr>
        <w:fldChar w:fldCharType="separate"/>
      </w:r>
      <w:r>
        <w:rPr>
          <w:highlight w:val="none"/>
        </w:rPr>
        <w:t>25</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zCs w:val="30"/>
          <w:highlight w:val="none"/>
        </w:rPr>
        <w:t>第四部分  评标办法</w:t>
      </w:r>
      <w:r>
        <w:rPr>
          <w:highlight w:val="none"/>
        </w:rPr>
        <w:tab/>
      </w:r>
      <w:r>
        <w:rPr>
          <w:highlight w:val="none"/>
        </w:rPr>
        <w:fldChar w:fldCharType="begin"/>
      </w:r>
      <w:r>
        <w:rPr>
          <w:highlight w:val="none"/>
        </w:rPr>
        <w:instrText xml:space="preserve"> PAGEREF _Toc16846 \h </w:instrText>
      </w:r>
      <w:r>
        <w:rPr>
          <w:highlight w:val="none"/>
        </w:rPr>
        <w:fldChar w:fldCharType="separate"/>
      </w:r>
      <w:r>
        <w:rPr>
          <w:highlight w:val="none"/>
        </w:rPr>
        <w:t>44</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pacing w:val="0"/>
          <w:w w:val="100"/>
          <w:kern w:val="21"/>
          <w:szCs w:val="28"/>
          <w:highlight w:val="none"/>
        </w:rPr>
        <w:t>评标办法前附表</w:t>
      </w:r>
      <w:r>
        <w:rPr>
          <w:highlight w:val="none"/>
        </w:rPr>
        <w:tab/>
      </w:r>
      <w:r>
        <w:rPr>
          <w:highlight w:val="none"/>
        </w:rPr>
        <w:fldChar w:fldCharType="begin"/>
      </w:r>
      <w:r>
        <w:rPr>
          <w:highlight w:val="none"/>
        </w:rPr>
        <w:instrText xml:space="preserve"> PAGEREF _Toc10744 \h </w:instrText>
      </w:r>
      <w:r>
        <w:rPr>
          <w:highlight w:val="none"/>
        </w:rPr>
        <w:fldChar w:fldCharType="separate"/>
      </w:r>
      <w:r>
        <w:rPr>
          <w:highlight w:val="none"/>
        </w:rPr>
        <w:t>44</w:t>
      </w:r>
      <w:r>
        <w:rPr>
          <w:highlight w:val="none"/>
        </w:rPr>
        <w:fldChar w:fldCharType="end"/>
      </w:r>
    </w:p>
    <w:p>
      <w:pPr>
        <w:pStyle w:val="15"/>
        <w:tabs>
          <w:tab w:val="right" w:leader="dot" w:pos="9070"/>
          <w:tab w:val="clear" w:pos="8720"/>
        </w:tabs>
        <w:rPr>
          <w:highlight w:val="none"/>
        </w:rPr>
      </w:pPr>
      <w:r>
        <w:rPr>
          <w:rFonts w:hint="eastAsia" w:ascii="仿宋" w:hAnsi="仿宋" w:eastAsia="仿宋" w:cs="仿宋"/>
          <w:color w:val="auto"/>
          <w:szCs w:val="24"/>
          <w:highlight w:val="none"/>
        </w:rPr>
        <w:t>一、评标方法</w:t>
      </w:r>
      <w:r>
        <w:rPr>
          <w:highlight w:val="none"/>
        </w:rPr>
        <w:tab/>
      </w:r>
      <w:r>
        <w:rPr>
          <w:highlight w:val="none"/>
        </w:rPr>
        <w:fldChar w:fldCharType="begin"/>
      </w:r>
      <w:r>
        <w:rPr>
          <w:highlight w:val="none"/>
        </w:rPr>
        <w:instrText xml:space="preserve"> PAGEREF _Toc17821 \h </w:instrText>
      </w:r>
      <w:r>
        <w:rPr>
          <w:highlight w:val="none"/>
        </w:rPr>
        <w:fldChar w:fldCharType="separate"/>
      </w:r>
      <w:r>
        <w:rPr>
          <w:highlight w:val="none"/>
        </w:rPr>
        <w:t>46</w:t>
      </w:r>
      <w:r>
        <w:rPr>
          <w:highlight w:val="none"/>
        </w:rPr>
        <w:fldChar w:fldCharType="end"/>
      </w:r>
    </w:p>
    <w:p>
      <w:pPr>
        <w:pStyle w:val="15"/>
        <w:tabs>
          <w:tab w:val="right" w:leader="dot" w:pos="9070"/>
          <w:tab w:val="clear" w:pos="8720"/>
        </w:tabs>
        <w:rPr>
          <w:highlight w:val="none"/>
        </w:rPr>
      </w:pPr>
      <w:r>
        <w:rPr>
          <w:rFonts w:hint="eastAsia" w:ascii="仿宋" w:hAnsi="仿宋" w:eastAsia="仿宋" w:cs="仿宋"/>
          <w:color w:val="auto"/>
          <w:szCs w:val="24"/>
          <w:highlight w:val="none"/>
        </w:rPr>
        <w:t>二、评标标准</w:t>
      </w:r>
      <w:r>
        <w:rPr>
          <w:highlight w:val="none"/>
        </w:rPr>
        <w:tab/>
      </w:r>
      <w:r>
        <w:rPr>
          <w:highlight w:val="none"/>
        </w:rPr>
        <w:fldChar w:fldCharType="begin"/>
      </w:r>
      <w:r>
        <w:rPr>
          <w:highlight w:val="none"/>
        </w:rPr>
        <w:instrText xml:space="preserve"> PAGEREF _Toc5618 \h </w:instrText>
      </w:r>
      <w:r>
        <w:rPr>
          <w:highlight w:val="none"/>
        </w:rPr>
        <w:fldChar w:fldCharType="separate"/>
      </w:r>
      <w:r>
        <w:rPr>
          <w:highlight w:val="none"/>
        </w:rPr>
        <w:t>46</w:t>
      </w:r>
      <w:r>
        <w:rPr>
          <w:highlight w:val="none"/>
        </w:rPr>
        <w:fldChar w:fldCharType="end"/>
      </w:r>
    </w:p>
    <w:p>
      <w:pPr>
        <w:pStyle w:val="15"/>
        <w:tabs>
          <w:tab w:val="right" w:leader="dot" w:pos="9070"/>
          <w:tab w:val="clear" w:pos="8720"/>
        </w:tabs>
        <w:rPr>
          <w:highlight w:val="none"/>
        </w:rPr>
      </w:pPr>
      <w:r>
        <w:rPr>
          <w:rFonts w:hint="eastAsia" w:ascii="仿宋" w:hAnsi="仿宋" w:eastAsia="仿宋" w:cs="仿宋"/>
          <w:color w:val="auto"/>
          <w:szCs w:val="24"/>
          <w:highlight w:val="none"/>
        </w:rPr>
        <w:t>三、评标程序</w:t>
      </w:r>
      <w:r>
        <w:rPr>
          <w:highlight w:val="none"/>
        </w:rPr>
        <w:tab/>
      </w:r>
      <w:r>
        <w:rPr>
          <w:highlight w:val="none"/>
        </w:rPr>
        <w:fldChar w:fldCharType="begin"/>
      </w:r>
      <w:r>
        <w:rPr>
          <w:highlight w:val="none"/>
        </w:rPr>
        <w:instrText xml:space="preserve"> PAGEREF _Toc7191 \h </w:instrText>
      </w:r>
      <w:r>
        <w:rPr>
          <w:highlight w:val="none"/>
        </w:rPr>
        <w:fldChar w:fldCharType="separate"/>
      </w:r>
      <w:r>
        <w:rPr>
          <w:highlight w:val="none"/>
        </w:rPr>
        <w:t>46</w:t>
      </w:r>
      <w:r>
        <w:rPr>
          <w:highlight w:val="none"/>
        </w:rPr>
        <w:fldChar w:fldCharType="end"/>
      </w:r>
    </w:p>
    <w:p>
      <w:pPr>
        <w:pStyle w:val="15"/>
        <w:tabs>
          <w:tab w:val="right" w:leader="dot" w:pos="9070"/>
          <w:tab w:val="clear" w:pos="8720"/>
        </w:tabs>
        <w:rPr>
          <w:highlight w:val="none"/>
        </w:rPr>
      </w:pPr>
      <w:r>
        <w:rPr>
          <w:rFonts w:hint="eastAsia" w:ascii="仿宋" w:hAnsi="仿宋" w:eastAsia="仿宋" w:cs="仿宋"/>
          <w:color w:val="auto"/>
          <w:szCs w:val="24"/>
          <w:highlight w:val="none"/>
        </w:rPr>
        <w:t>四、评标中的其他事项</w:t>
      </w:r>
      <w:r>
        <w:rPr>
          <w:highlight w:val="none"/>
        </w:rPr>
        <w:tab/>
      </w:r>
      <w:r>
        <w:rPr>
          <w:highlight w:val="none"/>
        </w:rPr>
        <w:fldChar w:fldCharType="begin"/>
      </w:r>
      <w:r>
        <w:rPr>
          <w:highlight w:val="none"/>
        </w:rPr>
        <w:instrText xml:space="preserve"> PAGEREF _Toc16744 \h </w:instrText>
      </w:r>
      <w:r>
        <w:rPr>
          <w:highlight w:val="none"/>
        </w:rPr>
        <w:fldChar w:fldCharType="separate"/>
      </w:r>
      <w:r>
        <w:rPr>
          <w:highlight w:val="none"/>
        </w:rPr>
        <w:t>47</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zCs w:val="30"/>
          <w:highlight w:val="none"/>
        </w:rPr>
        <w:t>第五部分  合同条款</w:t>
      </w:r>
      <w:r>
        <w:rPr>
          <w:highlight w:val="none"/>
        </w:rPr>
        <w:tab/>
      </w:r>
      <w:r>
        <w:rPr>
          <w:highlight w:val="none"/>
        </w:rPr>
        <w:fldChar w:fldCharType="begin"/>
      </w:r>
      <w:r>
        <w:rPr>
          <w:highlight w:val="none"/>
        </w:rPr>
        <w:instrText xml:space="preserve"> PAGEREF _Toc4775 \h </w:instrText>
      </w:r>
      <w:r>
        <w:rPr>
          <w:highlight w:val="none"/>
        </w:rPr>
        <w:fldChar w:fldCharType="separate"/>
      </w:r>
      <w:r>
        <w:rPr>
          <w:highlight w:val="none"/>
        </w:rPr>
        <w:t>50</w:t>
      </w:r>
      <w:r>
        <w:rPr>
          <w:highlight w:val="none"/>
        </w:rPr>
        <w:fldChar w:fldCharType="end"/>
      </w:r>
    </w:p>
    <w:p>
      <w:pPr>
        <w:pStyle w:val="14"/>
        <w:tabs>
          <w:tab w:val="right" w:leader="dot" w:pos="9070"/>
          <w:tab w:val="clear" w:pos="8720"/>
        </w:tabs>
        <w:rPr>
          <w:highlight w:val="none"/>
        </w:rPr>
      </w:pPr>
      <w:r>
        <w:rPr>
          <w:rFonts w:hint="eastAsia" w:ascii="仿宋" w:hAnsi="仿宋" w:eastAsia="仿宋" w:cs="仿宋"/>
          <w:color w:val="auto"/>
          <w:szCs w:val="30"/>
          <w:highlight w:val="none"/>
        </w:rPr>
        <w:t>第六部分  投标文件格式</w:t>
      </w:r>
      <w:r>
        <w:rPr>
          <w:highlight w:val="none"/>
        </w:rPr>
        <w:tab/>
      </w:r>
      <w:r>
        <w:rPr>
          <w:highlight w:val="none"/>
        </w:rPr>
        <w:fldChar w:fldCharType="begin"/>
      </w:r>
      <w:r>
        <w:rPr>
          <w:highlight w:val="none"/>
        </w:rPr>
        <w:instrText xml:space="preserve"> PAGEREF _Toc25092 \h </w:instrText>
      </w:r>
      <w:r>
        <w:rPr>
          <w:highlight w:val="none"/>
        </w:rPr>
        <w:fldChar w:fldCharType="separate"/>
      </w:r>
      <w:r>
        <w:rPr>
          <w:highlight w:val="none"/>
        </w:rPr>
        <w:t>62</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kern w:val="0"/>
          <w:szCs w:val="36"/>
          <w:highlight w:val="none"/>
        </w:rPr>
        <w:t>资格文件部分</w:t>
      </w:r>
      <w:r>
        <w:rPr>
          <w:highlight w:val="none"/>
        </w:rPr>
        <w:tab/>
      </w:r>
      <w:r>
        <w:rPr>
          <w:highlight w:val="none"/>
        </w:rPr>
        <w:fldChar w:fldCharType="begin"/>
      </w:r>
      <w:r>
        <w:rPr>
          <w:highlight w:val="none"/>
        </w:rPr>
        <w:instrText xml:space="preserve"> PAGEREF _Toc22159 \h </w:instrText>
      </w:r>
      <w:r>
        <w:rPr>
          <w:highlight w:val="none"/>
        </w:rPr>
        <w:fldChar w:fldCharType="separate"/>
      </w:r>
      <w:r>
        <w:rPr>
          <w:highlight w:val="none"/>
        </w:rPr>
        <w:t>62</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kern w:val="0"/>
          <w:szCs w:val="36"/>
          <w:highlight w:val="none"/>
        </w:rPr>
        <w:t>商务技术文件部分</w:t>
      </w:r>
      <w:r>
        <w:rPr>
          <w:highlight w:val="none"/>
        </w:rPr>
        <w:tab/>
      </w:r>
      <w:r>
        <w:rPr>
          <w:highlight w:val="none"/>
        </w:rPr>
        <w:fldChar w:fldCharType="begin"/>
      </w:r>
      <w:r>
        <w:rPr>
          <w:highlight w:val="none"/>
        </w:rPr>
        <w:instrText xml:space="preserve"> PAGEREF _Toc3386 \h </w:instrText>
      </w:r>
      <w:r>
        <w:rPr>
          <w:highlight w:val="none"/>
        </w:rPr>
        <w:fldChar w:fldCharType="separate"/>
      </w:r>
      <w:r>
        <w:rPr>
          <w:highlight w:val="none"/>
        </w:rPr>
        <w:t>71</w:t>
      </w:r>
      <w:r>
        <w:rPr>
          <w:highlight w:val="none"/>
        </w:rPr>
        <w:fldChar w:fldCharType="end"/>
      </w:r>
    </w:p>
    <w:p>
      <w:pPr>
        <w:pStyle w:val="15"/>
        <w:tabs>
          <w:tab w:val="right" w:leader="dot" w:pos="9070"/>
          <w:tab w:val="clear" w:pos="8720"/>
        </w:tabs>
        <w:rPr>
          <w:highlight w:val="none"/>
        </w:rPr>
      </w:pPr>
      <w:r>
        <w:rPr>
          <w:rFonts w:hint="eastAsia" w:ascii="仿宋_GB2312" w:hAnsi="仿宋" w:eastAsia="仿宋_GB2312" w:cs="仿宋_GB2312"/>
          <w:color w:val="auto"/>
          <w:kern w:val="0"/>
          <w:szCs w:val="36"/>
          <w:highlight w:val="none"/>
        </w:rPr>
        <w:t>报价文件部分</w:t>
      </w:r>
      <w:r>
        <w:rPr>
          <w:highlight w:val="none"/>
        </w:rPr>
        <w:tab/>
      </w:r>
      <w:r>
        <w:rPr>
          <w:highlight w:val="none"/>
        </w:rPr>
        <w:fldChar w:fldCharType="begin"/>
      </w:r>
      <w:r>
        <w:rPr>
          <w:highlight w:val="none"/>
        </w:rPr>
        <w:instrText xml:space="preserve"> PAGEREF _Toc14277 \h </w:instrText>
      </w:r>
      <w:r>
        <w:rPr>
          <w:highlight w:val="none"/>
        </w:rPr>
        <w:fldChar w:fldCharType="separate"/>
      </w:r>
      <w:r>
        <w:rPr>
          <w:highlight w:val="none"/>
        </w:rPr>
        <w:t>80</w:t>
      </w:r>
      <w:r>
        <w:rPr>
          <w:highlight w:val="none"/>
        </w:rPr>
        <w:fldChar w:fldCharType="end"/>
      </w:r>
    </w:p>
    <w:p>
      <w:pPr>
        <w:pStyle w:val="14"/>
        <w:tabs>
          <w:tab w:val="right" w:leader="dot" w:pos="9070"/>
          <w:tab w:val="clear" w:pos="8720"/>
        </w:tabs>
        <w:rPr>
          <w:highlight w:val="none"/>
        </w:rPr>
      </w:pPr>
      <w:r>
        <w:rPr>
          <w:rFonts w:hint="eastAsia" w:ascii="仿宋_GB2312" w:hAnsi="仿宋" w:eastAsia="仿宋_GB2312" w:cs="仿宋_GB2312"/>
          <w:color w:val="auto"/>
          <w:kern w:val="2"/>
          <w:szCs w:val="32"/>
          <w:highlight w:val="none"/>
        </w:rPr>
        <w:t>一、开标一览表（报价表）</w:t>
      </w:r>
      <w:r>
        <w:rPr>
          <w:highlight w:val="none"/>
        </w:rPr>
        <w:tab/>
      </w:r>
      <w:r>
        <w:rPr>
          <w:highlight w:val="none"/>
        </w:rPr>
        <w:fldChar w:fldCharType="begin"/>
      </w:r>
      <w:r>
        <w:rPr>
          <w:highlight w:val="none"/>
        </w:rPr>
        <w:instrText xml:space="preserve"> PAGEREF _Toc27185 \h </w:instrText>
      </w:r>
      <w:r>
        <w:rPr>
          <w:highlight w:val="none"/>
        </w:rPr>
        <w:fldChar w:fldCharType="separate"/>
      </w:r>
      <w:r>
        <w:rPr>
          <w:highlight w:val="none"/>
        </w:rPr>
        <w:t>81</w:t>
      </w:r>
      <w:r>
        <w:rPr>
          <w:highlight w:val="none"/>
        </w:rPr>
        <w:fldChar w:fldCharType="end"/>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end"/>
      </w:r>
      <w:bookmarkStart w:id="0" w:name="_Toc21665"/>
    </w:p>
    <w:p>
      <w:pPr>
        <w:jc w:val="center"/>
        <w:rPr>
          <w:rFonts w:ascii="仿宋" w:hAnsi="仿宋" w:eastAsia="仿宋" w:cs="仿宋"/>
          <w:color w:val="auto"/>
          <w:szCs w:val="21"/>
          <w:highlight w:val="none"/>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1" w:name="_Toc14260"/>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2023年度服务对象护理服务</w:t>
      </w:r>
      <w:r>
        <w:rPr>
          <w:rFonts w:hint="eastAsia" w:ascii="仿宋" w:hAnsi="仿宋" w:eastAsia="仿宋" w:cs="仿宋"/>
          <w:color w:val="auto"/>
          <w:kern w:val="0"/>
          <w:sz w:val="24"/>
          <w:highlight w:val="none"/>
        </w:rPr>
        <w:t>招标项目的潜在投标人应在政府采购云平台（https://www.zcygov.cn/）获取（下载）招标文件，并于 202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1月17日</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rPr>
        <w:t xml:space="preserve">（北京时间）前递交（上传）投标文件。      </w:t>
      </w:r>
    </w:p>
    <w:p>
      <w:pPr>
        <w:pStyle w:val="17"/>
        <w:adjustRightInd w:val="0"/>
        <w:snapToGrid w:val="0"/>
        <w:spacing w:before="0" w:beforeAutospacing="0" w:after="0" w:afterAutospacing="0" w:line="360" w:lineRule="auto"/>
        <w:jc w:val="both"/>
        <w:rPr>
          <w:rFonts w:ascii="仿宋" w:hAnsi="仿宋" w:eastAsia="仿宋" w:cs="仿宋"/>
          <w:color w:val="auto"/>
          <w:sz w:val="24"/>
          <w:szCs w:val="24"/>
          <w:highlight w:val="none"/>
        </w:rPr>
      </w:pPr>
    </w:p>
    <w:p>
      <w:pPr>
        <w:pStyle w:val="17"/>
        <w:adjustRightInd w:val="0"/>
        <w:snapToGrid w:val="0"/>
        <w:spacing w:before="0" w:beforeAutospacing="0" w:after="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17"/>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ZJ-2</w:t>
      </w:r>
      <w:r>
        <w:rPr>
          <w:rFonts w:hint="eastAsia" w:ascii="仿宋" w:hAnsi="仿宋" w:eastAsia="仿宋" w:cs="仿宋"/>
          <w:color w:val="auto"/>
          <w:sz w:val="24"/>
          <w:szCs w:val="24"/>
          <w:highlight w:val="none"/>
          <w:lang w:val="en-US" w:eastAsia="zh-CN"/>
        </w:rPr>
        <w:t>360055</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2023年度服务对象护理服务</w:t>
      </w:r>
    </w:p>
    <w:p>
      <w:pPr>
        <w:pStyle w:val="17"/>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预算金额（元）：7668000</w:t>
      </w:r>
      <w:r>
        <w:rPr>
          <w:rFonts w:hint="eastAsia" w:ascii="仿宋" w:hAnsi="仿宋" w:eastAsia="仿宋" w:cs="仿宋"/>
          <w:color w:val="auto"/>
          <w:sz w:val="24"/>
          <w:szCs w:val="24"/>
          <w:highlight w:val="none"/>
          <w:lang w:val="en-US" w:eastAsia="zh-CN"/>
        </w:rPr>
        <w:t>.00</w:t>
      </w:r>
    </w:p>
    <w:p>
      <w:pPr>
        <w:pStyle w:val="17"/>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最高限价（元）：7668000</w:t>
      </w:r>
      <w:r>
        <w:rPr>
          <w:rFonts w:hint="eastAsia" w:ascii="仿宋" w:hAnsi="仿宋" w:eastAsia="仿宋" w:cs="仿宋"/>
          <w:color w:val="auto"/>
          <w:sz w:val="24"/>
          <w:szCs w:val="24"/>
          <w:highlight w:val="none"/>
          <w:lang w:val="en-US" w:eastAsia="zh-CN"/>
        </w:rPr>
        <w:t>.00</w:t>
      </w:r>
    </w:p>
    <w:p>
      <w:pPr>
        <w:pStyle w:val="17"/>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17"/>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bookmarkStart w:id="73" w:name="_GoBack"/>
      <w:bookmarkEnd w:id="73"/>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2023年度服务对象护理服务</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17"/>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预算金额（元）:7668000</w:t>
      </w:r>
      <w:r>
        <w:rPr>
          <w:rFonts w:hint="eastAsia" w:ascii="仿宋" w:hAnsi="仿宋" w:eastAsia="仿宋" w:cs="仿宋"/>
          <w:color w:val="auto"/>
          <w:sz w:val="24"/>
          <w:szCs w:val="24"/>
          <w:highlight w:val="none"/>
          <w:lang w:val="en-US" w:eastAsia="zh-CN"/>
        </w:rPr>
        <w:t>.00</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简要规格描述或项目基本概况介绍、用途：杭州市第一社会福利院（杭州市精神病人社会福利院）的休养</w:t>
      </w:r>
      <w:r>
        <w:rPr>
          <w:rFonts w:hint="default" w:ascii="仿宋" w:hAnsi="仿宋" w:eastAsia="仿宋" w:cs="仿宋"/>
          <w:color w:val="auto"/>
          <w:sz w:val="24"/>
          <w:szCs w:val="24"/>
          <w:highlight w:val="none"/>
          <w:lang w:val="en-US"/>
        </w:rPr>
        <w:t>7号楼、8号楼、9号楼、10号楼四个楼栋</w:t>
      </w:r>
      <w:r>
        <w:rPr>
          <w:rFonts w:hint="eastAsia" w:ascii="仿宋" w:hAnsi="仿宋" w:eastAsia="仿宋" w:cs="仿宋"/>
          <w:color w:val="auto"/>
          <w:sz w:val="24"/>
          <w:szCs w:val="24"/>
          <w:highlight w:val="none"/>
        </w:rPr>
        <w:t>的服务对象实行护理服务，截止</w:t>
      </w:r>
      <w:r>
        <w:rPr>
          <w:rFonts w:hint="eastAsia" w:ascii="仿宋" w:hAnsi="仿宋" w:eastAsia="仿宋" w:cs="仿宋"/>
          <w:color w:val="auto"/>
          <w:sz w:val="24"/>
          <w:szCs w:val="24"/>
          <w:highlight w:val="none"/>
          <w:lang w:val="en-US" w:eastAsia="zh-CN"/>
        </w:rPr>
        <w:t>2022年8月</w:t>
      </w:r>
      <w:r>
        <w:rPr>
          <w:rFonts w:hint="eastAsia" w:ascii="仿宋" w:hAnsi="仿宋" w:eastAsia="仿宋" w:cs="仿宋"/>
          <w:color w:val="auto"/>
          <w:sz w:val="24"/>
          <w:szCs w:val="24"/>
          <w:highlight w:val="none"/>
        </w:rPr>
        <w:t>，服务对象共</w:t>
      </w:r>
      <w:r>
        <w:rPr>
          <w:rFonts w:hint="eastAsia" w:ascii="仿宋" w:hAnsi="仿宋" w:eastAsia="仿宋" w:cs="仿宋"/>
          <w:color w:val="auto"/>
          <w:sz w:val="24"/>
          <w:szCs w:val="24"/>
          <w:highlight w:val="none"/>
          <w:lang w:val="en-US" w:eastAsia="zh-CN"/>
        </w:rPr>
        <w:t>439</w:t>
      </w:r>
      <w:r>
        <w:rPr>
          <w:rFonts w:hint="eastAsia" w:ascii="仿宋" w:hAnsi="仿宋" w:eastAsia="仿宋" w:cs="仿宋"/>
          <w:color w:val="auto"/>
          <w:sz w:val="24"/>
          <w:szCs w:val="24"/>
          <w:highlight w:val="none"/>
        </w:rPr>
        <w:t>名（三级护理（自理）</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人，二级护理</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人，一级护理</w:t>
      </w:r>
      <w:r>
        <w:rPr>
          <w:rFonts w:hint="eastAsia" w:ascii="仿宋" w:hAnsi="仿宋" w:eastAsia="仿宋" w:cs="仿宋"/>
          <w:color w:val="auto"/>
          <w:sz w:val="24"/>
          <w:szCs w:val="24"/>
          <w:highlight w:val="none"/>
          <w:lang w:val="en-US" w:eastAsia="zh-CN"/>
        </w:rPr>
        <w:t>143</w:t>
      </w:r>
      <w:r>
        <w:rPr>
          <w:rFonts w:hint="eastAsia" w:ascii="仿宋" w:hAnsi="仿宋" w:eastAsia="仿宋" w:cs="仿宋"/>
          <w:color w:val="auto"/>
          <w:sz w:val="24"/>
          <w:szCs w:val="24"/>
          <w:highlight w:val="none"/>
        </w:rPr>
        <w:t>人，特级专护</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人）</w:t>
      </w:r>
      <w:r>
        <w:rPr>
          <w:rFonts w:hint="eastAsia" w:ascii="仿宋" w:hAnsi="仿宋" w:eastAsia="仿宋" w:cs="仿宋"/>
          <w:color w:val="FF0000"/>
          <w:sz w:val="24"/>
          <w:szCs w:val="24"/>
          <w:highlight w:val="none"/>
        </w:rPr>
        <w:t>。</w:t>
      </w:r>
      <w:r>
        <w:rPr>
          <w:rFonts w:hint="eastAsia" w:ascii="仿宋" w:hAnsi="仿宋" w:eastAsia="仿宋" w:cs="仿宋"/>
          <w:bCs/>
          <w:snapToGrid/>
          <w:color w:val="auto"/>
          <w:spacing w:val="0"/>
          <w:w w:val="100"/>
          <w:kern w:val="21"/>
          <w:sz w:val="24"/>
          <w:szCs w:val="24"/>
          <w:highlight w:val="none"/>
        </w:rPr>
        <w:t>详见招标文件第三部分采购需求。</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备注：无</w:t>
      </w: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p>
    <w:p>
      <w:pPr>
        <w:pStyle w:val="17"/>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合同履约期限：标项1，按采购文件要求。</w:t>
      </w:r>
    </w:p>
    <w:p>
      <w:pPr>
        <w:pStyle w:val="17"/>
        <w:adjustRightInd w:val="0"/>
        <w:snapToGrid w:val="0"/>
        <w:spacing w:before="0" w:beforeAutospacing="0" w:after="0" w:afterAutospacing="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pacing w:val="0"/>
          <w:w w:val="100"/>
          <w:kern w:val="21"/>
          <w:sz w:val="24"/>
          <w:highlight w:val="none"/>
        </w:rPr>
        <w:t>本项目接受联合体投标：</w:t>
      </w:r>
      <w:sdt>
        <w:sdtPr>
          <w:rPr>
            <w:rFonts w:hint="eastAsia" w:ascii="仿宋" w:hAnsi="仿宋" w:eastAsia="仿宋" w:cs="仿宋"/>
            <w:b w:val="0"/>
            <w:bCs/>
            <w:color w:val="auto"/>
            <w:spacing w:val="0"/>
            <w:w w:val="100"/>
            <w:kern w:val="21"/>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val="0"/>
            <w:bCs/>
            <w:color w:val="auto"/>
            <w:spacing w:val="0"/>
            <w:w w:val="100"/>
            <w:kern w:val="21"/>
            <w:sz w:val="24"/>
            <w:highlight w:val="none"/>
          </w:rPr>
        </w:sdtEndPr>
        <w:sdtContent>
          <w:r>
            <w:rPr>
              <w:rFonts w:hint="eastAsia" w:ascii="Wingdings" w:hAnsi="Wingdings" w:eastAsia="仿宋" w:cs="仿宋"/>
              <w:b w:val="0"/>
              <w:bCs/>
              <w:snapToGrid w:val="0"/>
              <w:color w:val="auto"/>
              <w:spacing w:val="0"/>
              <w:w w:val="100"/>
              <w:kern w:val="21"/>
              <w:sz w:val="24"/>
              <w:szCs w:val="20"/>
              <w:highlight w:val="none"/>
              <w:lang w:val="en-US" w:eastAsia="zh-CN" w:bidi="ar-SA"/>
            </w:rPr>
            <w:t>þ</w:t>
          </w:r>
        </w:sdtContent>
      </w:sdt>
      <w:r>
        <w:rPr>
          <w:rFonts w:hint="eastAsia" w:ascii="仿宋" w:hAnsi="仿宋" w:eastAsia="仿宋" w:cs="仿宋"/>
          <w:b w:val="0"/>
          <w:bCs/>
          <w:color w:val="auto"/>
          <w:spacing w:val="0"/>
          <w:w w:val="100"/>
          <w:kern w:val="21"/>
          <w:sz w:val="24"/>
          <w:highlight w:val="none"/>
        </w:rPr>
        <w:t>是，</w:t>
      </w:r>
      <w:sdt>
        <w:sdtPr>
          <w:rPr>
            <w:rFonts w:hint="eastAsia" w:ascii="仿宋" w:hAnsi="仿宋" w:eastAsia="仿宋" w:cs="仿宋"/>
            <w:b w:val="0"/>
            <w:bCs/>
            <w:color w:val="auto"/>
            <w:spacing w:val="0"/>
            <w:w w:val="100"/>
            <w:kern w:val="21"/>
            <w:sz w:val="24"/>
            <w:highlight w:val="none"/>
          </w:rPr>
          <w:id w:val="-1"/>
          <w14:checkbox>
            <w14:checked w14:val="0"/>
            <w14:checkedState w14:val="00FE" w14:font="Wingdings"/>
            <w14:uncheckedState w14:val="2610" w14:font="MS Gothic"/>
          </w14:checkbox>
        </w:sdtPr>
        <w:sdtEndPr>
          <w:rPr>
            <w:rFonts w:hint="eastAsia" w:ascii="仿宋" w:hAnsi="仿宋" w:eastAsia="仿宋" w:cs="仿宋"/>
            <w:b w:val="0"/>
            <w:bCs/>
            <w:color w:val="auto"/>
            <w:spacing w:val="0"/>
            <w:w w:val="100"/>
            <w:kern w:val="21"/>
            <w:sz w:val="24"/>
            <w:highlight w:val="none"/>
          </w:rPr>
        </w:sdtEndPr>
        <w:sdtContent>
          <w:r>
            <w:rPr>
              <w:rFonts w:hint="eastAsia" w:ascii="MS Gothic" w:hAnsi="MS Gothic" w:eastAsia="仿宋" w:cs="仿宋"/>
              <w:b w:val="0"/>
              <w:bCs/>
              <w:snapToGrid w:val="0"/>
              <w:color w:val="auto"/>
              <w:spacing w:val="0"/>
              <w:w w:val="100"/>
              <w:kern w:val="21"/>
              <w:sz w:val="24"/>
              <w:szCs w:val="20"/>
              <w:highlight w:val="none"/>
              <w:lang w:val="en-US" w:eastAsia="zh-CN" w:bidi="ar-SA"/>
            </w:rPr>
            <w:t>☐</w:t>
          </w:r>
        </w:sdtContent>
      </w:sdt>
      <w:r>
        <w:rPr>
          <w:rFonts w:hint="eastAsia" w:ascii="仿宋" w:hAnsi="仿宋" w:eastAsia="仿宋" w:cs="仿宋"/>
          <w:b w:val="0"/>
          <w:bCs/>
          <w:color w:val="auto"/>
          <w:spacing w:val="0"/>
          <w:w w:val="100"/>
          <w:kern w:val="21"/>
          <w:sz w:val="24"/>
          <w:highlight w:val="none"/>
        </w:rPr>
        <w:t>否。</w:t>
      </w:r>
    </w:p>
    <w:p>
      <w:pPr>
        <w:pStyle w:val="17"/>
        <w:adjustRightInd w:val="0"/>
        <w:snapToGrid w:val="0"/>
        <w:spacing w:before="0" w:beforeAutospacing="0" w:after="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仿宋" w:eastAsia="仿宋_GB2312"/>
          <w:color w:val="auto"/>
          <w:sz w:val="24"/>
          <w:highlight w:val="none"/>
        </w:rPr>
      </w:pPr>
      <w:r>
        <w:rPr>
          <w:rFonts w:hint="eastAsia" w:ascii="仿宋" w:hAnsi="仿宋" w:eastAsia="仿宋" w:cs="仿宋_GB2312"/>
          <w:snapToGrid w:val="0"/>
          <w:color w:val="auto"/>
          <w:kern w:val="28"/>
          <w:sz w:val="24"/>
          <w:szCs w:val="20"/>
          <w:highlight w:val="none"/>
        </w:rPr>
        <w:t>2.落实政府采购政策需满足的资格要求：</w:t>
      </w: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lang w:eastAsia="zh-CN"/>
        </w:rPr>
        <w:t>有</w:t>
      </w:r>
      <w:r>
        <w:rPr>
          <w:rFonts w:hint="eastAsia" w:ascii="仿宋_GB2312" w:hAnsi="仿宋"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keepNext w:val="0"/>
        <w:keepLines w:val="0"/>
        <w:pageBreakBefore w:val="0"/>
        <w:widowControl w:val="0"/>
        <w:kinsoku/>
        <w:wordWrap/>
        <w:overflowPunct/>
        <w:topLinePunct w:val="0"/>
        <w:autoSpaceDE/>
        <w:autoSpaceDN/>
        <w:bidi w:val="0"/>
        <w:adjustRightInd w:val="0"/>
        <w:snapToGrid/>
        <w:spacing w:line="312" w:lineRule="auto"/>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pacing w:line="360" w:lineRule="auto"/>
        <w:ind w:firstLine="480"/>
        <w:rPr>
          <w:rFonts w:ascii="仿宋" w:hAnsi="仿宋" w:eastAsia="仿宋" w:cs="仿宋_GB2312"/>
          <w:snapToGrid w:val="0"/>
          <w:color w:val="auto"/>
          <w:kern w:val="28"/>
          <w:sz w:val="24"/>
          <w:szCs w:val="20"/>
          <w:highlight w:val="none"/>
        </w:rPr>
      </w:pPr>
    </w:p>
    <w:p>
      <w:pPr>
        <w:pStyle w:val="17"/>
        <w:adjustRightInd w:val="0"/>
        <w:snapToGrid w:val="0"/>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r>
        <w:rPr>
          <w:rFonts w:hint="eastAsia" w:ascii="仿宋" w:hAnsi="仿宋" w:eastAsia="仿宋" w:cs="仿宋"/>
          <w:color w:val="auto"/>
          <w:sz w:val="24"/>
          <w:szCs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1月17日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供应商登录政采云平台https://www.zcygov.cn/在线申请获取采购文件（进入“项目采购”应用，在获取采购文件菜单中选择项目，申请获取采购文件）</w:t>
      </w:r>
      <w:r>
        <w:rPr>
          <w:rFonts w:ascii="仿宋_GB2312" w:hAnsi="仿宋" w:eastAsia="仿宋_GB2312"/>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1月17日13:3</w:t>
      </w:r>
      <w:r>
        <w:rPr>
          <w:rFonts w:hint="eastAsia" w:ascii="仿宋_GB2312" w:hAnsi="仿宋" w:eastAsia="仿宋_GB2312"/>
          <w:color w:val="auto"/>
          <w:sz w:val="24"/>
          <w:highlight w:val="none"/>
          <w:u w:val="single"/>
        </w:rPr>
        <w:t>0</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1月17日13:3</w:t>
      </w:r>
      <w:r>
        <w:rPr>
          <w:rFonts w:hint="eastAsia" w:ascii="仿宋_GB2312" w:hAnsi="仿宋" w:eastAsia="仿宋_GB2312"/>
          <w:color w:val="auto"/>
          <w:sz w:val="24"/>
          <w:highlight w:val="none"/>
          <w:u w:val="single"/>
        </w:rPr>
        <w:t>0</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五、采购意向公开链接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none"/>
        </w:rPr>
        <w:t>https://zfcg.czt.zj.gov.cn/innerUsed_noticeDetails/index.html?noticeId=9100933&amp;utm=web-government-front.49399a16.0.0.41c602c07f3a11ed91e5d79498193bb2</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pPr>
        <w:pStyle w:val="17"/>
        <w:adjustRightInd w:val="0"/>
        <w:snapToGrid w:val="0"/>
        <w:spacing w:before="0" w:beforeAutospacing="0" w:after="0" w:afterAutospacing="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17"/>
        <w:adjustRightInd w:val="0"/>
        <w:snapToGrid w:val="0"/>
        <w:spacing w:before="0" w:beforeAutospacing="0" w:after="0" w:afterAutospacing="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7"/>
        <w:adjustRightInd w:val="0"/>
        <w:snapToGrid w:val="0"/>
        <w:spacing w:before="0" w:beforeAutospacing="0" w:after="0" w:afterAutospacing="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7"/>
        <w:adjustRightInd w:val="0"/>
        <w:snapToGrid w:val="0"/>
        <w:spacing w:before="0" w:beforeAutospacing="0" w:after="0" w:afterAutospacing="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4.其他事项：</w:t>
      </w:r>
    </w:p>
    <w:p>
      <w:pPr>
        <w:pStyle w:val="17"/>
        <w:adjustRightInd w:val="0"/>
        <w:snapToGrid w:val="0"/>
        <w:spacing w:before="0" w:beforeAutospacing="0" w:after="0" w:afterAutospacing="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pPr>
        <w:pStyle w:val="17"/>
        <w:adjustRightInd w:val="0"/>
        <w:snapToGrid w:val="0"/>
        <w:spacing w:before="0" w:beforeAutospacing="0" w:after="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pStyle w:val="17"/>
        <w:adjustRightInd w:val="0"/>
        <w:snapToGrid w:val="0"/>
        <w:spacing w:before="0" w:beforeAutospacing="0" w:after="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为支持和促进中小企业发展，杭州市财政局出台了政府采购信用融资政策，供应商可凭中标合同申请贷款，利率一般在基准利率左右（不同银行略有差异）。具体可登录（http://220.191.208.230/login.do）办理业务。</w:t>
      </w:r>
    </w:p>
    <w:p>
      <w:pPr>
        <w:pStyle w:val="17"/>
        <w:adjustRightInd w:val="0"/>
        <w:snapToGrid w:val="0"/>
        <w:spacing w:before="0" w:beforeAutospacing="0" w:after="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pStyle w:val="17"/>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_GB2312" w:hAnsi="仿宋" w:eastAsia="仿宋_GB2312"/>
          <w:color w:val="auto"/>
          <w:sz w:val="24"/>
          <w:highlight w:val="none"/>
        </w:rPr>
        <w:t>（5）本项目采购文件公告期限为本公告发布之日起5个工作日。</w:t>
      </w:r>
    </w:p>
    <w:p>
      <w:pPr>
        <w:pStyle w:val="17"/>
        <w:adjustRightInd w:val="0"/>
        <w:snapToGrid w:val="0"/>
        <w:spacing w:before="0" w:beforeAutospacing="0" w:after="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名    称：</w:t>
      </w:r>
      <w:r>
        <w:rPr>
          <w:rFonts w:hint="eastAsia" w:ascii="仿宋" w:hAnsi="仿宋" w:eastAsia="仿宋" w:cs="仿宋"/>
          <w:color w:val="auto"/>
          <w:spacing w:val="0"/>
          <w:w w:val="100"/>
          <w:kern w:val="21"/>
          <w:sz w:val="24"/>
          <w:highlight w:val="none"/>
          <w:lang w:eastAsia="zh-CN"/>
        </w:rPr>
        <w:t>杭州市第一社会福利院（杭州市精神病人福利院）</w:t>
      </w:r>
      <w:r>
        <w:rPr>
          <w:rFonts w:hint="eastAsia" w:ascii="仿宋" w:hAnsi="仿宋" w:eastAsia="仿宋" w:cs="仿宋"/>
          <w:color w:val="auto"/>
          <w:spacing w:val="0"/>
          <w:w w:val="100"/>
          <w:kern w:val="21"/>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地    址：</w:t>
      </w:r>
      <w:r>
        <w:rPr>
          <w:rFonts w:hint="eastAsia" w:ascii="仿宋" w:hAnsi="仿宋" w:eastAsia="仿宋" w:cs="仿宋"/>
          <w:color w:val="auto"/>
          <w:spacing w:val="0"/>
          <w:w w:val="100"/>
          <w:kern w:val="21"/>
          <w:sz w:val="24"/>
          <w:highlight w:val="none"/>
          <w:lang w:eastAsia="zh-CN"/>
        </w:rPr>
        <w:t>余杭区瓶窑镇凤都村北村</w:t>
      </w:r>
      <w:r>
        <w:rPr>
          <w:rFonts w:hint="eastAsia" w:ascii="仿宋" w:hAnsi="仿宋" w:eastAsia="仿宋" w:cs="仿宋"/>
          <w:color w:val="auto"/>
          <w:spacing w:val="0"/>
          <w:w w:val="100"/>
          <w:kern w:val="21"/>
          <w:sz w:val="24"/>
          <w:highlight w:val="none"/>
          <w:lang w:val="en-US" w:eastAsia="zh-CN"/>
        </w:rPr>
        <w:t>101号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传    真：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lang w:eastAsia="zh-CN"/>
        </w:rPr>
      </w:pPr>
      <w:r>
        <w:rPr>
          <w:rFonts w:hint="eastAsia" w:ascii="仿宋" w:hAnsi="仿宋" w:eastAsia="仿宋" w:cs="仿宋"/>
          <w:color w:val="auto"/>
          <w:spacing w:val="0"/>
          <w:w w:val="100"/>
          <w:kern w:val="21"/>
          <w:sz w:val="24"/>
          <w:highlight w:val="none"/>
        </w:rPr>
        <w:t>项目联系人（询问）：</w:t>
      </w:r>
      <w:r>
        <w:rPr>
          <w:rFonts w:hint="eastAsia" w:ascii="仿宋" w:hAnsi="仿宋" w:eastAsia="仿宋" w:cs="仿宋"/>
          <w:color w:val="auto"/>
          <w:spacing w:val="0"/>
          <w:w w:val="100"/>
          <w:kern w:val="21"/>
          <w:sz w:val="24"/>
          <w:highlight w:val="none"/>
          <w:lang w:eastAsia="zh-CN"/>
        </w:rPr>
        <w:t>胡倩</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项目联系方式（询问）：0571-</w:t>
      </w:r>
      <w:r>
        <w:rPr>
          <w:rFonts w:hint="eastAsia" w:ascii="仿宋" w:hAnsi="仿宋" w:eastAsia="仿宋" w:cs="仿宋"/>
          <w:color w:val="auto"/>
          <w:spacing w:val="0"/>
          <w:w w:val="100"/>
          <w:kern w:val="21"/>
          <w:sz w:val="24"/>
          <w:highlight w:val="none"/>
          <w:lang w:val="en-US" w:eastAsia="zh-CN"/>
        </w:rPr>
        <w:t>88531229</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lang w:eastAsia="zh-CN"/>
        </w:rPr>
      </w:pPr>
      <w:r>
        <w:rPr>
          <w:rFonts w:hint="eastAsia" w:ascii="仿宋" w:hAnsi="仿宋" w:eastAsia="仿宋" w:cs="仿宋"/>
          <w:color w:val="auto"/>
          <w:spacing w:val="0"/>
          <w:w w:val="100"/>
          <w:kern w:val="21"/>
          <w:sz w:val="24"/>
          <w:highlight w:val="none"/>
        </w:rPr>
        <w:t>质疑联系人：</w:t>
      </w:r>
      <w:r>
        <w:rPr>
          <w:rFonts w:hint="eastAsia" w:ascii="仿宋" w:hAnsi="仿宋" w:eastAsia="仿宋" w:cs="仿宋"/>
          <w:color w:val="auto"/>
          <w:spacing w:val="0"/>
          <w:w w:val="100"/>
          <w:kern w:val="21"/>
          <w:sz w:val="24"/>
          <w:highlight w:val="none"/>
          <w:lang w:eastAsia="zh-CN"/>
        </w:rPr>
        <w:t>许征骏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 xml:space="preserve">质疑联系方式：0571-88548461 </w:t>
      </w:r>
    </w:p>
    <w:p>
      <w:pPr>
        <w:spacing w:line="360" w:lineRule="auto"/>
        <w:rPr>
          <w:rFonts w:hint="default" w:ascii="仿宋_GB2312" w:hAnsi="仿宋" w:eastAsia="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lang w:eastAsia="zh-CN"/>
        </w:rPr>
      </w:pPr>
      <w:r>
        <w:rPr>
          <w:rFonts w:hint="eastAsia" w:ascii="仿宋" w:hAnsi="仿宋" w:eastAsia="仿宋" w:cs="仿宋"/>
          <w:color w:val="auto"/>
          <w:spacing w:val="0"/>
          <w:w w:val="100"/>
          <w:kern w:val="21"/>
          <w:sz w:val="24"/>
          <w:highlight w:val="none"/>
        </w:rPr>
        <w:t>名    称：</w:t>
      </w:r>
      <w:r>
        <w:rPr>
          <w:rFonts w:hint="eastAsia" w:ascii="仿宋" w:hAnsi="仿宋" w:eastAsia="仿宋" w:cs="仿宋"/>
          <w:color w:val="auto"/>
          <w:spacing w:val="0"/>
          <w:w w:val="100"/>
          <w:kern w:val="21"/>
          <w:sz w:val="24"/>
          <w:highlight w:val="none"/>
          <w:lang w:eastAsia="zh-CN"/>
        </w:rPr>
        <w:t>浙江国际招投标有限公司</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 xml:space="preserve">地    址：杭州市文三路90号东部软件园1号楼3楼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rPr>
        <w:t xml:space="preserve">传    真：/             </w:t>
      </w:r>
    </w:p>
    <w:p>
      <w:pPr>
        <w:keepNext w:val="0"/>
        <w:keepLines w:val="0"/>
        <w:pageBreakBefore w:val="0"/>
        <w:widowControl/>
        <w:kinsoku/>
        <w:wordWrap/>
        <w:overflowPunct/>
        <w:topLinePunct w:val="0"/>
        <w:autoSpaceDE w:val="0"/>
        <w:autoSpaceDN/>
        <w:bidi w:val="0"/>
        <w:adjustRightInd w:val="0"/>
        <w:snapToGrid/>
        <w:spacing w:line="312"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项目联系人（询问）：沈建平</w:t>
      </w:r>
    </w:p>
    <w:p>
      <w:pPr>
        <w:keepNext w:val="0"/>
        <w:keepLines w:val="0"/>
        <w:pageBreakBefore w:val="0"/>
        <w:widowControl/>
        <w:kinsoku/>
        <w:wordWrap/>
        <w:overflowPunct/>
        <w:topLinePunct w:val="0"/>
        <w:autoSpaceDE w:val="0"/>
        <w:autoSpaceDN/>
        <w:bidi w:val="0"/>
        <w:adjustRightInd w:val="0"/>
        <w:snapToGrid/>
        <w:spacing w:line="312"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项目联系方式（询问）：0571-81061840，18005883302</w:t>
      </w:r>
    </w:p>
    <w:p>
      <w:pPr>
        <w:keepNext w:val="0"/>
        <w:keepLines w:val="0"/>
        <w:pageBreakBefore w:val="0"/>
        <w:widowControl/>
        <w:kinsoku/>
        <w:wordWrap/>
        <w:overflowPunct/>
        <w:topLinePunct w:val="0"/>
        <w:autoSpaceDE w:val="0"/>
        <w:autoSpaceDN/>
        <w:bidi w:val="0"/>
        <w:adjustRightInd w:val="0"/>
        <w:snapToGrid/>
        <w:spacing w:line="312"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lang w:eastAsia="zh-CN"/>
        </w:rPr>
        <w:t>董福利</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spacing w:val="0"/>
          <w:w w:val="100"/>
          <w:kern w:val="21"/>
          <w:sz w:val="24"/>
          <w:highlight w:val="none"/>
          <w:lang w:val="en-US" w:eastAsia="zh-CN"/>
        </w:rPr>
      </w:pPr>
      <w:r>
        <w:rPr>
          <w:rFonts w:hint="eastAsia" w:ascii="仿宋" w:hAnsi="仿宋" w:eastAsia="仿宋" w:cs="仿宋"/>
          <w:color w:val="auto"/>
          <w:kern w:val="0"/>
          <w:sz w:val="24"/>
          <w:szCs w:val="24"/>
          <w:highlight w:val="none"/>
        </w:rPr>
        <w:t>质疑联系方式：0571-810618</w:t>
      </w:r>
      <w:r>
        <w:rPr>
          <w:rFonts w:hint="eastAsia" w:ascii="仿宋" w:hAnsi="仿宋" w:eastAsia="仿宋" w:cs="仿宋"/>
          <w:color w:val="auto"/>
          <w:kern w:val="0"/>
          <w:sz w:val="24"/>
          <w:szCs w:val="24"/>
          <w:highlight w:val="none"/>
          <w:lang w:val="en-US" w:eastAsia="zh-CN"/>
        </w:rPr>
        <w:t>18</w:t>
      </w:r>
    </w:p>
    <w:p>
      <w:pPr>
        <w:spacing w:line="360" w:lineRule="auto"/>
        <w:rPr>
          <w:rFonts w:ascii="仿宋" w:hAnsi="仿宋" w:eastAsia="仿宋_GB2312"/>
          <w:color w:val="auto"/>
          <w:sz w:val="24"/>
          <w:highlight w:val="none"/>
        </w:rPr>
      </w:pP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3.同级政府采购监督管理部门</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名称：杭州市财政局政府采购监管处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地址：杭州市中河中路152号614办公室</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传真：</w:t>
      </w:r>
      <w:r>
        <w:rPr>
          <w:rFonts w:ascii="仿宋_GB2312" w:hAnsi="仿宋" w:eastAsia="仿宋_GB2312"/>
          <w:color w:val="auto"/>
          <w:sz w:val="24"/>
          <w:highlight w:val="none"/>
        </w:rPr>
        <w:t>0571-89580456</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联系人：厉先生</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w:t>
      </w:r>
      <w:r>
        <w:rPr>
          <w:rFonts w:ascii="仿宋_GB2312" w:hAnsi="仿宋" w:eastAsia="仿宋_GB2312"/>
          <w:color w:val="auto"/>
          <w:sz w:val="24"/>
          <w:highlight w:val="none"/>
        </w:rPr>
        <w:t>0571-89580456</w:t>
      </w:r>
    </w:p>
    <w:p>
      <w:pPr>
        <w:widowControl/>
        <w:adjustRightInd w:val="0"/>
        <w:snapToGrid w:val="0"/>
        <w:spacing w:line="360" w:lineRule="auto"/>
        <w:jc w:val="left"/>
        <w:rPr>
          <w:rFonts w:ascii="仿宋" w:hAnsi="仿宋" w:eastAsia="仿宋" w:cs="仿宋"/>
          <w:color w:val="auto"/>
          <w:kern w:val="0"/>
          <w:szCs w:val="21"/>
          <w:highlight w:val="none"/>
          <w:lang w:bidi="ar"/>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CA问题联系电话（人工）：汇信CA 400-888-4636；天谷CA 400-087-8198。</w:t>
      </w:r>
    </w:p>
    <w:p>
      <w:pPr>
        <w:widowControl/>
        <w:tabs>
          <w:tab w:val="left" w:pos="8647"/>
        </w:tabs>
        <w:adjustRightInd w:val="0"/>
        <w:snapToGrid w:val="0"/>
        <w:spacing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26345"/>
      <w:r>
        <w:rPr>
          <w:rFonts w:hint="eastAsia" w:ascii="仿宋" w:hAnsi="仿宋" w:eastAsia="仿宋" w:cs="仿宋"/>
          <w:b/>
          <w:color w:val="auto"/>
          <w:sz w:val="30"/>
          <w:szCs w:val="30"/>
          <w:highlight w:val="none"/>
        </w:rPr>
        <w:t>前 附 表</w:t>
      </w:r>
      <w:bookmarkEnd w:id="2"/>
    </w:p>
    <w:tbl>
      <w:tblPr>
        <w:tblStyle w:val="20"/>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left"/>
              <w:rPr>
                <w:rFonts w:ascii="仿宋" w:hAnsi="仿宋" w:eastAsia="仿宋" w:cs="仿宋"/>
                <w:color w:val="auto"/>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投标报价出现下列情形的，投标无效：</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）投标文件出现不是唯一的、有选择性投标报价的；</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）投标报价超过招标文件中规定的预算金额或者最高限价的;</w:t>
            </w:r>
          </w:p>
          <w:p>
            <w:pPr>
              <w:adjustRightInd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（3）报价明显低于其他通过符合性审查投标人的报价，有可能影响产品质量或者不能诚信履约的，未能按要求提供书面说明或者提交相关证明材料证明其报价合理性的;</w:t>
            </w:r>
          </w:p>
          <w:p>
            <w:pPr>
              <w:adjustRightInd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（4）投标人对根据修正原则修正后的报价不确认的。</w:t>
            </w:r>
          </w:p>
          <w:p>
            <w:pPr>
              <w:adjustRightInd w:val="0"/>
              <w:snapToGrid w:val="0"/>
              <w:spacing w:line="400" w:lineRule="exact"/>
              <w:rPr>
                <w:rFonts w:ascii="仿宋_GB2312" w:hAnsi="仿宋" w:eastAsia="仿宋_GB2312"/>
                <w:color w:val="auto"/>
                <w:sz w:val="24"/>
                <w:highlight w:val="none"/>
              </w:rPr>
            </w:pPr>
            <w:r>
              <w:rPr>
                <w:rFonts w:hint="eastAsia" w:ascii="仿宋" w:hAnsi="仿宋" w:eastAsia="仿宋" w:cs="仿宋"/>
                <w:b/>
                <w:bCs/>
                <w:color w:val="auto"/>
                <w:sz w:val="24"/>
                <w:highlight w:val="none"/>
              </w:rPr>
              <w:t>（5）投标报价明细中出现的“赠品”、“回扣”、“0元”、“免费赠送”或者与采购无关的其他商品、服务。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_GB2312" w:hAnsi="仿宋" w:eastAsia="仿宋_GB2312"/>
                <w:color w:val="auto"/>
                <w:sz w:val="24"/>
                <w:highlight w:val="none"/>
              </w:rPr>
            </w:pPr>
            <w:r>
              <w:rPr>
                <w:rFonts w:hint="eastAsia"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rPr>
                <w:rFonts w:ascii="仿宋_GB2312" w:hAnsi="仿宋" w:eastAsia="仿宋_GB2312"/>
                <w:color w:val="auto"/>
                <w:sz w:val="24"/>
                <w:highlight w:val="none"/>
              </w:rPr>
            </w:pPr>
            <w:r>
              <w:rPr>
                <w:rFonts w:hint="eastAsia" w:ascii="Wingdings" w:hAnsi="Wingdings" w:eastAsia="MS Gothic" w:cs="Arial"/>
                <w:color w:val="auto"/>
                <w:kern w:val="0"/>
                <w:sz w:val="24"/>
                <w:highlight w:val="none"/>
              </w:rPr>
              <w:sym w:font="Wingdings" w:char="0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同意向小微企业合理分包。</w:t>
            </w:r>
          </w:p>
          <w:p>
            <w:pPr>
              <w:adjustRightInd w:val="0"/>
              <w:snapToGrid w:val="0"/>
              <w:spacing w:line="400" w:lineRule="exact"/>
              <w:rPr>
                <w:rFonts w:ascii="仿宋_GB2312" w:hAnsi="仿宋" w:eastAsia="仿宋" w:cs="仿宋_GB2312"/>
                <w:color w:val="auto"/>
                <w:sz w:val="24"/>
                <w:highlight w:val="none"/>
              </w:rPr>
            </w:pPr>
            <w:r>
              <w:rPr>
                <w:rFonts w:hint="eastAsia" w:ascii="Wingdings" w:hAnsi="Wingdings" w:eastAsia="MS Gothic" w:cs="Arial"/>
                <w:color w:val="auto"/>
                <w:kern w:val="0"/>
                <w:sz w:val="24"/>
                <w:highlight w:val="none"/>
              </w:rPr>
              <w:sym w:font="Wingdings" w:char="00A8"/>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p>
          <w:p>
            <w:pPr>
              <w:adjustRightInd w:val="0"/>
              <w:snapToGrid w:val="0"/>
              <w:spacing w:line="400" w:lineRule="exact"/>
              <w:jc w:val="center"/>
              <w:rPr>
                <w:rFonts w:ascii="仿宋_GB2312" w:hAnsi="仿宋" w:eastAsia="仿宋_GB2312" w:cs="仿宋_GB2312"/>
                <w:color w:val="auto"/>
                <w:sz w:val="24"/>
                <w:highlight w:val="none"/>
              </w:rPr>
            </w:pPr>
          </w:p>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adjustRightInd w:val="0"/>
              <w:snapToGrid w:val="0"/>
              <w:spacing w:line="400" w:lineRule="exact"/>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adjustRightInd w:val="0"/>
              <w:snapToGrid w:val="0"/>
              <w:spacing w:line="400" w:lineRule="exact"/>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 w:hAnsi="仿宋" w:eastAsia="仿宋"/>
                <w:snapToGrid w:val="0"/>
                <w:color w:val="auto"/>
                <w:kern w:val="28"/>
                <w:sz w:val="24"/>
                <w:highlight w:val="none"/>
                <w:u w:val="singl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ascii="仿宋_GB2312" w:hAnsi="仿宋" w:eastAsia="仿宋_GB2312"/>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ascii="仿宋_GB2312" w:hAnsi="仿宋" w:eastAsia="仿宋_GB2312"/>
                <w:color w:val="auto"/>
                <w:kern w:val="0"/>
                <w:sz w:val="24"/>
                <w:highlight w:val="none"/>
              </w:rPr>
              <w:t>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提供样品的时间：</w:t>
            </w:r>
            <w:r>
              <w:rPr>
                <w:rFonts w:hint="eastAsia" w:ascii="仿宋_GB2312" w:hAnsi="仿宋" w:eastAsia="仿宋_GB2312"/>
                <w:color w:val="auto"/>
                <w:sz w:val="24"/>
                <w:highlight w:val="none"/>
                <w:u w:val="single"/>
              </w:rPr>
              <w:t>/</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ascii="仿宋_GB2312" w:hAnsi="仿宋" w:eastAsia="仿宋_GB2312" w:cs="Times New Roman"/>
                <w:color w:val="auto"/>
                <w:sz w:val="24"/>
                <w:highlight w:val="none"/>
              </w:rPr>
            </w:pPr>
            <w:r>
              <w:rPr>
                <w:rFonts w:ascii="仿宋_GB2312" w:hAnsi="仿宋" w:eastAsia="仿宋_GB2312" w:cs="Times New Roman"/>
                <w:color w:val="auto"/>
                <w:sz w:val="24"/>
                <w:highlight w:val="none"/>
              </w:rPr>
              <w:t>采购活动结束后，对于未中标人提供的样品，</w:t>
            </w:r>
            <w:r>
              <w:rPr>
                <w:rFonts w:hint="eastAsia" w:ascii="仿宋_GB2312" w:hAnsi="仿宋" w:eastAsia="仿宋_GB2312" w:cs="Times New Roman"/>
                <w:color w:val="auto"/>
                <w:sz w:val="24"/>
                <w:highlight w:val="none"/>
              </w:rPr>
              <w:t>采购人、采购机构将通知</w:t>
            </w:r>
            <w:r>
              <w:rPr>
                <w:rFonts w:ascii="仿宋_GB2312" w:hAnsi="仿宋" w:eastAsia="仿宋_GB2312" w:cs="Times New Roman"/>
                <w:color w:val="auto"/>
                <w:sz w:val="24"/>
                <w:highlight w:val="none"/>
              </w:rPr>
              <w:t>未中标人</w:t>
            </w:r>
            <w:r>
              <w:rPr>
                <w:rFonts w:hint="eastAsia" w:ascii="仿宋_GB2312" w:hAnsi="仿宋" w:eastAsia="仿宋_GB2312" w:cs="Times New Roman"/>
                <w:color w:val="auto"/>
                <w:sz w:val="24"/>
                <w:highlight w:val="none"/>
              </w:rPr>
              <w:t>在规定的时间内取回，逾期未取回的，采购人、采购机构不负保管义务</w:t>
            </w:r>
            <w:r>
              <w:rPr>
                <w:rFonts w:ascii="仿宋_GB2312" w:hAnsi="仿宋" w:eastAsia="仿宋_GB2312" w:cs="Times New Roman"/>
                <w:color w:val="auto"/>
                <w:sz w:val="24"/>
                <w:highlight w:val="none"/>
              </w:rPr>
              <w:t>；对于中标人提供的样品，</w:t>
            </w:r>
            <w:r>
              <w:rPr>
                <w:rFonts w:hint="eastAsia" w:ascii="仿宋_GB2312" w:hAnsi="仿宋" w:eastAsia="仿宋_GB2312" w:cs="Times New Roman"/>
                <w:color w:val="auto"/>
                <w:sz w:val="24"/>
                <w:highlight w:val="none"/>
              </w:rPr>
              <w:t>采购人将进</w:t>
            </w:r>
            <w:r>
              <w:rPr>
                <w:rFonts w:ascii="仿宋_GB2312" w:hAnsi="仿宋" w:eastAsia="仿宋_GB2312" w:cs="Times New Roman"/>
                <w:color w:val="auto"/>
                <w:sz w:val="24"/>
                <w:highlight w:val="none"/>
              </w:rPr>
              <w:t>行保管、封存，并作为履约验收的参考。</w:t>
            </w:r>
          </w:p>
          <w:p>
            <w:pPr>
              <w:numPr>
                <w:ilvl w:val="0"/>
                <w:numId w:val="1"/>
              </w:numPr>
              <w:adjustRightInd w:val="0"/>
              <w:snapToGrid w:val="0"/>
              <w:spacing w:line="400" w:lineRule="exact"/>
              <w:rPr>
                <w:rFonts w:ascii="仿宋_GB2312" w:hAnsi="仿宋" w:eastAsia="仿宋_GB2312"/>
                <w:b/>
                <w:color w:val="auto"/>
                <w:sz w:val="24"/>
                <w:highlight w:val="none"/>
              </w:rPr>
            </w:pPr>
            <w:r>
              <w:rPr>
                <w:rFonts w:ascii="仿宋_GB2312" w:hAnsi="仿宋" w:eastAsia="仿宋_GB2312"/>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adjustRightInd w:val="0"/>
              <w:snapToGrid w:val="0"/>
              <w:spacing w:line="400" w:lineRule="exact"/>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B组织。</w:t>
            </w:r>
          </w:p>
          <w:p>
            <w:pPr>
              <w:adjustRightInd w:val="0"/>
              <w:snapToGrid w:val="0"/>
              <w:spacing w:line="400" w:lineRule="exac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s="Arial"/>
                <w:color w:val="auto"/>
                <w:kern w:val="0"/>
                <w:sz w:val="24"/>
                <w:highlight w:val="none"/>
              </w:rPr>
            </w:pPr>
            <w:r>
              <w:rPr>
                <w:rFonts w:ascii="MS Gothic" w:hAnsi="MS Gothic"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rPr>
              <w:t>本项目不允许采购进口产品。</w:t>
            </w:r>
          </w:p>
          <w:p>
            <w:pPr>
              <w:adjustRightInd w:val="0"/>
              <w:snapToGrid w:val="0"/>
              <w:spacing w:line="400" w:lineRule="exact"/>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s="Arial"/>
                <w:color w:val="auto"/>
                <w:kern w:val="0"/>
                <w:sz w:val="24"/>
                <w:highlight w:val="none"/>
                <w:u w:val="single"/>
              </w:rPr>
              <w:t xml:space="preserve"> /</w:t>
            </w:r>
            <w:r>
              <w:rPr>
                <w:rFonts w:hint="eastAsia" w:eastAsia="仿宋_GB2312"/>
                <w:color w:val="auto"/>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（1）标的：</w:t>
            </w:r>
            <w:r>
              <w:rPr>
                <w:rFonts w:hint="eastAsia" w:ascii="仿宋_GB2312" w:hAnsi="仿宋" w:eastAsia="仿宋_GB2312" w:cs="Arial"/>
                <w:b/>
                <w:bCs/>
                <w:color w:val="auto"/>
                <w:kern w:val="0"/>
                <w:sz w:val="24"/>
                <w:highlight w:val="none"/>
                <w:u w:val="single"/>
              </w:rPr>
              <w:t xml:space="preserve"> </w:t>
            </w:r>
            <w:r>
              <w:rPr>
                <w:rFonts w:hint="eastAsia" w:ascii="仿宋_GB2312" w:hAnsi="仿宋" w:eastAsia="仿宋_GB2312" w:cs="Arial"/>
                <w:b/>
                <w:bCs/>
                <w:color w:val="auto"/>
                <w:kern w:val="0"/>
                <w:sz w:val="24"/>
                <w:highlight w:val="none"/>
                <w:u w:val="single"/>
                <w:lang w:eastAsia="zh-CN"/>
              </w:rPr>
              <w:t>服务对象护理服务</w:t>
            </w:r>
            <w:r>
              <w:rPr>
                <w:rFonts w:hint="eastAsia" w:ascii="仿宋_GB2312" w:hAnsi="仿宋" w:eastAsia="仿宋_GB2312" w:cs="Arial"/>
                <w:b/>
                <w:bCs/>
                <w:color w:val="auto"/>
                <w:kern w:val="0"/>
                <w:sz w:val="24"/>
                <w:highlight w:val="none"/>
                <w:u w:val="single"/>
                <w:lang w:val="en-US" w:eastAsia="zh-CN"/>
              </w:rPr>
              <w:t xml:space="preserve"> </w:t>
            </w:r>
            <w:r>
              <w:rPr>
                <w:rFonts w:hint="eastAsia" w:ascii="仿宋_GB2312" w:hAnsi="仿宋" w:eastAsia="仿宋_GB2312" w:cs="Arial"/>
                <w:b/>
                <w:bCs/>
                <w:color w:val="auto"/>
                <w:kern w:val="0"/>
                <w:sz w:val="24"/>
                <w:highlight w:val="none"/>
                <w:lang w:eastAsia="zh-CN"/>
              </w:rPr>
              <w:t>；</w:t>
            </w:r>
            <w:r>
              <w:rPr>
                <w:rFonts w:hint="eastAsia" w:ascii="仿宋_GB2312" w:hAnsi="仿宋" w:eastAsia="仿宋_GB2312" w:cs="Arial"/>
                <w:b/>
                <w:bCs/>
                <w:color w:val="auto"/>
                <w:kern w:val="0"/>
                <w:sz w:val="24"/>
                <w:highlight w:val="none"/>
                <w:lang w:val="en-US" w:eastAsia="zh-CN"/>
              </w:rPr>
              <w:t>所属行业为：</w:t>
            </w:r>
            <w:r>
              <w:rPr>
                <w:rFonts w:hint="eastAsia" w:ascii="仿宋_GB2312" w:hAnsi="仿宋" w:eastAsia="仿宋_GB2312" w:cs="Arial"/>
                <w:b/>
                <w:bCs/>
                <w:color w:val="auto"/>
                <w:kern w:val="0"/>
                <w:sz w:val="24"/>
                <w:highlight w:val="none"/>
                <w:u w:val="single"/>
              </w:rPr>
              <w:t xml:space="preserve"> 其他未列明行业 </w:t>
            </w:r>
            <w:r>
              <w:rPr>
                <w:rFonts w:hint="eastAsia" w:ascii="仿宋_GB2312" w:hAnsi="仿宋" w:eastAsia="仿宋_GB2312" w:cs="Arial"/>
                <w:b/>
                <w:bCs/>
                <w:color w:val="auto"/>
                <w:kern w:val="0"/>
                <w:sz w:val="24"/>
                <w:highlight w:val="none"/>
              </w:rPr>
              <w:t>；</w:t>
            </w:r>
          </w:p>
          <w:p>
            <w:pPr>
              <w:adjustRightInd w:val="0"/>
              <w:snapToGrid w:val="0"/>
              <w:spacing w:line="400" w:lineRule="exact"/>
              <w:rPr>
                <w:rFonts w:eastAsia="仿宋_GB2312"/>
                <w:color w:val="auto"/>
                <w:highlight w:val="none"/>
              </w:rPr>
            </w:pPr>
            <w:r>
              <w:rPr>
                <w:rFonts w:hint="eastAsia" w:ascii="仿宋_GB2312" w:hAnsi="仿宋" w:eastAsia="仿宋_GB2312" w:cs="Arial"/>
                <w:b/>
                <w:bCs/>
                <w:color w:val="auto"/>
                <w:kern w:val="0"/>
                <w:sz w:val="24"/>
                <w:highlight w:val="none"/>
              </w:rPr>
              <w:t>（2）其他未列明行业中，从业人员300人以下的为中小微型企业。其中，从业人员100人及以上的为中型企业；从业人员10人及以上的为小型企业；从业人员10人以下的为微型企业。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adjustRightInd w:val="0"/>
              <w:snapToGrid w:val="0"/>
              <w:spacing w:line="400" w:lineRule="exact"/>
              <w:ind w:firstLine="420" w:firstLineChars="200"/>
              <w:jc w:val="center"/>
              <w:rPr>
                <w:color w:val="auto"/>
                <w:highlight w:val="none"/>
              </w:rPr>
            </w:pPr>
          </w:p>
        </w:tc>
        <w:tc>
          <w:tcPr>
            <w:tcW w:w="1843" w:type="dxa"/>
            <w:vMerge w:val="continue"/>
            <w:tcBorders>
              <w:left w:val="single" w:color="000000" w:sz="2" w:space="0"/>
              <w:right w:val="single" w:color="000000" w:sz="8" w:space="0"/>
            </w:tcBorders>
            <w:vAlign w:val="center"/>
          </w:tcPr>
          <w:p>
            <w:pPr>
              <w:adjustRightInd w:val="0"/>
              <w:snapToGrid w:val="0"/>
              <w:spacing w:line="400" w:lineRule="exact"/>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adjustRightInd w:val="0"/>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 xml:space="preserve"> 杭州市文三路90号东部软件园一号楼31</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 xml:space="preserve">室 </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w:t>
            </w:r>
          </w:p>
          <w:p>
            <w:pPr>
              <w:pStyle w:val="10"/>
              <w:adjustRightInd w:val="0"/>
              <w:snapToGrid w:val="0"/>
              <w:spacing w:line="400" w:lineRule="exact"/>
              <w:rPr>
                <w:rFonts w:ascii="仿宋_GB2312" w:hAnsi="仿宋" w:eastAsia="仿宋_GB2312" w:cs="仿宋_GB2312"/>
                <w:color w:val="auto"/>
                <w:sz w:val="24"/>
                <w:szCs w:val="24"/>
                <w:highlight w:val="none"/>
              </w:rPr>
            </w:pPr>
            <w:r>
              <w:rPr>
                <w:rFonts w:hint="eastAsia" w:ascii="仿宋_GB2312" w:hAnsi="仿宋" w:eastAsia="仿宋_GB2312" w:cs="Times New Roman"/>
                <w:color w:val="auto"/>
                <w:kern w:val="28"/>
                <w:sz w:val="24"/>
                <w:szCs w:val="24"/>
                <w:highlight w:val="none"/>
              </w:rPr>
              <w:t>备份投标文件签收人员联系电话：</w:t>
            </w:r>
            <w:r>
              <w:rPr>
                <w:rFonts w:hint="eastAsia" w:ascii="仿宋" w:hAnsi="仿宋" w:eastAsia="仿宋" w:cs="仿宋"/>
                <w:color w:val="auto"/>
                <w:spacing w:val="0"/>
                <w:w w:val="100"/>
                <w:kern w:val="21"/>
                <w:sz w:val="24"/>
                <w:szCs w:val="24"/>
                <w:highlight w:val="none"/>
                <w:u w:val="single"/>
                <w:lang w:val="en-US" w:eastAsia="zh-CN"/>
              </w:rPr>
              <w:t xml:space="preserve"> </w:t>
            </w:r>
            <w:r>
              <w:rPr>
                <w:rFonts w:hint="eastAsia" w:ascii="仿宋" w:hAnsi="仿宋" w:eastAsia="仿宋" w:cs="仿宋"/>
                <w:color w:val="auto"/>
                <w:kern w:val="28"/>
                <w:sz w:val="24"/>
                <w:szCs w:val="24"/>
                <w:highlight w:val="none"/>
                <w:u w:val="single"/>
                <w:lang w:val="en-US" w:eastAsia="zh-CN"/>
              </w:rPr>
              <w:t>沈工</w:t>
            </w:r>
            <w:r>
              <w:rPr>
                <w:rFonts w:hint="eastAsia" w:ascii="仿宋" w:hAnsi="仿宋" w:eastAsia="仿宋" w:cs="仿宋"/>
                <w:color w:val="auto"/>
                <w:spacing w:val="0"/>
                <w:w w:val="100"/>
                <w:kern w:val="21"/>
                <w:sz w:val="24"/>
                <w:szCs w:val="24"/>
                <w:highlight w:val="none"/>
                <w:u w:val="single"/>
                <w:lang w:val="en-US" w:eastAsia="zh-CN"/>
              </w:rPr>
              <w:t xml:space="preserve"> </w:t>
            </w:r>
            <w:r>
              <w:rPr>
                <w:rFonts w:hint="eastAsia" w:ascii="仿宋" w:hAnsi="仿宋" w:eastAsia="仿宋" w:cs="仿宋"/>
                <w:color w:val="auto"/>
                <w:spacing w:val="0"/>
                <w:w w:val="100"/>
                <w:kern w:val="21"/>
                <w:sz w:val="24"/>
                <w:szCs w:val="24"/>
                <w:highlight w:val="none"/>
                <w:u w:val="none"/>
                <w:lang w:val="en-US" w:eastAsia="zh-CN"/>
              </w:rPr>
              <w:t>；</w:t>
            </w:r>
            <w:r>
              <w:rPr>
                <w:rFonts w:hint="eastAsia" w:ascii="仿宋" w:hAnsi="仿宋" w:eastAsia="仿宋" w:cs="仿宋"/>
                <w:color w:val="auto"/>
                <w:spacing w:val="0"/>
                <w:w w:val="100"/>
                <w:kern w:val="21"/>
                <w:sz w:val="24"/>
                <w:szCs w:val="24"/>
                <w:highlight w:val="none"/>
              </w:rPr>
              <w:t>联系电话：</w:t>
            </w:r>
            <w:r>
              <w:rPr>
                <w:rFonts w:hint="eastAsia" w:ascii="仿宋" w:hAnsi="仿宋" w:eastAsia="仿宋" w:cs="仿宋"/>
                <w:color w:val="auto"/>
                <w:spacing w:val="0"/>
                <w:w w:val="100"/>
                <w:kern w:val="21"/>
                <w:sz w:val="24"/>
                <w:highlight w:val="none"/>
                <w:u w:val="single"/>
              </w:rPr>
              <w:t xml:space="preserve"> </w:t>
            </w:r>
            <w:r>
              <w:rPr>
                <w:rFonts w:hint="eastAsia" w:ascii="仿宋" w:hAnsi="仿宋" w:eastAsia="仿宋" w:cs="仿宋"/>
                <w:color w:val="auto"/>
                <w:sz w:val="24"/>
                <w:highlight w:val="none"/>
                <w:u w:val="single"/>
              </w:rPr>
              <w:t>18005883302</w:t>
            </w:r>
            <w:r>
              <w:rPr>
                <w:rFonts w:hint="eastAsia" w:ascii="仿宋" w:hAnsi="仿宋" w:eastAsia="仿宋" w:cs="仿宋"/>
                <w:color w:val="auto"/>
                <w:spacing w:val="0"/>
                <w:w w:val="100"/>
                <w:kern w:val="21"/>
                <w:sz w:val="24"/>
                <w:highlight w:val="none"/>
                <w:u w:val="single"/>
              </w:rPr>
              <w:t xml:space="preserve"> </w:t>
            </w:r>
            <w:r>
              <w:rPr>
                <w:rFonts w:hint="eastAsia" w:ascii="仿宋_GB2312" w:hAnsi="仿宋" w:eastAsia="仿宋_GB2312" w:cs="仿宋_GB2312"/>
                <w:color w:val="auto"/>
                <w:sz w:val="24"/>
                <w:szCs w:val="24"/>
                <w:highlight w:val="none"/>
              </w:rPr>
              <w:t>。</w:t>
            </w:r>
          </w:p>
          <w:p>
            <w:pPr>
              <w:pStyle w:val="10"/>
              <w:adjustRightInd w:val="0"/>
              <w:snapToGrid w:val="0"/>
              <w:spacing w:line="400" w:lineRule="exact"/>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ascii="仿宋_GB2312" w:hAnsi="仿宋" w:eastAsia="仿宋_GB2312" w:cs="仿宋_GB2312"/>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lang w:val="en-US" w:eastAsia="zh-CN"/>
              </w:rPr>
            </w:pPr>
            <w:r>
              <w:rPr>
                <w:rFonts w:hint="eastAsia" w:ascii="仿宋" w:hAnsi="仿宋" w:eastAsia="仿宋" w:cs="仿宋"/>
                <w:color w:val="auto"/>
                <w:spacing w:val="0"/>
                <w:w w:val="100"/>
                <w:kern w:val="21"/>
                <w:sz w:val="24"/>
                <w:szCs w:val="24"/>
                <w:highlight w:val="none"/>
                <w:lang w:val="en-US" w:eastAsia="zh-CN"/>
              </w:rPr>
              <w:t>本项目的采购代理服务费由中标人支付。</w:t>
            </w:r>
          </w:p>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lang w:val="en-US" w:eastAsia="zh-CN"/>
              </w:rPr>
            </w:pPr>
            <w:r>
              <w:rPr>
                <w:rFonts w:hint="eastAsia" w:ascii="仿宋" w:hAnsi="仿宋" w:eastAsia="仿宋" w:cs="仿宋"/>
                <w:color w:val="auto"/>
                <w:spacing w:val="0"/>
                <w:w w:val="100"/>
                <w:kern w:val="21"/>
                <w:sz w:val="24"/>
                <w:szCs w:val="24"/>
                <w:highlight w:val="none"/>
                <w:lang w:val="en-US" w:eastAsia="zh-CN"/>
              </w:rPr>
              <w:t>计费标准：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中标金额</w:t>
                  </w:r>
                </w:p>
              </w:tc>
              <w:tc>
                <w:tcPr>
                  <w:tcW w:w="198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≤100万元</w:t>
                  </w:r>
                </w:p>
              </w:tc>
              <w:tc>
                <w:tcPr>
                  <w:tcW w:w="198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100万元-500万元</w:t>
                  </w:r>
                </w:p>
              </w:tc>
              <w:tc>
                <w:tcPr>
                  <w:tcW w:w="1980" w:type="dxa"/>
                  <w:noWrap w:val="0"/>
                  <w:vAlign w:val="top"/>
                </w:tcPr>
                <w:p>
                  <w:pPr>
                    <w:spacing w:line="264" w:lineRule="auto"/>
                    <w:jc w:val="center"/>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pPr>
                    <w:spacing w:line="264" w:lineRule="auto"/>
                    <w:jc w:val="center"/>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500万元</w:t>
                  </w:r>
                  <w:r>
                    <w:rPr>
                      <w:rFonts w:hint="eastAsia" w:ascii="宋体" w:hAnsi="宋体" w:cs="宋体"/>
                      <w:snapToGrid w:val="0"/>
                      <w:color w:val="auto"/>
                      <w:kern w:val="0"/>
                      <w:sz w:val="24"/>
                      <w:highlight w:val="none"/>
                    </w:rPr>
                    <w:t>～</w:t>
                  </w:r>
                  <w:r>
                    <w:rPr>
                      <w:rFonts w:hint="eastAsia" w:ascii="仿宋" w:hAnsi="仿宋" w:eastAsia="仿宋"/>
                      <w:snapToGrid w:val="0"/>
                      <w:color w:val="auto"/>
                      <w:kern w:val="0"/>
                      <w:sz w:val="24"/>
                      <w:highlight w:val="none"/>
                    </w:rPr>
                    <w:t>1000万元</w:t>
                  </w:r>
                </w:p>
              </w:tc>
              <w:tc>
                <w:tcPr>
                  <w:tcW w:w="1980" w:type="dxa"/>
                  <w:noWrap w:val="0"/>
                  <w:vAlign w:val="top"/>
                </w:tcPr>
                <w:p>
                  <w:pPr>
                    <w:spacing w:line="264" w:lineRule="auto"/>
                    <w:jc w:val="center"/>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0.36%</w:t>
                  </w:r>
                </w:p>
              </w:tc>
            </w:tr>
          </w:tbl>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rPr>
            </w:pPr>
          </w:p>
          <w:p>
            <w:pPr>
              <w:pStyle w:val="10"/>
              <w:pageBreakBefore w:val="0"/>
              <w:widowControl w:val="0"/>
              <w:kinsoku/>
              <w:wordWrap/>
              <w:overflowPunct/>
              <w:topLinePunct w:val="0"/>
              <w:autoSpaceDE/>
              <w:autoSpaceDN/>
              <w:bidi w:val="0"/>
              <w:adjustRightInd w:val="0"/>
              <w:snapToGrid w:val="0"/>
              <w:spacing w:line="400" w:lineRule="exact"/>
              <w:textAlignment w:val="auto"/>
              <w:rPr>
                <w:rFonts w:hint="default" w:ascii="仿宋" w:hAnsi="仿宋" w:eastAsia="仿宋" w:cs="仿宋"/>
                <w:color w:val="auto"/>
                <w:spacing w:val="0"/>
                <w:w w:val="100"/>
                <w:kern w:val="21"/>
                <w:sz w:val="24"/>
                <w:szCs w:val="24"/>
                <w:highlight w:val="none"/>
                <w:lang w:val="en-US" w:eastAsia="zh-CN"/>
              </w:rPr>
            </w:pPr>
            <w:r>
              <w:rPr>
                <w:rFonts w:hint="eastAsia" w:ascii="仿宋" w:hAnsi="仿宋" w:eastAsia="仿宋" w:cs="仿宋"/>
                <w:color w:val="auto"/>
                <w:spacing w:val="0"/>
                <w:w w:val="100"/>
                <w:kern w:val="21"/>
                <w:sz w:val="24"/>
                <w:szCs w:val="24"/>
                <w:highlight w:val="none"/>
                <w:lang w:val="en-US" w:eastAsia="zh-CN"/>
              </w:rPr>
              <w:t>代理服务费采用差额累进制计算。</w:t>
            </w:r>
          </w:p>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rPr>
            </w:pPr>
            <w:r>
              <w:rPr>
                <w:rFonts w:hint="eastAsia" w:ascii="仿宋" w:hAnsi="仿宋" w:eastAsia="仿宋" w:cs="仿宋"/>
                <w:color w:val="auto"/>
                <w:spacing w:val="0"/>
                <w:w w:val="100"/>
                <w:kern w:val="21"/>
                <w:sz w:val="24"/>
                <w:szCs w:val="24"/>
                <w:highlight w:val="none"/>
              </w:rPr>
              <w:t>结算方式及时间为：</w:t>
            </w:r>
            <w:r>
              <w:rPr>
                <w:rFonts w:hint="eastAsia" w:ascii="仿宋" w:hAnsi="仿宋" w:eastAsia="仿宋" w:cs="仿宋"/>
                <w:color w:val="auto"/>
                <w:spacing w:val="0"/>
                <w:w w:val="100"/>
                <w:kern w:val="21"/>
                <w:sz w:val="24"/>
                <w:szCs w:val="24"/>
                <w:highlight w:val="none"/>
                <w:lang w:val="en-US" w:eastAsia="zh-CN"/>
              </w:rPr>
              <w:t>在中标通知书发出后十日内由中标人一次性向采购代理机构付清</w:t>
            </w:r>
          </w:p>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rPr>
            </w:pPr>
            <w:r>
              <w:rPr>
                <w:rFonts w:hint="eastAsia" w:ascii="仿宋" w:hAnsi="仿宋" w:eastAsia="仿宋" w:cs="仿宋"/>
                <w:color w:val="auto"/>
                <w:spacing w:val="0"/>
                <w:w w:val="100"/>
                <w:kern w:val="21"/>
                <w:sz w:val="24"/>
                <w:szCs w:val="24"/>
                <w:highlight w:val="none"/>
              </w:rPr>
              <w:t>付款账号：</w:t>
            </w:r>
          </w:p>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lang w:val="en-US" w:eastAsia="zh-CN"/>
              </w:rPr>
            </w:pPr>
            <w:r>
              <w:rPr>
                <w:rFonts w:hint="eastAsia" w:ascii="仿宋" w:hAnsi="仿宋" w:eastAsia="仿宋" w:cs="仿宋"/>
                <w:color w:val="auto"/>
                <w:spacing w:val="0"/>
                <w:w w:val="100"/>
                <w:kern w:val="21"/>
                <w:sz w:val="24"/>
                <w:szCs w:val="24"/>
                <w:highlight w:val="none"/>
              </w:rPr>
              <w:t>账户名称</w:t>
            </w:r>
            <w:r>
              <w:rPr>
                <w:rFonts w:hint="eastAsia" w:ascii="仿宋" w:hAnsi="仿宋" w:eastAsia="仿宋" w:cs="仿宋"/>
                <w:color w:val="auto"/>
                <w:spacing w:val="0"/>
                <w:w w:val="100"/>
                <w:kern w:val="21"/>
                <w:sz w:val="24"/>
                <w:szCs w:val="24"/>
                <w:highlight w:val="none"/>
                <w:lang w:val="en-US" w:eastAsia="zh-CN"/>
              </w:rPr>
              <w:t xml:space="preserve">：浙江国际招投标有限公司 </w:t>
            </w:r>
          </w:p>
          <w:p>
            <w:pPr>
              <w:pStyle w:val="1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pacing w:val="0"/>
                <w:w w:val="100"/>
                <w:kern w:val="21"/>
                <w:sz w:val="24"/>
                <w:szCs w:val="24"/>
                <w:highlight w:val="none"/>
                <w:lang w:val="en-US" w:eastAsia="zh-CN"/>
              </w:rPr>
            </w:pPr>
            <w:r>
              <w:rPr>
                <w:rFonts w:hint="eastAsia" w:ascii="仿宋" w:hAnsi="仿宋" w:eastAsia="仿宋" w:cs="仿宋"/>
                <w:color w:val="auto"/>
                <w:spacing w:val="0"/>
                <w:w w:val="100"/>
                <w:kern w:val="21"/>
                <w:sz w:val="24"/>
                <w:szCs w:val="24"/>
                <w:highlight w:val="none"/>
                <w:lang w:val="en-US" w:eastAsia="zh-CN"/>
              </w:rPr>
              <w:t>开户银行：工商银行杭州武林支行</w:t>
            </w:r>
          </w:p>
          <w:p>
            <w:pPr>
              <w:pStyle w:val="10"/>
              <w:adjustRightInd w:val="0"/>
              <w:snapToGrid w:val="0"/>
              <w:rPr>
                <w:rFonts w:ascii="仿宋_GB2312" w:hAnsi="仿宋" w:eastAsia="仿宋_GB2312" w:cs="仿宋_GB2312"/>
                <w:b/>
                <w:color w:val="auto"/>
                <w:sz w:val="24"/>
                <w:szCs w:val="24"/>
                <w:highlight w:val="none"/>
              </w:rPr>
            </w:pPr>
            <w:r>
              <w:rPr>
                <w:rFonts w:hint="eastAsia" w:ascii="仿宋" w:hAnsi="仿宋" w:eastAsia="仿宋" w:cs="仿宋"/>
                <w:color w:val="auto"/>
                <w:spacing w:val="0"/>
                <w:w w:val="100"/>
                <w:kern w:val="21"/>
                <w:sz w:val="24"/>
                <w:szCs w:val="24"/>
                <w:highlight w:val="none"/>
                <w:lang w:val="en-US" w:eastAsia="zh-CN"/>
              </w:rPr>
              <w:t>账号：1202021209906782015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_GB2312" w:hAnsi="仿宋" w:eastAsia="仿宋_GB2312" w:cs="仿宋_GB2312"/>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10"/>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_GB2312" w:hAnsi="仿宋" w:eastAsia="仿宋_GB2312" w:cs="仿宋_GB2312"/>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10"/>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51566649"/>
      <w:bookmarkStart w:id="4" w:name="_Toc240450076"/>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7086"/>
      <w:r>
        <w:rPr>
          <w:rFonts w:hint="eastAsia" w:ascii="仿宋" w:hAnsi="仿宋" w:eastAsia="仿宋" w:cs="仿宋"/>
          <w:b/>
          <w:color w:val="auto"/>
          <w:sz w:val="30"/>
          <w:szCs w:val="30"/>
          <w:highlight w:val="none"/>
        </w:rPr>
        <w:t>第二部分  投标须知</w:t>
      </w:r>
      <w:bookmarkEnd w:id="3"/>
      <w:bookmarkEnd w:id="4"/>
      <w:bookmarkEnd w:id="5"/>
      <w:bookmarkEnd w:id="6"/>
    </w:p>
    <w:p>
      <w:pPr>
        <w:snapToGrid w:val="0"/>
        <w:spacing w:line="360" w:lineRule="auto"/>
        <w:jc w:val="center"/>
        <w:outlineLvl w:val="1"/>
        <w:rPr>
          <w:rFonts w:hint="eastAsia" w:ascii="仿宋" w:hAnsi="仿宋" w:eastAsia="仿宋" w:cs="仿宋"/>
          <w:b/>
          <w:bCs/>
          <w:color w:val="auto"/>
          <w:sz w:val="24"/>
          <w:highlight w:val="none"/>
        </w:rPr>
      </w:pPr>
      <w:bookmarkStart w:id="7" w:name="_Toc29347"/>
      <w:r>
        <w:rPr>
          <w:rFonts w:hint="eastAsia" w:ascii="仿宋_GB2312" w:hAnsi="仿宋" w:eastAsia="仿宋_GB2312" w:cs="仿宋_GB2312"/>
          <w:b/>
          <w:color w:val="auto"/>
          <w:sz w:val="32"/>
          <w:szCs w:val="20"/>
          <w:highlight w:val="none"/>
        </w:rPr>
        <w:t>一、总则</w:t>
      </w:r>
      <w:bookmarkEnd w:id="7"/>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适用范围</w:t>
      </w:r>
    </w:p>
    <w:p>
      <w:pPr>
        <w:snapToGrid w:val="0"/>
        <w:spacing w:line="360" w:lineRule="auto"/>
        <w:ind w:firstLine="480" w:firstLineChars="200"/>
        <w:jc w:val="left"/>
        <w:rPr>
          <w:rFonts w:ascii="仿宋_GB2312" w:hAnsi="仿宋" w:eastAsia="仿宋_GB2312" w:cs="仿宋_GB2312"/>
          <w:b/>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pStyle w:val="6"/>
        <w:numPr>
          <w:ilvl w:val="0"/>
          <w:numId w:val="2"/>
        </w:numPr>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“采购代理机构”系指招标公告中载明的本项目的采购机构。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2" w:firstLineChars="200"/>
        <w:rPr>
          <w:rFonts w:ascii="仿宋_GB2312" w:hAnsi="仿宋" w:eastAsia="仿宋_GB2312"/>
          <w:b/>
          <w:color w:val="auto"/>
          <w:sz w:val="24"/>
          <w:highlight w:val="none"/>
        </w:rPr>
      </w:pPr>
      <w:r>
        <w:rPr>
          <w:rFonts w:ascii="仿宋_GB2312" w:hAnsi="仿宋" w:eastAsia="仿宋_GB2312"/>
          <w:b/>
          <w:bCs/>
          <w:color w:val="auto"/>
          <w:sz w:val="24"/>
          <w:highlight w:val="none"/>
        </w:rPr>
        <w:t xml:space="preserve">2.7 </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系指实质性要求条款，“★”系关键技术指标，“</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采购项目需要落实的政府采购政策</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default"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default"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2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auto"/>
          <w:sz w:val="24"/>
          <w:highlight w:val="none"/>
          <w:lang w:val="en-US" w:eastAsia="zh-CN"/>
        </w:rPr>
        <w:t>20</w:t>
      </w:r>
      <w:r>
        <w:rPr>
          <w:rFonts w:hint="eastAsia" w:ascii="仿宋_GB2312" w:hAnsi="仿宋" w:eastAsia="仿宋_GB2312"/>
          <w:b/>
          <w:bCs/>
          <w:color w:val="auto"/>
          <w:sz w:val="24"/>
          <w:highlight w:val="none"/>
        </w:rPr>
        <w:t>%</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6</w:t>
      </w:r>
      <w:r>
        <w:rPr>
          <w:rFonts w:hint="eastAsia" w:ascii="仿宋_GB2312" w:hAnsi="仿宋" w:eastAsia="仿宋_GB2312"/>
          <w:b/>
          <w:bCs/>
          <w:color w:val="auto"/>
          <w:sz w:val="24"/>
          <w:highlight w:val="none"/>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Times New Roman"/>
          <w:color w:val="auto"/>
          <w:sz w:val="24"/>
          <w:highlight w:val="none"/>
        </w:rPr>
        <w:t>对省级以上主管部门认定的首台套产品，自纳入《省推广应用指导目录》起三年内参加政府采购活动,视同已具备相应销售业绩,业绩分为满分</w:t>
      </w:r>
      <w:r>
        <w:rPr>
          <w:rFonts w:hint="eastAsia" w:ascii="仿宋_GB2312" w:hAnsi="仿宋" w:eastAsia="仿宋_GB2312"/>
          <w:color w:val="auto"/>
          <w:sz w:val="24"/>
          <w:highlight w:val="none"/>
        </w:rPr>
        <w:t>。产品核心技术高于国内领先水平，并具有明晰自主知识产权的“制造精品”产品，自认定之日起2年内视同已具备相应销售业绩，参加政府采购活动时业绩分值为满分。</w:t>
      </w:r>
    </w:p>
    <w:p>
      <w:pPr>
        <w:spacing w:line="360" w:lineRule="auto"/>
        <w:ind w:firstLine="42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产品核心技术高于国内领先水平，并具有明晰自主知识产权的“制造精品”产品，自认定之日起2年内视同已具备相应销售业绩，参加政府采购活动时业绩分值为满分</w:t>
      </w:r>
      <w:r>
        <w:rPr>
          <w:rFonts w:hint="eastAsia" w:ascii="仿宋_GB2312" w:hAnsi="仿宋" w:eastAsia="仿宋_GB2312"/>
          <w:color w:val="auto"/>
          <w:sz w:val="24"/>
          <w:highlight w:val="none"/>
          <w:lang w:eastAsia="zh-CN"/>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p>
    <w:p>
      <w:pPr>
        <w:numPr>
          <w:ilvl w:val="0"/>
          <w:numId w:val="0"/>
        </w:numPr>
        <w:autoSpaceDE w:val="0"/>
        <w:autoSpaceDN w:val="0"/>
        <w:spacing w:line="360" w:lineRule="auto"/>
        <w:ind w:left="0" w:leftChars="0" w:firstLine="420" w:firstLineChars="0"/>
        <w:jc w:val="left"/>
        <w:rPr>
          <w:rFonts w:hint="default" w:ascii="仿宋_GB2312" w:hAnsi="仿宋" w:eastAsia="仿宋_GB2312" w:cs="微软雅黑"/>
          <w:color w:val="auto"/>
          <w:kern w:val="0"/>
          <w:sz w:val="24"/>
          <w:highlight w:val="none"/>
          <w:lang w:val="zh-CN"/>
        </w:rPr>
      </w:pPr>
      <w:r>
        <w:rPr>
          <w:rFonts w:hint="default" w:ascii="仿宋_GB2312" w:hAnsi="仿宋" w:eastAsia="仿宋_GB2312" w:cs="微软雅黑"/>
          <w:color w:val="auto"/>
          <w:kern w:val="0"/>
          <w:sz w:val="24"/>
          <w:highlight w:val="none"/>
          <w:lang w:val="zh-CN" w:eastAsia="zh-CN"/>
        </w:rPr>
        <w:t>3.6</w:t>
      </w:r>
      <w:r>
        <w:rPr>
          <w:rFonts w:hint="default" w:ascii="仿宋_GB2312" w:hAnsi="仿宋" w:eastAsia="仿宋_GB2312" w:cs="微软雅黑"/>
          <w:color w:val="auto"/>
          <w:kern w:val="0"/>
          <w:sz w:val="24"/>
          <w:highlight w:val="none"/>
          <w:lang w:val="zh-CN"/>
        </w:rPr>
        <w:t>平等对待内外资企业和符合条件的破产重整企业</w:t>
      </w:r>
    </w:p>
    <w:p>
      <w:pPr>
        <w:spacing w:line="360" w:lineRule="auto"/>
        <w:ind w:firstLine="420"/>
        <w:rPr>
          <w:rFonts w:hint="eastAsia" w:ascii="仿宋_GB2312" w:hAnsi="仿宋" w:eastAsia="仿宋_GB2312"/>
          <w:color w:val="auto"/>
          <w:sz w:val="24"/>
          <w:highlight w:val="none"/>
          <w:lang w:val="en-US" w:eastAsia="zh-CN"/>
        </w:rPr>
      </w:pPr>
      <w:r>
        <w:rPr>
          <w:rFonts w:hint="default" w:ascii="仿宋_GB2312" w:hAnsi="仿宋" w:eastAsia="仿宋_GB2312"/>
          <w:color w:val="auto"/>
          <w:sz w:val="24"/>
          <w:highlight w:val="none"/>
        </w:rPr>
        <w:t>平等对待内外资企业和符合条件的破产重整企业，切实保障企业公平竞争，平等维护企业的合法利益</w:t>
      </w:r>
      <w:r>
        <w:rPr>
          <w:rFonts w:hint="eastAsia" w:ascii="仿宋_GB2312" w:hAnsi="仿宋" w:eastAsia="仿宋_GB2312"/>
          <w:color w:val="auto"/>
          <w:sz w:val="24"/>
          <w:highlight w:val="none"/>
          <w:lang w:eastAsia="zh-CN"/>
        </w:rPr>
        <w:t>。</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询问、质疑、投诉</w:t>
      </w:r>
    </w:p>
    <w:p>
      <w:pPr>
        <w:autoSpaceDE w:val="0"/>
        <w:autoSpaceDN w:val="0"/>
        <w:spacing w:line="360" w:lineRule="auto"/>
        <w:ind w:firstLine="42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10"/>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10"/>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2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6"/>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26"/>
        <w:shd w:val="clear" w:color="auto" w:fill="FFFFFF"/>
        <w:snapToGrid w:val="0"/>
        <w:spacing w:after="240" w:afterAutospacing="0" w:line="360" w:lineRule="auto"/>
        <w:ind w:firstLine="400"/>
        <w:contextualSpacing/>
        <w:rPr>
          <w:rFonts w:hint="eastAsia" w:ascii="仿宋_GB2312" w:hAnsi="仿宋" w:eastAsia="仿宋_GB2312" w:cs="宋体"/>
          <w:color w:val="auto"/>
          <w:highlight w:val="none"/>
          <w:lang w:val="en-US" w:eastAsia="zh-CN"/>
        </w:rPr>
      </w:pPr>
      <w:r>
        <w:rPr>
          <w:rFonts w:hint="eastAsia" w:ascii="仿宋_GB2312" w:hAnsi="仿宋" w:eastAsia="仿宋_GB2312" w:cs="宋体"/>
          <w:color w:val="auto"/>
          <w:highlight w:val="none"/>
          <w:lang w:val="en-US" w:eastAsia="zh-CN"/>
        </w:rPr>
        <w:t xml:space="preserve">4.2.4 </w:t>
      </w:r>
      <w:r>
        <w:rPr>
          <w:rFonts w:hint="eastAsia" w:ascii="仿宋_GB2312" w:hAnsi="仿宋" w:eastAsia="仿宋_GB2312" w:cs="宋体"/>
          <w:b w:val="0"/>
          <w:bCs w:val="0"/>
          <w:color w:val="auto"/>
          <w:sz w:val="24"/>
          <w:highlight w:val="none"/>
          <w:lang w:val="zh-CN"/>
        </w:rPr>
        <w:t>对同一采购程序环节的质疑，供应商须在法定质疑期内一次性提出。</w:t>
      </w:r>
    </w:p>
    <w:p>
      <w:pPr>
        <w:pStyle w:val="26"/>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w:t>
      </w:r>
      <w:r>
        <w:rPr>
          <w:rFonts w:hint="eastAsia" w:ascii="仿宋_GB2312" w:hAnsi="仿宋" w:eastAsia="仿宋_GB2312"/>
          <w:color w:val="auto"/>
          <w:highlight w:val="none"/>
          <w:lang w:val="en-US" w:eastAsia="zh-CN"/>
        </w:rPr>
        <w:t>5</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26"/>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w:t>
      </w:r>
      <w:r>
        <w:rPr>
          <w:rFonts w:hint="eastAsia" w:ascii="仿宋_GB2312" w:hAnsi="仿宋" w:eastAsia="仿宋_GB2312"/>
          <w:color w:val="auto"/>
          <w:highlight w:val="none"/>
          <w:lang w:val="en-US" w:eastAsia="zh-CN"/>
        </w:rPr>
        <w:t>6</w:t>
      </w:r>
      <w:r>
        <w:rPr>
          <w:rFonts w:ascii="仿宋_GB2312" w:hAnsi="仿宋" w:eastAsia="仿宋_GB2312"/>
          <w:color w:val="auto"/>
          <w:highlight w:val="none"/>
        </w:rPr>
        <w:t>询问或者质疑事项可能影响采购结果的，采购人应当暂停签订合同，已经签订合同的，应当中止履行合同。</w:t>
      </w:r>
    </w:p>
    <w:p>
      <w:pPr>
        <w:pStyle w:val="26"/>
        <w:shd w:val="clear" w:color="auto" w:fill="FFFFFF"/>
        <w:snapToGrid w:val="0"/>
        <w:spacing w:after="240" w:afterAutospacing="0" w:line="360" w:lineRule="auto"/>
        <w:ind w:firstLine="42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2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2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2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26"/>
        <w:shd w:val="clear" w:color="auto" w:fill="FFFFFF"/>
        <w:snapToGrid w:val="0"/>
        <w:spacing w:after="240" w:afterAutospacing="0" w:line="360" w:lineRule="auto"/>
        <w:ind w:firstLine="400"/>
        <w:contextualSpacing/>
        <w:rPr>
          <w:rFonts w:hint="eastAsia" w:ascii="仿宋_GB2312" w:hAnsi="仿宋" w:eastAsia="仿宋_GB2312"/>
          <w:color w:val="auto"/>
          <w:highlight w:val="none"/>
        </w:rPr>
      </w:pPr>
      <w:r>
        <w:rPr>
          <w:rFonts w:ascii="仿宋_GB2312" w:hAnsi="仿宋" w:eastAsia="仿宋_GB2312"/>
          <w:color w:val="auto"/>
          <w:highlight w:val="none"/>
        </w:rPr>
        <w:t>4.3.</w:t>
      </w:r>
      <w:r>
        <w:rPr>
          <w:rFonts w:hint="eastAsia" w:ascii="仿宋_GB2312" w:hAnsi="仿宋" w:eastAsia="仿宋_GB2312"/>
          <w:color w:val="auto"/>
          <w:highlight w:val="none"/>
        </w:rPr>
        <w:t>4</w:t>
      </w:r>
      <w:r>
        <w:rPr>
          <w:rFonts w:ascii="仿宋_GB2312" w:hAnsi="仿宋" w:eastAsia="仿宋_GB2312"/>
          <w:color w:val="auto"/>
          <w:highlight w:val="none"/>
        </w:rPr>
        <w:t xml:space="preserve"> </w:t>
      </w:r>
      <w:r>
        <w:rPr>
          <w:rFonts w:hint="eastAsia" w:ascii="仿宋_GB2312" w:hAnsi="仿宋" w:eastAsia="仿宋_GB2312"/>
          <w:color w:val="auto"/>
          <w:highlight w:val="none"/>
        </w:rPr>
        <w:t>以联合体形式参加政府采购活动的，其投诉应当由组成联合体的所有供应商共同提出。</w:t>
      </w:r>
    </w:p>
    <w:p>
      <w:pPr>
        <w:pStyle w:val="26"/>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27"/>
        <w:snapToGrid w:val="0"/>
        <w:spacing w:before="0"/>
        <w:ind w:firstLine="360"/>
        <w:rPr>
          <w:rFonts w:ascii="仿宋_GB2312" w:hAnsi="仿宋" w:eastAsia="仿宋_GB2312" w:cs="仿宋_GB2312"/>
          <w:color w:val="auto"/>
          <w:sz w:val="18"/>
          <w:szCs w:val="18"/>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8" w:name="_Toc6316"/>
      <w:r>
        <w:rPr>
          <w:rFonts w:hint="eastAsia" w:ascii="仿宋_GB2312" w:hAnsi="仿宋" w:eastAsia="仿宋_GB2312" w:cs="仿宋_GB2312"/>
          <w:b/>
          <w:color w:val="auto"/>
          <w:sz w:val="32"/>
          <w:szCs w:val="20"/>
          <w:highlight w:val="none"/>
        </w:rPr>
        <w:t>二、招标文件的构成、澄清、修改</w:t>
      </w:r>
      <w:bookmarkEnd w:id="8"/>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5．招标文件的构成</w:t>
      </w:r>
    </w:p>
    <w:p>
      <w:pPr>
        <w:pStyle w:val="10"/>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20"/>
        <w:rPr>
          <w:rFonts w:ascii="仿宋_GB2312" w:hAnsi="仿宋" w:eastAsia="仿宋_GB2312" w:cs="仿宋_GB2312"/>
          <w:b/>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招标文件的澄清、修改</w:t>
      </w:r>
    </w:p>
    <w:p>
      <w:pPr>
        <w:pStyle w:val="27"/>
        <w:snapToGrid w:val="0"/>
        <w:spacing w:before="0"/>
        <w:ind w:firstLine="42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27"/>
        <w:snapToGrid w:val="0"/>
        <w:spacing w:before="0"/>
        <w:ind w:firstLine="420" w:firstLineChars="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rPr>
      </w:pPr>
      <w:r>
        <w:rPr>
          <w:rFonts w:ascii="仿宋_GB2312" w:hAnsi="仿宋" w:eastAsia="仿宋_GB2312" w:cs="仿宋_GB2312"/>
          <w:color w:val="auto"/>
          <w:highlight w:val="none"/>
        </w:rPr>
        <w:t xml:space="preserve">    </w:t>
      </w: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9" w:name="_Toc17867"/>
      <w:r>
        <w:rPr>
          <w:rFonts w:hint="eastAsia" w:ascii="仿宋_GB2312" w:hAnsi="仿宋" w:eastAsia="仿宋_GB2312" w:cs="仿宋_GB2312"/>
          <w:b/>
          <w:color w:val="auto"/>
          <w:sz w:val="32"/>
          <w:szCs w:val="20"/>
          <w:highlight w:val="none"/>
        </w:rPr>
        <w:t>三、投标</w:t>
      </w:r>
      <w:bookmarkEnd w:id="9"/>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招标文件的获取</w:t>
      </w:r>
    </w:p>
    <w:p>
      <w:pPr>
        <w:spacing w:line="360" w:lineRule="auto"/>
        <w:ind w:firstLine="420"/>
        <w:rPr>
          <w:rFonts w:ascii="仿宋_GB2312" w:hAnsi="仿宋" w:eastAsia="仿宋_GB2312" w:cs="仿宋_GB2312"/>
          <w:b/>
          <w:color w:val="auto"/>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8.开标前答疑会或现场考察</w:t>
      </w:r>
    </w:p>
    <w:p>
      <w:pPr>
        <w:pStyle w:val="10"/>
        <w:spacing w:line="360" w:lineRule="auto"/>
        <w:ind w:firstLine="420"/>
        <w:rPr>
          <w:rFonts w:ascii="仿宋_GB2312" w:hAnsi="仿宋" w:eastAsia="仿宋_GB2312"/>
          <w:b/>
          <w:color w:val="auto"/>
          <w:kern w:val="28"/>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9.投标保证金</w:t>
      </w:r>
    </w:p>
    <w:p>
      <w:pPr>
        <w:pStyle w:val="7"/>
        <w:spacing w:line="360" w:lineRule="auto"/>
        <w:ind w:firstLine="470" w:firstLineChars="196"/>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highlight w:val="none"/>
        </w:rPr>
        <w:t>本项目不需缴纳投标保证金。</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投标文件的语言</w:t>
      </w:r>
    </w:p>
    <w:p>
      <w:pPr>
        <w:autoSpaceDE w:val="0"/>
        <w:autoSpaceDN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color w:val="auto"/>
          <w:sz w:val="24"/>
          <w:highlight w:val="none"/>
        </w:rPr>
        <w:t>（提供中小企业声明函）</w:t>
      </w:r>
    </w:p>
    <w:p>
      <w:pPr>
        <w:snapToGrid w:val="0"/>
        <w:spacing w:line="360" w:lineRule="auto"/>
        <w:ind w:firstLine="960" w:firstLineChars="4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hint="eastAsia" w:ascii="仿宋_GB2312" w:hAnsi="仿宋" w:eastAsia="仿宋_GB2312" w:cs="仿宋_GB2312"/>
          <w:color w:val="auto"/>
          <w:sz w:val="24"/>
          <w:highlight w:val="none"/>
        </w:rPr>
        <w:t>；（本项目不适用）</w:t>
      </w:r>
    </w:p>
    <w:p>
      <w:pPr>
        <w:snapToGrid w:val="0"/>
        <w:spacing w:line="360" w:lineRule="auto"/>
        <w:ind w:firstLine="960" w:firstLineChars="400"/>
        <w:rPr>
          <w:rFonts w:hint="eastAsia"/>
          <w:color w:val="auto"/>
          <w:highlight w:val="none"/>
        </w:rPr>
      </w:pPr>
      <w:r>
        <w:rPr>
          <w:rFonts w:ascii="仿宋_GB2312" w:hAnsi="仿宋" w:eastAsia="仿宋_GB2312" w:cs="仿宋_GB2312"/>
          <w:color w:val="auto"/>
          <w:sz w:val="24"/>
          <w:highlight w:val="none"/>
        </w:rPr>
        <w:t>11.</w:t>
      </w:r>
      <w:r>
        <w:rPr>
          <w:rFonts w:hint="eastAsia" w:ascii="仿宋_GB2312" w:hAnsi="仿宋" w:eastAsia="仿宋_GB2312" w:cs="仿宋_GB2312"/>
          <w:color w:val="auto"/>
          <w:sz w:val="24"/>
          <w:highlight w:val="none"/>
        </w:rPr>
        <w:t>1.4</w:t>
      </w:r>
      <w:r>
        <w:rPr>
          <w:rFonts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rPr>
        <w:t>。（如有）</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napToGrid w:val="0"/>
        <w:spacing w:line="360" w:lineRule="auto"/>
        <w:ind w:firstLine="960" w:firstLineChars="400"/>
        <w:rPr>
          <w:rFonts w:hint="default" w:ascii="仿宋_GB2312" w:hAnsi="仿宋" w:eastAsia="仿宋_GB2312" w:cs="仿宋_GB2312"/>
          <w:color w:val="auto"/>
          <w:sz w:val="24"/>
          <w:highlight w:val="none"/>
          <w:lang w:val="en-US" w:eastAsia="zh-CN"/>
        </w:rPr>
      </w:pPr>
      <w:r>
        <w:rPr>
          <w:rFonts w:hint="default" w:ascii="仿宋_GB2312" w:hAnsi="仿宋" w:eastAsia="仿宋_GB2312" w:cs="仿宋_GB2312"/>
          <w:color w:val="auto"/>
          <w:sz w:val="24"/>
          <w:highlight w:val="none"/>
          <w:lang w:val="en-US" w:eastAsia="zh-CN"/>
        </w:rPr>
        <w:t>11.2.6</w:t>
      </w:r>
      <w:r>
        <w:rPr>
          <w:rFonts w:hint="default" w:ascii="仿宋_GB2312" w:hAnsi="仿宋" w:eastAsia="仿宋_GB2312" w:cs="仿宋_GB2312"/>
          <w:b w:val="0"/>
          <w:bCs w:val="0"/>
          <w:color w:val="auto"/>
          <w:sz w:val="24"/>
          <w:highlight w:val="none"/>
        </w:rPr>
        <w:t>投标标的清单；</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 w:cs="仿宋_GB2312"/>
          <w:color w:val="auto"/>
          <w:sz w:val="24"/>
          <w:highlight w:val="none"/>
        </w:rPr>
      </w:pPr>
      <w:r>
        <w:rPr>
          <w:rFonts w:ascii="仿宋_GB2312" w:hAnsi="仿宋" w:eastAsia="仿宋_GB2312" w:cs="仿宋_GB2312"/>
          <w:color w:val="auto"/>
          <w:sz w:val="24"/>
          <w:highlight w:val="none"/>
        </w:rPr>
        <w:t>11.3.2</w:t>
      </w:r>
      <w:r>
        <w:rPr>
          <w:rFonts w:hint="eastAsia" w:ascii="仿宋_GB2312" w:hAnsi="仿宋" w:eastAsia="仿宋_GB2312" w:cs="仿宋_GB2312"/>
          <w:color w:val="auto"/>
          <w:sz w:val="24"/>
          <w:highlight w:val="none"/>
          <w:lang w:eastAsia="zh-CN"/>
        </w:rPr>
        <w:t>投标报价明细表</w:t>
      </w:r>
      <w:r>
        <w:rPr>
          <w:rFonts w:hint="eastAsia" w:ascii="仿宋_GB2312" w:hAnsi="仿宋" w:eastAsia="仿宋_GB2312" w:cs="仿宋_GB2312"/>
          <w:color w:val="auto"/>
          <w:sz w:val="24"/>
          <w:highlight w:val="none"/>
        </w:rPr>
        <w:t>。</w:t>
      </w:r>
    </w:p>
    <w:p>
      <w:pPr>
        <w:spacing w:line="360" w:lineRule="auto"/>
        <w:ind w:firstLine="42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20"/>
        <w:rPr>
          <w:rFonts w:ascii="仿宋_GB2312" w:hAnsi="仿宋" w:eastAsia="仿宋_GB2312" w:cs="仿宋_GB2312"/>
          <w:b/>
          <w:color w:val="auto"/>
          <w:highlight w:val="none"/>
        </w:rPr>
      </w:pPr>
      <w:r>
        <w:rPr>
          <w:rFonts w:hint="eastAsia" w:ascii="仿宋_GB2312" w:hAnsi="仿宋" w:eastAsia="仿宋_GB2312"/>
          <w:b/>
          <w:color w:val="auto"/>
          <w:sz w:val="24"/>
          <w:highlight w:val="none"/>
        </w:rPr>
        <w:t>投标人提供虚假材料投标的，投标无效。</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13.投标文件的签署、盖章</w:t>
      </w:r>
    </w:p>
    <w:p>
      <w:pPr>
        <w:pStyle w:val="27"/>
        <w:snapToGrid w:val="0"/>
        <w:spacing w:before="0"/>
        <w:ind w:firstLine="480"/>
        <w:rPr>
          <w:rFonts w:hint="eastAsia" w:ascii="仿宋_GB2312" w:hAnsi="仿宋" w:eastAsia="仿宋_GB2312" w:cs="仿宋_GB2312"/>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p>
    <w:p>
      <w:pPr>
        <w:pStyle w:val="27"/>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2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7"/>
        <w:snapToGrid w:val="0"/>
        <w:spacing w:before="0"/>
        <w:ind w:firstLine="480"/>
        <w:rPr>
          <w:rFonts w:ascii="仿宋_GB2312" w:hAnsi="仿宋" w:eastAsia="仿宋_GB2312" w:cs="仿宋_GB2312"/>
          <w:b/>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投标文件的提交、补充、修改、撤回</w:t>
      </w:r>
    </w:p>
    <w:p>
      <w:pPr>
        <w:pStyle w:val="27"/>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7"/>
        <w:spacing w:before="0"/>
        <w:ind w:firstLine="420" w:firstLineChars="0"/>
        <w:rPr>
          <w:rFonts w:ascii="仿宋_GB2312" w:hAnsi="仿宋" w:eastAsia="仿宋_GB2312" w:cs="仿宋_GB2312"/>
          <w:b/>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15.备份投标文件</w:t>
      </w:r>
    </w:p>
    <w:p>
      <w:pPr>
        <w:pStyle w:val="10"/>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10"/>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olor w:val="auto"/>
          <w:sz w:val="24"/>
          <w:highlight w:val="none"/>
        </w:rPr>
        <w:t>（或者U盘）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10"/>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10"/>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ascii="仿宋_GB2312" w:hAnsi="仿宋" w:eastAsia="仿宋_GB2312" w:cs="仿宋_GB2312"/>
          <w:b/>
          <w:color w:val="auto"/>
          <w:szCs w:val="24"/>
          <w:highlight w:val="none"/>
        </w:rPr>
      </w:pPr>
      <w:r>
        <w:rPr>
          <w:rFonts w:ascii="仿宋_GB2312" w:hAnsi="仿宋" w:eastAsia="仿宋_GB2312" w:cs="仿宋_GB2312"/>
          <w:b/>
          <w:color w:val="auto"/>
          <w:sz w:val="24"/>
          <w:szCs w:val="24"/>
          <w:highlight w:val="none"/>
        </w:rPr>
        <w:t>15.5投标人仅提交备份投标文件，</w:t>
      </w:r>
      <w:r>
        <w:rPr>
          <w:rFonts w:hint="eastAsia" w:ascii="仿宋_GB2312" w:hAnsi="仿宋" w:eastAsia="仿宋_GB2312" w:cs="仿宋_GB2312"/>
          <w:b/>
          <w:color w:val="auto"/>
          <w:sz w:val="24"/>
          <w:szCs w:val="24"/>
          <w:highlight w:val="none"/>
          <w:lang w:val="en-US" w:eastAsia="zh-CN"/>
        </w:rPr>
        <w:t>未</w:t>
      </w:r>
      <w:r>
        <w:rPr>
          <w:rFonts w:ascii="仿宋_GB2312" w:hAnsi="仿宋" w:eastAsia="仿宋_GB2312" w:cs="仿宋_GB2312"/>
          <w:b/>
          <w:color w:val="auto"/>
          <w:sz w:val="24"/>
          <w:szCs w:val="24"/>
          <w:highlight w:val="none"/>
        </w:rPr>
        <w:t>在电子交易平台传输递交投标文件的，投标无效。</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16.投标文件的无效处理</w:t>
      </w:r>
    </w:p>
    <w:p>
      <w:pPr>
        <w:pStyle w:val="9"/>
        <w:ind w:firstLine="360" w:firstLineChars="150"/>
        <w:rPr>
          <w:rFonts w:hint="eastAsia" w:ascii="仿宋_GB2312" w:hAnsi="仿宋" w:eastAsia="仿宋_GB2312" w:cs="仿宋_GB2312"/>
          <w:b/>
          <w:color w:val="auto"/>
          <w:szCs w:val="24"/>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17.投标有效期</w:t>
      </w:r>
    </w:p>
    <w:p>
      <w:pPr>
        <w:spacing w:line="360" w:lineRule="auto"/>
        <w:ind w:firstLine="480" w:firstLineChars="200"/>
        <w:rPr>
          <w:rFonts w:ascii="仿宋_GB2312" w:hAnsi="仿宋" w:eastAsia="仿宋_GB2312" w:cs="仿宋_GB2312"/>
          <w:color w:val="auto"/>
          <w:sz w:val="24"/>
          <w:szCs w:val="20"/>
          <w:highlight w:val="none"/>
        </w:rPr>
      </w:pPr>
      <w:r>
        <w:rPr>
          <w:rFonts w:ascii="仿宋_GB2312" w:hAnsi="仿宋" w:eastAsia="仿宋_GB2312" w:cs="仿宋_GB2312"/>
          <w:color w:val="auto"/>
          <w:sz w:val="24"/>
          <w:szCs w:val="20"/>
          <w:highlight w:val="none"/>
        </w:rPr>
        <w:t>17.1投标有效期为从提交投标文件的截止之日起90天。</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2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2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7"/>
        <w:spacing w:before="0"/>
        <w:ind w:firstLine="643"/>
        <w:rPr>
          <w:rFonts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0" w:name="_Toc16623"/>
      <w:r>
        <w:rPr>
          <w:rFonts w:hint="eastAsia" w:ascii="仿宋_GB2312" w:hAnsi="仿宋" w:eastAsia="仿宋_GB2312" w:cs="仿宋_GB2312"/>
          <w:b/>
          <w:color w:val="auto"/>
          <w:sz w:val="32"/>
          <w:szCs w:val="20"/>
          <w:highlight w:val="none"/>
        </w:rPr>
        <w:t>四、开标、资格审查与信用信息查询</w:t>
      </w:r>
      <w:bookmarkEnd w:id="10"/>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18.开标 </w:t>
      </w:r>
    </w:p>
    <w:p>
      <w:pPr>
        <w:pStyle w:val="28"/>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8"/>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420"/>
        <w:contextualSpacing/>
        <w:rPr>
          <w:rFonts w:ascii="仿宋_GB2312" w:hAnsi="仿宋" w:eastAsia="仿宋_GB2312" w:cs="仿宋_GB2312"/>
          <w:b/>
          <w:color w:val="auto"/>
          <w:sz w:val="24"/>
          <w:highlight w:val="none"/>
        </w:rPr>
      </w:pP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19.资格审查</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2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27"/>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27"/>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27"/>
        <w:spacing w:before="0"/>
        <w:ind w:firstLine="420" w:firstLineChars="0"/>
        <w:rPr>
          <w:rFonts w:ascii="仿宋_GB2312" w:hAnsi="仿宋" w:eastAsia="仿宋_GB2312" w:cs="仿宋_GB2312"/>
          <w:b/>
          <w:color w:val="auto"/>
          <w:szCs w:val="24"/>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20.信用信息查询</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7"/>
        <w:spacing w:before="0"/>
        <w:ind w:firstLine="420" w:firstLineChars="0"/>
        <w:rPr>
          <w:rFonts w:hint="eastAsia"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color w:val="auto"/>
          <w:kern w:val="0"/>
          <w:szCs w:val="24"/>
          <w:highlight w:val="none"/>
        </w:rPr>
        <w:t>。</w:t>
      </w:r>
    </w:p>
    <w:p>
      <w:pPr>
        <w:pStyle w:val="27"/>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1" w:name="_Toc26480"/>
      <w:r>
        <w:rPr>
          <w:rFonts w:hint="eastAsia" w:ascii="仿宋_GB2312" w:hAnsi="仿宋" w:eastAsia="仿宋_GB2312" w:cs="仿宋_GB2312"/>
          <w:b/>
          <w:color w:val="auto"/>
          <w:sz w:val="32"/>
          <w:szCs w:val="20"/>
          <w:highlight w:val="none"/>
        </w:rPr>
        <w:t>五、评标</w:t>
      </w:r>
      <w:bookmarkEnd w:id="11"/>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21.评标</w:t>
      </w:r>
    </w:p>
    <w:p>
      <w:pPr>
        <w:pStyle w:val="27"/>
        <w:spacing w:before="0"/>
        <w:ind w:firstLine="42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color w:val="auto"/>
          <w:kern w:val="0"/>
          <w:szCs w:val="24"/>
          <w:highlight w:val="none"/>
        </w:rPr>
        <w:t>详见招标文件第四部分评标办法</w:t>
      </w:r>
      <w:r>
        <w:rPr>
          <w:rFonts w:hint="eastAsia" w:ascii="仿宋_GB2312" w:hAnsi="仿宋" w:eastAsia="仿宋_GB2312" w:cs="Arial"/>
          <w:color w:val="auto"/>
          <w:kern w:val="0"/>
          <w:szCs w:val="24"/>
          <w:highlight w:val="none"/>
        </w:rPr>
        <w:t>。</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2" w:name="_Toc3542"/>
      <w:r>
        <w:rPr>
          <w:rFonts w:hint="eastAsia" w:ascii="仿宋_GB2312" w:hAnsi="仿宋" w:eastAsia="仿宋_GB2312" w:cs="仿宋_GB2312"/>
          <w:b/>
          <w:color w:val="auto"/>
          <w:sz w:val="32"/>
          <w:szCs w:val="20"/>
          <w:highlight w:val="none"/>
        </w:rPr>
        <w:t>六、定 标</w:t>
      </w:r>
      <w:bookmarkEnd w:id="12"/>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确定中标供应商</w:t>
      </w:r>
    </w:p>
    <w:p>
      <w:pPr>
        <w:pStyle w:val="27"/>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中标通知与中标结果公告</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3" w:name="_Toc26580"/>
      <w:r>
        <w:rPr>
          <w:rFonts w:hint="eastAsia" w:ascii="仿宋_GB2312" w:hAnsi="仿宋" w:eastAsia="仿宋_GB2312" w:cs="仿宋_GB2312"/>
          <w:b/>
          <w:color w:val="auto"/>
          <w:sz w:val="32"/>
          <w:szCs w:val="20"/>
          <w:highlight w:val="none"/>
        </w:rPr>
        <w:t>七、合同授予</w:t>
      </w:r>
      <w:bookmarkEnd w:id="13"/>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合同授予</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合同的签订</w:t>
      </w:r>
    </w:p>
    <w:p>
      <w:pPr>
        <w:pStyle w:val="27"/>
        <w:snapToGrid w:val="0"/>
        <w:rPr>
          <w:rFonts w:hint="eastAsia" w:ascii="仿宋_GB2312" w:hAnsi="仿宋" w:eastAsia="仿宋_GB2312" w:cs="Times New Roman"/>
          <w:color w:val="auto"/>
          <w:kern w:val="0"/>
          <w:sz w:val="24"/>
          <w:highlight w:val="none"/>
          <w:lang w:val="zh-CN"/>
        </w:rPr>
      </w:pPr>
      <w:r>
        <w:rPr>
          <w:rFonts w:hint="eastAsia" w:ascii="仿宋_GB2312" w:hAnsi="仿宋" w:eastAsia="仿宋_GB2312" w:cs="Times New Roman"/>
          <w:color w:val="auto"/>
          <w:kern w:val="0"/>
          <w:sz w:val="24"/>
          <w:highlight w:val="none"/>
          <w:lang w:val="zh-CN"/>
        </w:rPr>
        <w:t xml:space="preserve">25.1 </w:t>
      </w:r>
      <w:r>
        <w:rPr>
          <w:rFonts w:hint="eastAsia" w:ascii="仿宋_GB2312" w:hAnsi="仿宋" w:eastAsia="仿宋_GB2312"/>
          <w:b w:val="0"/>
          <w:bCs w:val="0"/>
          <w:color w:val="auto"/>
          <w:kern w:val="0"/>
          <w:sz w:val="24"/>
          <w:highlight w:val="none"/>
          <w:lang w:val="zh-CN"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_GB2312" w:hAnsi="仿宋" w:eastAsia="仿宋_GB2312" w:cs="Times New Roman"/>
          <w:color w:val="auto"/>
          <w:kern w:val="0"/>
          <w:sz w:val="24"/>
          <w:highlight w:val="none"/>
          <w:lang w:val="zh-CN"/>
        </w:rPr>
        <w:t>。</w:t>
      </w:r>
    </w:p>
    <w:p>
      <w:pPr>
        <w:pStyle w:val="27"/>
        <w:snapToGrid w:val="0"/>
        <w:spacing w:before="0"/>
        <w:ind w:firstLine="420"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25.3如签订合同并生效后，供应商无故拒绝或延期，除按照合同条款处理外，列入不良行为记录一次，并给予通报。</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25.4中标供应</w:t>
      </w:r>
      <w:r>
        <w:rPr>
          <w:rFonts w:hint="eastAsia" w:ascii="仿宋_GB2312" w:hAnsi="仿宋" w:eastAsia="仿宋_GB2312"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25.5采购合同由采购人与中标供应商根据</w:t>
      </w:r>
      <w:r>
        <w:rPr>
          <w:rFonts w:hint="eastAsia" w:ascii="仿宋_GB2312" w:hAnsi="仿宋" w:eastAsia="仿宋_GB2312" w:cs="仿宋_GB2312"/>
          <w:color w:val="auto"/>
          <w:kern w:val="0"/>
          <w:highlight w:val="none"/>
          <w:lang w:val="zh-CN"/>
        </w:rPr>
        <w:t>招标文件、投标文件等内容通过政府采购电子交易平台在线签订，自动备案。</w:t>
      </w:r>
    </w:p>
    <w:p>
      <w:pPr>
        <w:pStyle w:val="9"/>
        <w:ind w:left="479" w:hanging="479" w:hangingChars="199"/>
        <w:rPr>
          <w:rFonts w:ascii="仿宋_GB2312" w:hAnsi="仿宋" w:eastAsia="仿宋_GB2312" w:cs="仿宋_GB2312"/>
          <w:b/>
          <w:color w:val="auto"/>
          <w:highlight w:val="none"/>
        </w:rPr>
      </w:pPr>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履约保证金</w:t>
      </w:r>
    </w:p>
    <w:p>
      <w:pPr>
        <w:tabs>
          <w:tab w:val="left" w:pos="0"/>
        </w:tabs>
        <w:spacing w:line="360" w:lineRule="auto"/>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ab/>
      </w:r>
      <w:r>
        <w:rPr>
          <w:rFonts w:hint="eastAsia" w:ascii="仿宋_GB2312" w:hAnsi="仿宋" w:eastAsia="仿宋_GB2312" w:cs="Helvetica"/>
          <w:color w:val="auto"/>
          <w:kern w:val="0"/>
          <w:sz w:val="24"/>
          <w:highlight w:val="none"/>
          <w:lang w:val="en-US" w:eastAsia="zh-CN"/>
        </w:rPr>
        <w:t>26.1</w:t>
      </w: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 w:eastAsia="仿宋_GB2312"/>
          <w:b/>
          <w:color w:val="auto"/>
          <w:sz w:val="24"/>
          <w:highlight w:val="none"/>
        </w:rPr>
        <w:t>。</w:t>
      </w:r>
    </w:p>
    <w:p>
      <w:pPr>
        <w:numPr>
          <w:ilvl w:val="0"/>
          <w:numId w:val="0"/>
        </w:numPr>
        <w:tabs>
          <w:tab w:val="left" w:pos="0"/>
        </w:tabs>
        <w:spacing w:line="360" w:lineRule="auto"/>
        <w:jc w:val="left"/>
        <w:rPr>
          <w:rFonts w:hint="eastAsia" w:ascii="仿宋_GB2312" w:hAnsi="仿宋" w:eastAsia="仿宋_GB2312" w:cs="Times New Roman"/>
          <w:bCs/>
          <w:color w:val="auto"/>
          <w:sz w:val="24"/>
          <w:szCs w:val="24"/>
          <w:highlight w:val="none"/>
          <w:lang w:val="zh-CN"/>
        </w:rPr>
      </w:pPr>
      <w:r>
        <w:rPr>
          <w:rFonts w:hint="eastAsia" w:ascii="仿宋_GB2312" w:hAnsi="仿宋" w:eastAsia="仿宋_GB2312" w:cs="Times New Roman"/>
          <w:bCs/>
          <w:color w:val="auto"/>
          <w:sz w:val="24"/>
          <w:szCs w:val="24"/>
          <w:highlight w:val="none"/>
          <w:lang w:val="zh-CN"/>
        </w:rPr>
        <w:tab/>
      </w:r>
      <w:r>
        <w:rPr>
          <w:rFonts w:hint="eastAsia" w:ascii="仿宋_GB2312" w:hAnsi="仿宋" w:eastAsia="仿宋_GB2312" w:cs="Times New Roman"/>
          <w:bCs/>
          <w:color w:val="auto"/>
          <w:sz w:val="24"/>
          <w:szCs w:val="24"/>
          <w:highlight w:val="none"/>
          <w:lang w:val="zh-CN" w:eastAsia="zh-CN"/>
        </w:rPr>
        <w:t>26.2</w:t>
      </w:r>
      <w:r>
        <w:rPr>
          <w:rFonts w:hint="eastAsia" w:ascii="仿宋_GB2312" w:hAnsi="仿宋" w:eastAsia="仿宋_GB2312"/>
          <w:b w:val="0"/>
          <w:bCs/>
          <w:color w:val="auto"/>
          <w:sz w:val="24"/>
          <w:highlight w:val="none"/>
          <w:lang w:val="zh-CN" w:eastAsia="zh-CN"/>
        </w:rPr>
        <w:t>政府采购货物和服务项目中，杭州市政府采购网公布的供应商履约评价为满分的，采购单位应当免收履约保证金；确需收取履约保证金的，履约保证金缴纳最高比例不得超过合同金额的1.0%。</w:t>
      </w:r>
    </w:p>
    <w:p>
      <w:pPr>
        <w:tabs>
          <w:tab w:val="left" w:pos="0"/>
        </w:tabs>
        <w:spacing w:line="360" w:lineRule="auto"/>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ab/>
      </w:r>
      <w:r>
        <w:rPr>
          <w:rFonts w:hint="eastAsia" w:ascii="仿宋_GB2312" w:hAnsi="仿宋" w:eastAsia="仿宋_GB2312" w:cs="仿宋_GB2312"/>
          <w:color w:val="auto"/>
          <w:sz w:val="24"/>
          <w:szCs w:val="20"/>
          <w:highlight w:val="none"/>
          <w:lang w:val="en-US" w:eastAsia="zh-CN"/>
        </w:rPr>
        <w:t>26.3</w:t>
      </w:r>
      <w:r>
        <w:rPr>
          <w:rFonts w:hint="eastAsia" w:ascii="仿宋_GB2312" w:hAnsi="仿宋" w:eastAsia="仿宋_GB2312" w:cs="仿宋_GB2312"/>
          <w:color w:val="auto"/>
          <w:sz w:val="24"/>
          <w:szCs w:val="20"/>
          <w:highlight w:val="none"/>
        </w:rPr>
        <w:t>供应商可登录政采云平台-【金融服务】—【我的项目】—【已备案合同】以保函形式提供：</w:t>
      </w:r>
    </w:p>
    <w:p>
      <w:pPr>
        <w:numPr>
          <w:ilvl w:val="0"/>
          <w:numId w:val="3"/>
        </w:numPr>
        <w:tabs>
          <w:tab w:val="left" w:pos="0"/>
        </w:tabs>
        <w:spacing w:line="360" w:lineRule="auto"/>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供应商在合同列表选择需要投保的合同，点击[保函推荐]。</w:t>
      </w:r>
    </w:p>
    <w:p>
      <w:pPr>
        <w:numPr>
          <w:ilvl w:val="0"/>
          <w:numId w:val="3"/>
        </w:numPr>
        <w:tabs>
          <w:tab w:val="left" w:pos="0"/>
        </w:tabs>
        <w:spacing w:line="360" w:lineRule="auto"/>
        <w:ind w:left="0" w:firstLine="420" w:firstLineChars="175"/>
        <w:jc w:val="left"/>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在弹框里查看推荐的保函产品，供应商自行选择保函产品，点击[立即申请]。</w:t>
      </w:r>
    </w:p>
    <w:p>
      <w:pPr>
        <w:numPr>
          <w:ilvl w:val="0"/>
          <w:numId w:val="3"/>
        </w:numPr>
        <w:tabs>
          <w:tab w:val="left" w:pos="0"/>
        </w:tabs>
        <w:spacing w:line="360" w:lineRule="auto"/>
        <w:ind w:left="0" w:firstLine="420" w:firstLineChars="175"/>
        <w:jc w:val="left"/>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4" w:name="_Toc24948"/>
      <w:r>
        <w:rPr>
          <w:rFonts w:hint="eastAsia" w:ascii="仿宋_GB2312" w:hAnsi="仿宋" w:eastAsia="仿宋_GB2312" w:cs="仿宋_GB2312"/>
          <w:b/>
          <w:color w:val="auto"/>
          <w:sz w:val="32"/>
          <w:szCs w:val="20"/>
          <w:highlight w:val="none"/>
        </w:rPr>
        <w:t>八、电子交易活动的中止</w:t>
      </w:r>
      <w:bookmarkEnd w:id="14"/>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电子交易活动的中止</w:t>
      </w:r>
    </w:p>
    <w:p>
      <w:pPr>
        <w:pStyle w:val="27"/>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27"/>
        <w:snapToGrid w:val="0"/>
        <w:spacing w:before="0"/>
        <w:ind w:firstLine="0" w:firstLineChars="0"/>
        <w:rPr>
          <w:rFonts w:ascii="仿宋_GB2312" w:hAnsi="仿宋" w:eastAsia="仿宋_GB2312" w:cs="仿宋_GB2312"/>
          <w:b/>
          <w:bCs/>
          <w:color w:val="auto"/>
          <w:highlight w:val="none"/>
        </w:rPr>
      </w:pPr>
      <w:r>
        <w:rPr>
          <w:rFonts w:ascii="仿宋_GB2312" w:hAnsi="仿宋" w:eastAsia="仿宋_GB2312"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5" w:name="_Toc20535"/>
      <w:r>
        <w:rPr>
          <w:rFonts w:hint="eastAsia" w:ascii="仿宋_GB2312" w:hAnsi="仿宋" w:eastAsia="仿宋_GB2312" w:cs="仿宋_GB2312"/>
          <w:b/>
          <w:color w:val="auto"/>
          <w:sz w:val="32"/>
          <w:szCs w:val="20"/>
          <w:highlight w:val="none"/>
        </w:rPr>
        <w:t>九、验收</w:t>
      </w:r>
      <w:bookmarkEnd w:id="15"/>
    </w:p>
    <w:p>
      <w:pPr>
        <w:pStyle w:val="6"/>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29.验收</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29.2采购人可以邀请参加本项目的其他投标人或者第三方机构参与验收。参与验收的投标人或者第三方机构的意见作为验收书的参考资料一并存档。</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7"/>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color w:val="auto"/>
          <w:highlight w:val="none"/>
        </w:rPr>
      </w:pPr>
    </w:p>
    <w:p>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28"/>
          <w:szCs w:val="21"/>
          <w:highlight w:val="none"/>
        </w:rPr>
        <w:br w:type="page"/>
      </w:r>
      <w:bookmarkStart w:id="16" w:name="_Toc83616202"/>
      <w:bookmarkStart w:id="17" w:name="_Toc31190"/>
      <w:bookmarkStart w:id="18" w:name="_Toc242012796"/>
      <w:bookmarkStart w:id="19" w:name="_Toc22967"/>
      <w:r>
        <w:rPr>
          <w:rFonts w:hint="eastAsia" w:ascii="仿宋" w:hAnsi="仿宋" w:eastAsia="仿宋" w:cs="仿宋"/>
          <w:b/>
          <w:color w:val="auto"/>
          <w:sz w:val="30"/>
          <w:szCs w:val="30"/>
          <w:highlight w:val="none"/>
        </w:rPr>
        <w:t>第三部分</w:t>
      </w:r>
      <w:bookmarkEnd w:id="16"/>
      <w:r>
        <w:rPr>
          <w:rFonts w:hint="eastAsia" w:ascii="仿宋" w:hAnsi="仿宋" w:eastAsia="仿宋" w:cs="仿宋"/>
          <w:b/>
          <w:color w:val="auto"/>
          <w:sz w:val="30"/>
          <w:szCs w:val="30"/>
          <w:highlight w:val="none"/>
        </w:rPr>
        <w:t xml:space="preserve">  </w:t>
      </w:r>
      <w:bookmarkEnd w:id="17"/>
      <w:bookmarkEnd w:id="18"/>
      <w:r>
        <w:rPr>
          <w:rFonts w:hint="eastAsia" w:ascii="仿宋" w:hAnsi="仿宋" w:eastAsia="仿宋" w:cs="仿宋"/>
          <w:b/>
          <w:color w:val="auto"/>
          <w:sz w:val="30"/>
          <w:szCs w:val="30"/>
          <w:highlight w:val="none"/>
        </w:rPr>
        <w:t>采购需求</w:t>
      </w:r>
      <w:bookmarkEnd w:id="19"/>
    </w:p>
    <w:p>
      <w:pPr>
        <w:pStyle w:val="27"/>
        <w:spacing w:before="0" w:line="312" w:lineRule="auto"/>
        <w:ind w:firstLine="480"/>
        <w:rPr>
          <w:rFonts w:hint="eastAsia" w:ascii="仿宋" w:hAnsi="仿宋" w:eastAsia="仿宋"/>
          <w:color w:val="auto"/>
          <w:szCs w:val="24"/>
          <w:highlight w:val="none"/>
        </w:rPr>
      </w:pPr>
      <w:bookmarkStart w:id="20" w:name="_Toc331971533"/>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为杭州市第一社会福利院（杭州市精神病人社会福利院）服务对象护理服务项目，投标人应根据采购文件所提出的服务要求，综合考虑适应性，选择具有最佳性能价格比的方案前来投标。希望投标人以优良的服务和优惠的价格，充分显示你们的竞争实力。</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(一)主要概况：</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杭州市第一社会福利院（杭州市精神病人社会福利院）是杭州市民政局直属的全额拨款事业单位，位于</w:t>
      </w:r>
      <w:r>
        <w:rPr>
          <w:rFonts w:hint="eastAsia" w:ascii="仿宋" w:hAnsi="仿宋" w:eastAsia="仿宋" w:cs="仿宋"/>
          <w:color w:val="auto"/>
          <w:szCs w:val="24"/>
          <w:highlight w:val="none"/>
          <w:lang w:eastAsia="zh-CN"/>
        </w:rPr>
        <w:t>余杭区</w:t>
      </w:r>
      <w:r>
        <w:rPr>
          <w:rFonts w:hint="eastAsia" w:ascii="仿宋" w:hAnsi="仿宋" w:eastAsia="仿宋" w:cs="仿宋"/>
          <w:color w:val="auto"/>
          <w:szCs w:val="24"/>
          <w:highlight w:val="none"/>
        </w:rPr>
        <w:t>瓶窑镇凤都村</w:t>
      </w:r>
      <w:r>
        <w:rPr>
          <w:rFonts w:hint="eastAsia" w:ascii="仿宋" w:hAnsi="仿宋" w:eastAsia="仿宋" w:cs="仿宋"/>
          <w:color w:val="auto"/>
          <w:szCs w:val="24"/>
          <w:highlight w:val="none"/>
          <w:lang w:eastAsia="zh-CN"/>
        </w:rPr>
        <w:t>北村</w:t>
      </w:r>
      <w:r>
        <w:rPr>
          <w:rFonts w:hint="eastAsia" w:ascii="仿宋" w:hAnsi="仿宋" w:eastAsia="仿宋" w:cs="仿宋"/>
          <w:color w:val="auto"/>
          <w:szCs w:val="24"/>
          <w:highlight w:val="none"/>
          <w:lang w:val="en-US" w:eastAsia="zh-CN"/>
        </w:rPr>
        <w:t>101号</w:t>
      </w:r>
      <w:r>
        <w:rPr>
          <w:rFonts w:hint="eastAsia" w:ascii="仿宋" w:hAnsi="仿宋" w:eastAsia="仿宋" w:cs="仿宋"/>
          <w:color w:val="auto"/>
          <w:szCs w:val="24"/>
          <w:highlight w:val="none"/>
        </w:rPr>
        <w:t>，院建筑面积3.6万余平方米，床位800张。我院先后被浙江省民政厅评为“省一级社会福利事业单位”；被杭州市人民政府评为“敬老服务先进单位”；被民政部评为全国民政系统先进集体；被全国老龄工作委员会评为全国“敬老文明号”等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(二)主要职能</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主要承担安置社会“三无”（无生活来源、无法定赡养人、无劳动能力）人员的职能，包括杭州主城区孤寡老人，杭州市儿童福利院年满18周岁的青少年，杭州市救助管理站送来的查无着落的人员。这些安置人员大多患有残疾，肢体残疾、精神残疾或者智力智障，部分服务对象患有传染性疾病。</w:t>
      </w:r>
    </w:p>
    <w:p>
      <w:pPr>
        <w:pStyle w:val="27"/>
        <w:spacing w:before="0" w:line="336"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(三)采购</w:t>
      </w:r>
      <w:r>
        <w:rPr>
          <w:rFonts w:hint="eastAsia" w:ascii="仿宋" w:hAnsi="仿宋" w:eastAsia="仿宋" w:cs="仿宋"/>
          <w:color w:val="auto"/>
          <w:szCs w:val="24"/>
          <w:highlight w:val="none"/>
          <w:lang w:eastAsia="zh-CN"/>
        </w:rPr>
        <w:t>内容</w:t>
      </w:r>
    </w:p>
    <w:p>
      <w:pPr>
        <w:pStyle w:val="27"/>
        <w:spacing w:before="0" w:line="336" w:lineRule="auto"/>
        <w:ind w:firstLine="480"/>
        <w:rPr>
          <w:rFonts w:hint="eastAsia" w:ascii="仿宋" w:hAnsi="仿宋" w:eastAsia="仿宋" w:cs="仿宋"/>
          <w:color w:val="FF0000"/>
          <w:szCs w:val="24"/>
          <w:highlight w:val="none"/>
        </w:rPr>
      </w:pPr>
      <w:r>
        <w:rPr>
          <w:rFonts w:hint="eastAsia" w:ascii="仿宋" w:hAnsi="仿宋" w:eastAsia="仿宋" w:cs="仿宋"/>
          <w:color w:val="auto"/>
          <w:szCs w:val="24"/>
          <w:highlight w:val="none"/>
        </w:rPr>
        <w:t>本次采购的内容为：杭州市第一社会福利院（杭州市精神病人社会福利院）的休养</w:t>
      </w:r>
      <w:r>
        <w:rPr>
          <w:rFonts w:hint="eastAsia" w:ascii="仿宋" w:hAnsi="仿宋" w:eastAsia="仿宋" w:cs="仿宋"/>
          <w:color w:val="auto"/>
          <w:szCs w:val="24"/>
          <w:highlight w:val="none"/>
          <w:lang w:eastAsia="zh-CN"/>
        </w:rPr>
        <w:t>7号楼、8号楼、9号楼、10号楼四个楼栋</w:t>
      </w:r>
      <w:r>
        <w:rPr>
          <w:rFonts w:hint="eastAsia" w:ascii="仿宋" w:hAnsi="仿宋" w:eastAsia="仿宋" w:cs="仿宋"/>
          <w:color w:val="auto"/>
          <w:szCs w:val="24"/>
          <w:highlight w:val="none"/>
        </w:rPr>
        <w:t>的服务对象实行护理服务，截止</w:t>
      </w:r>
      <w:r>
        <w:rPr>
          <w:rFonts w:hint="eastAsia" w:ascii="仿宋" w:hAnsi="仿宋" w:eastAsia="仿宋" w:cs="仿宋"/>
          <w:color w:val="auto"/>
          <w:szCs w:val="24"/>
          <w:highlight w:val="none"/>
          <w:lang w:val="en-US" w:eastAsia="zh-CN"/>
        </w:rPr>
        <w:t>2022年8月</w:t>
      </w:r>
      <w:r>
        <w:rPr>
          <w:rFonts w:hint="eastAsia" w:ascii="仿宋" w:hAnsi="仿宋" w:eastAsia="仿宋" w:cs="仿宋"/>
          <w:color w:val="auto"/>
          <w:szCs w:val="24"/>
          <w:highlight w:val="none"/>
        </w:rPr>
        <w:t>，服务对象共</w:t>
      </w:r>
      <w:r>
        <w:rPr>
          <w:rFonts w:hint="eastAsia" w:ascii="仿宋" w:hAnsi="仿宋" w:eastAsia="仿宋" w:cs="仿宋"/>
          <w:color w:val="auto"/>
          <w:szCs w:val="24"/>
          <w:highlight w:val="none"/>
          <w:lang w:val="en-US" w:eastAsia="zh-CN"/>
        </w:rPr>
        <w:t>439</w:t>
      </w:r>
      <w:r>
        <w:rPr>
          <w:rFonts w:hint="eastAsia" w:ascii="仿宋" w:hAnsi="仿宋" w:eastAsia="仿宋" w:cs="仿宋"/>
          <w:color w:val="auto"/>
          <w:szCs w:val="24"/>
          <w:highlight w:val="none"/>
        </w:rPr>
        <w:t>名（三级护理（自理）</w:t>
      </w:r>
      <w:r>
        <w:rPr>
          <w:rFonts w:hint="eastAsia" w:ascii="仿宋" w:hAnsi="仿宋" w:eastAsia="仿宋" w:cs="仿宋"/>
          <w:color w:val="auto"/>
          <w:szCs w:val="24"/>
          <w:highlight w:val="none"/>
          <w:lang w:val="en-US" w:eastAsia="zh-CN"/>
        </w:rPr>
        <w:t>26</w:t>
      </w:r>
      <w:r>
        <w:rPr>
          <w:rFonts w:hint="eastAsia" w:ascii="仿宋" w:hAnsi="仿宋" w:eastAsia="仿宋" w:cs="仿宋"/>
          <w:color w:val="auto"/>
          <w:szCs w:val="24"/>
          <w:highlight w:val="none"/>
        </w:rPr>
        <w:t>人，二级护理</w:t>
      </w:r>
      <w:r>
        <w:rPr>
          <w:rFonts w:hint="eastAsia" w:ascii="仿宋" w:hAnsi="仿宋" w:eastAsia="仿宋" w:cs="仿宋"/>
          <w:color w:val="auto"/>
          <w:szCs w:val="24"/>
          <w:highlight w:val="none"/>
          <w:lang w:val="en-US" w:eastAsia="zh-CN"/>
        </w:rPr>
        <w:t>90</w:t>
      </w:r>
      <w:r>
        <w:rPr>
          <w:rFonts w:hint="eastAsia" w:ascii="仿宋" w:hAnsi="仿宋" w:eastAsia="仿宋" w:cs="仿宋"/>
          <w:color w:val="auto"/>
          <w:szCs w:val="24"/>
          <w:highlight w:val="none"/>
        </w:rPr>
        <w:t>人，一级护理</w:t>
      </w:r>
      <w:r>
        <w:rPr>
          <w:rFonts w:hint="eastAsia" w:ascii="仿宋" w:hAnsi="仿宋" w:eastAsia="仿宋" w:cs="仿宋"/>
          <w:color w:val="auto"/>
          <w:szCs w:val="24"/>
          <w:highlight w:val="none"/>
          <w:lang w:val="en-US" w:eastAsia="zh-CN"/>
        </w:rPr>
        <w:t>143</w:t>
      </w:r>
      <w:r>
        <w:rPr>
          <w:rFonts w:hint="eastAsia" w:ascii="仿宋" w:hAnsi="仿宋" w:eastAsia="仿宋" w:cs="仿宋"/>
          <w:color w:val="auto"/>
          <w:szCs w:val="24"/>
          <w:highlight w:val="none"/>
        </w:rPr>
        <w:t>人，特级专护</w:t>
      </w:r>
      <w:r>
        <w:rPr>
          <w:rFonts w:hint="eastAsia" w:ascii="仿宋" w:hAnsi="仿宋" w:eastAsia="仿宋" w:cs="仿宋"/>
          <w:color w:val="auto"/>
          <w:szCs w:val="24"/>
          <w:highlight w:val="none"/>
          <w:lang w:val="en-US" w:eastAsia="zh-CN"/>
        </w:rPr>
        <w:t>180</w:t>
      </w:r>
      <w:r>
        <w:rPr>
          <w:rFonts w:hint="eastAsia" w:ascii="仿宋" w:hAnsi="仿宋" w:eastAsia="仿宋" w:cs="仿宋"/>
          <w:color w:val="auto"/>
          <w:szCs w:val="24"/>
          <w:highlight w:val="none"/>
        </w:rPr>
        <w:t>人）</w:t>
      </w:r>
      <w:r>
        <w:rPr>
          <w:rFonts w:hint="eastAsia" w:ascii="仿宋" w:hAnsi="仿宋" w:eastAsia="仿宋" w:cs="仿宋"/>
          <w:color w:val="FF0000"/>
          <w:szCs w:val="24"/>
          <w:highlight w:val="none"/>
        </w:rPr>
        <w:t>。</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val="en-US" w:eastAsia="zh-CN"/>
        </w:rPr>
        <w:t>项目服务团队岗位设置及</w:t>
      </w:r>
      <w:r>
        <w:rPr>
          <w:rFonts w:hint="eastAsia" w:ascii="仿宋" w:hAnsi="仿宋" w:eastAsia="仿宋" w:cs="仿宋"/>
          <w:b/>
          <w:bCs/>
          <w:color w:val="auto"/>
          <w:sz w:val="24"/>
          <w:highlight w:val="none"/>
        </w:rPr>
        <w:t>服务要求：</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中标人</w:t>
      </w:r>
      <w:r>
        <w:rPr>
          <w:rFonts w:hint="eastAsia" w:ascii="仿宋" w:hAnsi="仿宋" w:eastAsia="仿宋" w:cs="仿宋"/>
          <w:b/>
          <w:bCs/>
          <w:color w:val="auto"/>
          <w:sz w:val="24"/>
          <w:highlight w:val="none"/>
        </w:rPr>
        <w:t>服务人员必须严格遵守采购人制定的各项制度。</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(一)护理部各岗位职责及岗位能力要求</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1、护理项目主管岗位职责及岗位能力要求</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1.1护理项目主管岗位职责</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(1)组织和领导护理部员工认真执行领导指令，贯彻落实质量方针、目标和各项规章制度，全面完成护理部的工作任务。</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(2)全面负责护理部《生活护理规程》、《护理操作技术规程》和《生活分级护理内容》、《护理质量考核标准》等的贯彻实施全过程的督促检查，不断总结提高，采取有效措施，确保护理质量。</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(3)负责处理护理部的日常工作，包括生活护理、康复保健和行政管理，切实做好护理质量的策划，及时拟订部门实施、检查计划，主动做好各方面的协调，保证护理工作持续有序正常运行，全面实现质量标准。</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围绕“以服务对象为中心”全方位开展“五心”服务工作，有计划地安排、组织服务对象的各种文娱活动、健身锻炼、康复训练等，积极调动服务对象自主参与意识，活跃生活，增进身心健康；认真执行《员工手册》、《代理项目服务规范》，以一流的服务质量来满足服务对象的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建立和实施《原始记录归档管理制度》和《服务对象突发事件、事故处理规程》，执行《护理楼班交接班制度》，督促做好交接班工作，认真执行《护理文件书写制度》，做到每位服务对象护理状况有完整系统的记录，以便于查考。</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定时查房，全面了解服务对象生活、思想、健康状况和饮食情况，进行综合分析，采取针对性措施，做好防患于未然，预防一切可能发生的差错和突发事件，想方设法全力地做好服务对象的生活服务、思想、保健工作，协助医务人员做好重病服务对象的护理。</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(7)广泛地听取服务对象及其亲属的意见和建议，接受服务对象及其亲属的民主监督，定期测评服务满意度，不断提高服务质量。</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加强护理人员的教育管理，经常督促护理人员认真履行职责，恪守职业道德。定期组织护理员业务学习和考核，关心他们的生活、工作，不断提高业务技能，调动员工积极性，促进整个护理工作有所创新，有所提高和完善。</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(9)定期汇报工作，按时完成领导交办其它任务</w:t>
      </w:r>
      <w:r>
        <w:rPr>
          <w:rFonts w:hint="eastAsia" w:ascii="仿宋" w:hAnsi="仿宋" w:eastAsia="仿宋" w:cs="仿宋"/>
          <w:color w:val="auto"/>
          <w:szCs w:val="24"/>
          <w:highlight w:val="none"/>
          <w:lang w:eastAsia="zh-CN"/>
        </w:rPr>
        <w:t>。</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(10)制定培训计划，每月组织至少一次的护理员培训，并积极参加采购方组织的各种培训。</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1.2岗位能力要求(满足以下两项即可)</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(1)具有医疗护理相关专业大专以上学历或中级以上职称。</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(2)具有五年</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highlight w:val="none"/>
        </w:rPr>
        <w:t>以上护理和管理经验。</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(3)有一定的组织领导管理能力。</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2.护理楼长（班长）岗位职责及岗位能力要求</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2.1护理楼长（班长）岗位职责</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(1)在护理项目主管领导下，负责相应楼层行政管理和服务对象的生活护理工作。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(2)参加、组织和指导护理员了解服务对象的生活、思想和健康情况，采取针对性措施，做好服务对象生活及心理护理，并协助医务人员做好服务对象保健工作。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(3)经常督促生活护理程序、生活分级护理内容和护理操作技术规程的执行，定期检查，保证护理质量。</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(4)组织入住服务对象进行各种有益健康的活动,如书法、绘画、下棋、娱乐活动、健身锻炼及其他康复训练等。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(5)认真做好服务对象财物的委托保管工作及防盗、防火、防事故工作。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(6)每日至少一次巡视各居室，听取服务对象对护理工作的意见，并在自己的职责范围内努力满足他们的要求。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(7)管理好本生活区内各种设备、家俱、物资，负责领取所需物品，按规定建立台账，合理安排使用，减少损耗和浪费。</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(8)根据生活分级护理标准，合理、科学排班，并做好与其它楼班的协调工作。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(9)关心护理人员的生活、思想和工作情况，努力帮助他们解决困难，带头严格执行各项规章制度，维护劳动纪律。</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(10)定期组织护理人员业务学习并进行考核。</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(11)准时主持晨会、讲评工作，提出工作重点。</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(12)完成护理主管交办的其它任务。</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2.2岗位能力要求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(1)初中以上学历。</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(2)具有三年</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highlight w:val="none"/>
        </w:rPr>
        <w:t>以上护理经验。</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(3)有一定的组织领导管理能力，工作责任心强。</w:t>
      </w:r>
    </w:p>
    <w:p>
      <w:pPr>
        <w:pStyle w:val="27"/>
        <w:spacing w:before="0" w:line="336"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)会操作电脑、信息系统录入</w:t>
      </w:r>
      <w:r>
        <w:rPr>
          <w:rFonts w:hint="eastAsia" w:ascii="仿宋" w:hAnsi="仿宋" w:eastAsia="仿宋" w:cs="仿宋"/>
          <w:color w:val="auto"/>
          <w:szCs w:val="24"/>
          <w:highlight w:val="none"/>
          <w:lang w:eastAsia="zh-CN"/>
        </w:rPr>
        <w:t>。</w:t>
      </w:r>
    </w:p>
    <w:p>
      <w:pPr>
        <w:pStyle w:val="27"/>
        <w:spacing w:before="0" w:line="336" w:lineRule="auto"/>
        <w:ind w:firstLine="480"/>
        <w:rPr>
          <w:rFonts w:hint="eastAsia" w:ascii="仿宋" w:hAnsi="仿宋" w:eastAsia="仿宋" w:cs="仿宋"/>
          <w:color w:val="auto"/>
          <w:szCs w:val="24"/>
          <w:highlight w:val="none"/>
        </w:rPr>
      </w:pP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3.楼班</w:t>
      </w:r>
      <w:r>
        <w:rPr>
          <w:rFonts w:hint="eastAsia" w:ascii="仿宋" w:hAnsi="仿宋" w:eastAsia="仿宋" w:cs="仿宋"/>
          <w:b/>
          <w:color w:val="auto"/>
          <w:szCs w:val="24"/>
          <w:highlight w:val="none"/>
        </w:rPr>
        <w:t>护士</w:t>
      </w:r>
      <w:r>
        <w:rPr>
          <w:rFonts w:hint="eastAsia" w:ascii="仿宋" w:hAnsi="仿宋" w:eastAsia="仿宋" w:cs="仿宋"/>
          <w:b/>
          <w:color w:val="auto"/>
          <w:kern w:val="0"/>
          <w:szCs w:val="24"/>
          <w:highlight w:val="none"/>
          <w:lang w:val="zh-CN"/>
        </w:rPr>
        <w:t>岗位职责及岗位能力要求</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3.1楼班护士岗位职责</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（1）在护理楼长的领导下，负责楼班的护理质量与安全管理和持续改进工作，并协助医务人员做好服务对象的保健工作。</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（2）负责督促楼班护理员认真执行各项规章制度、护理技术操作规程。</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（3）负责督促、检查楼班护理工作质量，发现问题及时解决，把好质量关，并有记录。</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）负责服务对象的个案护理记录和交接班护理台账记录，对新入院的服务对象进行健康评估。</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（5）解决楼班护理业务上的疑难问题，指导危重服务对象护理计划的制定及实施。</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（6）有计划地组织护理员开展护理查房，及时总结楼班护理工作中的经验和教训。</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（7）负责组织楼班护理员的业务知识学习和护理技术培训。</w:t>
      </w:r>
    </w:p>
    <w:p>
      <w:pPr>
        <w:autoSpaceDE w:val="0"/>
        <w:autoSpaceDN w:val="0"/>
        <w:adjustRightIn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（8）对楼班内发生的护理问题和差错，应及时了解原因，总结经验教训，采取防范措施，并及时上报护理科。</w:t>
      </w:r>
    </w:p>
    <w:p>
      <w:pPr>
        <w:autoSpaceDE w:val="0"/>
        <w:autoSpaceDN w:val="0"/>
        <w:adjustRightInd w:val="0"/>
        <w:spacing w:line="336"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3.2岗位能力要求：</w:t>
      </w:r>
    </w:p>
    <w:p>
      <w:pPr>
        <w:autoSpaceDE w:val="0"/>
        <w:autoSpaceDN w:val="0"/>
        <w:adjustRightInd w:val="0"/>
        <w:spacing w:line="336"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(1)具有医疗、护理相关专业中专</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lang w:val="zh-CN"/>
        </w:rPr>
        <w:t>以上学历。</w:t>
      </w:r>
    </w:p>
    <w:p>
      <w:pPr>
        <w:autoSpaceDE w:val="0"/>
        <w:autoSpaceDN w:val="0"/>
        <w:adjustRightInd w:val="0"/>
        <w:spacing w:line="336"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)具有一定的工作经验。</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4. 护理员岗位职责及岗位能力要求</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4.1护理员岗位职责</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(1)在护理楼班长的领导下，负责服务对象的生活护理工作。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(2)熟悉了解入住服务对象的生活、思想和健康情况，采取针对性措施，做好服务对象生活护理、心理护理、康复护理等工作，并协助医务人员做好服务对象保健工作。</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自觉严格遵守护理程序和护理技术操作规程、生活分级护理内容及个案护理内容，规范服务。定时巡视居室，一级、特级护理的服务对象居室至少每隔一小时巡视一次，认真观察服务对象情况，发现异常，及时报告、及时处理。杜绝差错事故发生。</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(4)督促、协助做好生活区室内外卫生工作，保持生活环境的整洁、安静、安全、舒适。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(5)尊重、关心服务对象，语言文明、礼貌，举止端庄大方，热情周到服务，耐心帮助解决心理问题，努力创造文明、健康、乐观、祥和的生活氛围。</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(6)帮助护理对象参与各种有益于身心健康的活动，如户外活动、健身锻炼、康复训练等。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(7)自觉遵守各项规章制度，服从工作分配，坚守岗位。认真做好交接班工作，按规定作好各种护理记录。</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(8)认真做好卫生保健、饮食指导、健康长寿等知识宣教，指导服务对象养成良好的生活习惯及行为方式。</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(9)参加院内、班内组织的培训、学习和考核及各项活动。</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(10)做好定时消毒工作，防止院内交叉感染。</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(11)认真负责及时查看，确实掌握服务对象状况，杜绝休养服务对象擅自外出情况的发生。</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(12)完成护理楼班长交办的其它任务。</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4.2岗位能力要求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接受岗前培训，培训合格后上岗。</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)具有护理员职业资格证或能够证明其具备从事护理服务能力的相关证书、证件。</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)具有爱心、耐心和吃苦耐劳的精神。</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)能独立记录护理台账。</w:t>
      </w:r>
    </w:p>
    <w:p>
      <w:pPr>
        <w:pStyle w:val="27"/>
        <w:spacing w:before="0" w:line="336"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注：分级护理标准由投标人提供方案。</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三、人员配备及要求：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1.人员配备</w:t>
      </w:r>
    </w:p>
    <w:p>
      <w:pPr>
        <w:numPr>
          <w:ilvl w:val="0"/>
          <w:numId w:val="4"/>
        </w:numPr>
        <w:tabs>
          <w:tab w:val="left" w:pos="900"/>
        </w:tabs>
        <w:adjustRightInd w:val="0"/>
        <w:spacing w:line="336"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▲人员要求：7号楼、8号楼、9号楼、10号楼四个楼栋实有服务对象439人（三级护理（自理）26人，二级护理90人，一级护理143人，特级专护180人），护理团队总人数108人（含管理人员），具体如下：</w:t>
      </w:r>
    </w:p>
    <w:p>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民政部2020年4月发布的《&lt;养老机构等级划分与评定&gt;国家标准实施指南》（试行），综合参照《国家级福利院评定标准》和《养老机构服务规范》等办法，按照护理员三级（自理）服务对象比例1:10，需护理员3人；护理员与二级服务对象比例1:8，需护理员11人；护理员与一级服务对象比例1:5，需护理员28人，护理员与特级专护服务对象比例1:3，需护理员60人；同时，明年儿童院预计送入23人，预计新增托养人员15人；按一级服务对象1：5比例，需配置护理员3人；合计105人。</w:t>
      </w:r>
    </w:p>
    <w:p>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据《养老机构服务规范》8.1.2.3条“100个服务对象以上配备2名以上康复师”，每幢楼申请配备康复护士1名，其中（8号楼与10号楼为1幢楼），共3幢楼，合计3人。</w:t>
      </w:r>
    </w:p>
    <w:p>
      <w:pPr>
        <w:tabs>
          <w:tab w:val="left" w:pos="900"/>
        </w:tabs>
        <w:adjustRightIn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护理</w:t>
      </w:r>
      <w:r>
        <w:rPr>
          <w:rFonts w:hint="eastAsia" w:ascii="仿宋" w:hAnsi="仿宋" w:eastAsia="仿宋" w:cs="仿宋"/>
          <w:b w:val="0"/>
          <w:bCs w:val="0"/>
          <w:color w:val="auto"/>
          <w:sz w:val="24"/>
          <w:highlight w:val="none"/>
        </w:rPr>
        <w:t>楼班实</w:t>
      </w:r>
      <w:r>
        <w:rPr>
          <w:rFonts w:hint="eastAsia" w:ascii="仿宋" w:hAnsi="仿宋" w:eastAsia="仿宋" w:cs="仿宋"/>
          <w:color w:val="auto"/>
          <w:sz w:val="24"/>
          <w:highlight w:val="none"/>
        </w:rPr>
        <w:t>行24小时值班制，各楼班需配备白班夜班人员数详见附件2《硬性指标》。</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以上人员的配置为最基本的人员配置要求，投标人根据本单位能够提供的实际人数在投标文件中填报并提供相关证明材料，所有费用必须包含在投标报价内。</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中标人应保证所录用人员身体健康、无传染性疾病、无刑事违法或处分犯罪记录、要求有上岗资格证。新入</w:t>
      </w:r>
      <w:r>
        <w:rPr>
          <w:rFonts w:hint="eastAsia" w:ascii="仿宋" w:hAnsi="仿宋" w:eastAsia="仿宋" w:cs="仿宋"/>
          <w:b/>
          <w:bCs/>
          <w:color w:val="auto"/>
          <w:szCs w:val="24"/>
          <w:highlight w:val="none"/>
        </w:rPr>
        <w:t>护理服务人员须进行入职体检，入职后的护理服务人员身体状况应符合机构人员各项规范和要求。</w:t>
      </w:r>
      <w:r>
        <w:rPr>
          <w:rFonts w:hint="eastAsia" w:ascii="仿宋" w:hAnsi="仿宋" w:eastAsia="仿宋" w:cs="仿宋"/>
          <w:color w:val="auto"/>
          <w:szCs w:val="24"/>
          <w:highlight w:val="none"/>
        </w:rPr>
        <w:t>中标人各类护理服务人员按岗位统一着装，言行规范，文明礼貌。每年至少组织护理部员工体检一次。</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所有人员的住宿及用餐均由中标人自行解决。</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合同终止，</w:t>
      </w:r>
      <w:r>
        <w:rPr>
          <w:rFonts w:hint="eastAsia" w:ascii="仿宋" w:hAnsi="仿宋" w:eastAsia="仿宋" w:cs="仿宋"/>
          <w:color w:val="auto"/>
          <w:szCs w:val="24"/>
          <w:highlight w:val="none"/>
          <w:lang w:eastAsia="zh-CN"/>
        </w:rPr>
        <w:t>若本项目中标人未延续服务，则</w:t>
      </w:r>
      <w:r>
        <w:rPr>
          <w:rFonts w:hint="eastAsia" w:ascii="仿宋" w:hAnsi="仿宋" w:eastAsia="仿宋" w:cs="仿宋"/>
          <w:color w:val="auto"/>
          <w:szCs w:val="24"/>
          <w:highlight w:val="none"/>
        </w:rPr>
        <w:t>护理团队的主要技术骨干力量（护理楼班长，50%以上护理员），无条件移交给其他中标</w:t>
      </w:r>
      <w:r>
        <w:rPr>
          <w:rFonts w:hint="eastAsia" w:ascii="仿宋" w:hAnsi="仿宋" w:eastAsia="仿宋" w:cs="仿宋"/>
          <w:color w:val="auto"/>
          <w:szCs w:val="24"/>
          <w:highlight w:val="none"/>
          <w:lang w:eastAsia="zh-CN"/>
        </w:rPr>
        <w:t>人</w:t>
      </w:r>
      <w:r>
        <w:rPr>
          <w:rFonts w:hint="eastAsia" w:ascii="仿宋" w:hAnsi="仿宋" w:eastAsia="仿宋" w:cs="仿宋"/>
          <w:color w:val="auto"/>
          <w:szCs w:val="24"/>
          <w:highlight w:val="none"/>
        </w:rPr>
        <w:t>。</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2.人员要求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(1)所有相关人员的配备如需获得相关主管部门认证的，均需配证并持证上岗，且根据不同岗位统一着装。</w:t>
      </w:r>
    </w:p>
    <w:p>
      <w:pPr>
        <w:pStyle w:val="27"/>
        <w:spacing w:before="0" w:line="336"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Cs w:val="24"/>
          <w:highlight w:val="none"/>
          <w:lang w:eastAsia="zh-CN"/>
        </w:rPr>
        <w:t>护理团队中，不少于</w:t>
      </w:r>
      <w:r>
        <w:rPr>
          <w:rFonts w:hint="eastAsia" w:ascii="仿宋" w:hAnsi="仿宋" w:eastAsia="仿宋" w:cs="仿宋"/>
          <w:color w:val="auto"/>
          <w:szCs w:val="24"/>
          <w:highlight w:val="none"/>
          <w:lang w:val="en-US" w:eastAsia="zh-CN"/>
        </w:rPr>
        <w:t>30人持有</w:t>
      </w:r>
      <w:r>
        <w:rPr>
          <w:rFonts w:hint="eastAsia" w:ascii="仿宋" w:hAnsi="仿宋" w:eastAsia="仿宋" w:cs="仿宋"/>
          <w:color w:val="auto"/>
          <w:sz w:val="24"/>
          <w:highlight w:val="none"/>
        </w:rPr>
        <w:t>人力资源和社会保障局颁发的养老护理员证件</w:t>
      </w:r>
      <w:r>
        <w:rPr>
          <w:rFonts w:hint="eastAsia" w:ascii="仿宋" w:hAnsi="仿宋" w:eastAsia="仿宋" w:cs="仿宋"/>
          <w:color w:val="auto"/>
          <w:sz w:val="24"/>
          <w:highlight w:val="none"/>
          <w:lang w:eastAsia="zh-CN"/>
        </w:rPr>
        <w:t>，投标文件中提供养老护理员证件复制件，人员与证件复制件须一一对应，只提供人员名单而无证件复制件时不予认可。</w:t>
      </w:r>
    </w:p>
    <w:p>
      <w:pPr>
        <w:pStyle w:val="27"/>
        <w:spacing w:before="0" w:line="336"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Cs w:val="24"/>
          <w:highlight w:val="none"/>
          <w:lang w:eastAsia="zh-CN"/>
        </w:rPr>
        <w:t>护理团队中，应配置有手语能力的服务人员（提供手语能力方面的证书复制件），</w:t>
      </w:r>
      <w:r>
        <w:rPr>
          <w:rFonts w:hint="eastAsia" w:ascii="仿宋" w:hAnsi="仿宋" w:eastAsia="仿宋" w:cs="仿宋"/>
          <w:color w:val="auto"/>
          <w:sz w:val="24"/>
          <w:highlight w:val="none"/>
          <w:lang w:eastAsia="zh-CN"/>
        </w:rPr>
        <w:t>人员与证件复印件须一一对应，只提供人员名单而无证件复制件时不予认可</w:t>
      </w:r>
      <w:r>
        <w:rPr>
          <w:rFonts w:hint="eastAsia" w:ascii="仿宋" w:hAnsi="仿宋" w:eastAsia="仿宋" w:cs="仿宋"/>
          <w:color w:val="auto"/>
          <w:szCs w:val="24"/>
          <w:highlight w:val="none"/>
          <w:lang w:eastAsia="zh-CN"/>
        </w:rPr>
        <w:t>。</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(2)所有相关人员要求政治上可靠，身体素质好，无不良行为记录。</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(3)重要岗位人员必须由采购人考核、政治审查通过方可录用。</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能够提供的所有人员均须按采购文件要求提供相应的证明材料（学历、资格证书、职称证书、经验与业绩证明等），签订合同前提供不低于50%人员的证明材料，签订合同后一个月内提供全部人员的相关证明材料，按照人员配备比例，落实护理团队人数。新进员工必须在入职后60天内按以上标准提供相应的证明材料。所有人员必须专职为杭州市第一社会福利院（杭州市精神病人社会福利院）服务，不得兼职，中标后护理科长或护理楼班长如需要更换，须及时上报采购人，经采购人同意认可后更换。</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(5)为提高关于服务对象护理服务水平，所有服务人员还需进行宾馆礼仪的培训。除中标人对服务人员的培训外，需接受采购人对服务人员的集中进行培训。</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3、服务期内，中标人应有合理的措施保证服务人员的稳定，服务人员变动不得影响护理工作的开展。</w:t>
      </w:r>
    </w:p>
    <w:p>
      <w:pPr>
        <w:spacing w:line="336"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四、护理服务应达到的各项指标：</w:t>
      </w:r>
      <w:r>
        <w:rPr>
          <w:rFonts w:hint="eastAsia" w:ascii="仿宋" w:hAnsi="仿宋" w:eastAsia="仿宋" w:cs="仿宋"/>
          <w:bCs/>
          <w:color w:val="auto"/>
          <w:sz w:val="24"/>
          <w:highlight w:val="none"/>
        </w:rPr>
        <w:t>(详见附件考核标准)</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(1)落实护理措施100%。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(2)特护、一级护理合格率≥90%。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(3)褥疮发生率0（除特殊情况，但需通过备案，认证）</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(4)护理记录合格率≥90%。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(5)消毒率100%。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(6)区域环境卫生合格率≥90%。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(7)服务对象对护理满意率≥90%。</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(8)夜间护理质量合格率≥90%。</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五、管理服务费用及财务管理要求</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1、服务对象护理服务费用以签订的合同价为准，</w:t>
      </w:r>
      <w:r>
        <w:rPr>
          <w:rFonts w:hint="eastAsia" w:ascii="仿宋" w:hAnsi="仿宋" w:eastAsia="仿宋" w:cs="仿宋"/>
          <w:color w:val="auto"/>
          <w:szCs w:val="24"/>
          <w:highlight w:val="none"/>
          <w:lang w:val="en-US" w:eastAsia="zh-CN"/>
        </w:rPr>
        <w:t>采购人</w:t>
      </w:r>
      <w:r>
        <w:rPr>
          <w:rFonts w:hint="eastAsia" w:ascii="仿宋" w:hAnsi="仿宋" w:eastAsia="仿宋" w:cs="仿宋"/>
          <w:color w:val="auto"/>
          <w:szCs w:val="24"/>
          <w:highlight w:val="none"/>
        </w:rPr>
        <w:t>按区域实行护理按月结算支付费用。</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2、用于服务对象护理服务的操作实施时所需低值易耗品、清洁用品、用具、设备器材由采购人承担。用于服务对象护理服务的操作实施时水电费及设备（特指</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提供的设备）维修费用(单项2000元以上)等由采购人承担。具体如下：</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a低值易耗品：尿不湿、卫生纸、餐巾纸、卫生巾、洗衣粉、洗洁精、洁厕灵、施康等；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b清洁用品：床刷、拖把、抹布、水桶等；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c日常用品：剪刀、针线、剃须刀、指甲剪等；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d办公用品：病历车、病历夹、各类记录单、白板、药品柜、食品柜等；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e保护用具：约束带、约束手套、约束凳、床等；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f医疗用品：医疗急救用品及中单、橡胶手套、PE手套、口护棒、棉签棒、口罩、纱布、三角垫、隔离区消毒隔离口罩等常规医疗用品。</w:t>
      </w:r>
    </w:p>
    <w:p>
      <w:pPr>
        <w:pStyle w:val="27"/>
        <w:spacing w:before="0" w:line="336"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上述由采购人提供的用品根据服务对象实际需要进行登记、领用，遵照采购人领用制度执行，采购人将定期或不定期进行检查或抽查，若发现服务人员将服务对象用品擅自挪作私用。查明属实的，不论大小、价值高低，一律作2000元/次在当月合同款中扣罚。</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3、中标人须承担的费用如下：</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a服务对象护理服务办公费、服务人员工资等。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b由于</w:t>
      </w:r>
      <w:r>
        <w:rPr>
          <w:rFonts w:hint="eastAsia" w:ascii="仿宋" w:hAnsi="仿宋" w:eastAsia="仿宋" w:cs="仿宋"/>
          <w:color w:val="auto"/>
          <w:szCs w:val="24"/>
          <w:highlight w:val="none"/>
          <w:lang w:eastAsia="zh-CN"/>
        </w:rPr>
        <w:t>中标人</w:t>
      </w:r>
      <w:r>
        <w:rPr>
          <w:rFonts w:hint="eastAsia" w:ascii="仿宋" w:hAnsi="仿宋" w:eastAsia="仿宋" w:cs="仿宋"/>
          <w:color w:val="auto"/>
          <w:szCs w:val="24"/>
          <w:highlight w:val="none"/>
        </w:rPr>
        <w:t>护理服务不到位而造成</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器材、设备、设施等物品非正常损毁的由</w:t>
      </w:r>
      <w:r>
        <w:rPr>
          <w:rFonts w:hint="eastAsia" w:ascii="仿宋" w:hAnsi="仿宋" w:eastAsia="仿宋" w:cs="仿宋"/>
          <w:color w:val="auto"/>
          <w:szCs w:val="24"/>
          <w:highlight w:val="none"/>
          <w:lang w:eastAsia="zh-CN"/>
        </w:rPr>
        <w:t>中标人</w:t>
      </w:r>
      <w:r>
        <w:rPr>
          <w:rFonts w:hint="eastAsia" w:ascii="仿宋" w:hAnsi="仿宋" w:eastAsia="仿宋" w:cs="仿宋"/>
          <w:color w:val="auto"/>
          <w:szCs w:val="24"/>
          <w:highlight w:val="none"/>
        </w:rPr>
        <w:t>负责赔偿。</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c须有</w:t>
      </w:r>
      <w:r>
        <w:rPr>
          <w:rFonts w:hint="eastAsia" w:ascii="仿宋" w:hAnsi="仿宋" w:eastAsia="仿宋" w:cs="仿宋"/>
          <w:color w:val="auto"/>
          <w:szCs w:val="24"/>
          <w:highlight w:val="none"/>
          <w:lang w:eastAsia="zh-CN"/>
        </w:rPr>
        <w:t>中标人</w:t>
      </w:r>
      <w:r>
        <w:rPr>
          <w:rFonts w:hint="eastAsia" w:ascii="仿宋" w:hAnsi="仿宋" w:eastAsia="仿宋" w:cs="仿宋"/>
          <w:color w:val="auto"/>
          <w:szCs w:val="24"/>
          <w:highlight w:val="none"/>
        </w:rPr>
        <w:t>提供的设备器材；</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4、关于服务对象护理服务服务人员缺岗的，按其岗位平均每月人员开支的标准扣除服务费。</w:t>
      </w:r>
    </w:p>
    <w:p>
      <w:pPr>
        <w:pStyle w:val="27"/>
        <w:spacing w:before="0" w:line="336"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5、关于服务对象护理服务服务质量不达标的，采购人按每月护理质量考核标准进行考核，不合格的按相应比例扣除服务费。</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6、中标人要制定财务预算，年终要进行财务专项决算并进行财务审计，审计结果报采购人。</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7、按实结算。在服务期限内，中标人的护理团队每月应不少于</w:t>
      </w:r>
      <w:r>
        <w:rPr>
          <w:rFonts w:hint="eastAsia" w:ascii="仿宋" w:hAnsi="仿宋" w:eastAsia="仿宋" w:cs="仿宋"/>
          <w:color w:val="auto"/>
          <w:szCs w:val="24"/>
          <w:highlight w:val="none"/>
          <w:lang w:val="en-US" w:eastAsia="zh-CN"/>
        </w:rPr>
        <w:t>108</w:t>
      </w:r>
      <w:r>
        <w:rPr>
          <w:rFonts w:hint="eastAsia" w:ascii="仿宋" w:hAnsi="仿宋" w:eastAsia="仿宋" w:cs="仿宋"/>
          <w:color w:val="auto"/>
          <w:szCs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含管理人员</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rPr>
        <w:t>，采购人每月按照</w:t>
      </w:r>
      <w:r>
        <w:rPr>
          <w:rFonts w:hint="eastAsia" w:ascii="仿宋" w:hAnsi="仿宋" w:eastAsia="仿宋" w:cs="仿宋"/>
          <w:color w:val="auto"/>
          <w:szCs w:val="24"/>
          <w:highlight w:val="none"/>
          <w:lang w:val="en-US" w:eastAsia="zh-CN"/>
        </w:rPr>
        <w:t>108</w:t>
      </w:r>
      <w:r>
        <w:rPr>
          <w:rFonts w:hint="eastAsia" w:ascii="仿宋" w:hAnsi="仿宋" w:eastAsia="仿宋" w:cs="仿宋"/>
          <w:color w:val="auto"/>
          <w:szCs w:val="24"/>
          <w:highlight w:val="none"/>
        </w:rPr>
        <w:t>人的标准进行考核和核算。在考核中发现低于</w:t>
      </w:r>
      <w:r>
        <w:rPr>
          <w:rFonts w:hint="eastAsia" w:ascii="仿宋" w:hAnsi="仿宋" w:eastAsia="仿宋" w:cs="仿宋"/>
          <w:color w:val="auto"/>
          <w:szCs w:val="24"/>
          <w:highlight w:val="none"/>
          <w:lang w:val="en-US" w:eastAsia="zh-CN"/>
        </w:rPr>
        <w:t>108</w:t>
      </w:r>
      <w:r>
        <w:rPr>
          <w:rFonts w:hint="eastAsia" w:ascii="仿宋" w:hAnsi="仿宋" w:eastAsia="仿宋" w:cs="仿宋"/>
          <w:color w:val="auto"/>
          <w:szCs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含管理人员</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rPr>
        <w:t>的，按照每个护理员所占的人头经费按实结算。</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六、服务期限：</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12个月。如果下一年度服务招标未按时完成，为了保证护理服务正常进行，中标人应延续提供1-3个月的护理服务，延续期间的费用按延续期间的标准</w:t>
      </w:r>
      <w:r>
        <w:rPr>
          <w:rFonts w:hint="eastAsia" w:ascii="仿宋" w:hAnsi="仿宋" w:eastAsia="仿宋" w:cs="仿宋"/>
          <w:color w:val="auto"/>
          <w:kern w:val="0"/>
          <w:highlight w:val="none"/>
        </w:rPr>
        <w:t>(202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年度中标价格标准)</w:t>
      </w:r>
      <w:r>
        <w:rPr>
          <w:rFonts w:hint="eastAsia" w:ascii="仿宋" w:hAnsi="仿宋" w:eastAsia="仿宋" w:cs="仿宋"/>
          <w:color w:val="auto"/>
          <w:szCs w:val="24"/>
          <w:highlight w:val="none"/>
        </w:rPr>
        <w:t>执行,延续期间的费用由</w:t>
      </w:r>
      <w:r>
        <w:rPr>
          <w:rFonts w:hint="eastAsia" w:ascii="仿宋" w:hAnsi="仿宋" w:eastAsia="仿宋" w:cs="仿宋"/>
          <w:color w:val="auto"/>
          <w:szCs w:val="24"/>
          <w:highlight w:val="none"/>
          <w:lang w:val="en-US" w:eastAsia="zh-CN"/>
        </w:rPr>
        <w:t>2024年度</w:t>
      </w:r>
      <w:r>
        <w:rPr>
          <w:rFonts w:hint="eastAsia" w:ascii="仿宋" w:hAnsi="仿宋" w:eastAsia="仿宋" w:cs="仿宋"/>
          <w:color w:val="auto"/>
          <w:szCs w:val="24"/>
          <w:highlight w:val="none"/>
        </w:rPr>
        <w:t>中标单位与上</w:t>
      </w:r>
      <w:r>
        <w:rPr>
          <w:rFonts w:hint="eastAsia" w:ascii="仿宋" w:hAnsi="仿宋" w:eastAsia="仿宋" w:cs="仿宋"/>
          <w:color w:val="auto"/>
          <w:szCs w:val="24"/>
          <w:highlight w:val="none"/>
          <w:lang w:val="en-US" w:eastAsia="zh-CN"/>
        </w:rPr>
        <w:t>年度</w:t>
      </w:r>
      <w:r>
        <w:rPr>
          <w:rFonts w:hint="eastAsia" w:ascii="仿宋" w:hAnsi="仿宋" w:eastAsia="仿宋" w:cs="仿宋"/>
          <w:color w:val="auto"/>
          <w:szCs w:val="24"/>
          <w:highlight w:val="none"/>
        </w:rPr>
        <w:t>单位自行结算。</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工作时间要求：工作时间为一周七天，要求二十四小时值班制。工作人员排班、轮休由中标人自行安排。</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七、相关场地提供</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1、采购人提供服务场地和休息场所，其他服务用品（如卫生用具、文件柜等自身使用的办公用品）及人员寄宿由中标人自行解决。</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2、根据需要在适合的楼层配备洁具堆放间，其它房间（如设备工具间、保洁工作间、员工的更衣室、会议仓库、会议工作间）进场后视情况协调解决。</w:t>
      </w:r>
    </w:p>
    <w:p>
      <w:pPr>
        <w:spacing w:line="336" w:lineRule="auto"/>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八、检查、考核</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督查</w:t>
      </w:r>
      <w:r>
        <w:rPr>
          <w:rFonts w:hint="eastAsia" w:ascii="仿宋" w:hAnsi="仿宋" w:eastAsia="仿宋" w:cs="仿宋"/>
          <w:b/>
          <w:bCs/>
          <w:color w:val="auto"/>
          <w:sz w:val="24"/>
          <w:highlight w:val="none"/>
          <w:lang w:val="en-US" w:eastAsia="zh-CN"/>
        </w:rPr>
        <w:t>和验收</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应制订具体的质量保证措施及质量保证和相关服务承诺。中标人所有的工作除应按中标人的内部流程实施外，还应接受采购人随时检查。如因质量未达到目标，采购人有权要求其整改，同时中标人应承担责任和经济赔偿（扣款或终止合同）。</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2、采购人根据考核方案（见附件）定期和不定期地对中标人管理服务进行检查和抽查，检查记录和整改时限反馈中标人。并每月对相应内容的检查结果进行考核。</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olor w:val="auto"/>
          <w:szCs w:val="24"/>
          <w:highlight w:val="none"/>
        </w:rPr>
        <w:t>中标人应制订具体的质量保证措施及质量保证和相关服务承诺。中标人所有的工作除应按中标人的内部流程实施外，还应接受采购人或第三方的随时检查。如因质量未达到目标，采购人有权要求其整改，同时中标人应承担责任和经济赔偿（扣款或终止合同）。</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采购项目的资金来源于财政资金，因此会面对财政审计的可能性，包括第三方的绩效评价与督查，中标人应无条件配合检查和审计，如实提供相关数据和材料。在审计和督查中发现中标人质量未达标或者其它重大问题的，采购人有权要求其整改，同时中标人应承担责任和经济赔偿（扣款或终止合同）。</w:t>
      </w:r>
    </w:p>
    <w:p>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九、其它事项</w:t>
      </w:r>
    </w:p>
    <w:p>
      <w:pPr>
        <w:pStyle w:val="27"/>
        <w:spacing w:before="0" w:line="336"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1、投标人应制定合理的措施应对</w:t>
      </w:r>
      <w:r>
        <w:rPr>
          <w:rFonts w:hint="eastAsia" w:ascii="仿宋" w:hAnsi="仿宋" w:eastAsia="仿宋" w:cs="仿宋"/>
          <w:color w:val="auto"/>
          <w:szCs w:val="24"/>
          <w:highlight w:val="none"/>
        </w:rPr>
        <w:t>社会上发生重大公共卫生事</w:t>
      </w:r>
      <w:r>
        <w:rPr>
          <w:rFonts w:hint="eastAsia" w:ascii="仿宋" w:hAnsi="仿宋" w:eastAsia="仿宋" w:cs="仿宋"/>
          <w:color w:val="auto"/>
          <w:szCs w:val="24"/>
          <w:highlight w:val="none"/>
          <w:lang w:val="en-US" w:eastAsia="zh-CN"/>
        </w:rPr>
        <w:t>件</w:t>
      </w:r>
      <w:r>
        <w:rPr>
          <w:rFonts w:hint="eastAsia" w:ascii="仿宋" w:hAnsi="仿宋" w:eastAsia="仿宋" w:cs="仿宋"/>
          <w:color w:val="auto"/>
          <w:szCs w:val="24"/>
          <w:highlight w:val="none"/>
        </w:rPr>
        <w:t>或者重大疫情</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如若社会上发生重大公共卫生事</w:t>
      </w:r>
      <w:r>
        <w:rPr>
          <w:rFonts w:hint="eastAsia" w:ascii="仿宋" w:hAnsi="仿宋" w:eastAsia="仿宋" w:cs="仿宋"/>
          <w:color w:val="auto"/>
          <w:szCs w:val="24"/>
          <w:highlight w:val="none"/>
          <w:lang w:val="en-US" w:eastAsia="zh-CN"/>
        </w:rPr>
        <w:t>件</w:t>
      </w:r>
      <w:r>
        <w:rPr>
          <w:rFonts w:hint="eastAsia" w:ascii="仿宋" w:hAnsi="仿宋" w:eastAsia="仿宋" w:cs="仿宋"/>
          <w:color w:val="auto"/>
          <w:szCs w:val="24"/>
          <w:highlight w:val="none"/>
        </w:rPr>
        <w:t>或者重大疫情，服务对象有感染的可能，</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有权利要求</w:t>
      </w:r>
      <w:r>
        <w:rPr>
          <w:rFonts w:hint="eastAsia" w:ascii="仿宋" w:hAnsi="仿宋" w:eastAsia="仿宋" w:cs="仿宋"/>
          <w:color w:val="auto"/>
          <w:szCs w:val="24"/>
          <w:highlight w:val="none"/>
          <w:lang w:eastAsia="zh-CN"/>
        </w:rPr>
        <w:t>中标人</w:t>
      </w:r>
      <w:r>
        <w:rPr>
          <w:rFonts w:hint="eastAsia" w:ascii="仿宋" w:hAnsi="仿宋" w:eastAsia="仿宋" w:cs="仿宋"/>
          <w:color w:val="auto"/>
          <w:szCs w:val="24"/>
          <w:highlight w:val="none"/>
        </w:rPr>
        <w:t>无条件服从</w:t>
      </w:r>
      <w:r>
        <w:rPr>
          <w:rFonts w:hint="eastAsia" w:ascii="仿宋" w:hAnsi="仿宋" w:eastAsia="仿宋" w:cs="仿宋"/>
          <w:color w:val="auto"/>
          <w:szCs w:val="24"/>
          <w:highlight w:val="none"/>
          <w:lang w:eastAsia="zh-CN"/>
        </w:rPr>
        <w:t>采购人</w:t>
      </w:r>
      <w:r>
        <w:rPr>
          <w:rFonts w:hint="eastAsia" w:ascii="仿宋" w:hAnsi="仿宋" w:eastAsia="仿宋" w:cs="仿宋"/>
          <w:color w:val="auto"/>
          <w:szCs w:val="24"/>
          <w:highlight w:val="none"/>
        </w:rPr>
        <w:t>的安排和人员调配</w:t>
      </w:r>
      <w:r>
        <w:rPr>
          <w:rFonts w:hint="eastAsia" w:ascii="仿宋" w:hAnsi="仿宋" w:eastAsia="仿宋" w:cs="仿宋"/>
          <w:color w:val="auto"/>
          <w:szCs w:val="24"/>
          <w:highlight w:val="none"/>
          <w:lang w:eastAsia="zh-CN"/>
        </w:rPr>
        <w:t>。</w:t>
      </w:r>
    </w:p>
    <w:p>
      <w:pPr>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2、合同期间，中标人应有合理的措施，保证服务人员的稳定性。</w:t>
      </w:r>
    </w:p>
    <w:p>
      <w:pPr>
        <w:spacing w:line="336"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 xml:space="preserve">3、合同期间，中标人应配合采购人完成常态化的疫情防控工作。 </w:t>
      </w:r>
    </w:p>
    <w:p>
      <w:pPr>
        <w:spacing w:line="336"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十、投标响应要求</w:t>
      </w:r>
    </w:p>
    <w:p>
      <w:pPr>
        <w:spacing w:line="336" w:lineRule="auto"/>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为确保本项目的顺利实施，投标人自2019年1月1日（以合同签订日期为准）以来，需具有护理类业绩；</w:t>
      </w:r>
    </w:p>
    <w:p>
      <w:pPr>
        <w:spacing w:line="336"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投标人需建立完善的管理体系：</w:t>
      </w:r>
      <w:r>
        <w:rPr>
          <w:rFonts w:hint="eastAsia" w:ascii="仿宋" w:hAnsi="仿宋" w:eastAsia="仿宋" w:cs="仿宋"/>
          <w:b w:val="0"/>
          <w:bCs w:val="0"/>
          <w:color w:val="auto"/>
          <w:sz w:val="24"/>
          <w:highlight w:val="none"/>
          <w:lang w:val="en-US" w:eastAsia="zh-CN"/>
        </w:rPr>
        <w:t>具有有效期内的质量管理体系认证证书、职业健康安全管理体系认证证书、</w:t>
      </w:r>
      <w:r>
        <w:rPr>
          <w:rFonts w:hint="eastAsia" w:ascii="仿宋" w:hAnsi="仿宋" w:eastAsia="仿宋" w:cs="仿宋"/>
          <w:b w:val="0"/>
          <w:bCs w:val="0"/>
          <w:color w:val="auto"/>
          <w:sz w:val="24"/>
          <w:highlight w:val="none"/>
          <w:lang w:eastAsia="zh-CN"/>
        </w:rPr>
        <w:t>环境</w:t>
      </w:r>
      <w:r>
        <w:rPr>
          <w:rFonts w:hint="eastAsia" w:ascii="仿宋" w:hAnsi="仿宋" w:eastAsia="仿宋" w:cs="仿宋"/>
          <w:b w:val="0"/>
          <w:bCs w:val="0"/>
          <w:color w:val="auto"/>
          <w:sz w:val="24"/>
          <w:highlight w:val="none"/>
          <w:lang w:val="en-US" w:eastAsia="zh-CN"/>
        </w:rPr>
        <w:t>管理体系</w:t>
      </w:r>
      <w:r>
        <w:rPr>
          <w:rFonts w:hint="eastAsia" w:ascii="仿宋" w:hAnsi="仿宋" w:eastAsia="仿宋" w:cs="仿宋"/>
          <w:b w:val="0"/>
          <w:bCs w:val="0"/>
          <w:color w:val="auto"/>
          <w:sz w:val="24"/>
          <w:highlight w:val="none"/>
          <w:lang w:eastAsia="zh-CN"/>
        </w:rPr>
        <w:t>认证</w:t>
      </w:r>
      <w:r>
        <w:rPr>
          <w:rFonts w:hint="eastAsia" w:ascii="仿宋" w:hAnsi="仿宋" w:eastAsia="仿宋" w:cs="仿宋"/>
          <w:b w:val="0"/>
          <w:bCs w:val="0"/>
          <w:color w:val="auto"/>
          <w:sz w:val="24"/>
          <w:highlight w:val="none"/>
          <w:lang w:val="en-US" w:eastAsia="zh-CN"/>
        </w:rPr>
        <w:t>证书、养老服务认证证书。</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2、投标人应充分了解、掌握本项目的情况，对服务对象的护理服务需求有充分的理解。</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各投标人应在投标文件中制定满足采购需求的管理方案，并阐述主要管理内容。管理方案应具有较强针对性、管理内容需详细、完整。。</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3、投标人对本项目的组织实施制订合理、规范的实施方案，且具有可操作性等。</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具有完善的工作职能组织运行机制、详细的内部管理的职责分工、管理和协调方法。</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建立完善的监督机制、自我约束机制、信息反馈渠道及处理机制。</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制订整体作业流程及关于服务对象护理服务工作计划及实施时间。</w:t>
      </w:r>
    </w:p>
    <w:p>
      <w:pPr>
        <w:pStyle w:val="27"/>
        <w:spacing w:before="0" w:line="336" w:lineRule="auto"/>
        <w:ind w:firstLine="48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对不同</w:t>
      </w:r>
      <w:r>
        <w:rPr>
          <w:rFonts w:hint="eastAsia" w:ascii="仿宋" w:hAnsi="仿宋" w:eastAsia="仿宋" w:cs="仿宋"/>
          <w:color w:val="auto"/>
          <w:szCs w:val="21"/>
          <w:highlight w:val="none"/>
          <w:lang w:eastAsia="zh-CN"/>
        </w:rPr>
        <w:t>症状</w:t>
      </w:r>
      <w:r>
        <w:rPr>
          <w:rFonts w:hint="eastAsia" w:ascii="仿宋" w:hAnsi="仿宋" w:eastAsia="仿宋" w:cs="仿宋"/>
          <w:color w:val="auto"/>
          <w:szCs w:val="21"/>
          <w:highlight w:val="none"/>
        </w:rPr>
        <w:t>的服务对象</w:t>
      </w:r>
      <w:r>
        <w:rPr>
          <w:rFonts w:hint="eastAsia" w:ascii="仿宋" w:hAnsi="仿宋" w:eastAsia="仿宋" w:cs="仿宋"/>
          <w:color w:val="auto"/>
          <w:szCs w:val="21"/>
          <w:highlight w:val="none"/>
          <w:lang w:eastAsia="zh-CN"/>
        </w:rPr>
        <w:t>提供的护理</w:t>
      </w:r>
      <w:r>
        <w:rPr>
          <w:rFonts w:hint="eastAsia" w:ascii="仿宋" w:hAnsi="仿宋" w:eastAsia="仿宋" w:cs="仿宋"/>
          <w:color w:val="auto"/>
          <w:szCs w:val="21"/>
          <w:highlight w:val="none"/>
        </w:rPr>
        <w:t>服务范围、服务流程</w:t>
      </w:r>
      <w:r>
        <w:rPr>
          <w:rFonts w:hint="eastAsia" w:ascii="仿宋" w:hAnsi="仿宋" w:eastAsia="仿宋" w:cs="仿宋"/>
          <w:color w:val="auto"/>
          <w:szCs w:val="21"/>
          <w:highlight w:val="none"/>
          <w:lang w:eastAsia="zh-CN"/>
        </w:rPr>
        <w:t>。</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1"/>
          <w:highlight w:val="none"/>
          <w:lang w:eastAsia="zh-CN"/>
        </w:rPr>
        <w:t>服务对象的卫生健康服务方案，包括服务对象个人卫生、心理健康等。</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制定护理服务区域内的环境卫生管理方案，包括护理服务区域、卫生间等范围，保持环境的整洁、安静、安全、舒适。</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制定合理的搬迁配合方案，充分考虑采购人搬迁的实际情况，满足不同症状服务对象的特点。</w:t>
      </w:r>
    </w:p>
    <w:p>
      <w:pPr>
        <w:spacing w:line="336"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4、投标人应对采购人提出的服务要求，建立项目管理机构，制定完善的管理制度，包括但不限于：日常管理制度、档案管理制度、公众制度、服务对象护理服务制度，以及针对性的考核办法。</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5、投标人需对</w:t>
      </w:r>
      <w:r>
        <w:rPr>
          <w:rFonts w:hint="eastAsia" w:ascii="仿宋" w:hAnsi="仿宋" w:eastAsia="仿宋" w:cs="仿宋"/>
          <w:color w:val="auto"/>
          <w:szCs w:val="21"/>
          <w:highlight w:val="none"/>
        </w:rPr>
        <w:t>突发事故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包括意外伤害事件、服务对象走失等</w:t>
      </w:r>
      <w:r>
        <w:rPr>
          <w:rFonts w:hint="eastAsia" w:ascii="仿宋" w:hAnsi="仿宋" w:eastAsia="仿宋" w:cs="仿宋"/>
          <w:color w:val="auto"/>
          <w:szCs w:val="21"/>
          <w:highlight w:val="none"/>
          <w:lang w:eastAsia="zh-CN"/>
        </w:rPr>
        <w:t>）建立应急预案及相应的解决措施。</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1"/>
          <w:highlight w:val="none"/>
          <w:lang w:eastAsia="zh-CN"/>
        </w:rPr>
        <w:t>配备应急</w:t>
      </w:r>
      <w:r>
        <w:rPr>
          <w:rFonts w:hint="eastAsia" w:ascii="仿宋" w:hAnsi="仿宋" w:eastAsia="仿宋" w:cs="仿宋"/>
          <w:color w:val="auto"/>
          <w:szCs w:val="21"/>
          <w:highlight w:val="none"/>
        </w:rPr>
        <w:t>人员</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岗位安排分配合理（包括</w:t>
      </w:r>
      <w:r>
        <w:rPr>
          <w:rFonts w:hint="eastAsia" w:ascii="仿宋" w:hAnsi="仿宋" w:eastAsia="仿宋" w:cs="仿宋"/>
          <w:snapToGrid w:val="0"/>
          <w:color w:val="auto"/>
          <w:kern w:val="0"/>
          <w:sz w:val="24"/>
          <w:highlight w:val="none"/>
        </w:rPr>
        <w:t>人员数量配置，重要岗位如：护理科长、护理楼班长配置</w:t>
      </w:r>
      <w:r>
        <w:rPr>
          <w:rFonts w:hint="eastAsia" w:ascii="仿宋" w:hAnsi="仿宋" w:eastAsia="仿宋" w:cs="仿宋"/>
          <w:snapToGrid w:val="0"/>
          <w:color w:val="auto"/>
          <w:kern w:val="0"/>
          <w:sz w:val="24"/>
          <w:highlight w:val="none"/>
          <w:lang w:eastAsia="zh-CN"/>
        </w:rPr>
        <w:t>等</w:t>
      </w:r>
      <w:r>
        <w:rPr>
          <w:rFonts w:hint="eastAsia" w:ascii="仿宋" w:hAnsi="仿宋" w:eastAsia="仿宋" w:cs="仿宋"/>
          <w:color w:val="auto"/>
          <w:szCs w:val="21"/>
          <w:highlight w:val="none"/>
        </w:rPr>
        <w:t>），满足</w:t>
      </w:r>
      <w:r>
        <w:rPr>
          <w:rFonts w:hint="eastAsia" w:ascii="仿宋" w:hAnsi="仿宋" w:eastAsia="仿宋" w:cs="仿宋"/>
          <w:color w:val="auto"/>
          <w:szCs w:val="21"/>
          <w:highlight w:val="none"/>
          <w:lang w:eastAsia="zh-CN"/>
        </w:rPr>
        <w:t>突发事故的</w:t>
      </w:r>
      <w:r>
        <w:rPr>
          <w:rFonts w:hint="eastAsia" w:ascii="仿宋" w:hAnsi="仿宋" w:eastAsia="仿宋" w:cs="仿宋"/>
          <w:color w:val="auto"/>
          <w:szCs w:val="21"/>
          <w:highlight w:val="none"/>
        </w:rPr>
        <w:t>需求。</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针对护理工作过程中可能出现的差错或事故，投标人应有详细的针对性的解决方案和补救措施</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6、投标人应对采购人提出的人员配备及要求，组建服务团队。服务团队的专业配置、数量应满足且优于采购人提出的最低要求。</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1"/>
          <w:highlight w:val="none"/>
          <w:lang w:eastAsia="zh-CN"/>
        </w:rPr>
        <w:t>项目团队有</w:t>
      </w:r>
      <w:r>
        <w:rPr>
          <w:rFonts w:hint="eastAsia" w:ascii="仿宋" w:hAnsi="仿宋" w:eastAsia="仿宋" w:cs="仿宋"/>
          <w:color w:val="auto"/>
          <w:szCs w:val="21"/>
          <w:highlight w:val="none"/>
        </w:rPr>
        <w:t>完善的组织架构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管理流程</w:t>
      </w:r>
      <w:r>
        <w:rPr>
          <w:rFonts w:hint="eastAsia" w:ascii="仿宋" w:hAnsi="仿宋" w:eastAsia="仿宋" w:cs="仿宋"/>
          <w:color w:val="auto"/>
          <w:szCs w:val="21"/>
          <w:highlight w:val="none"/>
          <w:lang w:eastAsia="zh-CN"/>
        </w:rPr>
        <w:t>。</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投标人组建的项目团队应指定一名项目负责人，职责明确、经验丰富，统筹安排服务工作。</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投标人应对护理人员有合理、针对性的培训方案，满足岗位职责要求。</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1"/>
          <w:highlight w:val="none"/>
          <w:lang w:eastAsia="zh-CN"/>
        </w:rPr>
        <w:t>投标人应有完善的措施保证服务</w:t>
      </w:r>
      <w:r>
        <w:rPr>
          <w:rFonts w:hint="eastAsia" w:ascii="仿宋" w:hAnsi="仿宋" w:eastAsia="仿宋" w:cs="仿宋"/>
          <w:color w:val="auto"/>
          <w:szCs w:val="21"/>
          <w:highlight w:val="none"/>
          <w:lang w:val="en-US" w:eastAsia="zh-CN"/>
        </w:rPr>
        <w:t>人员</w:t>
      </w:r>
      <w:r>
        <w:rPr>
          <w:rFonts w:hint="eastAsia" w:ascii="仿宋" w:hAnsi="仿宋" w:eastAsia="仿宋" w:cs="仿宋"/>
          <w:color w:val="auto"/>
          <w:szCs w:val="21"/>
          <w:highlight w:val="none"/>
          <w:lang w:eastAsia="zh-CN"/>
        </w:rPr>
        <w:t>的稳定性。</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7、投标人应对本章第四条“</w:t>
      </w:r>
      <w:r>
        <w:rPr>
          <w:rFonts w:hint="eastAsia" w:ascii="仿宋" w:hAnsi="仿宋" w:eastAsia="仿宋" w:cs="仿宋"/>
          <w:b/>
          <w:bCs/>
          <w:color w:val="auto"/>
          <w:sz w:val="24"/>
          <w:highlight w:val="none"/>
        </w:rPr>
        <w:t>护理服务应达到的各项指标</w:t>
      </w:r>
      <w:r>
        <w:rPr>
          <w:rFonts w:hint="eastAsia" w:ascii="仿宋" w:hAnsi="仿宋" w:eastAsia="仿宋" w:cs="仿宋"/>
          <w:color w:val="auto"/>
          <w:szCs w:val="24"/>
          <w:highlight w:val="none"/>
          <w:lang w:val="en-US" w:eastAsia="zh-CN"/>
        </w:rPr>
        <w:t>”</w:t>
      </w:r>
      <w:r>
        <w:rPr>
          <w:rFonts w:hint="eastAsia" w:ascii="仿宋" w:hAnsi="仿宋" w:eastAsia="仿宋" w:cs="仿宋"/>
          <w:b w:val="0"/>
          <w:bCs w:val="0"/>
          <w:color w:val="auto"/>
          <w:sz w:val="24"/>
          <w:highlight w:val="none"/>
          <w:lang w:eastAsia="zh-CN"/>
        </w:rPr>
        <w:t>作出对应的承诺。</w:t>
      </w:r>
    </w:p>
    <w:p>
      <w:pPr>
        <w:pStyle w:val="27"/>
        <w:spacing w:before="0" w:line="33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 w:val="24"/>
          <w:szCs w:val="24"/>
          <w:highlight w:val="none"/>
          <w:lang w:val="en-US" w:eastAsia="zh-CN"/>
        </w:rPr>
        <w:t>投标人应就服务对象的不同症状、服务要求，分析本项目服务所存在的难点、重点，提出相关解决方案。</w:t>
      </w:r>
    </w:p>
    <w:p>
      <w:pPr>
        <w:pStyle w:val="27"/>
        <w:spacing w:before="0" w:line="336" w:lineRule="auto"/>
        <w:ind w:firstLine="480"/>
        <w:rPr>
          <w:rFonts w:hint="eastAsia" w:ascii="仿宋" w:hAnsi="仿宋" w:eastAsia="仿宋" w:cs="仿宋"/>
          <w:color w:val="auto"/>
          <w:szCs w:val="24"/>
          <w:highlight w:val="none"/>
          <w:lang w:val="en-US" w:eastAsia="zh-CN"/>
        </w:rPr>
      </w:pPr>
    </w:p>
    <w:p>
      <w:pPr>
        <w:pStyle w:val="27"/>
        <w:spacing w:before="0" w:line="312" w:lineRule="auto"/>
        <w:ind w:firstLine="480"/>
        <w:rPr>
          <w:rFonts w:hint="eastAsia" w:ascii="仿宋" w:hAnsi="仿宋" w:eastAsia="仿宋"/>
          <w:color w:val="auto"/>
          <w:szCs w:val="24"/>
          <w:highlight w:val="none"/>
          <w:lang w:val="en-US" w:eastAsia="zh-CN"/>
        </w:rPr>
      </w:pPr>
    </w:p>
    <w:p>
      <w:pPr>
        <w:pStyle w:val="27"/>
        <w:spacing w:before="0" w:line="312" w:lineRule="auto"/>
        <w:ind w:firstLine="480"/>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 xml:space="preserve"> </w:t>
      </w:r>
    </w:p>
    <w:p>
      <w:pPr>
        <w:rPr>
          <w:color w:val="auto"/>
          <w:kern w:val="21"/>
          <w:highlight w:val="none"/>
        </w:rPr>
      </w:pPr>
      <w:r>
        <w:rPr>
          <w:color w:val="auto"/>
          <w:kern w:val="21"/>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附件：考核标准及相关要求</w:t>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附件1</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护理服务日常考核方案</w:t>
      </w:r>
    </w:p>
    <w:p>
      <w:pPr>
        <w:spacing w:line="312" w:lineRule="auto"/>
        <w:ind w:firstLine="420" w:firstLineChars="200"/>
        <w:rPr>
          <w:rFonts w:ascii="宋体" w:hAnsi="宋体"/>
          <w:color w:val="auto"/>
          <w:szCs w:val="21"/>
          <w:highlight w:val="none"/>
        </w:rPr>
      </w:pP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一、考核目的</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开展护理服务日常考核，进一步加强护理服务的管理，规范公司的护理服务，督促公司严格履行《服务对象护理服务采购文件》及《护理服务政府采购合同》所列责任义务，不断改进和优化护理服务，实现服务质量和效率不断提高，服务对象满意度不断提升的目标。</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二、考核实施部门</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护理科负责对护理服务的质量和效率进行考核，公司协助护理科的考核工作。</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三、考核内容</w: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412750</wp:posOffset>
                </wp:positionH>
                <wp:positionV relativeFrom="paragraph">
                  <wp:posOffset>142875</wp:posOffset>
                </wp:positionV>
                <wp:extent cx="914400" cy="561340"/>
                <wp:effectExtent l="4445" t="4445" r="14605" b="5715"/>
                <wp:wrapNone/>
                <wp:docPr id="12" name="文本框 12"/>
                <wp:cNvGraphicFramePr/>
                <a:graphic xmlns:a="http://schemas.openxmlformats.org/drawingml/2006/main">
                  <a:graphicData uri="http://schemas.microsoft.com/office/word/2010/wordprocessingShape">
                    <wps:wsp>
                      <wps:cNvSpPr txBox="1"/>
                      <wps:spPr>
                        <a:xfrm>
                          <a:off x="0" y="0"/>
                          <a:ext cx="914400" cy="561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rPr>
                              <w:t>硬性指标（100分）</w:t>
                            </w:r>
                          </w:p>
                        </w:txbxContent>
                      </wps:txbx>
                      <wps:bodyPr upright="1"/>
                    </wps:wsp>
                  </a:graphicData>
                </a:graphic>
              </wp:anchor>
            </w:drawing>
          </mc:Choice>
          <mc:Fallback>
            <w:pict>
              <v:shape id="_x0000_s1026" o:spid="_x0000_s1026" o:spt="202" type="#_x0000_t202" style="position:absolute;left:0pt;margin-left:32.5pt;margin-top:11.25pt;height:44.2pt;width:72pt;z-index:251661312;mso-width-relative:page;mso-height-relative:page;" fillcolor="#FFFFFF" filled="t" stroked="t" coordsize="21600,21600" o:gfxdata="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o/zXYAAAACQEAAA8AAAAAAAAA&#10;AQAgAAAAIgAAAGRycy9kb3ducmV2LnhtbFBLAQIUABQAAAAIAIdO4kCiSrWdEQIAAEUEAAAOAAAA&#10;AAAAAAEAIAAAACcBAABkcnMvZTJvRG9jLnhtbFBLBQYAAAAABgAGAFkBAACqBQ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rPr>
                        <w:t>硬性指标（100分）</w:t>
                      </w:r>
                    </w:p>
                  </w:txbxContent>
                </v:textbox>
              </v:shape>
            </w:pict>
          </mc:Fallback>
        </mc:AlternateConten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4175125</wp:posOffset>
                </wp:positionH>
                <wp:positionV relativeFrom="paragraph">
                  <wp:posOffset>367030</wp:posOffset>
                </wp:positionV>
                <wp:extent cx="1276350" cy="476250"/>
                <wp:effectExtent l="5080" t="4445" r="13970" b="14605"/>
                <wp:wrapNone/>
                <wp:docPr id="11" name="文本框 11"/>
                <wp:cNvGraphicFramePr/>
                <a:graphic xmlns:a="http://schemas.openxmlformats.org/drawingml/2006/main">
                  <a:graphicData uri="http://schemas.microsoft.com/office/word/2010/wordprocessingShape">
                    <wps:wsp>
                      <wps:cNvSpPr txBox="1"/>
                      <wps:spPr>
                        <a:xfrm>
                          <a:off x="0" y="0"/>
                          <a:ext cx="1276350" cy="476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rPr>
                              <w:t>当月考核总分</w:t>
                            </w:r>
                          </w:p>
                        </w:txbxContent>
                      </wps:txbx>
                      <wps:bodyPr upright="1"/>
                    </wps:wsp>
                  </a:graphicData>
                </a:graphic>
              </wp:anchor>
            </w:drawing>
          </mc:Choice>
          <mc:Fallback>
            <w:pict>
              <v:shape id="_x0000_s1026" o:spid="_x0000_s1026" o:spt="202" type="#_x0000_t202" style="position:absolute;left:0pt;margin-left:328.75pt;margin-top:28.9pt;height:37.5pt;width:100.5pt;z-index:251664384;mso-width-relative:page;mso-height-relative:page;" fillcolor="#FFFFFF" filled="t" stroked="t" coordsize="21600,21600" o:gfxdata="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yAUYNkAAAAKAQAADwAAAAAAAAAB&#10;ACAAAAAiAAAAZHJzL2Rvd25yZXYueG1sUEsBAhQAFAAAAAgAh07iQMLZAqEPAgAARgQAAA4AAAAA&#10;AAAAAQAgAAAAKAEAAGRycy9lMm9Eb2MueG1sUEsFBgAAAAAGAAYAWQEAAKkFA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rPr>
                        <w:t>当月考核总分</w:t>
                      </w:r>
                    </w:p>
                  </w:txbxContent>
                </v:textbox>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1346200</wp:posOffset>
                </wp:positionH>
                <wp:positionV relativeFrom="paragraph">
                  <wp:posOffset>33655</wp:posOffset>
                </wp:positionV>
                <wp:extent cx="828675" cy="571500"/>
                <wp:effectExtent l="4445" t="6350" r="5080" b="12700"/>
                <wp:wrapNone/>
                <wp:docPr id="13" name="直接箭头连接符 13"/>
                <wp:cNvGraphicFramePr/>
                <a:graphic xmlns:a="http://schemas.openxmlformats.org/drawingml/2006/main">
                  <a:graphicData uri="http://schemas.microsoft.com/office/word/2010/wordprocessingShape">
                    <wps:wsp>
                      <wps:cNvCnPr/>
                      <wps:spPr>
                        <a:xfrm>
                          <a:off x="0" y="0"/>
                          <a:ext cx="828675" cy="57150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6pt;margin-top:2.65pt;height:45pt;width:65.25pt;z-index:251665408;mso-width-relative:page;mso-height-relative:page;" filled="f" stroked="t" coordsize="21600,21600" o:gfxdata="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OQTo7aAAAACAEAAA8AAAAA&#10;AAAAAQAgAAAAIgAAAGRycy9kb3ducmV2LnhtbFBLAQIUABQAAAAIAIdO4kB7adScEgIAAAUEAAAO&#10;AAAAAAAAAAEAIAAAACkBAABkcnMvZTJvRG9jLnhtbFBLBQYAAAAABgAGAFkBAACtBQAAAAA=&#10;">
                <v:fill on="f" focussize="0,0"/>
                <v:stroke weight="1.25pt" color="#739CC3" joinstyle="round" endarrow="block"/>
                <v:imagedata o:title=""/>
                <o:lock v:ext="edit" aspectratio="f"/>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2174875</wp:posOffset>
                </wp:positionH>
                <wp:positionV relativeFrom="paragraph">
                  <wp:posOffset>357505</wp:posOffset>
                </wp:positionV>
                <wp:extent cx="914400" cy="446405"/>
                <wp:effectExtent l="4445" t="4445" r="14605" b="6350"/>
                <wp:wrapNone/>
                <wp:docPr id="14" name="文本框 14"/>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rPr>
                              <w:t>月考核总分</w:t>
                            </w:r>
                          </w:p>
                        </w:txbxContent>
                      </wps:txbx>
                      <wps:bodyPr upright="1"/>
                    </wps:wsp>
                  </a:graphicData>
                </a:graphic>
              </wp:anchor>
            </w:drawing>
          </mc:Choice>
          <mc:Fallback>
            <w:pict>
              <v:shape id="_x0000_s1026" o:spid="_x0000_s1026" o:spt="202" type="#_x0000_t202" style="position:absolute;left:0pt;margin-left:171.25pt;margin-top:28.15pt;height:35.15pt;width:72pt;z-index:251663360;mso-width-relative:page;mso-height-relative:page;" fillcolor="#FFFFFF" filled="t" stroked="t" coordsize="21600,21600" o:gfxdata="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whR2QAAAAoBAAAPAAAAAAAAAAEA&#10;IAAAACIAAABkcnMvZG93bnJldi54bWxQSwECFAAUAAAACACHTuJAOx9DXQ4CAABFBAAADgAAAAAA&#10;AAABACAAAAAoAQAAZHJzL2Uyb0RvYy54bWxQSwUGAAAAAAYABgBZAQAAqAU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rPr>
                        <w:t>月考核总分</w:t>
                      </w:r>
                    </w:p>
                  </w:txbxContent>
                </v:textbox>
              </v:shape>
            </w:pict>
          </mc:Fallback>
        </mc:AlternateContent>
      </w:r>
      <w:r>
        <w:rPr>
          <w:rFonts w:hint="eastAsia" w:ascii="仿宋" w:hAnsi="仿宋" w:eastAsia="仿宋" w:cs="仿宋"/>
          <w:color w:val="auto"/>
          <w:szCs w:val="21"/>
          <w:highlight w:val="none"/>
        </w:rPr>
        <w:t xml:space="preserve">                    10%  </w: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三次平均分</w: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1350645</wp:posOffset>
                </wp:positionH>
                <wp:positionV relativeFrom="paragraph">
                  <wp:posOffset>104140</wp:posOffset>
                </wp:positionV>
                <wp:extent cx="814705" cy="411480"/>
                <wp:effectExtent l="3810" t="0" r="635" b="7620"/>
                <wp:wrapNone/>
                <wp:docPr id="15" name="直接箭头连接符 15"/>
                <wp:cNvGraphicFramePr/>
                <a:graphic xmlns:a="http://schemas.openxmlformats.org/drawingml/2006/main">
                  <a:graphicData uri="http://schemas.microsoft.com/office/word/2010/wordprocessingShape">
                    <wps:wsp>
                      <wps:cNvCnPr/>
                      <wps:spPr>
                        <a:xfrm flipV="1">
                          <a:off x="0" y="0"/>
                          <a:ext cx="814705" cy="41148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06.35pt;margin-top:8.2pt;height:32.4pt;width:64.15pt;z-index:251666432;mso-width-relative:page;mso-height-relative:page;" filled="f" stroked="t" coordsize="21600,21600" o:gfxdata="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CwQLZAAAACQEA&#10;AA8AAAAAAAAAAQAgAAAAIgAAAGRycy9kb3ducmV2LnhtbFBLAQIUABQAAAAIAIdO4kCCJiVRGQIA&#10;AA8EAAAOAAAAAAAAAAEAIAAAACgBAABkcnMvZTJvRG9jLnhtbFBLBQYAAAAABgAGAFkBAACzBQAA&#10;AAA=&#10;">
                <v:fill on="f" focussize="0,0"/>
                <v:stroke weight="1.25pt" color="#739CC3" joinstyle="round" endarrow="block"/>
                <v:imagedata o:title=""/>
                <o:lock v:ext="edit" aspectratio="f"/>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3070225</wp:posOffset>
                </wp:positionH>
                <wp:positionV relativeFrom="paragraph">
                  <wp:posOffset>39370</wp:posOffset>
                </wp:positionV>
                <wp:extent cx="1076325" cy="19050"/>
                <wp:effectExtent l="0" t="36830" r="9525" b="20320"/>
                <wp:wrapNone/>
                <wp:docPr id="16" name="直接连接符 16"/>
                <wp:cNvGraphicFramePr/>
                <a:graphic xmlns:a="http://schemas.openxmlformats.org/drawingml/2006/main">
                  <a:graphicData uri="http://schemas.microsoft.com/office/word/2010/wordprocessingShape">
                    <wps:wsp>
                      <wps:cNvCnPr/>
                      <wps:spPr>
                        <a:xfrm flipV="1">
                          <a:off x="0" y="0"/>
                          <a:ext cx="1076325" cy="190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41.75pt;margin-top:3.1pt;height:1.5pt;width:84.75pt;z-index:251667456;mso-width-relative:page;mso-height-relative:page;" filled="f" stroked="t" coordsize="21600,21600" o:gfxdata="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EOM/XAAAABwEAAA8AAAAAAAAA&#10;AQAgAAAAIgAAAGRycy9kb3ducmV2LnhtbFBLAQIUABQAAAAIAIdO4kAhunOtEgIAAAcEAAAOAAAA&#10;AAAAAAEAIAAAACYBAABkcnMvZTJvRG9jLnhtbFBLBQYAAAAABgAGAFkBAACqBQAAAAA=&#10;">
                <v:fill on="f" focussize="0,0"/>
                <v:stroke weight="1.25pt" color="#739CC3" joinstyle="round" endarrow="block"/>
                <v:imagedata o:title=""/>
                <o:lock v:ext="edit" aspectratio="f"/>
              </v:lin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403225</wp:posOffset>
                </wp:positionH>
                <wp:positionV relativeFrom="paragraph">
                  <wp:posOffset>201295</wp:posOffset>
                </wp:positionV>
                <wp:extent cx="914400" cy="449580"/>
                <wp:effectExtent l="4445" t="5080" r="14605" b="21590"/>
                <wp:wrapNone/>
                <wp:docPr id="17" name="文本框 17"/>
                <wp:cNvGraphicFramePr/>
                <a:graphic xmlns:a="http://schemas.openxmlformats.org/drawingml/2006/main">
                  <a:graphicData uri="http://schemas.microsoft.com/office/word/2010/wordprocessingShape">
                    <wps:wsp>
                      <wps:cNvSpPr txBox="1"/>
                      <wps:spPr>
                        <a:xfrm>
                          <a:off x="0" y="0"/>
                          <a:ext cx="914400" cy="590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rPr>
                            </w:pPr>
                            <w:r>
                              <w:rPr>
                                <w:rFonts w:hint="eastAsia" w:ascii="仿宋" w:hAnsi="仿宋" w:eastAsia="仿宋" w:cs="仿宋"/>
                              </w:rPr>
                              <w:t>量化指标（100分）</w:t>
                            </w:r>
                          </w:p>
                        </w:txbxContent>
                      </wps:txbx>
                      <wps:bodyPr upright="1"/>
                    </wps:wsp>
                  </a:graphicData>
                </a:graphic>
              </wp:anchor>
            </w:drawing>
          </mc:Choice>
          <mc:Fallback>
            <w:pict>
              <v:shape id="_x0000_s1026" o:spid="_x0000_s1026" o:spt="202" type="#_x0000_t202" style="position:absolute;left:0pt;margin-left:31.75pt;margin-top:15.85pt;height:35.4pt;width:72pt;z-index:251662336;mso-width-relative:page;mso-height-relative:page;" fillcolor="#FFFFFF" filled="t" stroked="t" coordsize="21600,21600" o:gfxdata="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ulPrYAAAACQEAAA8AAAAAAAAA&#10;AQAgAAAAIgAAAGRycy9kb3ducmV2LnhtbFBLAQIUABQAAAAIAIdO4kCibn63EQIAAEUEAAAOAAAA&#10;AAAAAAEAIAAAACcBAABkcnMvZTJvRG9jLnhtbFBLBQYAAAAABgAGAFkBAACqBQ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rPr>
                        <w:t>量化指标（100分）</w:t>
                      </w:r>
                    </w:p>
                  </w:txbxContent>
                </v:textbox>
              </v:shape>
            </w:pict>
          </mc:Fallback>
        </mc:AlternateContent>
      </w:r>
      <w:r>
        <w:rPr>
          <w:rFonts w:hint="eastAsia" w:ascii="仿宋" w:hAnsi="仿宋" w:eastAsia="仿宋" w:cs="仿宋"/>
          <w:color w:val="auto"/>
          <w:szCs w:val="21"/>
          <w:highlight w:val="none"/>
        </w:rPr>
        <w:t xml:space="preserve">                                                        </w: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90%</w:t>
      </w:r>
    </w:p>
    <w:p>
      <w:pPr>
        <w:spacing w:line="312" w:lineRule="auto"/>
        <w:ind w:firstLine="480" w:firstLineChars="200"/>
        <w:rPr>
          <w:rFonts w:hint="eastAsia" w:ascii="仿宋" w:hAnsi="仿宋" w:eastAsia="仿宋" w:cs="仿宋"/>
          <w:color w:val="auto"/>
          <w:sz w:val="24"/>
          <w:highlight w:val="none"/>
        </w:rPr>
      </w:pP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具体考核细则见附件</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四、考核时间及方式:</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护理科定期和不定期地对护理服务进行检查和抽查，具体方法如下：1.根据合同中护理服务考核标准，每月进行2次定期检查，时间定于每月的第一周和第三周，占月考核总分的60%；2.在日常工作中每月至少进行一次不定时抽查，占月考核总分的40%。</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五、考核结果反馈</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过程中发现的一般性问题，由护理科汇总，经公司确认后，由公司在五个工作日内进行反馈;2、考核过程中发现的涉及安全生产和生命财产安全的重大紧要性问题，由考核人员当场要求公司即时改进，原则上当天整改落实到位，上报护理科。</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六、考核结果应用</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季度考核分数90分以上（含90分）视为合格，则当月护理服务考核结果为合格，按照当月合同款付款。90分以下按照每分扣除合同款1000元。考核结果由护理科向院财务报送扣罚建议书,并通报公司项目负责人。</w:t>
      </w:r>
    </w:p>
    <w:p>
      <w:pPr>
        <w:snapToGrid w:val="0"/>
        <w:rPr>
          <w:rFonts w:hint="eastAsia" w:ascii="仿宋" w:hAnsi="仿宋" w:eastAsia="仿宋"/>
          <w:color w:val="auto"/>
          <w:szCs w:val="21"/>
          <w:highlight w:val="none"/>
        </w:rPr>
      </w:pPr>
    </w:p>
    <w:p>
      <w:pPr>
        <w:spacing w:line="312" w:lineRule="auto"/>
        <w:rPr>
          <w:rFonts w:hint="eastAsia" w:ascii="仿宋" w:hAnsi="仿宋" w:eastAsia="仿宋"/>
          <w:color w:val="auto"/>
          <w:sz w:val="24"/>
          <w:highlight w:val="none"/>
        </w:rPr>
      </w:pPr>
      <w:r>
        <w:rPr>
          <w:rFonts w:ascii="仿宋" w:hAnsi="仿宋" w:eastAsia="仿宋"/>
          <w:color w:val="auto"/>
          <w:sz w:val="24"/>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附件2</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硬性指标</w:t>
      </w:r>
    </w:p>
    <w:p>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9258" w:type="dxa"/>
        <w:tblInd w:w="0" w:type="dxa"/>
        <w:tblLayout w:type="fixed"/>
        <w:tblCellMar>
          <w:top w:w="17" w:type="dxa"/>
          <w:left w:w="74" w:type="dxa"/>
          <w:bottom w:w="17" w:type="dxa"/>
          <w:right w:w="74" w:type="dxa"/>
        </w:tblCellMar>
      </w:tblPr>
      <w:tblGrid>
        <w:gridCol w:w="1003"/>
        <w:gridCol w:w="1737"/>
        <w:gridCol w:w="1235"/>
        <w:gridCol w:w="833"/>
        <w:gridCol w:w="1738"/>
        <w:gridCol w:w="769"/>
        <w:gridCol w:w="1943"/>
      </w:tblGrid>
      <w:tr>
        <w:tblPrEx>
          <w:tblCellMar>
            <w:top w:w="17" w:type="dxa"/>
            <w:left w:w="74" w:type="dxa"/>
            <w:bottom w:w="17" w:type="dxa"/>
            <w:right w:w="74" w:type="dxa"/>
          </w:tblCellMar>
        </w:tblPrEx>
        <w:trPr>
          <w:trHeight w:val="454" w:hRule="atLeast"/>
        </w:trPr>
        <w:tc>
          <w:tcPr>
            <w:tcW w:w="1003" w:type="dxa"/>
            <w:tcBorders>
              <w:top w:val="single" w:color="000000" w:sz="4" w:space="0"/>
              <w:lef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543" w:type="dxa"/>
            <w:gridSpan w:val="4"/>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1943" w:type="dxa"/>
            <w:tcBorders>
              <w:top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CellMar>
            <w:top w:w="17" w:type="dxa"/>
            <w:left w:w="74" w:type="dxa"/>
            <w:bottom w:w="17" w:type="dxa"/>
            <w:right w:w="74" w:type="dxa"/>
          </w:tblCellMar>
        </w:tblPrEx>
        <w:trPr>
          <w:trHeight w:val="397" w:hRule="atLeast"/>
        </w:trPr>
        <w:tc>
          <w:tcPr>
            <w:tcW w:w="1003" w:type="dxa"/>
            <w:vMerge w:val="restart"/>
            <w:tcBorders>
              <w:top w:val="single" w:color="000000" w:sz="4" w:space="0"/>
              <w:lef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1（20分）</w:t>
            </w:r>
          </w:p>
        </w:tc>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人员配置：</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每少1人扣0.2分</w:t>
            </w:r>
          </w:p>
        </w:tc>
        <w:tc>
          <w:tcPr>
            <w:tcW w:w="1235" w:type="dxa"/>
            <w:tcBorders>
              <w:top w:val="single" w:color="auto" w:sz="4" w:space="0"/>
              <w:bottom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57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应配</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390" w:hRule="atLeast"/>
        </w:trPr>
        <w:tc>
          <w:tcPr>
            <w:tcW w:w="1003" w:type="dxa"/>
            <w:vMerge w:val="continue"/>
            <w:tcBorders>
              <w:top w:val="single" w:color="000000" w:sz="4" w:space="0"/>
              <w:left w:val="single" w:color="000000" w:sz="4" w:space="0"/>
            </w:tcBorders>
            <w:noWrap w:val="0"/>
            <w:vAlign w:val="center"/>
          </w:tcPr>
          <w:p>
            <w:pPr>
              <w:jc w:val="center"/>
              <w:rPr>
                <w:rFonts w:hint="eastAsia" w:ascii="仿宋" w:hAnsi="仿宋" w:eastAsia="仿宋" w:cs="仿宋"/>
                <w:color w:val="auto"/>
                <w:szCs w:val="21"/>
                <w:highlight w:val="none"/>
              </w:rPr>
            </w:pPr>
          </w:p>
        </w:tc>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1235" w:type="dxa"/>
            <w:tcBorders>
              <w:bottom w:val="single" w:color="auto"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项目管理处</w:t>
            </w:r>
          </w:p>
        </w:tc>
        <w:tc>
          <w:tcPr>
            <w:tcW w:w="257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名</w:t>
            </w: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416" w:hRule="atLeast"/>
        </w:trPr>
        <w:tc>
          <w:tcPr>
            <w:tcW w:w="1003" w:type="dxa"/>
            <w:vMerge w:val="continue"/>
            <w:tcBorders>
              <w:top w:val="single" w:color="000000" w:sz="4" w:space="0"/>
              <w:left w:val="single" w:color="000000" w:sz="4" w:space="0"/>
            </w:tcBorders>
            <w:noWrap w:val="0"/>
            <w:vAlign w:val="center"/>
          </w:tcPr>
          <w:p>
            <w:pPr>
              <w:jc w:val="center"/>
              <w:rPr>
                <w:rFonts w:hint="eastAsia" w:ascii="仿宋" w:hAnsi="仿宋" w:eastAsia="仿宋" w:cs="仿宋"/>
                <w:color w:val="auto"/>
                <w:szCs w:val="21"/>
                <w:highlight w:val="none"/>
              </w:rPr>
            </w:pPr>
          </w:p>
        </w:tc>
        <w:tc>
          <w:tcPr>
            <w:tcW w:w="1737"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仿宋" w:hAnsi="仿宋" w:eastAsia="仿宋" w:cs="仿宋"/>
                <w:color w:val="auto"/>
                <w:szCs w:val="21"/>
                <w:highlight w:val="none"/>
              </w:rPr>
            </w:pPr>
          </w:p>
        </w:tc>
        <w:tc>
          <w:tcPr>
            <w:tcW w:w="123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护理员</w:t>
            </w:r>
            <w:r>
              <w:rPr>
                <w:rFonts w:hint="eastAsia" w:ascii="仿宋" w:hAnsi="仿宋" w:eastAsia="仿宋" w:cs="仿宋"/>
                <w:color w:val="auto"/>
                <w:sz w:val="24"/>
                <w:szCs w:val="24"/>
                <w:highlight w:val="none"/>
                <w:lang w:eastAsia="zh-CN"/>
              </w:rPr>
              <w:t>和护士</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104</w:t>
            </w:r>
            <w:r>
              <w:rPr>
                <w:rFonts w:hint="eastAsia" w:ascii="仿宋" w:hAnsi="仿宋" w:eastAsia="仿宋" w:cs="仿宋"/>
                <w:color w:val="auto"/>
                <w:szCs w:val="21"/>
                <w:highlight w:val="none"/>
              </w:rPr>
              <w:t>名</w:t>
            </w:r>
          </w:p>
        </w:tc>
        <w:tc>
          <w:tcPr>
            <w:tcW w:w="769"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397" w:hRule="atLeast"/>
        </w:trPr>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2（14分）</w:t>
            </w:r>
          </w:p>
        </w:tc>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在岗工作人员数：在岗人数每少1人，扣0.2分。</w:t>
            </w:r>
          </w:p>
        </w:tc>
        <w:tc>
          <w:tcPr>
            <w:tcW w:w="123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部门</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白班</w:t>
            </w:r>
          </w:p>
        </w:tc>
        <w:tc>
          <w:tcPr>
            <w:tcW w:w="17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夜班</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397"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7号楼</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397"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9号楼</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397"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2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8号楼、10号楼</w:t>
            </w:r>
          </w:p>
        </w:tc>
        <w:tc>
          <w:tcPr>
            <w:tcW w:w="83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19</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272" w:hRule="atLeast"/>
        </w:trPr>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3（10分）</w:t>
            </w:r>
          </w:p>
        </w:tc>
        <w:tc>
          <w:tcPr>
            <w:tcW w:w="554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1、每月提供工作计划、培训计划各一份；(5分)            2、每月的工作计划与培训计划落实到位。（5分）</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474"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554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272" w:hRule="atLeast"/>
        </w:trPr>
        <w:tc>
          <w:tcPr>
            <w:tcW w:w="1003" w:type="dxa"/>
            <w:vMerge w:val="restar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4（10分）</w:t>
            </w:r>
          </w:p>
        </w:tc>
        <w:tc>
          <w:tcPr>
            <w:tcW w:w="5543" w:type="dxa"/>
            <w:gridSpan w:val="4"/>
            <w:vMerge w:val="restart"/>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1、每月底总结当月主要工作；（5分） </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2、提出下月的工作计划并落实到位。（5分）</w:t>
            </w:r>
          </w:p>
        </w:tc>
        <w:tc>
          <w:tcPr>
            <w:tcW w:w="769" w:type="dxa"/>
            <w:vMerge w:val="restar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451" w:hRule="atLeast"/>
        </w:trPr>
        <w:tc>
          <w:tcPr>
            <w:tcW w:w="1003" w:type="dxa"/>
            <w:vMerge w:val="continue"/>
            <w:tcBorders>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5543" w:type="dxa"/>
            <w:gridSpan w:val="4"/>
            <w:vMerge w:val="continue"/>
            <w:tcBorders>
              <w:left w:val="single" w:color="000000" w:sz="4" w:space="0"/>
              <w:bottom w:val="single" w:color="auto"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769" w:type="dxa"/>
            <w:vMerge w:val="continue"/>
            <w:tcBorders>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272" w:hRule="atLeast"/>
        </w:trPr>
        <w:tc>
          <w:tcPr>
            <w:tcW w:w="1003"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5（3分）</w:t>
            </w:r>
          </w:p>
        </w:tc>
        <w:tc>
          <w:tcPr>
            <w:tcW w:w="5543" w:type="dxa"/>
            <w:gridSpan w:val="4"/>
            <w:vMerge w:val="restart"/>
            <w:tcBorders>
              <w:top w:val="single" w:color="auto"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每位员工的基本信息(姓名、籍贯、学历、政治面貌、身份证号码、岗位、持证情况及联系电话等)需在劳动合同签订后到护理科备案。（3分）</w:t>
            </w:r>
          </w:p>
        </w:tc>
        <w:tc>
          <w:tcPr>
            <w:tcW w:w="769" w:type="dxa"/>
            <w:vMerge w:val="restart"/>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945" w:hRule="atLeast"/>
        </w:trPr>
        <w:tc>
          <w:tcPr>
            <w:tcW w:w="100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5543" w:type="dxa"/>
            <w:gridSpan w:val="4"/>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76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272" w:hRule="atLeast"/>
        </w:trPr>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6（13分）</w:t>
            </w:r>
          </w:p>
        </w:tc>
        <w:tc>
          <w:tcPr>
            <w:tcW w:w="554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当月新进员工需进行体检，合格后方能录用。（</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当月新进员工需接受岗前培训，培训合格后上岗。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419"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554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272" w:hRule="atLeast"/>
        </w:trPr>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7（10分）</w:t>
            </w:r>
          </w:p>
        </w:tc>
        <w:tc>
          <w:tcPr>
            <w:tcW w:w="554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1、当月服务对象及家属满意率≥90%；（5分）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2、当月未发生服务对象或者家属投诉（经查实是工作人员工作失误所致）。（5分）</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58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554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1055" w:hRule="atLeast"/>
        </w:trPr>
        <w:tc>
          <w:tcPr>
            <w:tcW w:w="100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8（20分）</w:t>
            </w:r>
          </w:p>
        </w:tc>
        <w:tc>
          <w:tcPr>
            <w:tcW w:w="5543" w:type="dxa"/>
            <w:gridSpan w:val="4"/>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当月无重大安全责任事故（包括服务对象外流、工作失误失责造成服务对象骨折等重大身体伤害、火灾、触电、坠楼、自杀自缢自伤、服毒等）</w:t>
            </w:r>
          </w:p>
        </w:tc>
        <w:tc>
          <w:tcPr>
            <w:tcW w:w="769"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Cs w:val="21"/>
                <w:highlight w:val="none"/>
              </w:rPr>
            </w:pPr>
          </w:p>
        </w:tc>
        <w:tc>
          <w:tcPr>
            <w:tcW w:w="1943"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Cs w:val="21"/>
                <w:highlight w:val="none"/>
              </w:rPr>
            </w:pPr>
          </w:p>
        </w:tc>
      </w:tr>
      <w:tr>
        <w:tblPrEx>
          <w:tblCellMar>
            <w:top w:w="17" w:type="dxa"/>
            <w:left w:w="74" w:type="dxa"/>
            <w:bottom w:w="17" w:type="dxa"/>
            <w:right w:w="74" w:type="dxa"/>
          </w:tblCellMar>
        </w:tblPrEx>
        <w:trPr>
          <w:trHeight w:val="432" w:hRule="atLeast"/>
        </w:trPr>
        <w:tc>
          <w:tcPr>
            <w:tcW w:w="654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Cs w:val="21"/>
                <w:highlight w:val="none"/>
              </w:rPr>
            </w:pPr>
          </w:p>
        </w:tc>
        <w:tc>
          <w:tcPr>
            <w:tcW w:w="1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Cs w:val="21"/>
                <w:highlight w:val="none"/>
              </w:rPr>
            </w:pPr>
          </w:p>
        </w:tc>
      </w:tr>
    </w:tbl>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附件3</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量化考核（一）护理措施、区域环境、护理员管理 45分</w:t>
      </w:r>
    </w:p>
    <w:p>
      <w:pPr>
        <w:spacing w:line="312" w:lineRule="auto"/>
        <w:rPr>
          <w:rFonts w:ascii="宋体" w:hAnsi="宋体"/>
          <w:color w:val="auto"/>
          <w:sz w:val="32"/>
          <w:szCs w:val="32"/>
          <w:highlight w:val="none"/>
        </w:rPr>
      </w:pPr>
    </w:p>
    <w:p>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0" w:type="auto"/>
        <w:jc w:val="center"/>
        <w:tblLayout w:type="fixed"/>
        <w:tblCellMar>
          <w:top w:w="15" w:type="dxa"/>
          <w:left w:w="28" w:type="dxa"/>
          <w:bottom w:w="15" w:type="dxa"/>
          <w:right w:w="28" w:type="dxa"/>
        </w:tblCellMar>
      </w:tblPr>
      <w:tblGrid>
        <w:gridCol w:w="806"/>
        <w:gridCol w:w="994"/>
        <w:gridCol w:w="4981"/>
        <w:gridCol w:w="795"/>
        <w:gridCol w:w="1368"/>
      </w:tblGrid>
      <w:tr>
        <w:tblPrEx>
          <w:tblCellMar>
            <w:top w:w="15" w:type="dxa"/>
            <w:left w:w="28" w:type="dxa"/>
            <w:bottom w:w="15" w:type="dxa"/>
            <w:right w:w="28" w:type="dxa"/>
          </w:tblCellMar>
        </w:tblPrEx>
        <w:trPr>
          <w:trHeight w:val="285" w:hRule="atLeast"/>
          <w:jc w:val="center"/>
        </w:trPr>
        <w:tc>
          <w:tcPr>
            <w:tcW w:w="806"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99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98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79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136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CellMar>
            <w:top w:w="15" w:type="dxa"/>
            <w:left w:w="28" w:type="dxa"/>
            <w:bottom w:w="15" w:type="dxa"/>
            <w:right w:w="28" w:type="dxa"/>
          </w:tblCellMar>
        </w:tblPrEx>
        <w:trPr>
          <w:trHeight w:val="2464"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护理措施（15分）</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1、要求服务对象做到“三短”，即头发、胡须、指（趾）甲短；（1分）“六洁”：即口腔、皮肤、会阴、指（趾）甲、头发、床单位清洁；（1分）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2、每周给服务对象剪指甲一次，洗头、洗澡冬季每周一次，春秋季每周两次，夏季每日一次，不能下床者每日擦身一次，男性服务对象每日按需刮胡须。（1分）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3、视天气情况，每天至少安排服务对象户外活动或者接受光照1至2小时。（1分） </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98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1、每隔两小时，主动巡查服务对象，清点服务对象人数，了解服务对象去向，主动协助行动不便服务对象如厕等,记录巡查清点情况；(2分）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2、一级护理以上的服务对象30分钟巡查一次，二级护理1小时巡查一次，三级护理2小时巡查一次；(1分）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50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1、及时发现服务对象的病情，并采取相应措施，及时与服务对象沟通、解释，防止服务对象出现情绪激动和过激行为。防止发生不必要的伤害；（2分）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2、及时跟相关科室汇报情况，跟踪落实；（0.5分）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3、做好服务对象的临终护理工作。（0.5分）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4、护理质量合格率≥90%。（1分）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52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1、协助卧床服务对象翻身侧卧，每2小时翻身一次，检查皮肤的受压情况，必要时根据要求增加翻身次数，并做好记录；(1分）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2、褥疮发生率为0（特殊情况除外，但需要经过备案、认证）。(1分）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20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1、服务对象开展简单的卫生类劳动需要由护理员带领，不得强迫服务对象劳动；不得让服务对象清理粪便，处理污染后的尿布尿垫等。(1分）</w:t>
            </w:r>
          </w:p>
          <w:p>
            <w:pPr>
              <w:widowControl/>
              <w:jc w:val="left"/>
              <w:textAlignment w:val="center"/>
              <w:rPr>
                <w:rFonts w:hint="eastAsia" w:ascii="仿宋" w:hAnsi="仿宋" w:eastAsia="仿宋" w:cs="仿宋"/>
                <w:color w:val="auto"/>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62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1、每位护理员需熟记楼班内服务对象的姓名、身体状况、服药情况及生活习惯，特别要掌握服务对象的思想状况，耐心做好服务对象心理护理工作； (1分） </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060"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居室环境（10分）</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7(2.5分）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1、居室环境整洁，无异味（0.5分）、无积尘（0.5分）、无蜘蛛网(0.5分），地面干燥无积水(0.5分）；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2、墙面不乱涂乱画。(0.5分）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225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8(2.5分）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1、服务对象床上用品保持整洁，起床后叠放整齐有序(1分）；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2、每日扫床一次，床上用品每月更换一次，有污染时随时更换(0.5分）；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3、污染的衣物统一放入整理箱，加盖(0.5分）；大小便污染和需要分开清洗的衣物单独入整理箱(0.5分）。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63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9(2分）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服务对象脸盆、毛巾及牙杯定期清洗(1.5分），无污染和异味(0.5分）。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70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值班室保持整洁干净(0.5分），物品摆放有序(0.5分）。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63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区域环境卫生合格率≥90%。(2分，每下降5个百分点扣1分）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2160"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护理员 管理  （20分）</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1、护理员要有良好的职业道德，爱岗敬业，服从工作安排；（1分）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2、工作人员统一着装，配戴工作牌；(1分）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3、按时上下班，工作期间不做与工作无关的事情；(1分）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4、楼班内严禁会客、留客，来访人员未经允许不得在楼班内录音、拍照和摄像。（1分）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07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1、微笑服务，文明用语(0.5分），关心爱护、尊重敬爱、平等对待服务对象(0.5分）； </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2、严禁辱骂殴打服务对象。 (2分）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77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14(10分）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1、不克扣服务对象的物资；（5分）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2、不吃拿服务对象的食物和财物。（5分）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89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15(1分）</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护理员团结协作，不吵架斗殴。(1分）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118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16(2分）</w:t>
            </w:r>
          </w:p>
        </w:tc>
        <w:tc>
          <w:tcPr>
            <w:tcW w:w="498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1、每日做好交接班工作；(1分）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2、定期召开碰头会、楼务会、学习会，并做好会议记录。(1分）</w:t>
            </w:r>
          </w:p>
        </w:tc>
        <w:tc>
          <w:tcPr>
            <w:tcW w:w="795"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r>
        <w:tblPrEx>
          <w:tblCellMar>
            <w:top w:w="15" w:type="dxa"/>
            <w:left w:w="28" w:type="dxa"/>
            <w:bottom w:w="15" w:type="dxa"/>
            <w:right w:w="28" w:type="dxa"/>
          </w:tblCellMar>
        </w:tblPrEx>
        <w:trPr>
          <w:trHeight w:val="450" w:hRule="atLeast"/>
          <w:jc w:val="center"/>
        </w:trPr>
        <w:tc>
          <w:tcPr>
            <w:tcW w:w="678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Cs w:val="21"/>
                <w:highlight w:val="none"/>
              </w:rPr>
            </w:pPr>
          </w:p>
        </w:tc>
      </w:tr>
    </w:tbl>
    <w:p>
      <w:pPr>
        <w:jc w:val="left"/>
        <w:rPr>
          <w:rFonts w:hint="eastAsia" w:ascii="仿宋" w:hAnsi="仿宋" w:eastAsia="仿宋" w:cs="仿宋"/>
          <w:color w:val="auto"/>
          <w:highlight w:val="none"/>
        </w:rPr>
      </w:pPr>
    </w:p>
    <w:p>
      <w:pPr>
        <w:jc w:val="left"/>
        <w:rPr>
          <w:rFonts w:hint="eastAsia" w:ascii="仿宋" w:hAnsi="仿宋" w:eastAsia="仿宋"/>
          <w:color w:val="auto"/>
          <w:highlight w:val="none"/>
        </w:rPr>
      </w:pPr>
      <w:r>
        <w:rPr>
          <w:rFonts w:ascii="仿宋" w:hAnsi="仿宋" w:eastAsia="仿宋"/>
          <w:color w:val="auto"/>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附件4</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量化考核（二）护 理(台账) 文 书  15分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6"/>
        <w:gridCol w:w="5161"/>
        <w:gridCol w:w="900"/>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926"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161"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900"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2737"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0" w:hRule="atLeast"/>
          <w:jc w:val="center"/>
        </w:trPr>
        <w:tc>
          <w:tcPr>
            <w:tcW w:w="926"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1（2分）</w:t>
            </w:r>
          </w:p>
        </w:tc>
        <w:tc>
          <w:tcPr>
            <w:tcW w:w="5161"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1、书写必须客观、真实、正确、及时、完整，由当班护理员书写；（1分）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2、白天黑笔书写，夜间红笔书写(0.5分)。字迹清晰、端正，书写有错误时，应本人黑笔划去，在划线右上方签名及修改时间，不得随意涂改；（0.5分） </w:t>
            </w:r>
          </w:p>
        </w:tc>
        <w:tc>
          <w:tcPr>
            <w:tcW w:w="900" w:type="dxa"/>
            <w:noWrap w:val="0"/>
            <w:vAlign w:val="center"/>
          </w:tcPr>
          <w:p>
            <w:pPr>
              <w:widowControl/>
              <w:textAlignment w:val="center"/>
              <w:rPr>
                <w:rFonts w:hint="eastAsia" w:ascii="仿宋" w:hAnsi="仿宋" w:eastAsia="仿宋" w:cs="仿宋"/>
                <w:color w:val="auto"/>
                <w:szCs w:val="21"/>
                <w:highlight w:val="none"/>
              </w:rPr>
            </w:pPr>
          </w:p>
        </w:tc>
        <w:tc>
          <w:tcPr>
            <w:tcW w:w="2737" w:type="dxa"/>
            <w:noWrap w:val="0"/>
            <w:vAlign w:val="center"/>
          </w:tcPr>
          <w:p>
            <w:pPr>
              <w:widowControl/>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0" w:hRule="atLeast"/>
          <w:jc w:val="center"/>
        </w:trPr>
        <w:tc>
          <w:tcPr>
            <w:tcW w:w="926"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2（3分）</w:t>
            </w:r>
          </w:p>
        </w:tc>
        <w:tc>
          <w:tcPr>
            <w:tcW w:w="5161"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1、特级护理、危重病人每日记录，临时患病记录病发至治愈全过程；（1分）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2、新入院服务对象的身体、精神情况要连续记录三天以上；（1分）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3、有异常情况，随时记录。（1分）</w:t>
            </w:r>
          </w:p>
        </w:tc>
        <w:tc>
          <w:tcPr>
            <w:tcW w:w="900" w:type="dxa"/>
            <w:noWrap w:val="0"/>
            <w:vAlign w:val="center"/>
          </w:tcPr>
          <w:p>
            <w:pPr>
              <w:widowControl/>
              <w:textAlignment w:val="center"/>
              <w:rPr>
                <w:rFonts w:hint="eastAsia" w:ascii="仿宋" w:hAnsi="仿宋" w:eastAsia="仿宋" w:cs="仿宋"/>
                <w:color w:val="auto"/>
                <w:szCs w:val="21"/>
                <w:highlight w:val="none"/>
              </w:rPr>
            </w:pPr>
          </w:p>
        </w:tc>
        <w:tc>
          <w:tcPr>
            <w:tcW w:w="2737" w:type="dxa"/>
            <w:noWrap w:val="0"/>
            <w:vAlign w:val="center"/>
          </w:tcPr>
          <w:p>
            <w:pPr>
              <w:widowControl/>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0" w:hRule="atLeast"/>
          <w:jc w:val="center"/>
        </w:trPr>
        <w:tc>
          <w:tcPr>
            <w:tcW w:w="926"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3（1分）</w:t>
            </w:r>
          </w:p>
        </w:tc>
        <w:tc>
          <w:tcPr>
            <w:tcW w:w="5161"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书写内容包括服务对象心理精神状态、生活自理程度、睡眠情况、大小便情况、身体状况、治疗及服药情况、向接班护理员交待注意事项及其它重要事项。（1分）</w:t>
            </w:r>
          </w:p>
        </w:tc>
        <w:tc>
          <w:tcPr>
            <w:tcW w:w="900" w:type="dxa"/>
            <w:noWrap w:val="0"/>
            <w:vAlign w:val="center"/>
          </w:tcPr>
          <w:p>
            <w:pPr>
              <w:widowControl/>
              <w:textAlignment w:val="center"/>
              <w:rPr>
                <w:rFonts w:hint="eastAsia" w:ascii="仿宋" w:hAnsi="仿宋" w:eastAsia="仿宋" w:cs="仿宋"/>
                <w:color w:val="auto"/>
                <w:szCs w:val="21"/>
                <w:highlight w:val="none"/>
              </w:rPr>
            </w:pPr>
          </w:p>
        </w:tc>
        <w:tc>
          <w:tcPr>
            <w:tcW w:w="2737" w:type="dxa"/>
            <w:noWrap w:val="0"/>
            <w:vAlign w:val="center"/>
          </w:tcPr>
          <w:p>
            <w:pPr>
              <w:widowControl/>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0" w:hRule="atLeast"/>
          <w:jc w:val="center"/>
        </w:trPr>
        <w:tc>
          <w:tcPr>
            <w:tcW w:w="926"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4（2分）</w:t>
            </w:r>
          </w:p>
        </w:tc>
        <w:tc>
          <w:tcPr>
            <w:tcW w:w="5161"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1、护理（台账）文书妥善保管，不损坏及遗失，随时备查；（1分）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2、年底公司自查各类护理（台账）文书，列清单交护理科。（1分）</w:t>
            </w:r>
          </w:p>
        </w:tc>
        <w:tc>
          <w:tcPr>
            <w:tcW w:w="900" w:type="dxa"/>
            <w:noWrap w:val="0"/>
            <w:vAlign w:val="center"/>
          </w:tcPr>
          <w:p>
            <w:pPr>
              <w:widowControl/>
              <w:textAlignment w:val="center"/>
              <w:rPr>
                <w:rFonts w:hint="eastAsia" w:ascii="仿宋" w:hAnsi="仿宋" w:eastAsia="仿宋" w:cs="仿宋"/>
                <w:color w:val="auto"/>
                <w:szCs w:val="21"/>
                <w:highlight w:val="none"/>
              </w:rPr>
            </w:pPr>
          </w:p>
        </w:tc>
        <w:tc>
          <w:tcPr>
            <w:tcW w:w="2737" w:type="dxa"/>
            <w:noWrap w:val="0"/>
            <w:vAlign w:val="center"/>
          </w:tcPr>
          <w:p>
            <w:pPr>
              <w:widowControl/>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jc w:val="center"/>
        </w:trPr>
        <w:tc>
          <w:tcPr>
            <w:tcW w:w="926"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5（2分）</w:t>
            </w:r>
          </w:p>
        </w:tc>
        <w:tc>
          <w:tcPr>
            <w:tcW w:w="5161"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护理（台账）记录合格率≥90%。（2分，每下降5个百分点，扣1分）</w:t>
            </w:r>
          </w:p>
        </w:tc>
        <w:tc>
          <w:tcPr>
            <w:tcW w:w="900" w:type="dxa"/>
            <w:noWrap w:val="0"/>
            <w:vAlign w:val="center"/>
          </w:tcPr>
          <w:p>
            <w:pPr>
              <w:widowControl/>
              <w:textAlignment w:val="center"/>
              <w:rPr>
                <w:rFonts w:hint="eastAsia" w:ascii="仿宋" w:hAnsi="仿宋" w:eastAsia="仿宋" w:cs="仿宋"/>
                <w:color w:val="auto"/>
                <w:szCs w:val="21"/>
                <w:highlight w:val="none"/>
              </w:rPr>
            </w:pPr>
          </w:p>
        </w:tc>
        <w:tc>
          <w:tcPr>
            <w:tcW w:w="2737" w:type="dxa"/>
            <w:noWrap w:val="0"/>
            <w:vAlign w:val="center"/>
          </w:tcPr>
          <w:p>
            <w:pPr>
              <w:widowControl/>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87" w:type="dxa"/>
            <w:gridSpan w:val="2"/>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2737" w:type="dxa"/>
            <w:noWrap w:val="0"/>
            <w:vAlign w:val="center"/>
          </w:tcPr>
          <w:p>
            <w:pPr>
              <w:widowControl/>
              <w:jc w:val="left"/>
              <w:textAlignment w:val="center"/>
              <w:rPr>
                <w:rFonts w:hint="eastAsia" w:ascii="仿宋" w:hAnsi="仿宋" w:eastAsia="仿宋" w:cs="仿宋"/>
                <w:color w:val="auto"/>
                <w:szCs w:val="21"/>
                <w:highlight w:val="none"/>
              </w:rPr>
            </w:pPr>
          </w:p>
        </w:tc>
      </w:tr>
    </w:tbl>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附件5</w:t>
      </w:r>
    </w:p>
    <w:p>
      <w:pPr>
        <w:rPr>
          <w:rFonts w:ascii="仿宋" w:hAnsi="仿宋" w:eastAsia="仿宋"/>
          <w:color w:val="auto"/>
          <w:highlight w:val="none"/>
        </w:rPr>
      </w:pP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量化考核（三）消 毒 措 施 10分</w:t>
      </w:r>
    </w:p>
    <w:p>
      <w:pPr>
        <w:rPr>
          <w:rFonts w:ascii="宋体" w:hAnsi="宋体"/>
          <w:color w:val="auto"/>
          <w:highlight w:val="none"/>
        </w:rPr>
      </w:pPr>
    </w:p>
    <w:p>
      <w:pPr>
        <w:rPr>
          <w:rFonts w:ascii="宋体" w:hAnsi="宋体"/>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1108"/>
        <w:gridCol w:w="4320"/>
        <w:gridCol w:w="108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0" w:hRule="atLeast"/>
          <w:jc w:val="center"/>
        </w:trPr>
        <w:tc>
          <w:tcPr>
            <w:tcW w:w="1108"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320"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1080"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2973"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08"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1（1分）</w:t>
            </w:r>
          </w:p>
        </w:tc>
        <w:tc>
          <w:tcPr>
            <w:tcW w:w="43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无菌物品、消毒液及药片正确保存（0.5分），注明开启时间，有效期内使用（0.5分）。</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910"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2（4分）</w:t>
            </w:r>
          </w:p>
        </w:tc>
        <w:tc>
          <w:tcPr>
            <w:tcW w:w="4320" w:type="dxa"/>
            <w:noWrap w:val="0"/>
            <w:vAlign w:val="top"/>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1、消毒方式正确，记录真实；（1分）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餐具每餐用毕消毒一次；地面、桌面、坐便器每日消毒一次；被褥、毛巾每周晾晒一次；紫外线灯管、血压计、空气环境每周消毒一次（隔离区要求每日消毒一次）；有必要时需要增加消毒次数（2分，每一项占0.5分） </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3、物品遭污染要及时消毒，服务对象死亡、离院后，做好终末消毒。（0.5分）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4、传染病可疑者要及时进行隔离，并立即上报做进一步检查，用过的物品要严格消毒，服务对象的排泄物和分泌物按要求处理。（0.5分）</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bottom"/>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48"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3（1分）</w:t>
            </w:r>
          </w:p>
        </w:tc>
        <w:tc>
          <w:tcPr>
            <w:tcW w:w="43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抹布、拖把及扫帚按照厕所、居室、餐厅分类标记（0.5分），清洗干净，分开悬挂晾晒（0.5分）。</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14"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4（2分）</w:t>
            </w:r>
          </w:p>
        </w:tc>
        <w:tc>
          <w:tcPr>
            <w:tcW w:w="4320" w:type="dxa"/>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1、护理员熟记消毒液及药片配制要求，熟练配制消毒液；（1分） </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2、严格按照规定使用紫外线消毒灯、餐具消毒柜和空气净化器（0.5分）；消毒期间需悬挂消毒指示牌（0.5分）。</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bottom"/>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855"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5（2分）</w:t>
            </w:r>
          </w:p>
        </w:tc>
        <w:tc>
          <w:tcPr>
            <w:tcW w:w="43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消毒合格率达到100%。（2分，每下降5个百分点扣1分）</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35" w:hRule="atLeast"/>
          <w:jc w:val="center"/>
        </w:trPr>
        <w:tc>
          <w:tcPr>
            <w:tcW w:w="5428" w:type="dxa"/>
            <w:gridSpan w:val="2"/>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080" w:type="dxa"/>
            <w:noWrap w:val="0"/>
            <w:vAlign w:val="center"/>
          </w:tcPr>
          <w:p>
            <w:pPr>
              <w:widowControl/>
              <w:jc w:val="left"/>
              <w:textAlignment w:val="center"/>
              <w:rPr>
                <w:rFonts w:hint="eastAsia" w:ascii="仿宋" w:hAnsi="仿宋" w:eastAsia="仿宋" w:cs="仿宋"/>
                <w:color w:val="auto"/>
                <w:szCs w:val="21"/>
                <w:highlight w:val="none"/>
              </w:rPr>
            </w:pPr>
          </w:p>
        </w:tc>
        <w:tc>
          <w:tcPr>
            <w:tcW w:w="2973" w:type="dxa"/>
            <w:noWrap w:val="0"/>
            <w:vAlign w:val="center"/>
          </w:tcPr>
          <w:p>
            <w:pPr>
              <w:widowControl/>
              <w:jc w:val="left"/>
              <w:textAlignment w:val="center"/>
              <w:rPr>
                <w:rFonts w:hint="eastAsia" w:ascii="仿宋" w:hAnsi="仿宋" w:eastAsia="仿宋" w:cs="仿宋"/>
                <w:color w:val="auto"/>
                <w:szCs w:val="21"/>
                <w:highlight w:val="none"/>
              </w:rPr>
            </w:pPr>
          </w:p>
        </w:tc>
      </w:tr>
    </w:tbl>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附件6</w:t>
      </w:r>
    </w:p>
    <w:p>
      <w:pPr>
        <w:jc w:val="center"/>
        <w:rPr>
          <w:rFonts w:ascii="仿宋" w:hAnsi="仿宋" w:eastAsia="仿宋"/>
          <w:color w:val="auto"/>
          <w:sz w:val="32"/>
          <w:szCs w:val="32"/>
          <w:highlight w:val="none"/>
        </w:rPr>
      </w:pP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量化考核（四）康复娱乐教育 10分</w:t>
      </w:r>
    </w:p>
    <w:p>
      <w:pPr>
        <w:rPr>
          <w:rFonts w:ascii="宋体" w:hAnsi="宋体"/>
          <w:color w:val="auto"/>
          <w:szCs w:val="21"/>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28" w:type="dxa"/>
          <w:bottom w:w="15" w:type="dxa"/>
          <w:right w:w="28" w:type="dxa"/>
        </w:tblCellMar>
      </w:tblPr>
      <w:tblGrid>
        <w:gridCol w:w="1108"/>
        <w:gridCol w:w="5220"/>
        <w:gridCol w:w="90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660" w:hRule="atLeast"/>
          <w:jc w:val="center"/>
        </w:trPr>
        <w:tc>
          <w:tcPr>
            <w:tcW w:w="1108"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220"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900"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1782"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1995"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1（3分）</w:t>
            </w:r>
          </w:p>
        </w:tc>
        <w:tc>
          <w:tcPr>
            <w:tcW w:w="52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1、准时接送服务对象上下课(1分)；如遇特殊情况有服务对象不能参加活动，要及时告知，并请假（1分）。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2、服务对象统一着装，衣着整洁，个人卫生达标（1分）。</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1782"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1590"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2（2分）</w:t>
            </w:r>
          </w:p>
        </w:tc>
        <w:tc>
          <w:tcPr>
            <w:tcW w:w="52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1、在楼班内组织安排好除康乐教育科安排的康复课程外的其他康复、娱乐活动。（1分）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2、在活动开展前检查场地，防止服务对象跌倒、跌伤等事故的发生。（1分）</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1782"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2100"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3（3分）</w:t>
            </w:r>
          </w:p>
        </w:tc>
        <w:tc>
          <w:tcPr>
            <w:tcW w:w="52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1、教育服务对象遵守院规章制度。（1分）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2、通过教育和指导，服务对象的生活自理能力要有一定程度的提高。（1分）</w:t>
            </w:r>
          </w:p>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3、教育服务对象有礼貌,提高服务对象的节约和感恩意识。（1分）</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1782"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1590" w:hRule="atLeast"/>
          <w:jc w:val="center"/>
        </w:trPr>
        <w:tc>
          <w:tcPr>
            <w:tcW w:w="1108"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4（2分）</w:t>
            </w:r>
          </w:p>
        </w:tc>
        <w:tc>
          <w:tcPr>
            <w:tcW w:w="5220" w:type="dxa"/>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每月组织服务对象学习一次，并做好记录。(2分)</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1782" w:type="dxa"/>
            <w:noWrap w:val="0"/>
            <w:vAlign w:val="center"/>
          </w:tcPr>
          <w:p>
            <w:pPr>
              <w:widowControl/>
              <w:jc w:val="left"/>
              <w:textAlignment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65" w:hRule="atLeast"/>
          <w:jc w:val="center"/>
        </w:trPr>
        <w:tc>
          <w:tcPr>
            <w:tcW w:w="6328" w:type="dxa"/>
            <w:gridSpan w:val="2"/>
            <w:noWrap w:val="0"/>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900" w:type="dxa"/>
            <w:noWrap w:val="0"/>
            <w:vAlign w:val="center"/>
          </w:tcPr>
          <w:p>
            <w:pPr>
              <w:widowControl/>
              <w:jc w:val="left"/>
              <w:textAlignment w:val="center"/>
              <w:rPr>
                <w:rFonts w:hint="eastAsia" w:ascii="仿宋" w:hAnsi="仿宋" w:eastAsia="仿宋" w:cs="仿宋"/>
                <w:color w:val="auto"/>
                <w:szCs w:val="21"/>
                <w:highlight w:val="none"/>
              </w:rPr>
            </w:pPr>
          </w:p>
        </w:tc>
        <w:tc>
          <w:tcPr>
            <w:tcW w:w="1782" w:type="dxa"/>
            <w:noWrap w:val="0"/>
            <w:vAlign w:val="center"/>
          </w:tcPr>
          <w:p>
            <w:pPr>
              <w:widowControl/>
              <w:jc w:val="left"/>
              <w:textAlignment w:val="center"/>
              <w:rPr>
                <w:rFonts w:hint="eastAsia" w:ascii="仿宋" w:hAnsi="仿宋" w:eastAsia="仿宋" w:cs="仿宋"/>
                <w:color w:val="auto"/>
                <w:szCs w:val="21"/>
                <w:highlight w:val="none"/>
              </w:rPr>
            </w:pPr>
          </w:p>
        </w:tc>
      </w:tr>
    </w:tbl>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附件7</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量化考核（五）安 全 措 施 25分</w:t>
      </w:r>
    </w:p>
    <w:p>
      <w:pPr>
        <w:rPr>
          <w:rFonts w:ascii="宋体" w:hAnsi="宋体"/>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楼班                    考核人            考核得分               日期</w:t>
      </w:r>
    </w:p>
    <w:tbl>
      <w:tblPr>
        <w:tblStyle w:val="20"/>
        <w:tblW w:w="0" w:type="auto"/>
        <w:tblInd w:w="0" w:type="dxa"/>
        <w:tblLayout w:type="fixed"/>
        <w:tblCellMar>
          <w:top w:w="15" w:type="dxa"/>
          <w:left w:w="57" w:type="dxa"/>
          <w:bottom w:w="15" w:type="dxa"/>
          <w:right w:w="57" w:type="dxa"/>
        </w:tblCellMar>
      </w:tblPr>
      <w:tblGrid>
        <w:gridCol w:w="927"/>
        <w:gridCol w:w="5432"/>
        <w:gridCol w:w="683"/>
        <w:gridCol w:w="2333"/>
      </w:tblGrid>
      <w:tr>
        <w:tblPrEx>
          <w:tblCellMar>
            <w:top w:w="15" w:type="dxa"/>
            <w:left w:w="57" w:type="dxa"/>
            <w:bottom w:w="15" w:type="dxa"/>
            <w:right w:w="57" w:type="dxa"/>
          </w:tblCellMar>
        </w:tblPrEx>
        <w:trPr>
          <w:trHeight w:val="54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工作要求</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CellMar>
            <w:top w:w="15" w:type="dxa"/>
            <w:left w:w="57" w:type="dxa"/>
            <w:bottom w:w="15" w:type="dxa"/>
            <w:right w:w="57" w:type="dxa"/>
          </w:tblCellMar>
        </w:tblPrEx>
        <w:trPr>
          <w:trHeight w:val="1920" w:hRule="atLeast"/>
        </w:trPr>
        <w:tc>
          <w:tcPr>
            <w:tcW w:w="927" w:type="dxa"/>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1(2分)</w:t>
            </w:r>
          </w:p>
        </w:tc>
        <w:tc>
          <w:tcPr>
            <w:tcW w:w="5432" w:type="dxa"/>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1、安全通道保持通畅，不堆放杂物；（0.5分）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2、消防通道能够及时打开；（0.5分）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3、安全指示灯、应急灯正常使用，遇故障及时报修；（0.5分）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4、正确使用各种消防设备。（0.5分）</w:t>
            </w:r>
          </w:p>
        </w:tc>
        <w:tc>
          <w:tcPr>
            <w:tcW w:w="683" w:type="dxa"/>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204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1、禁止携带危险物品进入服务对象居室，如刀具、打火机、针线、玻璃器具等，并做好服务对象及家属携带物品的安全检查及解释工作。（1分）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2、专柜上锁，分类保管各类危险物品，如刀具、针线、消毒液、洁厕液、口服药等；定点放置常规用物：开水保温桶等。（1分）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1335"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1、安全使用电器，除规定区域外无电热毯、电磁炉等违规电器；（1分）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2、严禁使用明火，打雷时及时切断主电源。（1分）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132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1、日常口服药严格按照双人核对签名后，方可发放服用；(1分)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2、严禁使用过期药品。（1分）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147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护理员熟练掌握各类应急预案，了解意外发生时的应急处理流程。（2分）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261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1、雨雪冰冻天气劝导服务对象减少外出（0.5分）；80岁以上（含80岁）的老年人不得单独请假外出，需由护理员陪同（0.5分）。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2、服务对象外出就医﹑体检﹑鉴定等医疗活动时必须有专人陪护，确保服务对象人身安全，严防走失及外逃。（1分）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2175"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7（2分）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1、供给调配的食品，应注意保质期，确保服务对象吃的食品在有效期范围之内；（1分）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2、楼班长应监督管理服务对象自行购买的食品，防止服务对象食用过保、霉变的食物。（1分）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84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8（5分）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护理不当造成服务对象烫伤、冻伤、损伤、受凉、坠床、跌倒、噎食等。（5分）</w:t>
            </w:r>
          </w:p>
          <w:p>
            <w:pPr>
              <w:widowControl/>
              <w:textAlignment w:val="center"/>
              <w:rPr>
                <w:rFonts w:hint="eastAsia" w:ascii="仿宋" w:hAnsi="仿宋" w:eastAsia="仿宋" w:cs="仿宋"/>
                <w:color w:val="auto"/>
                <w:szCs w:val="21"/>
                <w:highlight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84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9（1分）</w:t>
            </w:r>
          </w:p>
        </w:tc>
        <w:tc>
          <w:tcPr>
            <w:tcW w:w="54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严禁工作人员、服务对象及家属在楼班内吸烟。（1分）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915" w:hRule="atLeast"/>
        </w:trPr>
        <w:tc>
          <w:tcPr>
            <w:tcW w:w="927" w:type="dxa"/>
            <w:tcBorders>
              <w:top w:val="single" w:color="000000" w:sz="4" w:space="0"/>
              <w:left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10（5分）</w:t>
            </w:r>
          </w:p>
        </w:tc>
        <w:tc>
          <w:tcPr>
            <w:tcW w:w="5432" w:type="dxa"/>
            <w:tcBorders>
              <w:top w:val="single" w:color="000000" w:sz="4" w:space="0"/>
              <w:left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熟练掌握，规范应用各项操作技能，如服务对象约束带的使用、按规范正确使用轮椅、更换体位的方法等；需要约束的服务对象按院约束技术使用的相关规定妥善约束，保护约束巡视时应仔细做好登记，记录使用保护具的原因、时间、每次观察结果、相应的护理措施、解除约束的时间。（3分）</w:t>
            </w:r>
          </w:p>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2、服务对象发生争执时及时介入处理，避免发生身体伤害及财产损失。（2分）</w:t>
            </w:r>
          </w:p>
        </w:tc>
        <w:tc>
          <w:tcPr>
            <w:tcW w:w="683" w:type="dxa"/>
            <w:tcBorders>
              <w:top w:val="single" w:color="000000" w:sz="4" w:space="0"/>
              <w:left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r>
        <w:tblPrEx>
          <w:tblCellMar>
            <w:top w:w="15" w:type="dxa"/>
            <w:left w:w="57" w:type="dxa"/>
            <w:bottom w:w="15" w:type="dxa"/>
            <w:right w:w="57" w:type="dxa"/>
          </w:tblCellMar>
        </w:tblPrEx>
        <w:trPr>
          <w:trHeight w:val="450" w:hRule="atLeast"/>
        </w:trPr>
        <w:tc>
          <w:tcPr>
            <w:tcW w:w="63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c>
          <w:tcPr>
            <w:tcW w:w="233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highlight w:val="none"/>
              </w:rPr>
            </w:pPr>
          </w:p>
        </w:tc>
      </w:tr>
    </w:tbl>
    <w:p>
      <w:pPr>
        <w:rPr>
          <w:rFonts w:ascii="仿宋" w:hAnsi="仿宋" w:eastAsia="仿宋"/>
          <w:color w:val="auto"/>
          <w:highlight w:val="none"/>
        </w:rPr>
      </w:pPr>
    </w:p>
    <w:p>
      <w:pPr>
        <w:rPr>
          <w:color w:val="auto"/>
          <w:kern w:val="21"/>
          <w:highlight w:val="none"/>
        </w:rPr>
      </w:pPr>
    </w:p>
    <w:p>
      <w:pPr>
        <w:rPr>
          <w:color w:val="auto"/>
          <w:kern w:val="21"/>
          <w:highlight w:val="none"/>
        </w:rPr>
        <w:sectPr>
          <w:pgSz w:w="11906" w:h="16838"/>
          <w:pgMar w:top="1418" w:right="1418" w:bottom="1134" w:left="1418" w:header="851" w:footer="680" w:gutter="0"/>
          <w:pgNumType w:start="1"/>
          <w:cols w:space="720" w:num="1"/>
          <w:docGrid w:linePitch="312" w:charSpace="0"/>
        </w:sectPr>
      </w:pPr>
    </w:p>
    <w:p>
      <w:pPr>
        <w:rPr>
          <w:color w:val="auto"/>
          <w:kern w:val="21"/>
          <w:highlight w:val="none"/>
        </w:rPr>
      </w:pPr>
    </w:p>
    <w:p>
      <w:pPr>
        <w:pStyle w:val="27"/>
        <w:spacing w:before="0" w:line="312" w:lineRule="auto"/>
        <w:ind w:firstLine="0" w:firstLineChars="0"/>
        <w:rPr>
          <w:rFonts w:hint="eastAsia" w:ascii="仿宋" w:hAnsi="仿宋" w:eastAsia="仿宋"/>
          <w:b/>
          <w:bCs/>
          <w:color w:val="auto"/>
          <w:szCs w:val="24"/>
          <w:highlight w:val="none"/>
        </w:rPr>
      </w:pPr>
      <w:r>
        <w:rPr>
          <w:rFonts w:hint="eastAsia" w:ascii="仿宋" w:hAnsi="仿宋" w:eastAsia="仿宋"/>
          <w:b/>
          <w:bCs/>
          <w:color w:val="auto"/>
          <w:szCs w:val="24"/>
          <w:highlight w:val="none"/>
        </w:rPr>
        <w:t>附件8</w:t>
      </w:r>
    </w:p>
    <w:p>
      <w:pPr>
        <w:pStyle w:val="27"/>
        <w:spacing w:before="0" w:line="312" w:lineRule="auto"/>
        <w:ind w:firstLine="0" w:firstLineChars="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一福院服务管理工作满意度调查表</w:t>
      </w:r>
    </w:p>
    <w:p>
      <w:pPr>
        <w:rPr>
          <w:rFonts w:ascii="仿宋" w:hAnsi="仿宋" w:eastAsia="仿宋"/>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79"/>
        <w:gridCol w:w="1437"/>
        <w:gridCol w:w="1624"/>
        <w:gridCol w:w="1181"/>
        <w:gridCol w:w="493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  目</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满意</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基本满意</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不满意</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队伍形象</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工作作风</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工作效率</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4"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廉洁自律</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您认为院内服务管理中尚存在哪些不足或需要进一步改进的地方，请提出意见或建议。</w:t>
            </w:r>
          </w:p>
        </w:tc>
        <w:tc>
          <w:tcPr>
            <w:tcW w:w="918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Cs w:val="21"/>
                <w:highlight w:val="none"/>
              </w:rPr>
            </w:pPr>
          </w:p>
          <w:p>
            <w:pPr>
              <w:widowControl/>
              <w:jc w:val="center"/>
              <w:rPr>
                <w:rFonts w:hint="eastAsia" w:ascii="仿宋" w:hAnsi="仿宋" w:eastAsia="仿宋" w:cs="仿宋"/>
                <w:color w:val="auto"/>
                <w:szCs w:val="21"/>
                <w:highlight w:val="none"/>
              </w:rPr>
            </w:pPr>
          </w:p>
          <w:p>
            <w:pPr>
              <w:widowControl/>
              <w:jc w:val="center"/>
              <w:rPr>
                <w:rFonts w:hint="eastAsia" w:ascii="仿宋" w:hAnsi="仿宋" w:eastAsia="仿宋" w:cs="仿宋"/>
                <w:color w:val="auto"/>
                <w:szCs w:val="21"/>
                <w:highlight w:val="none"/>
              </w:rPr>
            </w:pPr>
          </w:p>
          <w:p>
            <w:pPr>
              <w:widowControl/>
              <w:jc w:val="center"/>
              <w:rPr>
                <w:rFonts w:hint="eastAsia" w:ascii="仿宋" w:hAnsi="仿宋" w:eastAsia="仿宋" w:cs="仿宋"/>
                <w:color w:val="auto"/>
                <w:szCs w:val="21"/>
                <w:highlight w:val="none"/>
              </w:rPr>
            </w:pPr>
          </w:p>
          <w:p>
            <w:pPr>
              <w:widowControl/>
              <w:jc w:val="center"/>
              <w:rPr>
                <w:rFonts w:hint="eastAsia" w:ascii="仿宋" w:hAnsi="仿宋" w:eastAsia="仿宋" w:cs="仿宋"/>
                <w:color w:val="auto"/>
                <w:szCs w:val="21"/>
                <w:highlight w:val="none"/>
              </w:rPr>
            </w:pPr>
          </w:p>
          <w:p>
            <w:pPr>
              <w:widowControl/>
              <w:jc w:val="center"/>
              <w:rPr>
                <w:rFonts w:hint="eastAsia" w:ascii="仿宋" w:hAnsi="仿宋" w:eastAsia="仿宋" w:cs="仿宋"/>
                <w:color w:val="auto"/>
                <w:szCs w:val="21"/>
                <w:highlight w:val="none"/>
              </w:rPr>
            </w:pPr>
          </w:p>
          <w:p>
            <w:pPr>
              <w:widowControl/>
              <w:ind w:firstLine="2100" w:firstLineChars="10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姓名（也可以不署名）：</w:t>
            </w:r>
          </w:p>
        </w:tc>
      </w:tr>
    </w:tbl>
    <w:p>
      <w:pPr>
        <w:rPr>
          <w:rFonts w:hint="eastAsia" w:ascii="仿宋" w:hAnsi="仿宋" w:eastAsia="仿宋" w:cs="仿宋"/>
          <w:color w:val="auto"/>
          <w:kern w:val="21"/>
          <w:sz w:val="24"/>
          <w:highlight w:val="none"/>
        </w:rPr>
      </w:pPr>
      <w:r>
        <w:rPr>
          <w:rFonts w:hint="eastAsia" w:ascii="仿宋" w:hAnsi="仿宋" w:eastAsia="仿宋" w:cs="仿宋"/>
          <w:color w:val="auto"/>
          <w:sz w:val="24"/>
          <w:highlight w:val="none"/>
        </w:rPr>
        <w:t>说明：请在相应的选项下打“√”</w:t>
      </w:r>
    </w:p>
    <w:p>
      <w:pPr>
        <w:rPr>
          <w:color w:val="auto"/>
          <w:kern w:val="21"/>
          <w:highlight w:val="none"/>
        </w:rPr>
      </w:pPr>
    </w:p>
    <w:p>
      <w:pPr>
        <w:rPr>
          <w:color w:val="auto"/>
          <w:kern w:val="21"/>
          <w:highlight w:val="none"/>
        </w:rPr>
        <w:sectPr>
          <w:footerReference r:id="rId3" w:type="default"/>
          <w:pgSz w:w="16838" w:h="11906" w:orient="landscape"/>
          <w:pgMar w:top="1417" w:right="1418" w:bottom="1417" w:left="1417" w:header="851" w:footer="680" w:gutter="0"/>
          <w:cols w:space="720" w:num="1"/>
          <w:docGrid w:linePitch="312" w:charSpace="0"/>
        </w:sectPr>
      </w:pPr>
    </w:p>
    <w:p>
      <w:pPr>
        <w:rPr>
          <w:color w:val="auto"/>
          <w:kern w:val="21"/>
          <w:highlight w:val="none"/>
        </w:rPr>
      </w:pPr>
    </w:p>
    <w:bookmarkEnd w:id="20"/>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21" w:name="_Toc14349"/>
      <w:bookmarkStart w:id="22" w:name="_Toc16846"/>
      <w:bookmarkStart w:id="23" w:name="_Toc342633574"/>
      <w:r>
        <w:rPr>
          <w:rFonts w:hint="eastAsia" w:ascii="仿宋" w:hAnsi="仿宋" w:eastAsia="仿宋" w:cs="仿宋"/>
          <w:b/>
          <w:color w:val="auto"/>
          <w:sz w:val="30"/>
          <w:szCs w:val="30"/>
          <w:highlight w:val="none"/>
        </w:rPr>
        <w:t>第四部分  评标办法</w:t>
      </w:r>
      <w:bookmarkEnd w:id="21"/>
      <w:bookmarkEnd w:id="22"/>
    </w:p>
    <w:bookmarkEnd w:id="23"/>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 w:hAnsi="仿宋" w:eastAsia="仿宋" w:cs="仿宋"/>
          <w:b/>
          <w:color w:val="auto"/>
          <w:spacing w:val="0"/>
          <w:w w:val="100"/>
          <w:kern w:val="21"/>
          <w:sz w:val="28"/>
          <w:szCs w:val="28"/>
          <w:highlight w:val="none"/>
        </w:rPr>
      </w:pPr>
      <w:bookmarkStart w:id="24" w:name="_Toc16598"/>
      <w:bookmarkStart w:id="25" w:name="_Toc10744"/>
      <w:bookmarkStart w:id="26" w:name="_Toc242012824"/>
      <w:bookmarkStart w:id="27" w:name="_Toc19650"/>
      <w:r>
        <w:rPr>
          <w:rFonts w:hint="eastAsia" w:ascii="仿宋" w:hAnsi="仿宋" w:eastAsia="仿宋" w:cs="仿宋"/>
          <w:b/>
          <w:color w:val="auto"/>
          <w:spacing w:val="0"/>
          <w:w w:val="100"/>
          <w:kern w:val="21"/>
          <w:sz w:val="28"/>
          <w:szCs w:val="28"/>
          <w:highlight w:val="none"/>
        </w:rPr>
        <w:t>评标办法前附表</w:t>
      </w:r>
      <w:bookmarkEnd w:id="24"/>
      <w:bookmarkEnd w:id="25"/>
    </w:p>
    <w:tbl>
      <w:tblPr>
        <w:tblStyle w:val="20"/>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1"/>
        <w:gridCol w:w="501"/>
        <w:gridCol w:w="640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9" w:type="pct"/>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4259" w:type="pct"/>
            <w:gridSpan w:val="3"/>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评标标准</w:t>
            </w:r>
          </w:p>
        </w:tc>
        <w:tc>
          <w:tcPr>
            <w:tcW w:w="391" w:type="pct"/>
            <w:vAlign w:val="center"/>
          </w:tcPr>
          <w:p>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一</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技术资信评分（90分）</w:t>
            </w:r>
          </w:p>
        </w:tc>
        <w:tc>
          <w:tcPr>
            <w:tcW w:w="391" w:type="pct"/>
            <w:vAlign w:val="center"/>
          </w:tcPr>
          <w:p>
            <w:pPr>
              <w:jc w:val="center"/>
              <w:rPr>
                <w:rFonts w:hint="eastAsia" w:ascii="仿宋" w:hAnsi="仿宋" w:eastAsia="仿宋" w:cs="仿宋"/>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9" w:type="pct"/>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4259" w:type="pct"/>
            <w:gridSpan w:val="3"/>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投标人业绩</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投标人</w:t>
            </w:r>
            <w:r>
              <w:rPr>
                <w:rFonts w:hint="eastAsia" w:ascii="仿宋" w:hAnsi="仿宋" w:eastAsia="仿宋" w:cs="仿宋"/>
                <w:sz w:val="21"/>
                <w:szCs w:val="21"/>
                <w:highlight w:val="none"/>
                <w:lang w:eastAsia="zh-CN"/>
              </w:rPr>
              <w:t>自</w:t>
            </w:r>
            <w:r>
              <w:rPr>
                <w:rFonts w:hint="eastAsia" w:ascii="仿宋" w:hAnsi="仿宋" w:eastAsia="仿宋" w:cs="仿宋"/>
                <w:sz w:val="21"/>
                <w:szCs w:val="21"/>
                <w:highlight w:val="none"/>
                <w:lang w:val="en-US" w:eastAsia="zh-CN"/>
              </w:rPr>
              <w:t>2019年1月1日（以合同签订日期为准）以来，具有护理类</w:t>
            </w:r>
            <w:r>
              <w:rPr>
                <w:rFonts w:hint="eastAsia" w:ascii="仿宋" w:hAnsi="仿宋" w:eastAsia="仿宋" w:cs="仿宋"/>
                <w:sz w:val="21"/>
                <w:szCs w:val="21"/>
                <w:highlight w:val="none"/>
              </w:rPr>
              <w:t>业绩，每具有</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个的，得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w:t>
            </w:r>
            <w:r>
              <w:rPr>
                <w:rFonts w:hint="eastAsia" w:ascii="仿宋" w:hAnsi="仿宋" w:eastAsia="仿宋" w:cs="仿宋"/>
                <w:sz w:val="21"/>
                <w:szCs w:val="21"/>
                <w:highlight w:val="none"/>
                <w:lang w:eastAsia="zh-CN"/>
              </w:rPr>
              <w:t>复制件加盖公章</w:t>
            </w:r>
            <w:r>
              <w:rPr>
                <w:rFonts w:hint="eastAsia" w:ascii="仿宋" w:hAnsi="仿宋" w:eastAsia="仿宋" w:cs="仿宋"/>
                <w:sz w:val="21"/>
                <w:szCs w:val="21"/>
                <w:highlight w:val="none"/>
              </w:rPr>
              <w:t>。</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管理体系：</w:t>
            </w:r>
            <w:r>
              <w:rPr>
                <w:rFonts w:hint="eastAsia" w:ascii="仿宋" w:hAnsi="仿宋" w:eastAsia="仿宋" w:cs="仿宋"/>
                <w:sz w:val="21"/>
                <w:szCs w:val="21"/>
                <w:highlight w:val="none"/>
                <w:lang w:val="en-US" w:eastAsia="zh-CN"/>
              </w:rPr>
              <w:t>投标人已取得质量管理体系认证证书、职业健康安全管理体系认证证书、</w:t>
            </w:r>
            <w:r>
              <w:rPr>
                <w:rFonts w:hint="eastAsia" w:ascii="仿宋" w:hAnsi="仿宋" w:eastAsia="仿宋" w:cs="仿宋"/>
                <w:sz w:val="21"/>
                <w:szCs w:val="21"/>
                <w:highlight w:val="none"/>
                <w:lang w:eastAsia="zh-CN"/>
              </w:rPr>
              <w:t>环境</w:t>
            </w:r>
            <w:r>
              <w:rPr>
                <w:rFonts w:hint="eastAsia" w:ascii="仿宋" w:hAnsi="仿宋" w:eastAsia="仿宋" w:cs="仿宋"/>
                <w:sz w:val="21"/>
                <w:szCs w:val="21"/>
                <w:highlight w:val="none"/>
                <w:lang w:val="en-US" w:eastAsia="zh-CN"/>
              </w:rPr>
              <w:t>管理体系</w:t>
            </w:r>
            <w:r>
              <w:rPr>
                <w:rFonts w:hint="eastAsia" w:ascii="仿宋" w:hAnsi="仿宋" w:eastAsia="仿宋" w:cs="仿宋"/>
                <w:sz w:val="21"/>
                <w:szCs w:val="21"/>
                <w:highlight w:val="none"/>
                <w:lang w:eastAsia="zh-CN"/>
              </w:rPr>
              <w:t>认证</w:t>
            </w:r>
            <w:r>
              <w:rPr>
                <w:rFonts w:hint="eastAsia" w:ascii="仿宋" w:hAnsi="仿宋" w:eastAsia="仿宋" w:cs="仿宋"/>
                <w:sz w:val="21"/>
                <w:szCs w:val="21"/>
                <w:highlight w:val="none"/>
                <w:lang w:val="en-US" w:eastAsia="zh-CN"/>
              </w:rPr>
              <w:t>证书且在有效期内。每具有1项得1分，最高的3分。具有养老服务认证认证书的，得2分。本项最高得5分</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提供：认证证书复制件加盖公章。</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投标人对本项目的要求、对服务对象的护理服务需求的理解情况。</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对项目要求、护理服务需求理解到位的，得5分；对项目要求、护理服务需求理解比较到位的，得4分；对项目要求、护理服务需求理解基本到位的，得3分；对项目要求、护理服务需求理解不足的，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对本项目的重难点分析及相关解决方案情况：</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对项目重难点分析到位、解决方案具有针对性，得5分；对项目重难点分析基本到位、解决方案具有一定的针对性，得4分；对项目重难点分析基本到位、解决方案针对性不强，得3分；对项目重难点分析不到位或解决方案针对性不强，得1分；未提供相应内容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投标人针对本次护理服务要求所制定的管理方案。</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管理方案具有较强针对性、主要管理内容详细，得</w:t>
            </w:r>
            <w:r>
              <w:rPr>
                <w:rFonts w:hint="eastAsia" w:ascii="仿宋" w:hAnsi="仿宋" w:eastAsia="仿宋" w:cs="仿宋"/>
                <w:sz w:val="21"/>
                <w:szCs w:val="21"/>
                <w:highlight w:val="none"/>
                <w:lang w:val="en-US" w:eastAsia="zh-CN"/>
              </w:rPr>
              <w:t>5分；</w:t>
            </w:r>
            <w:r>
              <w:rPr>
                <w:rFonts w:hint="eastAsia" w:ascii="仿宋" w:hAnsi="仿宋" w:eastAsia="仿宋" w:cs="仿宋"/>
                <w:sz w:val="21"/>
                <w:szCs w:val="21"/>
                <w:highlight w:val="none"/>
                <w:lang w:eastAsia="zh-CN"/>
              </w:rPr>
              <w:t>管理方案具有针对性、有主要管理内容，得</w:t>
            </w:r>
            <w:r>
              <w:rPr>
                <w:rFonts w:hint="eastAsia" w:ascii="仿宋" w:hAnsi="仿宋" w:eastAsia="仿宋" w:cs="仿宋"/>
                <w:sz w:val="21"/>
                <w:szCs w:val="21"/>
                <w:highlight w:val="none"/>
                <w:lang w:val="en-US" w:eastAsia="zh-CN"/>
              </w:rPr>
              <w:t>4分；</w:t>
            </w:r>
            <w:r>
              <w:rPr>
                <w:rFonts w:hint="eastAsia" w:ascii="仿宋" w:hAnsi="仿宋" w:eastAsia="仿宋" w:cs="仿宋"/>
                <w:sz w:val="21"/>
                <w:szCs w:val="21"/>
                <w:highlight w:val="none"/>
                <w:lang w:eastAsia="zh-CN"/>
              </w:rPr>
              <w:t>管理方案针对性一般，得</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lang w:eastAsia="zh-CN"/>
              </w:rPr>
              <w:t>管理方案针对性不足，得</w:t>
            </w:r>
            <w:r>
              <w:rPr>
                <w:rFonts w:hint="eastAsia" w:ascii="仿宋" w:hAnsi="仿宋" w:eastAsia="仿宋" w:cs="仿宋"/>
                <w:sz w:val="21"/>
                <w:szCs w:val="21"/>
                <w:highlight w:val="none"/>
                <w:lang w:val="en-US" w:eastAsia="zh-CN"/>
              </w:rPr>
              <w:t>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投标人针对本项目制订的组织实施方案情况：</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组织实施方案完善、规范且具有可操作性，得5分；组织实施方案完善且具有一定的可操作性，得4分；组织实施方案基本完善且具有一定的可操作性，得3分；组织实施方案不够完善，可操作性不强，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工作职能组织运行机制、</w:t>
            </w:r>
            <w:r>
              <w:rPr>
                <w:rFonts w:hint="eastAsia" w:ascii="仿宋" w:hAnsi="仿宋" w:eastAsia="仿宋" w:cs="仿宋"/>
                <w:sz w:val="21"/>
                <w:szCs w:val="21"/>
                <w:highlight w:val="none"/>
                <w:lang w:val="en-US" w:eastAsia="zh-CN"/>
              </w:rPr>
              <w:t>职责分工情况</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组织运行机制</w:t>
            </w:r>
            <w:r>
              <w:rPr>
                <w:rFonts w:hint="eastAsia" w:ascii="仿宋" w:hAnsi="仿宋" w:eastAsia="仿宋" w:cs="仿宋"/>
                <w:sz w:val="21"/>
                <w:szCs w:val="21"/>
                <w:highlight w:val="none"/>
                <w:lang w:eastAsia="zh-CN"/>
              </w:rPr>
              <w:t>完善、</w:t>
            </w:r>
            <w:r>
              <w:rPr>
                <w:rFonts w:hint="eastAsia" w:ascii="仿宋" w:hAnsi="仿宋" w:eastAsia="仿宋" w:cs="仿宋"/>
                <w:sz w:val="21"/>
                <w:szCs w:val="21"/>
                <w:highlight w:val="none"/>
              </w:rPr>
              <w:t>职责分工</w:t>
            </w:r>
            <w:r>
              <w:rPr>
                <w:rFonts w:hint="eastAsia" w:ascii="仿宋" w:hAnsi="仿宋" w:eastAsia="仿宋" w:cs="仿宋"/>
                <w:sz w:val="21"/>
                <w:szCs w:val="21"/>
                <w:highlight w:val="none"/>
                <w:lang w:eastAsia="zh-CN"/>
              </w:rPr>
              <w:t>明确的得</w:t>
            </w:r>
            <w:r>
              <w:rPr>
                <w:rFonts w:hint="eastAsia" w:ascii="仿宋" w:hAnsi="仿宋" w:eastAsia="仿宋" w:cs="仿宋"/>
                <w:sz w:val="21"/>
                <w:szCs w:val="21"/>
                <w:highlight w:val="none"/>
                <w:lang w:val="en-US" w:eastAsia="zh-CN"/>
              </w:rPr>
              <w:t>5分；</w:t>
            </w:r>
            <w:r>
              <w:rPr>
                <w:rFonts w:hint="eastAsia" w:ascii="仿宋" w:hAnsi="仿宋" w:eastAsia="仿宋" w:cs="仿宋"/>
                <w:sz w:val="21"/>
                <w:szCs w:val="21"/>
                <w:highlight w:val="none"/>
              </w:rPr>
              <w:t>组织运行机制</w:t>
            </w:r>
            <w:r>
              <w:rPr>
                <w:rFonts w:hint="eastAsia" w:ascii="仿宋" w:hAnsi="仿宋" w:eastAsia="仿宋" w:cs="仿宋"/>
                <w:sz w:val="21"/>
                <w:szCs w:val="21"/>
                <w:highlight w:val="none"/>
                <w:lang w:eastAsia="zh-CN"/>
              </w:rPr>
              <w:t>较完善、</w:t>
            </w:r>
            <w:r>
              <w:rPr>
                <w:rFonts w:hint="eastAsia" w:ascii="仿宋" w:hAnsi="仿宋" w:eastAsia="仿宋" w:cs="仿宋"/>
                <w:sz w:val="21"/>
                <w:szCs w:val="21"/>
                <w:highlight w:val="none"/>
              </w:rPr>
              <w:t>职责分工</w:t>
            </w:r>
            <w:r>
              <w:rPr>
                <w:rFonts w:hint="eastAsia" w:ascii="仿宋" w:hAnsi="仿宋" w:eastAsia="仿宋" w:cs="仿宋"/>
                <w:sz w:val="21"/>
                <w:szCs w:val="21"/>
                <w:highlight w:val="none"/>
                <w:lang w:eastAsia="zh-CN"/>
              </w:rPr>
              <w:t>较明确的得</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rPr>
              <w:t>组织运行机制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职责分工</w:t>
            </w:r>
            <w:r>
              <w:rPr>
                <w:rFonts w:hint="eastAsia" w:ascii="仿宋" w:hAnsi="仿宋" w:eastAsia="仿宋" w:cs="仿宋"/>
                <w:sz w:val="21"/>
                <w:szCs w:val="21"/>
                <w:highlight w:val="none"/>
                <w:lang w:eastAsia="zh-CN"/>
              </w:rPr>
              <w:t>存在不足的得</w:t>
            </w:r>
            <w:r>
              <w:rPr>
                <w:rFonts w:hint="eastAsia" w:ascii="仿宋" w:hAnsi="仿宋" w:eastAsia="仿宋" w:cs="仿宋"/>
                <w:sz w:val="21"/>
                <w:szCs w:val="21"/>
                <w:highlight w:val="none"/>
                <w:lang w:val="en-US" w:eastAsia="zh-CN"/>
              </w:rPr>
              <w:t>1分；未提供相关内容的不得分。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内部管理和协调方法</w:t>
            </w:r>
            <w:r>
              <w:rPr>
                <w:rFonts w:hint="eastAsia" w:ascii="仿宋" w:hAnsi="仿宋" w:eastAsia="仿宋" w:cs="仿宋"/>
                <w:sz w:val="21"/>
                <w:szCs w:val="21"/>
                <w:highlight w:val="none"/>
                <w:lang w:eastAsia="zh-CN"/>
              </w:rPr>
              <w:t>情况：</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内部</w:t>
            </w:r>
            <w:r>
              <w:rPr>
                <w:rFonts w:hint="eastAsia" w:ascii="仿宋" w:hAnsi="仿宋" w:eastAsia="仿宋" w:cs="仿宋"/>
                <w:sz w:val="21"/>
                <w:szCs w:val="21"/>
                <w:highlight w:val="none"/>
              </w:rPr>
              <w:t>管理和协调方法</w:t>
            </w:r>
            <w:r>
              <w:rPr>
                <w:rFonts w:hint="eastAsia" w:ascii="仿宋" w:hAnsi="仿宋" w:eastAsia="仿宋" w:cs="仿宋"/>
                <w:sz w:val="21"/>
                <w:szCs w:val="21"/>
                <w:highlight w:val="none"/>
                <w:lang w:eastAsia="zh-CN"/>
              </w:rPr>
              <w:t>清晰的，</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lang w:eastAsia="zh-CN"/>
              </w:rPr>
              <w:t>内部</w:t>
            </w:r>
            <w:r>
              <w:rPr>
                <w:rFonts w:hint="eastAsia" w:ascii="仿宋" w:hAnsi="仿宋" w:eastAsia="仿宋" w:cs="仿宋"/>
                <w:sz w:val="21"/>
                <w:szCs w:val="21"/>
                <w:highlight w:val="none"/>
              </w:rPr>
              <w:t>管理和协调方法</w:t>
            </w:r>
            <w:r>
              <w:rPr>
                <w:rFonts w:hint="eastAsia" w:ascii="仿宋" w:hAnsi="仿宋" w:eastAsia="仿宋" w:cs="仿宋"/>
                <w:sz w:val="21"/>
                <w:szCs w:val="21"/>
                <w:highlight w:val="none"/>
                <w:lang w:val="en-US" w:eastAsia="zh-CN"/>
              </w:rPr>
              <w:t>比较</w:t>
            </w:r>
            <w:r>
              <w:rPr>
                <w:rFonts w:hint="eastAsia" w:ascii="仿宋" w:hAnsi="仿宋" w:eastAsia="仿宋" w:cs="仿宋"/>
                <w:sz w:val="21"/>
                <w:szCs w:val="21"/>
                <w:highlight w:val="none"/>
                <w:lang w:eastAsia="zh-CN"/>
              </w:rPr>
              <w:t>清晰的，得</w:t>
            </w:r>
            <w:r>
              <w:rPr>
                <w:rFonts w:hint="eastAsia" w:ascii="仿宋" w:hAnsi="仿宋" w:eastAsia="仿宋" w:cs="仿宋"/>
                <w:sz w:val="21"/>
                <w:szCs w:val="21"/>
                <w:highlight w:val="none"/>
                <w:lang w:val="en-US" w:eastAsia="zh-CN"/>
              </w:rPr>
              <w:t>2分；</w:t>
            </w:r>
            <w:r>
              <w:rPr>
                <w:rFonts w:hint="eastAsia" w:ascii="仿宋" w:hAnsi="仿宋" w:eastAsia="仿宋" w:cs="仿宋"/>
                <w:sz w:val="21"/>
                <w:szCs w:val="21"/>
                <w:highlight w:val="none"/>
                <w:lang w:eastAsia="zh-CN"/>
              </w:rPr>
              <w:t>内部</w:t>
            </w:r>
            <w:r>
              <w:rPr>
                <w:rFonts w:hint="eastAsia" w:ascii="仿宋" w:hAnsi="仿宋" w:eastAsia="仿宋" w:cs="仿宋"/>
                <w:sz w:val="21"/>
                <w:szCs w:val="21"/>
                <w:highlight w:val="none"/>
              </w:rPr>
              <w:t>管理和协调方法</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lang w:eastAsia="zh-CN"/>
              </w:rPr>
              <w:t>清晰的，得</w:t>
            </w:r>
            <w:r>
              <w:rPr>
                <w:rFonts w:hint="eastAsia" w:ascii="仿宋" w:hAnsi="仿宋" w:eastAsia="仿宋" w:cs="仿宋"/>
                <w:sz w:val="21"/>
                <w:szCs w:val="21"/>
                <w:highlight w:val="none"/>
                <w:lang w:val="en-US" w:eastAsia="zh-CN"/>
              </w:rPr>
              <w:t>1分；</w:t>
            </w:r>
            <w:r>
              <w:rPr>
                <w:rFonts w:hint="eastAsia" w:ascii="仿宋" w:hAnsi="仿宋" w:eastAsia="仿宋" w:cs="仿宋"/>
                <w:sz w:val="21"/>
                <w:szCs w:val="21"/>
                <w:highlight w:val="none"/>
                <w:lang w:eastAsia="zh-CN"/>
              </w:rPr>
              <w:t>内部</w:t>
            </w:r>
            <w:r>
              <w:rPr>
                <w:rFonts w:hint="eastAsia" w:ascii="仿宋" w:hAnsi="仿宋" w:eastAsia="仿宋" w:cs="仿宋"/>
                <w:sz w:val="21"/>
                <w:szCs w:val="21"/>
                <w:highlight w:val="none"/>
              </w:rPr>
              <w:t>管理和协调方法</w:t>
            </w:r>
            <w:r>
              <w:rPr>
                <w:rFonts w:hint="eastAsia" w:ascii="仿宋" w:hAnsi="仿宋" w:eastAsia="仿宋" w:cs="仿宋"/>
                <w:sz w:val="21"/>
                <w:szCs w:val="21"/>
                <w:highlight w:val="none"/>
                <w:lang w:eastAsia="zh-CN"/>
              </w:rPr>
              <w:t>存在不足的，得</w:t>
            </w:r>
            <w:r>
              <w:rPr>
                <w:rFonts w:hint="eastAsia" w:ascii="仿宋" w:hAnsi="仿宋" w:eastAsia="仿宋" w:cs="仿宋"/>
                <w:sz w:val="21"/>
                <w:szCs w:val="21"/>
                <w:highlight w:val="none"/>
                <w:lang w:val="en-US" w:eastAsia="zh-CN"/>
              </w:rPr>
              <w:t>0.5分；未提供相关内容的不得分。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投标人建立的监督机制、自我约束机制、信息反馈渠道及处理机制等情况：</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三项机制完善、可行，得3分；三项机制基本完善、可行，得2分；三项机制不够完善，得1分；未提供相应内容不得分。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整体作业流程及护理服务工作计划及实施时间：整体作业流程完整、护理服务工作计划可行，得3分；整体作业流程完整，护理服务工作计划基本可行，得2分；整体作业流程基本完整、护理服务工作计划基本可行，得1分；整体作业流程或护理服务工作计划有瑕疵，得0.5分；未提供相应内容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Merge w:val="restar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923" w:type="pct"/>
            <w:gridSpan w:val="2"/>
            <w:vMerge w:val="restar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对不同</w:t>
            </w:r>
            <w:r>
              <w:rPr>
                <w:rFonts w:hint="eastAsia" w:ascii="仿宋" w:hAnsi="仿宋" w:eastAsia="仿宋" w:cs="仿宋"/>
                <w:sz w:val="21"/>
                <w:szCs w:val="21"/>
                <w:highlight w:val="none"/>
                <w:lang w:eastAsia="zh-CN"/>
              </w:rPr>
              <w:t>症状</w:t>
            </w:r>
            <w:r>
              <w:rPr>
                <w:rFonts w:hint="eastAsia" w:ascii="仿宋" w:hAnsi="仿宋" w:eastAsia="仿宋" w:cs="仿宋"/>
                <w:sz w:val="21"/>
                <w:szCs w:val="21"/>
                <w:highlight w:val="none"/>
              </w:rPr>
              <w:t>服务对象</w:t>
            </w:r>
            <w:r>
              <w:rPr>
                <w:rFonts w:hint="eastAsia" w:ascii="仿宋" w:hAnsi="仿宋" w:eastAsia="仿宋" w:cs="仿宋"/>
                <w:sz w:val="21"/>
                <w:szCs w:val="21"/>
                <w:highlight w:val="none"/>
                <w:lang w:eastAsia="zh-CN"/>
              </w:rPr>
              <w:t>提供</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护理</w:t>
            </w:r>
            <w:r>
              <w:rPr>
                <w:rFonts w:hint="eastAsia" w:ascii="仿宋" w:hAnsi="仿宋" w:eastAsia="仿宋" w:cs="仿宋"/>
                <w:sz w:val="21"/>
                <w:szCs w:val="21"/>
                <w:highlight w:val="none"/>
              </w:rPr>
              <w:t>服务的范围、服务流程</w:t>
            </w:r>
            <w:r>
              <w:rPr>
                <w:rFonts w:hint="eastAsia" w:ascii="仿宋" w:hAnsi="仿宋" w:eastAsia="仿宋" w:cs="仿宋"/>
                <w:sz w:val="21"/>
                <w:szCs w:val="21"/>
                <w:highlight w:val="none"/>
                <w:lang w:eastAsia="zh-CN"/>
              </w:rPr>
              <w:t>、保障措施情况</w:t>
            </w:r>
          </w:p>
        </w:tc>
        <w:tc>
          <w:tcPr>
            <w:tcW w:w="3335"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服务范围</w:t>
            </w:r>
            <w:r>
              <w:rPr>
                <w:rFonts w:hint="eastAsia" w:ascii="仿宋" w:hAnsi="仿宋" w:eastAsia="仿宋" w:cs="仿宋"/>
                <w:sz w:val="21"/>
                <w:szCs w:val="21"/>
                <w:highlight w:val="none"/>
                <w:lang w:eastAsia="zh-CN"/>
              </w:rPr>
              <w:t>全面</w:t>
            </w:r>
            <w:r>
              <w:rPr>
                <w:rFonts w:hint="eastAsia" w:ascii="仿宋" w:hAnsi="仿宋" w:eastAsia="仿宋" w:cs="仿宋"/>
                <w:sz w:val="21"/>
                <w:szCs w:val="21"/>
                <w:highlight w:val="none"/>
              </w:rPr>
              <w:t>、服务流程</w:t>
            </w:r>
            <w:r>
              <w:rPr>
                <w:rFonts w:hint="eastAsia" w:ascii="仿宋" w:hAnsi="仿宋" w:eastAsia="仿宋" w:cs="仿宋"/>
                <w:sz w:val="21"/>
                <w:szCs w:val="21"/>
                <w:highlight w:val="none"/>
                <w:lang w:eastAsia="zh-CN"/>
              </w:rPr>
              <w:t>规范，</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rPr>
              <w:t>服务范围</w:t>
            </w:r>
            <w:r>
              <w:rPr>
                <w:rFonts w:hint="eastAsia" w:ascii="仿宋" w:hAnsi="仿宋" w:eastAsia="仿宋" w:cs="仿宋"/>
                <w:sz w:val="21"/>
                <w:szCs w:val="21"/>
                <w:highlight w:val="none"/>
                <w:lang w:eastAsia="zh-CN"/>
              </w:rPr>
              <w:t>全面</w:t>
            </w:r>
            <w:r>
              <w:rPr>
                <w:rFonts w:hint="eastAsia" w:ascii="仿宋" w:hAnsi="仿宋" w:eastAsia="仿宋" w:cs="仿宋"/>
                <w:sz w:val="21"/>
                <w:szCs w:val="21"/>
                <w:highlight w:val="none"/>
              </w:rPr>
              <w:t>、服务流程</w:t>
            </w:r>
            <w:r>
              <w:rPr>
                <w:rFonts w:hint="eastAsia" w:ascii="仿宋" w:hAnsi="仿宋" w:eastAsia="仿宋" w:cs="仿宋"/>
                <w:sz w:val="21"/>
                <w:szCs w:val="21"/>
                <w:highlight w:val="none"/>
                <w:lang w:eastAsia="zh-CN"/>
              </w:rPr>
              <w:t>基本规范，</w:t>
            </w:r>
            <w:r>
              <w:rPr>
                <w:rFonts w:hint="eastAsia" w:ascii="仿宋" w:hAnsi="仿宋" w:eastAsia="仿宋" w:cs="仿宋"/>
                <w:sz w:val="21"/>
                <w:szCs w:val="21"/>
                <w:highlight w:val="none"/>
                <w:lang w:val="en-US" w:eastAsia="zh-CN"/>
              </w:rPr>
              <w:t>得2分；</w:t>
            </w:r>
            <w:r>
              <w:rPr>
                <w:rFonts w:hint="eastAsia" w:ascii="仿宋" w:hAnsi="仿宋" w:eastAsia="仿宋" w:cs="仿宋"/>
                <w:sz w:val="21"/>
                <w:szCs w:val="21"/>
                <w:highlight w:val="none"/>
              </w:rPr>
              <w:t>服务范围、服务流程</w:t>
            </w:r>
            <w:r>
              <w:rPr>
                <w:rFonts w:hint="eastAsia" w:ascii="仿宋" w:hAnsi="仿宋" w:eastAsia="仿宋" w:cs="仿宋"/>
                <w:sz w:val="21"/>
                <w:szCs w:val="21"/>
                <w:highlight w:val="none"/>
                <w:lang w:val="en-US" w:eastAsia="zh-CN"/>
              </w:rPr>
              <w:t xml:space="preserve">存在不足的，得1分；未提供相应内容不得分。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Merge w:val="continue"/>
            <w:vAlign w:val="center"/>
          </w:tcPr>
          <w:p>
            <w:pPr>
              <w:rPr>
                <w:rFonts w:hint="eastAsia" w:ascii="仿宋" w:hAnsi="仿宋" w:eastAsia="仿宋" w:cs="仿宋"/>
                <w:sz w:val="21"/>
                <w:szCs w:val="21"/>
                <w:highlight w:val="none"/>
                <w:lang w:val="en-US" w:eastAsia="zh-CN"/>
              </w:rPr>
            </w:pPr>
          </w:p>
        </w:tc>
        <w:tc>
          <w:tcPr>
            <w:tcW w:w="923" w:type="pct"/>
            <w:gridSpan w:val="2"/>
            <w:vMerge w:val="continue"/>
            <w:vAlign w:val="center"/>
          </w:tcPr>
          <w:p>
            <w:pPr>
              <w:rPr>
                <w:rFonts w:hint="eastAsia" w:ascii="仿宋" w:hAnsi="仿宋" w:eastAsia="仿宋" w:cs="仿宋"/>
                <w:sz w:val="21"/>
                <w:szCs w:val="21"/>
                <w:highlight w:val="none"/>
                <w:lang w:val="en-US" w:eastAsia="zh-CN"/>
              </w:rPr>
            </w:pPr>
          </w:p>
        </w:tc>
        <w:tc>
          <w:tcPr>
            <w:tcW w:w="3335"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保障措施到位，</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lang w:eastAsia="zh-CN"/>
              </w:rPr>
              <w:t>保障措施基本到位，</w:t>
            </w:r>
            <w:r>
              <w:rPr>
                <w:rFonts w:hint="eastAsia" w:ascii="仿宋" w:hAnsi="仿宋" w:eastAsia="仿宋" w:cs="仿宋"/>
                <w:sz w:val="21"/>
                <w:szCs w:val="21"/>
                <w:highlight w:val="none"/>
                <w:lang w:val="en-US" w:eastAsia="zh-CN"/>
              </w:rPr>
              <w:t>得2分；</w:t>
            </w:r>
            <w:r>
              <w:rPr>
                <w:rFonts w:hint="eastAsia" w:ascii="仿宋" w:hAnsi="仿宋" w:eastAsia="仿宋" w:cs="仿宋"/>
                <w:sz w:val="21"/>
                <w:szCs w:val="21"/>
                <w:highlight w:val="none"/>
                <w:lang w:eastAsia="zh-CN"/>
              </w:rPr>
              <w:t>保障措施</w:t>
            </w:r>
            <w:r>
              <w:rPr>
                <w:rFonts w:hint="eastAsia" w:ascii="仿宋" w:hAnsi="仿宋" w:eastAsia="仿宋" w:cs="仿宋"/>
                <w:sz w:val="21"/>
                <w:szCs w:val="21"/>
                <w:highlight w:val="none"/>
                <w:lang w:val="en-US" w:eastAsia="zh-CN"/>
              </w:rPr>
              <w:t xml:space="preserve">存在不足的，得1分；未提供相应内容不得分。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护理服务区域的环境卫生管理方案：</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环境卫生管理方案完善详细的，得4分；环境卫生管理有一定的针对性，得3分；环境卫生管理基本完善，得2分；环境卫生管理有瑕疵，得1分；未提供相应内容不得分。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投标人制定的档案管理制度、服务对象护理服务制度、护理人员的考评制度等情况：</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各项制度完善具有可执行性，得4分；各项制度基本完善具有可执行性，得2分；各项制度基本完善具有一定的可执行性，得1分；未提供相应内容不得分。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投标人对</w:t>
            </w: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包括意外伤害事件、服务对象走失等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制定的</w:t>
            </w:r>
            <w:r>
              <w:rPr>
                <w:rFonts w:hint="eastAsia" w:ascii="仿宋" w:hAnsi="仿宋" w:eastAsia="仿宋" w:cs="仿宋"/>
                <w:sz w:val="21"/>
                <w:szCs w:val="21"/>
                <w:highlight w:val="none"/>
                <w:lang w:eastAsia="zh-CN"/>
              </w:rPr>
              <w:t>应急预案及相应的解决措施</w:t>
            </w:r>
            <w:r>
              <w:rPr>
                <w:rFonts w:hint="eastAsia" w:ascii="仿宋" w:hAnsi="仿宋" w:eastAsia="仿宋" w:cs="仿宋"/>
                <w:sz w:val="21"/>
                <w:szCs w:val="21"/>
                <w:highlight w:val="none"/>
                <w:lang w:val="en-US" w:eastAsia="zh-CN"/>
              </w:rPr>
              <w:t>情况</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应急预案完善、解决措施具有较强针对性，得</w:t>
            </w:r>
            <w:r>
              <w:rPr>
                <w:rFonts w:hint="eastAsia" w:ascii="仿宋" w:hAnsi="仿宋" w:eastAsia="仿宋" w:cs="仿宋"/>
                <w:sz w:val="21"/>
                <w:szCs w:val="21"/>
                <w:highlight w:val="none"/>
                <w:lang w:val="en-US" w:eastAsia="zh-CN"/>
              </w:rPr>
              <w:t>5分；</w:t>
            </w: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应急预案详细、解决措施具有针对性，得</w:t>
            </w:r>
            <w:r>
              <w:rPr>
                <w:rFonts w:hint="eastAsia" w:ascii="仿宋" w:hAnsi="仿宋" w:eastAsia="仿宋" w:cs="仿宋"/>
                <w:sz w:val="21"/>
                <w:szCs w:val="21"/>
                <w:highlight w:val="none"/>
                <w:lang w:val="en-US" w:eastAsia="zh-CN"/>
              </w:rPr>
              <w:t>4分；</w:t>
            </w: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应急预案基本完善、解决措施具有一定的针对性，得</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应急预案有瑕疵、解决措施一般，得</w:t>
            </w:r>
            <w:r>
              <w:rPr>
                <w:rFonts w:hint="eastAsia" w:ascii="仿宋" w:hAnsi="仿宋" w:eastAsia="仿宋" w:cs="仿宋"/>
                <w:sz w:val="21"/>
                <w:szCs w:val="21"/>
                <w:highlight w:val="none"/>
                <w:lang w:val="en-US" w:eastAsia="zh-CN"/>
              </w:rPr>
              <w:t>2分；</w:t>
            </w:r>
            <w:r>
              <w:rPr>
                <w:rFonts w:hint="eastAsia" w:ascii="仿宋" w:hAnsi="仿宋" w:eastAsia="仿宋" w:cs="仿宋"/>
                <w:sz w:val="21"/>
                <w:szCs w:val="21"/>
                <w:highlight w:val="none"/>
              </w:rPr>
              <w:t>突发事故</w:t>
            </w:r>
            <w:r>
              <w:rPr>
                <w:rFonts w:hint="eastAsia" w:ascii="仿宋" w:hAnsi="仿宋" w:eastAsia="仿宋" w:cs="仿宋"/>
                <w:sz w:val="21"/>
                <w:szCs w:val="21"/>
                <w:highlight w:val="none"/>
                <w:lang w:eastAsia="zh-CN"/>
              </w:rPr>
              <w:t>应急预案有瑕疵、解决措施</w:t>
            </w:r>
            <w:r>
              <w:rPr>
                <w:rFonts w:hint="eastAsia" w:ascii="仿宋" w:hAnsi="仿宋" w:eastAsia="仿宋" w:cs="仿宋"/>
                <w:sz w:val="21"/>
                <w:szCs w:val="21"/>
                <w:highlight w:val="none"/>
                <w:lang w:val="en-US" w:eastAsia="zh-CN"/>
              </w:rPr>
              <w:t>针对性不强</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应急</w:t>
            </w:r>
            <w:r>
              <w:rPr>
                <w:rFonts w:hint="eastAsia" w:ascii="仿宋" w:hAnsi="仿宋" w:eastAsia="仿宋" w:cs="仿宋"/>
                <w:sz w:val="21"/>
                <w:szCs w:val="21"/>
                <w:highlight w:val="none"/>
              </w:rPr>
              <w:t>人员</w:t>
            </w:r>
            <w:r>
              <w:rPr>
                <w:rFonts w:hint="eastAsia" w:ascii="仿宋" w:hAnsi="仿宋" w:eastAsia="仿宋" w:cs="仿宋"/>
                <w:sz w:val="21"/>
                <w:szCs w:val="21"/>
                <w:highlight w:val="none"/>
                <w:lang w:eastAsia="zh-CN"/>
              </w:rPr>
              <w:t>配备</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岗位安排分配</w:t>
            </w:r>
            <w:r>
              <w:rPr>
                <w:rFonts w:hint="eastAsia" w:ascii="仿宋" w:hAnsi="仿宋" w:eastAsia="仿宋" w:cs="仿宋"/>
                <w:sz w:val="21"/>
                <w:szCs w:val="21"/>
                <w:highlight w:val="none"/>
                <w:lang w:val="en-US" w:eastAsia="zh-CN"/>
              </w:rPr>
              <w:t>情况</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应急人员配备及岗位安排合理，得3分；应急人员配备及岗位安排基本合理，得2分；应急人员配备及岗位安排不够明确，得1分；未提供相应内容不得分。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护理工作出现服务质量事故的解决方案和补救措施等情况：</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解决方案详细合理、补救措施具有针对性，得5分；解决方案合理、补救措施具有一定的针对性，得4分；解决方案基本合理、补救措施具有一定的针对性，得3分；解决方案基本合理、补救措施针对性不强，得2分；解决方案有瑕疵，得1分；未提供相应内容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Merge w:val="restar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w:t>
            </w:r>
          </w:p>
        </w:tc>
        <w:tc>
          <w:tcPr>
            <w:tcW w:w="662" w:type="pct"/>
            <w:vMerge w:val="restart"/>
            <w:vAlign w:val="center"/>
          </w:tcPr>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服务团队的专业配置、数量等情况</w:t>
            </w:r>
          </w:p>
        </w:tc>
        <w:tc>
          <w:tcPr>
            <w:tcW w:w="3596" w:type="pct"/>
            <w:gridSpan w:val="2"/>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岗位配置齐全且满足采购需求，得2分，否则不得分；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Merge w:val="continue"/>
            <w:vAlign w:val="center"/>
          </w:tcPr>
          <w:p>
            <w:pPr>
              <w:rPr>
                <w:rFonts w:hint="eastAsia" w:ascii="仿宋" w:hAnsi="仿宋" w:eastAsia="仿宋" w:cs="仿宋"/>
                <w:sz w:val="21"/>
                <w:szCs w:val="21"/>
                <w:highlight w:val="none"/>
                <w:lang w:val="en-US" w:eastAsia="zh-CN"/>
              </w:rPr>
            </w:pPr>
          </w:p>
        </w:tc>
        <w:tc>
          <w:tcPr>
            <w:tcW w:w="662" w:type="pct"/>
            <w:vMerge w:val="continue"/>
            <w:vAlign w:val="center"/>
          </w:tcPr>
          <w:p>
            <w:pPr>
              <w:rPr>
                <w:rFonts w:hint="eastAsia" w:ascii="仿宋" w:hAnsi="仿宋" w:eastAsia="仿宋" w:cs="仿宋"/>
                <w:sz w:val="21"/>
                <w:szCs w:val="21"/>
                <w:highlight w:val="none"/>
                <w:lang w:val="en-US" w:eastAsia="zh-CN"/>
              </w:rPr>
            </w:pPr>
          </w:p>
        </w:tc>
        <w:tc>
          <w:tcPr>
            <w:tcW w:w="3596" w:type="pct"/>
            <w:gridSpan w:val="2"/>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服务团队配比数量满足采购需求，得1分，否则不得分。</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项目团队中，持有</w:t>
            </w:r>
            <w:r>
              <w:rPr>
                <w:rFonts w:hint="eastAsia" w:ascii="仿宋" w:hAnsi="仿宋" w:eastAsia="仿宋" w:cs="仿宋"/>
                <w:sz w:val="21"/>
                <w:szCs w:val="21"/>
                <w:highlight w:val="none"/>
              </w:rPr>
              <w:t>人力资源和社会保障局颁发的养老护理员证件</w:t>
            </w:r>
            <w:r>
              <w:rPr>
                <w:rFonts w:hint="eastAsia" w:ascii="仿宋" w:hAnsi="仿宋" w:eastAsia="仿宋" w:cs="仿宋"/>
                <w:sz w:val="21"/>
                <w:szCs w:val="21"/>
                <w:highlight w:val="none"/>
                <w:lang w:eastAsia="zh-CN"/>
              </w:rPr>
              <w:t>的有</w:t>
            </w:r>
            <w:r>
              <w:rPr>
                <w:rFonts w:hint="eastAsia" w:ascii="仿宋" w:hAnsi="仿宋" w:eastAsia="仿宋" w:cs="仿宋"/>
                <w:sz w:val="21"/>
                <w:szCs w:val="21"/>
                <w:highlight w:val="none"/>
                <w:lang w:val="en-US" w:eastAsia="zh-CN"/>
              </w:rPr>
              <w:t>30人（含）至50人的，得2分；</w:t>
            </w:r>
            <w:r>
              <w:rPr>
                <w:rFonts w:hint="eastAsia" w:ascii="仿宋" w:hAnsi="仿宋" w:eastAsia="仿宋" w:cs="仿宋"/>
                <w:sz w:val="21"/>
                <w:szCs w:val="21"/>
                <w:highlight w:val="none"/>
              </w:rPr>
              <w:t>50人（不含）至</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0人的，得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分；持证护理人员人数80人（含）以上的，得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提供养老护理员证件复制件（加盖公章），人员与证件复制件须一一对应，只提供人员名单而无证件复印件时不予认可。</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项目团队中，持有手语证的，得0.5分/人，最高得5分。</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提供手语能力方面的证书复制件，人员与证件复制件须一一对应，只提供人员名单而无证件复制件时不予认可</w:t>
            </w:r>
            <w:r>
              <w:rPr>
                <w:rFonts w:hint="eastAsia" w:ascii="仿宋" w:hAnsi="仿宋" w:eastAsia="仿宋" w:cs="仿宋"/>
                <w:sz w:val="21"/>
                <w:szCs w:val="21"/>
                <w:highlight w:val="none"/>
                <w:lang w:val="en-US" w:eastAsia="zh-CN"/>
              </w:rPr>
              <w:t xml:space="preserve">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对护理人员的培训方案情况：</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培训方案合理，具有较强针对性，得3分；培训方案基本合理，针对性一般，得2分；培训方案有瑕疵，针对性不强，得1分；未提供相应内容或培训方案无针对性不得分。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保证服务团队稳定的激励措施情况：</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措施完善、具有可操作性，得</w:t>
            </w:r>
            <w:r>
              <w:rPr>
                <w:rFonts w:hint="eastAsia" w:ascii="仿宋" w:hAnsi="仿宋" w:eastAsia="仿宋" w:cs="仿宋"/>
                <w:sz w:val="21"/>
                <w:szCs w:val="21"/>
                <w:highlight w:val="none"/>
                <w:lang w:val="en-US" w:eastAsia="zh-CN"/>
              </w:rPr>
              <w:t>4分；</w:t>
            </w:r>
            <w:r>
              <w:rPr>
                <w:rFonts w:hint="eastAsia" w:ascii="仿宋" w:hAnsi="仿宋" w:eastAsia="仿宋" w:cs="仿宋"/>
                <w:sz w:val="21"/>
                <w:szCs w:val="21"/>
                <w:highlight w:val="none"/>
                <w:lang w:eastAsia="zh-CN"/>
              </w:rPr>
              <w:t>措施完善、具有一定的可操作性，得</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lang w:eastAsia="zh-CN"/>
              </w:rPr>
              <w:t>措施基本完善、具有一定的可操作性，得</w:t>
            </w:r>
            <w:r>
              <w:rPr>
                <w:rFonts w:hint="eastAsia" w:ascii="仿宋" w:hAnsi="仿宋" w:eastAsia="仿宋" w:cs="仿宋"/>
                <w:sz w:val="21"/>
                <w:szCs w:val="21"/>
                <w:highlight w:val="none"/>
                <w:lang w:val="en-US" w:eastAsia="zh-CN"/>
              </w:rPr>
              <w:t>2分；</w:t>
            </w:r>
            <w:r>
              <w:rPr>
                <w:rFonts w:hint="eastAsia" w:ascii="仿宋" w:hAnsi="仿宋" w:eastAsia="仿宋" w:cs="仿宋"/>
                <w:sz w:val="21"/>
                <w:szCs w:val="21"/>
                <w:highlight w:val="none"/>
                <w:lang w:eastAsia="zh-CN"/>
              </w:rPr>
              <w:t>措施不够完善，得</w:t>
            </w:r>
            <w:r>
              <w:rPr>
                <w:rFonts w:hint="eastAsia" w:ascii="仿宋" w:hAnsi="仿宋" w:eastAsia="仿宋" w:cs="仿宋"/>
                <w:sz w:val="21"/>
                <w:szCs w:val="21"/>
                <w:highlight w:val="none"/>
                <w:lang w:val="en-US" w:eastAsia="zh-CN"/>
              </w:rPr>
              <w:t xml:space="preserve">1分；未提供相应内容不得分。 </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二</w:t>
            </w:r>
          </w:p>
        </w:tc>
        <w:tc>
          <w:tcPr>
            <w:tcW w:w="4259" w:type="pct"/>
            <w:gridSpan w:val="3"/>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报价得分（10分）</w:t>
            </w:r>
          </w:p>
        </w:tc>
        <w:tc>
          <w:tcPr>
            <w:tcW w:w="391" w:type="pct"/>
            <w:vAlign w:val="center"/>
          </w:tcPr>
          <w:p>
            <w:pPr>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9" w:type="pct"/>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w:t>
            </w:r>
          </w:p>
        </w:tc>
        <w:tc>
          <w:tcPr>
            <w:tcW w:w="4259" w:type="pct"/>
            <w:gridSpan w:val="3"/>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有效投标报价的最低价作为评标基准价，其最低报价为满分；按［投标报价得分=（评标基准价/投标报价）</w:t>
            </w:r>
            <w:r>
              <w:rPr>
                <w:rFonts w:hint="eastAsia" w:ascii="仿宋" w:hAnsi="仿宋" w:eastAsia="仿宋" w:cs="仿宋"/>
                <w:sz w:val="21"/>
                <w:szCs w:val="21"/>
                <w:highlight w:val="none"/>
                <w:lang w:val="en-US" w:eastAsia="zh-CN"/>
              </w:rPr>
              <w:t>×10%×100</w:t>
            </w:r>
            <w:r>
              <w:rPr>
                <w:rFonts w:hint="eastAsia" w:ascii="仿宋" w:hAnsi="仿宋" w:eastAsia="仿宋" w:cs="仿宋"/>
                <w:sz w:val="21"/>
                <w:szCs w:val="21"/>
                <w:highlight w:val="none"/>
              </w:rPr>
              <w:t>］的计算公式计算。</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评标过程中，不得去掉报价中的最高报价和最低报价。</w:t>
            </w:r>
          </w:p>
          <w:p>
            <w:pPr>
              <w:rPr>
                <w:rFonts w:hint="eastAsia" w:ascii="仿宋" w:hAnsi="仿宋" w:eastAsia="仿宋" w:cs="仿宋"/>
                <w:sz w:val="21"/>
                <w:szCs w:val="21"/>
                <w:highlight w:val="none"/>
                <w:lang w:val="en-US"/>
              </w:rPr>
            </w:pPr>
            <w:r>
              <w:rPr>
                <w:rFonts w:hint="eastAsia" w:ascii="仿宋" w:hAnsi="仿宋" w:eastAsia="仿宋" w:cs="仿宋"/>
                <w:sz w:val="21"/>
                <w:szCs w:val="21"/>
                <w:highlight w:val="none"/>
              </w:rPr>
              <w:t>因落实政府采购政策需要进行价格调整的，以调整后的价格计算评标基准价和投标报价。</w:t>
            </w:r>
            <w:r>
              <w:rPr>
                <w:rFonts w:hint="eastAsia" w:ascii="仿宋" w:hAnsi="仿宋" w:eastAsia="仿宋" w:cs="仿宋"/>
                <w:sz w:val="21"/>
                <w:szCs w:val="21"/>
                <w:highlight w:val="none"/>
                <w:lang w:eastAsia="zh-CN"/>
              </w:rPr>
              <w:t>（本项目不适用）</w:t>
            </w:r>
          </w:p>
        </w:tc>
        <w:tc>
          <w:tcPr>
            <w:tcW w:w="391" w:type="pct"/>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r>
    </w:tbl>
    <w:p>
      <w:pPr>
        <w:snapToGrid w:val="0"/>
        <w:spacing w:line="360" w:lineRule="auto"/>
        <w:rPr>
          <w:rFonts w:ascii="仿宋" w:hAnsi="仿宋" w:eastAsia="仿宋" w:cs="仿宋_GB2312"/>
          <w:b/>
          <w:color w:val="auto"/>
          <w:sz w:val="24"/>
          <w:highlight w:val="none"/>
        </w:rPr>
      </w:pPr>
      <w:r>
        <w:rPr>
          <w:rFonts w:hint="eastAsia" w:ascii="仿宋_GB2312" w:hAnsi="仿宋" w:eastAsia="仿宋_GB2312" w:cs="仿宋_GB2312"/>
          <w:b/>
          <w:color w:val="auto"/>
          <w:sz w:val="32"/>
          <w:highlight w:val="none"/>
        </w:rPr>
        <w:br w:type="page"/>
      </w:r>
    </w:p>
    <w:p>
      <w:pPr>
        <w:pStyle w:val="5"/>
        <w:snapToGrid w:val="0"/>
        <w:spacing w:before="120" w:beforeLines="50" w:after="120" w:afterLines="50" w:line="360" w:lineRule="auto"/>
        <w:rPr>
          <w:rFonts w:ascii="仿宋" w:hAnsi="仿宋" w:eastAsia="仿宋" w:cs="仿宋"/>
          <w:color w:val="auto"/>
          <w:sz w:val="24"/>
          <w:szCs w:val="24"/>
          <w:highlight w:val="none"/>
        </w:rPr>
      </w:pPr>
      <w:bookmarkStart w:id="28" w:name="_Toc9192"/>
      <w:bookmarkStart w:id="29" w:name="_Toc17821"/>
      <w:r>
        <w:rPr>
          <w:rFonts w:hint="eastAsia" w:ascii="仿宋" w:hAnsi="仿宋" w:eastAsia="仿宋" w:cs="仿宋"/>
          <w:color w:val="auto"/>
          <w:sz w:val="24"/>
          <w:szCs w:val="24"/>
          <w:highlight w:val="none"/>
        </w:rPr>
        <w:t>一、评标方法</w:t>
      </w:r>
      <w:bookmarkEnd w:id="28"/>
      <w:bookmarkEnd w:id="29"/>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pStyle w:val="5"/>
        <w:snapToGrid w:val="0"/>
        <w:spacing w:before="120" w:beforeLines="50" w:after="120" w:afterLines="50" w:line="360" w:lineRule="auto"/>
        <w:rPr>
          <w:rFonts w:ascii="仿宋" w:hAnsi="仿宋" w:eastAsia="仿宋" w:cs="仿宋"/>
          <w:color w:val="auto"/>
          <w:sz w:val="24"/>
          <w:szCs w:val="24"/>
          <w:highlight w:val="none"/>
        </w:rPr>
      </w:pPr>
      <w:bookmarkStart w:id="30" w:name="_Toc10819"/>
      <w:bookmarkStart w:id="31" w:name="_Toc5618"/>
      <w:r>
        <w:rPr>
          <w:rFonts w:hint="eastAsia" w:ascii="仿宋" w:hAnsi="仿宋" w:eastAsia="仿宋" w:cs="仿宋"/>
          <w:color w:val="auto"/>
          <w:sz w:val="24"/>
          <w:szCs w:val="24"/>
          <w:highlight w:val="none"/>
        </w:rPr>
        <w:t>二、评标标准</w:t>
      </w:r>
      <w:bookmarkEnd w:id="30"/>
      <w:bookmarkEnd w:id="31"/>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pStyle w:val="5"/>
        <w:snapToGrid w:val="0"/>
        <w:spacing w:before="120" w:beforeLines="50" w:after="120" w:afterLines="50" w:line="360" w:lineRule="auto"/>
        <w:rPr>
          <w:rFonts w:ascii="仿宋" w:hAnsi="仿宋" w:eastAsia="仿宋" w:cs="仿宋"/>
          <w:color w:val="auto"/>
          <w:sz w:val="24"/>
          <w:szCs w:val="24"/>
          <w:highlight w:val="none"/>
        </w:rPr>
      </w:pPr>
      <w:bookmarkStart w:id="32" w:name="_Toc2541"/>
      <w:bookmarkStart w:id="33" w:name="_Toc7191"/>
      <w:r>
        <w:rPr>
          <w:rFonts w:hint="eastAsia" w:ascii="仿宋" w:hAnsi="仿宋" w:eastAsia="仿宋" w:cs="仿宋"/>
          <w:color w:val="auto"/>
          <w:sz w:val="24"/>
          <w:szCs w:val="24"/>
          <w:highlight w:val="none"/>
        </w:rPr>
        <w:t>三、评标程序</w:t>
      </w:r>
      <w:bookmarkEnd w:id="32"/>
      <w:bookmarkEnd w:id="33"/>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27"/>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2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snapToGrid w:val="0"/>
        <w:spacing w:before="120" w:beforeLines="50" w:after="120" w:afterLines="50" w:line="360" w:lineRule="auto"/>
        <w:rPr>
          <w:rFonts w:ascii="仿宋" w:hAnsi="仿宋" w:eastAsia="仿宋" w:cs="仿宋"/>
          <w:color w:val="auto"/>
          <w:sz w:val="24"/>
          <w:szCs w:val="24"/>
          <w:highlight w:val="none"/>
        </w:rPr>
      </w:pPr>
      <w:bookmarkStart w:id="34" w:name="_Toc20079"/>
      <w:bookmarkStart w:id="35" w:name="_Toc16744"/>
      <w:r>
        <w:rPr>
          <w:rFonts w:hint="eastAsia" w:ascii="仿宋" w:hAnsi="仿宋" w:eastAsia="仿宋" w:cs="仿宋"/>
          <w:color w:val="auto"/>
          <w:sz w:val="24"/>
          <w:szCs w:val="24"/>
          <w:highlight w:val="none"/>
        </w:rPr>
        <w:t>四、评标中的其他事项</w:t>
      </w:r>
      <w:bookmarkEnd w:id="34"/>
      <w:bookmarkEnd w:id="35"/>
    </w:p>
    <w:p>
      <w:pPr>
        <w:pStyle w:val="27"/>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ind w:left="954" w:leftChars="226" w:hanging="479"/>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4.2.2投标文件未按照招标文件要求签署、盖章的；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color w:val="auto"/>
          <w:kern w:val="0"/>
          <w:sz w:val="24"/>
          <w:highlight w:val="none"/>
        </w:rPr>
        <w:t>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4.2.4投标文件含有采购人不能接受的附加条件的；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 xml:space="preserve">  </w:t>
      </w:r>
      <w:r>
        <w:rPr>
          <w:rFonts w:hint="eastAsia" w:ascii="仿宋_GB2312" w:hAnsi="仿宋" w:eastAsia="仿宋_GB2312" w:cs="Arial"/>
          <w:b/>
          <w:bCs/>
          <w:color w:val="auto"/>
          <w:kern w:val="0"/>
          <w:sz w:val="24"/>
          <w:highlight w:val="none"/>
        </w:rPr>
        <w:t xml:space="preserve"> </w:t>
      </w:r>
      <w:r>
        <w:rPr>
          <w:rFonts w:ascii="仿宋_GB2312" w:hAnsi="仿宋" w:eastAsia="仿宋_GB2312" w:cs="Arial"/>
          <w:b/>
          <w:bCs/>
          <w:color w:val="auto"/>
          <w:kern w:val="0"/>
          <w:sz w:val="24"/>
          <w:highlight w:val="none"/>
        </w:rPr>
        <w:t>4.2.6投标文件出现不是唯一的、有选择性投标报价的;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4.2.7投标报价超过招标文件中规定的预算金额或者最高限价的;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4.2.9投标人对根据修正原则修正后的报价不确认的；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4.2.10投标人提供虚假材料投标的；</w:t>
      </w:r>
    </w:p>
    <w:p>
      <w:pPr>
        <w:spacing w:line="360" w:lineRule="auto"/>
        <w:ind w:firstLine="241" w:firstLineChars="1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4.2.12投标人仅提交备份投标文件，没有在电子交易平台传输递交投标文件的，投标无效；</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 xml:space="preserve">4.2.13 </w:t>
      </w:r>
      <w:r>
        <w:rPr>
          <w:rFonts w:hint="eastAsia" w:ascii="仿宋_GB2312" w:hAnsi="仿宋" w:eastAsia="仿宋_GB2312" w:cs="Arial"/>
          <w:b/>
          <w:bCs/>
          <w:color w:val="auto"/>
          <w:kern w:val="0"/>
          <w:sz w:val="24"/>
          <w:highlight w:val="none"/>
        </w:rPr>
        <w:t>投标文件不满足招标文件的其它实质性要求的；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4.2.14法律、法规、规章（适用本市的）及省级以上规范性文件（适用本市的）规定的其他无效情形。</w:t>
      </w:r>
    </w:p>
    <w:p>
      <w:pPr>
        <w:pStyle w:val="9"/>
        <w:snapToGrid w:val="0"/>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9"/>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9"/>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9"/>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9"/>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9"/>
        <w:snapToGrid w:val="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9"/>
        <w:snapToGrid w:val="0"/>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9"/>
        <w:snapToGrid w:val="0"/>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9"/>
        <w:snapToGrid w:val="0"/>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snapToGrid w:val="0"/>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9"/>
        <w:snapToGrid w:val="0"/>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9"/>
        <w:snapToGrid w:val="0"/>
        <w:rPr>
          <w:rFonts w:ascii="仿宋_GB2312" w:hAnsi="仿宋" w:eastAsia="仿宋_GB2312" w:cs="仿宋_GB2312"/>
          <w:color w:val="auto"/>
          <w:highlight w:val="none"/>
        </w:rPr>
      </w:pPr>
      <w:bookmarkStart w:id="36" w:name="_Toc25437"/>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36"/>
      <w:r>
        <w:rPr>
          <w:rFonts w:hint="eastAsia" w:ascii="仿宋_GB2312" w:hAnsi="仿宋" w:eastAsia="仿宋_GB2312" w:cs="仿宋_GB2312"/>
          <w:color w:val="auto"/>
          <w:highlight w:val="none"/>
        </w:rPr>
        <w:t>。</w:t>
      </w:r>
    </w:p>
    <w:p>
      <w:pPr>
        <w:rPr>
          <w:color w:val="auto"/>
          <w:highlight w:val="none"/>
        </w:rPr>
      </w:pPr>
    </w:p>
    <w:p>
      <w:pPr>
        <w:rPr>
          <w:rFonts w:hint="eastAsia" w:cs="Times New Roman"/>
          <w:color w:val="auto"/>
          <w:highlight w:val="none"/>
        </w:rPr>
      </w:pPr>
    </w:p>
    <w:p>
      <w:pPr>
        <w:rPr>
          <w:rFonts w:hint="eastAsia" w:cs="Times New Roman"/>
          <w:color w:val="auto"/>
          <w:highlight w:val="none"/>
        </w:rPr>
      </w:pPr>
    </w:p>
    <w:p>
      <w:pPr>
        <w:rPr>
          <w:rFonts w:hint="eastAsia" w:cs="Times New Roman"/>
          <w:color w:val="auto"/>
          <w:highlight w:val="none"/>
        </w:rPr>
      </w:pPr>
      <w:r>
        <w:rPr>
          <w:rFonts w:hint="eastAsia" w:cs="Times New Roman"/>
          <w:color w:val="auto"/>
          <w:highlight w:val="none"/>
        </w:rPr>
        <w:br w:type="page"/>
      </w:r>
    </w:p>
    <w:p>
      <w:pPr>
        <w:pStyle w:val="2"/>
        <w:rPr>
          <w:rFonts w:hint="eastAsia"/>
          <w:highlight w:val="none"/>
        </w:rPr>
      </w:pPr>
    </w:p>
    <w:p>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bookmarkStart w:id="37" w:name="_Toc4775"/>
      <w:r>
        <w:rPr>
          <w:rFonts w:hint="eastAsia" w:ascii="仿宋" w:hAnsi="仿宋" w:eastAsia="仿宋" w:cs="仿宋"/>
          <w:b/>
          <w:color w:val="auto"/>
          <w:sz w:val="30"/>
          <w:szCs w:val="30"/>
          <w:highlight w:val="none"/>
        </w:rPr>
        <w:t>第五部分  合同条款</w:t>
      </w:r>
      <w:bookmarkEnd w:id="26"/>
      <w:bookmarkEnd w:id="27"/>
      <w:bookmarkEnd w:id="37"/>
    </w:p>
    <w:p>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20" w:firstLineChars="200"/>
        <w:jc w:val="left"/>
        <w:textAlignment w:val="auto"/>
        <w:rPr>
          <w:rFonts w:ascii="仿宋" w:hAnsi="仿宋" w:eastAsia="仿宋" w:cs="仿宋"/>
          <w:color w:val="auto"/>
          <w:spacing w:val="-6"/>
          <w:highlight w:val="none"/>
        </w:rPr>
      </w:pPr>
      <w:bookmarkStart w:id="38" w:name="_Hlk534720381"/>
      <w:bookmarkStart w:id="39" w:name="_Toc251566661"/>
      <w:bookmarkStart w:id="40" w:name="_Toc249760790"/>
      <w:r>
        <w:rPr>
          <w:rFonts w:hint="eastAsia" w:ascii="仿宋" w:hAnsi="仿宋" w:eastAsia="仿宋" w:cs="仿宋"/>
          <w:bCs/>
          <w:snapToGrid w:val="0"/>
          <w:color w:val="auto"/>
          <w:szCs w:val="24"/>
          <w:highlight w:val="none"/>
        </w:rPr>
        <w:t>合同将由</w:t>
      </w:r>
      <w:r>
        <w:rPr>
          <w:rFonts w:hint="eastAsia" w:ascii="仿宋" w:hAnsi="仿宋" w:eastAsia="仿宋" w:cs="仿宋"/>
          <w:color w:val="auto"/>
          <w:kern w:val="0"/>
          <w:highlight w:val="none"/>
          <w:u w:val="single"/>
        </w:rPr>
        <w:t>杭州市第一社会福利院（杭州市精神病人社会福利院）</w:t>
      </w:r>
      <w:r>
        <w:rPr>
          <w:rFonts w:hint="eastAsia" w:ascii="仿宋" w:hAnsi="仿宋" w:eastAsia="仿宋" w:cs="仿宋"/>
          <w:bCs/>
          <w:snapToGrid w:val="0"/>
          <w:color w:val="auto"/>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2"/>
        <w:rPr>
          <w:highlight w:val="none"/>
        </w:rPr>
      </w:pPr>
    </w:p>
    <w:bookmarkEnd w:id="38"/>
    <w:bookmarkEnd w:id="39"/>
    <w:bookmarkEnd w:id="40"/>
    <w:p>
      <w:pPr>
        <w:snapToGrid w:val="0"/>
        <w:spacing w:before="120" w:beforeLines="50" w:after="120" w:afterLines="5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0"/>
          <w:highlight w:val="none"/>
          <w:lang w:eastAsia="zh-CN"/>
        </w:rPr>
        <w:t>2023年度服务对象护理服务项目</w:t>
      </w:r>
      <w:r>
        <w:rPr>
          <w:rFonts w:hint="eastAsia" w:ascii="仿宋" w:hAnsi="仿宋" w:eastAsia="仿宋" w:cs="仿宋"/>
          <w:b/>
          <w:color w:val="auto"/>
          <w:sz w:val="32"/>
          <w:szCs w:val="32"/>
          <w:highlight w:val="none"/>
        </w:rPr>
        <w:t>政府采购</w:t>
      </w:r>
      <w:r>
        <w:rPr>
          <w:rFonts w:hint="eastAsia" w:ascii="仿宋" w:hAnsi="仿宋" w:eastAsia="仿宋" w:cs="仿宋"/>
          <w:b/>
          <w:color w:val="auto"/>
          <w:sz w:val="32"/>
          <w:szCs w:val="32"/>
          <w:highlight w:val="none"/>
          <w:lang w:val="zh-CN"/>
        </w:rPr>
        <w:t>合同</w:t>
      </w:r>
    </w:p>
    <w:p>
      <w:pPr>
        <w:adjustRightInd w:val="0"/>
        <w:snapToGrid w:val="0"/>
        <w:spacing w:line="360" w:lineRule="auto"/>
        <w:ind w:firstLine="422" w:firstLineChars="200"/>
        <w:rPr>
          <w:rFonts w:hint="eastAsia" w:ascii="仿宋" w:hAnsi="仿宋" w:eastAsia="仿宋" w:cs="仿宋"/>
          <w:b/>
          <w:color w:val="auto"/>
          <w:szCs w:val="21"/>
          <w:highlight w:val="none"/>
          <w:lang w:val="en-US" w:eastAsia="zh-CN"/>
        </w:rPr>
      </w:pPr>
    </w:p>
    <w:p>
      <w:pPr>
        <w:adjustRightInd w:val="0"/>
        <w:spacing w:line="312" w:lineRule="auto"/>
        <w:rPr>
          <w:rFonts w:hint="eastAsia" w:ascii="仿宋" w:hAnsi="仿宋" w:eastAsia="仿宋"/>
          <w:color w:val="auto"/>
          <w:sz w:val="24"/>
          <w:highlight w:val="none"/>
          <w:lang w:val="zh-CN"/>
        </w:rPr>
      </w:pPr>
    </w:p>
    <w:p>
      <w:pPr>
        <w:adjustRightInd w:val="0"/>
        <w:spacing w:line="312" w:lineRule="auto"/>
        <w:rPr>
          <w:rFonts w:hint="eastAsia" w:ascii="仿宋" w:hAnsi="仿宋" w:eastAsia="仿宋"/>
          <w:color w:val="auto"/>
          <w:sz w:val="24"/>
          <w:highlight w:val="none"/>
          <w:lang w:val="zh-CN"/>
        </w:rPr>
      </w:pPr>
    </w:p>
    <w:p>
      <w:pPr>
        <w:adjustRightInd w:val="0"/>
        <w:spacing w:line="312" w:lineRule="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甲方：</w:t>
      </w:r>
    </w:p>
    <w:p>
      <w:pPr>
        <w:adjustRightInd w:val="0"/>
        <w:spacing w:line="312" w:lineRule="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乙方：</w:t>
      </w:r>
    </w:p>
    <w:p>
      <w:pPr>
        <w:pStyle w:val="27"/>
        <w:spacing w:before="0" w:line="312" w:lineRule="auto"/>
        <w:ind w:firstLine="420"/>
        <w:rPr>
          <w:rFonts w:hint="eastAsia" w:ascii="宋体" w:hAnsi="宋体"/>
          <w:color w:val="auto"/>
          <w:sz w:val="21"/>
          <w:szCs w:val="21"/>
          <w:highlight w:val="none"/>
        </w:rPr>
      </w:pP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根据《中华人民共和国政府采购法》和《中华人民共和国</w:t>
      </w:r>
      <w:r>
        <w:rPr>
          <w:rFonts w:hint="eastAsia" w:ascii="仿宋" w:hAnsi="仿宋" w:eastAsia="仿宋" w:cs="仿宋"/>
          <w:color w:val="auto"/>
          <w:szCs w:val="24"/>
          <w:highlight w:val="none"/>
          <w:lang w:eastAsia="zh-CN"/>
        </w:rPr>
        <w:t>民法典</w:t>
      </w:r>
      <w:r>
        <w:rPr>
          <w:rFonts w:hint="eastAsia" w:ascii="仿宋" w:hAnsi="仿宋" w:eastAsia="仿宋" w:cs="仿宋"/>
          <w:color w:val="auto"/>
          <w:szCs w:val="24"/>
          <w:highlight w:val="none"/>
        </w:rPr>
        <w:t>》、地方有关关于服务对象护理服务法律、法规和政策，在平等、自愿、协商一致的基础上，就甲方（杭州市第一社会福利院（杭州市精神病人社会福利院））委托乙方（经评审最终确定的中标人）对（护理名称）实行专业化、一体化的关于服务对象护理服务订立本合同。</w:t>
      </w:r>
    </w:p>
    <w:p>
      <w:pPr>
        <w:pStyle w:val="27"/>
        <w:spacing w:before="0" w:line="312"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一、一般条款</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第一条 定义</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“合同”即由甲乙方双方签订的合同格式中的文件，包括所有的附件、附录和组成合同部分的所有其他文件。</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将由杭州市第一社会福利院（杭州市精神病人社会福利院）（以下简称甲方）与经评审最终确定的中标人（以下简称乙方）结合本项目具体情况协商后签订，采购代理机构作为合同鉴证方。以下为采购人提出涉及乙方的主要条款，投标人在投标文件中应对其进行确认或拒绝。如投标人在其投标文件中未做拒绝或提出修改要求的，采购人将视作认同。</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“合同价格”系指根据合同规定，在供应商全面正确地履行合同义务时，采购人应支付给供应商的总单价。</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 “管理服务” 系指投标人按采购文件规定，结合本项目的设施配置及本护理使用性质特点，提出关于服务对象护理服务定位、目标，为杭州市第一社会福利院（杭州市精神病人社会福利院）提供优质的护理服务。</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 “甲方”系指通过招标接受合同及服务的杭州市第一社会福利院（杭州市精神病人社会福利院）。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 “乙方”系指经评审最终确定的中标人。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 “现场”系指将要提供关于服务对象护理服务与服务的地点。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 “验收”系指采购人依据国家有关规定接受合同所依据的程序和条件。</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第二条 适用范围</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本合同条款适用与本次招标活动。项目实施范围详见附件——采购文件和投标文件及补充文件、承诺书等。</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第三条 护理基本情况</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人员配置</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第四条 委托管理事项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列入本次综合关于服务对象护理服务的范围为：服务对象护理服务。    </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第五条 合同期限</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12个月。合同期满后</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如果下一年度服务招标未按时完成，为了保证护理服务正常进行，未续签中标人应延续提供1-3个月的护理服务，延续期间的费用按延续期间的标准(202</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年度中标价格标准)执行,延续期间的费用由现中标单位与上年单位自行结算。</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第六条 护理装备、耗材的使用</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用于服务对象护理服务的操作实施时所需低值易耗品、清洁用品、用具、设备器材由</w:t>
      </w:r>
      <w:r>
        <w:rPr>
          <w:rFonts w:hint="eastAsia" w:ascii="仿宋" w:hAnsi="仿宋" w:eastAsia="仿宋" w:cs="仿宋"/>
          <w:color w:val="auto"/>
          <w:szCs w:val="24"/>
          <w:highlight w:val="none"/>
          <w:lang w:eastAsia="zh-CN"/>
        </w:rPr>
        <w:t>甲方</w:t>
      </w:r>
      <w:r>
        <w:rPr>
          <w:rFonts w:hint="eastAsia" w:ascii="仿宋" w:hAnsi="仿宋" w:eastAsia="仿宋" w:cs="仿宋"/>
          <w:color w:val="auto"/>
          <w:szCs w:val="24"/>
          <w:highlight w:val="none"/>
        </w:rPr>
        <w:t>承担。用于服务对象护理服务的操作实施时水电费及设备（特指</w:t>
      </w:r>
      <w:r>
        <w:rPr>
          <w:rFonts w:hint="eastAsia" w:ascii="仿宋" w:hAnsi="仿宋" w:eastAsia="仿宋" w:cs="仿宋"/>
          <w:color w:val="auto"/>
          <w:szCs w:val="24"/>
          <w:highlight w:val="none"/>
          <w:lang w:eastAsia="zh-CN"/>
        </w:rPr>
        <w:t>甲方</w:t>
      </w:r>
      <w:r>
        <w:rPr>
          <w:rFonts w:hint="eastAsia" w:ascii="仿宋" w:hAnsi="仿宋" w:eastAsia="仿宋" w:cs="仿宋"/>
          <w:color w:val="auto"/>
          <w:szCs w:val="24"/>
          <w:highlight w:val="none"/>
        </w:rPr>
        <w:t>提供的设备）维修费用(单项2000元以上)等由</w:t>
      </w:r>
      <w:r>
        <w:rPr>
          <w:rFonts w:hint="eastAsia" w:ascii="仿宋" w:hAnsi="仿宋" w:eastAsia="仿宋" w:cs="仿宋"/>
          <w:color w:val="auto"/>
          <w:szCs w:val="24"/>
          <w:highlight w:val="none"/>
          <w:lang w:eastAsia="zh-CN"/>
        </w:rPr>
        <w:t>甲方</w:t>
      </w:r>
      <w:r>
        <w:rPr>
          <w:rFonts w:hint="eastAsia" w:ascii="仿宋" w:hAnsi="仿宋" w:eastAsia="仿宋" w:cs="仿宋"/>
          <w:color w:val="auto"/>
          <w:szCs w:val="24"/>
          <w:highlight w:val="none"/>
        </w:rPr>
        <w:t>承担。具体如下：</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a低值易耗品：尿不湿、卫生纸、餐巾纸、卫生巾、洗衣粉、洗洁精、洁厕灵、施康等；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b清洁用品：床刷、拖把、抹布、水桶等；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c日常用品：剪刀、针线、剃须刀、指甲剪等；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d办公用品：病历车、病历夹、各类记录单、白板、药品柜、食品柜等；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e保护用具：约束带、约束手套、约束凳、床等；</w:t>
      </w:r>
    </w:p>
    <w:p>
      <w:pPr>
        <w:pStyle w:val="27"/>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f医疗用品：医疗急救用品及中单、橡胶手套、PE手套、口护棒、棉签棒、口罩、纱布、三角垫、隔离区消毒隔离口罩等常规医疗用品。</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上述由</w:t>
      </w:r>
      <w:r>
        <w:rPr>
          <w:rFonts w:hint="eastAsia" w:ascii="仿宋" w:hAnsi="仿宋" w:eastAsia="仿宋" w:cs="仿宋"/>
          <w:b/>
          <w:color w:val="auto"/>
          <w:szCs w:val="24"/>
          <w:highlight w:val="none"/>
          <w:lang w:eastAsia="zh-CN"/>
        </w:rPr>
        <w:t>甲方</w:t>
      </w:r>
      <w:r>
        <w:rPr>
          <w:rFonts w:hint="eastAsia" w:ascii="仿宋" w:hAnsi="仿宋" w:eastAsia="仿宋" w:cs="仿宋"/>
          <w:b/>
          <w:color w:val="auto"/>
          <w:szCs w:val="24"/>
          <w:highlight w:val="none"/>
        </w:rPr>
        <w:t>提供的用品根据服务对象实际需要进行登记、领用，遵照</w:t>
      </w:r>
      <w:r>
        <w:rPr>
          <w:rFonts w:hint="eastAsia" w:ascii="仿宋" w:hAnsi="仿宋" w:eastAsia="仿宋" w:cs="仿宋"/>
          <w:b/>
          <w:color w:val="auto"/>
          <w:szCs w:val="24"/>
          <w:highlight w:val="none"/>
          <w:lang w:eastAsia="zh-CN"/>
        </w:rPr>
        <w:t>甲方</w:t>
      </w:r>
      <w:r>
        <w:rPr>
          <w:rFonts w:hint="eastAsia" w:ascii="仿宋" w:hAnsi="仿宋" w:eastAsia="仿宋" w:cs="仿宋"/>
          <w:b/>
          <w:color w:val="auto"/>
          <w:szCs w:val="24"/>
          <w:highlight w:val="none"/>
        </w:rPr>
        <w:t>领用制度执行，</w:t>
      </w:r>
      <w:r>
        <w:rPr>
          <w:rFonts w:hint="eastAsia" w:ascii="仿宋" w:hAnsi="仿宋" w:eastAsia="仿宋" w:cs="仿宋"/>
          <w:b/>
          <w:color w:val="auto"/>
          <w:szCs w:val="24"/>
          <w:highlight w:val="none"/>
          <w:lang w:eastAsia="zh-CN"/>
        </w:rPr>
        <w:t>甲方</w:t>
      </w:r>
      <w:r>
        <w:rPr>
          <w:rFonts w:hint="eastAsia" w:ascii="仿宋" w:hAnsi="仿宋" w:eastAsia="仿宋" w:cs="仿宋"/>
          <w:b/>
          <w:color w:val="auto"/>
          <w:szCs w:val="24"/>
          <w:highlight w:val="none"/>
        </w:rPr>
        <w:t>将定期或不定期进行检查或抽查，若发现</w:t>
      </w:r>
      <w:r>
        <w:rPr>
          <w:rFonts w:hint="eastAsia" w:ascii="仿宋" w:hAnsi="仿宋" w:eastAsia="仿宋" w:cs="仿宋"/>
          <w:b/>
          <w:color w:val="auto"/>
          <w:szCs w:val="24"/>
          <w:highlight w:val="none"/>
          <w:lang w:eastAsia="zh-CN"/>
        </w:rPr>
        <w:t>乙方</w:t>
      </w:r>
      <w:r>
        <w:rPr>
          <w:rFonts w:hint="eastAsia" w:ascii="仿宋" w:hAnsi="仿宋" w:eastAsia="仿宋" w:cs="仿宋"/>
          <w:b/>
          <w:color w:val="auto"/>
          <w:szCs w:val="24"/>
          <w:highlight w:val="none"/>
        </w:rPr>
        <w:t>服务人员将服务对象用品擅自挪作私用。查明属实的，不论大小、价值高低，一律作2000元/次在当月合同款中扣罚。</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第七条 关于服务对象护理服务收费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本合同采用</w:t>
      </w:r>
      <w:r>
        <w:rPr>
          <w:rFonts w:hint="eastAsia" w:ascii="仿宋" w:hAnsi="仿宋" w:eastAsia="仿宋" w:cs="仿宋"/>
          <w:b/>
          <w:color w:val="auto"/>
          <w:kern w:val="0"/>
          <w:szCs w:val="24"/>
          <w:highlight w:val="none"/>
          <w:lang w:val="zh-CN"/>
        </w:rPr>
        <w:t>总价包干制，服务期限为一年。</w:t>
      </w:r>
      <w:r>
        <w:rPr>
          <w:rFonts w:hint="eastAsia" w:ascii="仿宋" w:hAnsi="仿宋" w:eastAsia="仿宋" w:cs="仿宋"/>
          <w:color w:val="auto"/>
          <w:szCs w:val="24"/>
          <w:highlight w:val="none"/>
        </w:rPr>
        <w:t>除本合同明确约定可以另行收取的费用外，所有关于服务对象护理服务及服务费用均包括在内，乙方不得另行向甲方或使用人收取任何费用，合预算金额。</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按实结算。在服务期限</w:t>
      </w:r>
      <w:r>
        <w:rPr>
          <w:rFonts w:hint="eastAsia" w:ascii="仿宋" w:hAnsi="仿宋" w:eastAsia="仿宋" w:cs="仿宋"/>
          <w:strike w:val="0"/>
          <w:dstrike w:val="0"/>
          <w:color w:val="auto"/>
          <w:szCs w:val="24"/>
          <w:highlight w:val="none"/>
        </w:rPr>
        <w:t>（202</w:t>
      </w:r>
      <w:r>
        <w:rPr>
          <w:rFonts w:hint="eastAsia" w:ascii="仿宋" w:hAnsi="仿宋" w:eastAsia="仿宋" w:cs="仿宋"/>
          <w:strike w:val="0"/>
          <w:dstrike w:val="0"/>
          <w:color w:val="auto"/>
          <w:szCs w:val="24"/>
          <w:highlight w:val="none"/>
          <w:lang w:val="en-US" w:eastAsia="zh-CN"/>
        </w:rPr>
        <w:t>3</w:t>
      </w:r>
      <w:r>
        <w:rPr>
          <w:rFonts w:hint="eastAsia" w:ascii="仿宋" w:hAnsi="仿宋" w:eastAsia="仿宋" w:cs="仿宋"/>
          <w:strike w:val="0"/>
          <w:dstrike w:val="0"/>
          <w:color w:val="auto"/>
          <w:szCs w:val="24"/>
          <w:highlight w:val="none"/>
        </w:rPr>
        <w:t>年1月1日-202</w:t>
      </w:r>
      <w:r>
        <w:rPr>
          <w:rFonts w:hint="eastAsia" w:ascii="仿宋" w:hAnsi="仿宋" w:eastAsia="仿宋" w:cs="仿宋"/>
          <w:strike w:val="0"/>
          <w:dstrike w:val="0"/>
          <w:color w:val="auto"/>
          <w:szCs w:val="24"/>
          <w:highlight w:val="none"/>
          <w:lang w:val="en-US" w:eastAsia="zh-CN"/>
        </w:rPr>
        <w:t>3</w:t>
      </w:r>
      <w:r>
        <w:rPr>
          <w:rFonts w:hint="eastAsia" w:ascii="仿宋" w:hAnsi="仿宋" w:eastAsia="仿宋" w:cs="仿宋"/>
          <w:strike w:val="0"/>
          <w:dstrike w:val="0"/>
          <w:color w:val="auto"/>
          <w:szCs w:val="24"/>
          <w:highlight w:val="none"/>
        </w:rPr>
        <w:t>年12月31日）</w:t>
      </w:r>
      <w:r>
        <w:rPr>
          <w:rFonts w:hint="eastAsia" w:ascii="仿宋" w:hAnsi="仿宋" w:eastAsia="仿宋" w:cs="仿宋"/>
          <w:color w:val="auto"/>
          <w:szCs w:val="24"/>
          <w:highlight w:val="none"/>
        </w:rPr>
        <w:t>内，</w:t>
      </w:r>
      <w:r>
        <w:rPr>
          <w:rFonts w:hint="eastAsia" w:ascii="仿宋" w:hAnsi="仿宋" w:eastAsia="仿宋" w:cs="仿宋"/>
          <w:color w:val="auto"/>
          <w:szCs w:val="24"/>
          <w:highlight w:val="none"/>
          <w:lang w:eastAsia="zh-CN"/>
        </w:rPr>
        <w:t>乙方</w:t>
      </w:r>
      <w:r>
        <w:rPr>
          <w:rFonts w:hint="eastAsia" w:ascii="仿宋" w:hAnsi="仿宋" w:eastAsia="仿宋" w:cs="仿宋"/>
          <w:color w:val="auto"/>
          <w:szCs w:val="24"/>
          <w:highlight w:val="none"/>
        </w:rPr>
        <w:t>的护理团队每月应不少于10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含管理人员</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rPr>
        <w:t>每月按照10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含管理人员</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rPr>
        <w:t>的标准进行考核和核算。在考核中发现低于10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人的，按照每个护理员所占的人头经费按实结算。</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第八条 费用结算方式</w:t>
      </w:r>
    </w:p>
    <w:p>
      <w:pPr>
        <w:pStyle w:val="27"/>
        <w:spacing w:before="0" w:line="312" w:lineRule="auto"/>
        <w:ind w:firstLine="480"/>
        <w:rPr>
          <w:rFonts w:ascii="仿宋" w:hAnsi="仿宋" w:eastAsia="仿宋" w:cs="仿宋"/>
          <w:b/>
          <w:color w:val="auto"/>
          <w:kern w:val="0"/>
          <w:szCs w:val="24"/>
          <w:highlight w:val="none"/>
        </w:rPr>
      </w:pPr>
      <w:r>
        <w:rPr>
          <w:rFonts w:hint="eastAsia" w:ascii="仿宋" w:hAnsi="仿宋" w:eastAsia="仿宋" w:cs="仿宋"/>
          <w:color w:val="auto"/>
          <w:szCs w:val="24"/>
          <w:highlight w:val="none"/>
        </w:rPr>
        <w:t>供应商进场服务并通过甲方考核后，甲方凭供应商开具的正规发票和甲方认可的各项记录复印同期满后最终结算总额不得超过本项目总件，</w:t>
      </w:r>
      <w:r>
        <w:rPr>
          <w:rFonts w:hint="eastAsia" w:ascii="仿宋" w:hAnsi="仿宋" w:eastAsia="仿宋" w:cs="仿宋"/>
          <w:color w:val="auto"/>
          <w:szCs w:val="24"/>
          <w:highlight w:val="none"/>
          <w:lang w:val="en-US" w:eastAsia="zh-CN"/>
        </w:rPr>
        <w:t>当</w:t>
      </w:r>
      <w:r>
        <w:rPr>
          <w:rFonts w:hint="eastAsia" w:ascii="仿宋" w:hAnsi="仿宋" w:eastAsia="仿宋" w:cs="仿宋"/>
          <w:color w:val="auto"/>
          <w:szCs w:val="24"/>
          <w:highlight w:val="none"/>
        </w:rPr>
        <w:t>月支付给供应商服务对象护理服务费，</w:t>
      </w:r>
      <w:r>
        <w:rPr>
          <w:rFonts w:hint="eastAsia" w:ascii="仿宋" w:hAnsi="仿宋" w:eastAsia="仿宋" w:cs="仿宋"/>
          <w:b/>
          <w:color w:val="auto"/>
          <w:kern w:val="0"/>
          <w:szCs w:val="24"/>
          <w:highlight w:val="none"/>
          <w:lang w:val="zh-CN"/>
        </w:rPr>
        <w:t>费用为中标价/</w:t>
      </w:r>
      <w:r>
        <w:rPr>
          <w:rFonts w:hint="eastAsia" w:ascii="仿宋" w:hAnsi="仿宋" w:eastAsia="仿宋" w:cs="仿宋"/>
          <w:b/>
          <w:color w:val="auto"/>
          <w:kern w:val="0"/>
          <w:szCs w:val="24"/>
          <w:highlight w:val="none"/>
        </w:rPr>
        <w:t>12</w:t>
      </w:r>
      <w:r>
        <w:rPr>
          <w:rFonts w:hint="eastAsia" w:ascii="仿宋" w:hAnsi="仿宋" w:eastAsia="仿宋" w:cs="仿宋"/>
          <w:b/>
          <w:color w:val="auto"/>
          <w:kern w:val="0"/>
          <w:szCs w:val="24"/>
          <w:highlight w:val="none"/>
          <w:lang w:val="zh-CN"/>
        </w:rPr>
        <w:t>，甲方同意追加费用在年度服务期限满时一次性结算。</w:t>
      </w:r>
      <w:r>
        <w:rPr>
          <w:rFonts w:hint="eastAsia" w:ascii="仿宋" w:hAnsi="仿宋" w:eastAsia="仿宋" w:cs="仿宋"/>
          <w:b/>
          <w:color w:val="auto"/>
          <w:kern w:val="0"/>
          <w:szCs w:val="24"/>
          <w:highlight w:val="none"/>
        </w:rPr>
        <w:t>甲方因</w:t>
      </w:r>
      <w:r>
        <w:rPr>
          <w:rFonts w:hint="eastAsia" w:ascii="仿宋" w:hAnsi="仿宋" w:eastAsia="仿宋" w:cs="仿宋"/>
          <w:b/>
          <w:color w:val="auto"/>
          <w:kern w:val="0"/>
          <w:szCs w:val="24"/>
          <w:highlight w:val="none"/>
          <w:lang w:val="en-US" w:eastAsia="zh-CN"/>
        </w:rPr>
        <w:t>财政截止支付</w:t>
      </w:r>
      <w:r>
        <w:rPr>
          <w:rFonts w:hint="eastAsia" w:ascii="仿宋" w:hAnsi="仿宋" w:eastAsia="仿宋" w:cs="仿宋"/>
          <w:b/>
          <w:color w:val="auto"/>
          <w:kern w:val="0"/>
          <w:szCs w:val="24"/>
          <w:highlight w:val="none"/>
        </w:rPr>
        <w:t>等不可抗力因素需要提前支付本合同第十二期的合同款（即本合同11月底支付第十一期和第十二期的合同款），如果在12月考核中发生合同扣款的事件，扣款将从履约保证金中支出。</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第九条 履约保证金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签订合同后14天内，乙方须向甲方交纳中标价</w:t>
      </w:r>
      <w:r>
        <w:rPr>
          <w:rFonts w:hint="eastAsia" w:ascii="仿宋" w:hAnsi="仿宋" w:eastAsia="仿宋" w:cs="仿宋"/>
          <w:b/>
          <w:color w:val="auto"/>
          <w:kern w:val="0"/>
          <w:szCs w:val="24"/>
          <w:highlight w:val="none"/>
          <w:lang w:val="en-US" w:eastAsia="zh-CN"/>
        </w:rPr>
        <w:t>1.0</w:t>
      </w:r>
      <w:r>
        <w:rPr>
          <w:rFonts w:hint="eastAsia" w:ascii="仿宋" w:hAnsi="仿宋" w:eastAsia="仿宋" w:cs="仿宋"/>
          <w:b/>
          <w:color w:val="auto"/>
          <w:kern w:val="0"/>
          <w:szCs w:val="24"/>
          <w:highlight w:val="none"/>
          <w:lang w:val="zh-CN"/>
        </w:rPr>
        <w:t>%履约保证金</w:t>
      </w:r>
      <w:r>
        <w:rPr>
          <w:rFonts w:hint="eastAsia" w:ascii="仿宋" w:hAnsi="仿宋" w:eastAsia="仿宋" w:cs="仿宋"/>
          <w:color w:val="auto"/>
          <w:szCs w:val="24"/>
          <w:highlight w:val="none"/>
        </w:rPr>
        <w:t>，以保证乙方遵守本合同的一切条款、条件和承诺，该保证金在甲方的规定存续期间不计息。</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pStyle w:val="27"/>
        <w:spacing w:before="0" w:line="312"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二、特殊条款</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第十条 关于服务对象护理服务质量要求</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乙方应制订具体的质量保证措施及质量保证和相关服务承诺。乙方所有的工作除应按乙方的内部流程实施外，还应接受甲方或第三方的随时检查。如因质量未达到目标，甲方有权要求其整改，同时乙方应承担责任和经济赔偿（扣款或终止合同）。</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2、甲方根据本合同中护理服务考核标准（见附件）定期和不定期地对乙方管理服务进行检查和抽查，具体方法如下：</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 根据本合同中护理服务考核标准（见附件），每月进行2次定期检查，其中检查结果占本月考核总分的60%；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 根据本合同中护理服务考核标准（见附件），在日常查房中进行不定时抽查，其中抽查结果占本月考核总分的40%；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 每月考核结果及整改方法时限，于次月5日前以例会形式反馈给乙方；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3、在履行合同过程中，乙方在不降低护理质量的前提下，可以对现行的护理方案作出合理的改进，但须征得甲方同意。</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4、甲方对乙方的服务质量进行考核，内容包括以下几个方面：</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人员配备。发现岗位人员数量少于合同约定的数量，按其岗位平均每月人员开支的标准扣除相应的服务费。</w:t>
      </w:r>
    </w:p>
    <w:p>
      <w:pPr>
        <w:spacing w:line="312"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人员要求：休养7号楼、8号楼、9号楼、10号楼四个楼栋实有服务对象</w:t>
      </w:r>
      <w:r>
        <w:rPr>
          <w:rFonts w:hint="eastAsia" w:ascii="仿宋" w:hAnsi="仿宋" w:eastAsia="仿宋" w:cs="仿宋"/>
          <w:color w:val="auto"/>
          <w:sz w:val="24"/>
          <w:highlight w:val="none"/>
          <w:lang w:val="en-US" w:eastAsia="zh-CN"/>
        </w:rPr>
        <w:t>439</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三级护理（自理）</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人，二级护理</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人，一级护理</w:t>
      </w:r>
      <w:r>
        <w:rPr>
          <w:rFonts w:hint="eastAsia" w:ascii="仿宋" w:hAnsi="仿宋" w:eastAsia="仿宋" w:cs="仿宋"/>
          <w:color w:val="auto"/>
          <w:sz w:val="24"/>
          <w:highlight w:val="none"/>
          <w:lang w:val="en-US" w:eastAsia="zh-CN"/>
        </w:rPr>
        <w:t>143</w:t>
      </w:r>
      <w:r>
        <w:rPr>
          <w:rFonts w:hint="eastAsia" w:ascii="仿宋" w:hAnsi="仿宋" w:eastAsia="仿宋" w:cs="仿宋"/>
          <w:color w:val="auto"/>
          <w:sz w:val="24"/>
          <w:highlight w:val="none"/>
        </w:rPr>
        <w:t>人，特级专护</w:t>
      </w:r>
      <w:r>
        <w:rPr>
          <w:rFonts w:hint="eastAsia" w:ascii="仿宋" w:hAnsi="仿宋" w:eastAsia="仿宋" w:cs="仿宋"/>
          <w:color w:val="auto"/>
          <w:sz w:val="24"/>
          <w:highlight w:val="none"/>
          <w:lang w:val="en-US" w:eastAsia="zh-CN"/>
        </w:rPr>
        <w:t>180</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根据民政部2020年4月发布的《&lt;养老机构等级划分与评定&gt;国家标准实施指南》（试行），综合参照《国家级福利院评定标准》和《养老机构服务规范》等办法，按照护理员三级（自理）服务对象比例1:10，需护理员3人；护理员与二级服务对象比例1:8，需护理员11人；护理员与一级服务对象比例1:5，需护理员28人，护理员与特级专护服务对象比例1:3，需护理员60人；同时，明年儿童院预计送入23人，预计新增托养人员15人；按一级服务对象1：5比例，需配置护理员3人；合计105人。</w:t>
      </w:r>
    </w:p>
    <w:p>
      <w:pPr>
        <w:spacing w:line="312"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根据《养老机构服务规范》8.1.2.3条“100个服务对象以上配备2名以上康复师”，每幢楼申请配备康复护士1名，其中（8号楼与10号楼合并为1幢楼）共3幢楼，合计3人。</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护理团队总人数10</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含管理人员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护理楼班实行24小时值班制，各楼班需配备白班夜班人员数详见附件2《硬性指标》。投标人能够提供的所有人员均须按采购文件要求提供相应的证明材料（学历、资格证书、职称证书、经验与业绩证明等），签订合同前提供不低于50%人员的证明材料，签订合同后一个月内提供全部人员的相关证明材料，按照人员配备比例，落实护理团队人数。新进员工必须在入职后60天内按以上标准提供相应的证明材料。所有人员必须专职为杭州市第一社会福利院（杭州市精神病人社会福利院）服务，不得兼职，中标后护理科长或护理楼班长如需要更换，须及时上报采购人，经采购人同意认可后更换。所有人员的住宿及用餐均由中标人自行解决。</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乙方应保证所录用人员身体健康、无传染性疾病、无刑事违法或处分犯罪记录。新入</w:t>
      </w:r>
      <w:r>
        <w:rPr>
          <w:rFonts w:hint="eastAsia" w:ascii="仿宋" w:hAnsi="仿宋" w:eastAsia="仿宋" w:cs="仿宋"/>
          <w:b/>
          <w:bCs/>
          <w:color w:val="auto"/>
          <w:szCs w:val="24"/>
          <w:highlight w:val="none"/>
        </w:rPr>
        <w:t>护理服务人员须进行入职体检，入职后的护理服务人员身体状况应符合机构人员各项规范和要求。</w:t>
      </w:r>
      <w:r>
        <w:rPr>
          <w:rFonts w:hint="eastAsia" w:ascii="仿宋" w:hAnsi="仿宋" w:eastAsia="仿宋" w:cs="仿宋"/>
          <w:color w:val="auto"/>
          <w:szCs w:val="24"/>
          <w:highlight w:val="none"/>
        </w:rPr>
        <w:t>乙方各类护理服务人员按岗位统一着装，言行规范，文明礼貌。乙方每年至少组织一次员工体检。</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 服务态度。</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4.2.1护理员如有打骂服务对象行为，一经发现甲方可以按情节轻重500-2000元/次累计扣除合同款。</w:t>
      </w:r>
    </w:p>
    <w:p>
      <w:pPr>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4.2.2发生工作人员克扣服务对象物资，吃拿服务对象的食物和财物，视情况每例扣除当月合同款500-2000元。</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4.2.3工作人员在部门内吸烟，按每例扣除当月合同款100元。</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服务标准。</w:t>
      </w:r>
      <w:r>
        <w:rPr>
          <w:rFonts w:hint="eastAsia" w:ascii="仿宋" w:hAnsi="仿宋" w:eastAsia="仿宋" w:cs="仿宋"/>
          <w:bCs/>
          <w:color w:val="auto"/>
          <w:sz w:val="24"/>
          <w:highlight w:val="none"/>
        </w:rPr>
        <w:t>(详见附件考核标准)</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4.3.1 落实护理措施100%。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4.3.2 特护、一级护理合格率≥90%。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4.3.3 褥疮发生率0（除特殊情况，但需通过备案，认证）。发生一例褥疮视情况扣除当季度合同款1000-2000元。</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4.3.4 护理记录合格率≥95%。</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4.3.5 消毒隔离率100%。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4.3.6 区域环境卫生合格率≥90%。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4.3.7 夜间护理质量合格率≥90%。</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4.3.8 服务对象对护理满意率90%以上（含90%）。如有家属或服务对象投诉者，查明属实，按情节轻重500-2000元/次累计扣除当月合同款。如有因乙方服务不到位，或发生差错事故和意外事件，遭服务对象或家属投诉引起纠纷索赔者，由乙方自行负责，相关费用乙方自行承担，甲方在服务对象及家属索赔时不承担任何责任。</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4.4 护理安全。</w:t>
      </w:r>
    </w:p>
    <w:p>
      <w:pPr>
        <w:pStyle w:val="27"/>
        <w:spacing w:before="0" w:line="312" w:lineRule="auto"/>
        <w:ind w:firstLine="48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4.4.1发生重大安全责任事故（如因管理不善，致服务对象外流、死亡、重伤等），按每例扣除当月合同款5000-</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0000元。</w:t>
      </w:r>
      <w:r>
        <w:rPr>
          <w:rFonts w:hint="eastAsia" w:ascii="仿宋" w:hAnsi="仿宋" w:eastAsia="仿宋" w:cs="仿宋"/>
          <w:color w:val="auto"/>
          <w:szCs w:val="24"/>
          <w:highlight w:val="none"/>
          <w:lang w:val="en-US" w:eastAsia="zh-CN"/>
        </w:rPr>
        <w:t>由此引发的赔偿责任由乙方全部承担。</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4.4.2服务对象发生烫伤、冻伤、损伤、受凉、坠床、跌倒、噎食等情况，视情节轻重每例扣除当月合同款</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 xml:space="preserve">000元； </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4.4.3因管理不当造成服务对象食物中毒，按每例扣除当月合同款</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00-</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000元；</w:t>
      </w:r>
    </w:p>
    <w:p>
      <w:pPr>
        <w:pStyle w:val="27"/>
        <w:spacing w:before="0" w:line="312" w:lineRule="auto"/>
        <w:ind w:firstLine="48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4.4.4扣款需在5个工作日内补齐。</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第十一条 经营制约</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未经甲方同意，乙方无权在承包区域中从事任何广告活动或类似宣传活动；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乙方不得以甲方的名义从事任何经济活动，且由此发生的一切债权、债务与甲方无关。</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第十二条 乙方对甲方作出如下承诺：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乙方应允许甲方或其授权的人员对承包区域内各项服务质量控制进行检查，有关费用由乙方承担。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 在承包区域的各项服务，其工作时间必须满足甲方的工作要求，包括星期天及公众假期。如遇特殊情况，甲方可要求乙方调整工作时间直至全天二十四小时工作。</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 乙方必须聘请(或指定)一位主管(负责人)，全权代表乙方与甲方保持密切联系并保证承包区域服务工作。根据综合考评或工作情况，甲方有权要求乙方在一个星期内更换主管（负责人）、相关骨干人员。</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 为承包区域的服务工作配备承诺的人员及人员数量，甲方不定期抽查乙方投入的人员数量，如果抽查时发现乙方投入的人员数量少于合同约定的数量，按其岗位平均每月人员开支的标准扣除相应服务费。乙方聘用的工作人员必须符合劳动部门有关用工规定，并经相关专业考核合格后持证上岗，甲方有权进行审核，该类费用开支由乙方负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 乙方工作人员上岗穿着由甲方确认的制服及甲方许可的装饰物品，费用和制作均由乙方负担。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8.乙方必须出具或办妥法律及甲方规定的与承包区域经营业务有关的执照和许可证，方可从事经营并在经营中遵守一切有关条例和规定。自行缴纳有关税、费。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 乙方必须确保为甲方提供优质、高效的专业服务，并根据甲方要求改变不满意的服务状况。接受有关部门监督与检查。同时，乙方自觉参加甲方认为有助提高甲方形象的宣传活动。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乙方在承包区域因作业所需增加机械、电力设备及设施应征得甲方同意，并聘请有资格的承造商进行安装、保养并将施工安装保养记录手册和图，交由甲方备案。</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 未经甲方同意，不得上传声像等有关私密的文件。</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第十三条. 禁止事项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1.乙方不得以任何理由向甲方工作人员支付小费或赠送实物，违者将终止合同。甲方人员也不得以任何形式向相关人员索取小费或钱物等。</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2.乙方不得在承包区域住宿或从事非法活动，也不得从事有损甲方利益的活动，同时不允许在承包区域对甲方经营活动进行滋扰性的行为。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3.除经甲方批准进行必要的维修工程外，乙方不得损毁承包区域原有的设施和装潢，不得更改已铺设的电缆、电线等电力装置。同时，也不得安装任何可能造成电缆负载过大的电器设备，以免无线电受干扰。</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4.未获甲方书面同意，乙方任何时候都不能在承包区域存放易燃物品、挥发性大或气味浓烈的液体等。</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第十四条. 保险</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1.第三者责任保险</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乙方应对乙方人员以及第三方全权负责(如乙方应投保第三责任险)，在乙方的责任区内由于乙方原因导致自己员工或第三方的事故由乙方负责，甲方不承担任何责任。</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2.员工人身意外</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在承包期内，乙方所有人员的事故由乙方自行全权负责(如乙方应对其员工投保人身意外险)，以保证甲方在乙方工作人员索赔时不受任何责任的约束。</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3.其他保险及费用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乙方须按《劳动合同法》和政府有关各部门规定为全体服务人员交纳所有相关的社会保险及其他相关费用。乙方对此全权负责。</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4.乙方及其员工遵守甲方的一切行政管理、消防安全等规定和制度，保证承包区域的消防设施能正常使用，消防通道畅通，同时承担违规责任。</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5.遇突发事件或安全检查时，乙方必须配合有关部门执行任务，并指定专职人员协助工作，直至完成。</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6.乙方保证在承包期满当天下午五时前撤离现场。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7.乙方须积极配合甲方对其进行的护理服务综合考评。</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第十五条 甲方对乙方作出如下承诺：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1、甲方在职权范围内保证乙方的正常经营不受干扰。</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2、保证乙方的员工按规定正常进入承包区域开展服务工作。</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第十六条 合同生效和终止：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本合同经甲乙双方法定代表人或其委托人签字盖章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杭州市财政局政府采购监管处备案后生效。</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终止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2.1提前终止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2.1.1如果甲方在服务期内无理由终止合同，甲方须提前一个月向乙方发出书面通知终止承包，甲方支付给乙方月度承包服务款二倍金额的赔偿金。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2.1.2因乙方在服务期内超过两次护理服务综合考评未达标（第十条4.3中3项及以上考评不达标），甲方可以单方面终止承包，且乙方须支付给甲方月度承包服务款二倍金额的赔偿金。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2.1.3如甲方发现乙方出现转租、转让、抵押承包等情况，甲方可以单方面终止承包，且乙方须支付给甲方月度承包服务款二倍金额的赔偿金。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2.1.4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2.1.5如果乙方在服务期内由于乙方原因造成重大责任事故或安全事故，甲方可以单方面终止承包，且乙方须赔偿给甲方造成的经济损失，并须支付给甲方月度承包服务款五倍金额的赔偿金。</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2.1.6提前终止承包期早于月底最后一天，应视为月底最后一天期满，此条适用于上述2.1.1、2.1.2、2.1.3、2.1.4、2.1.5四条。</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2.1.7乙方未能履行合同和遵守有关规定，在甲方发出书面警告后一周内乙方仍无采取补救措施，甲方可立即终止承包。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2.1.8乙方破产清处、重组及兼并等事实发生，或被债权人接管经营，甲方不必通知乙方即可终止承包。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 协议终止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经双方协商同意，可在任何时候终止承包。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 自然终止</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合同规定的承包服务期满，承包自然终止。在承包服务期内乙方服务通过甲方有关评分标准并得到甲方认可，双方可协商在下一年度续约。</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 承包终止后果</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3.1终止承包，不影响根据合同规定进行的赔偿、补偿，也不影响履约保证金的效力。</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3.2上述2.1.6、2.1.7二条的终止，乙方的履约保证金作为违约金支付给甲方。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3.3承包终止时，双方应进行结算，甲方同时进行乙方承包区域设施、设备状况检查并要求乙方三天内将乙方物品撤离承包区域，否则甲方将代理处理，乙方支付甲方代理费及10%的手续费。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 不放弃权利</w:t>
      </w:r>
    </w:p>
    <w:p>
      <w:pPr>
        <w:pStyle w:val="27"/>
        <w:spacing w:before="0" w:line="312" w:lineRule="auto"/>
        <w:ind w:firstLine="480"/>
        <w:rPr>
          <w:rFonts w:hint="eastAsia" w:ascii="仿宋" w:hAnsi="仿宋" w:eastAsia="仿宋" w:cs="仿宋"/>
          <w:snapToGrid w:val="0"/>
          <w:color w:val="auto"/>
          <w:kern w:val="0"/>
          <w:szCs w:val="24"/>
          <w:highlight w:val="none"/>
        </w:rPr>
      </w:pPr>
      <w:r>
        <w:rPr>
          <w:rFonts w:hint="eastAsia" w:ascii="仿宋" w:hAnsi="仿宋" w:eastAsia="仿宋" w:cs="仿宋"/>
          <w:color w:val="auto"/>
          <w:szCs w:val="24"/>
          <w:highlight w:val="none"/>
        </w:rPr>
        <w:t>甲方接受乙方的服务，但不放弃对乙方违约行为进行追究的权利；同时，若甲方对乙方某一违约行为放弃进行追究的权利，但不放弃对乙方其他违约行为进行追究的权</w:t>
      </w:r>
      <w:r>
        <w:rPr>
          <w:rFonts w:hint="eastAsia" w:ascii="仿宋" w:hAnsi="仿宋" w:eastAsia="仿宋" w:cs="仿宋"/>
          <w:snapToGrid w:val="0"/>
          <w:color w:val="auto"/>
          <w:kern w:val="0"/>
          <w:szCs w:val="24"/>
          <w:highlight w:val="none"/>
        </w:rPr>
        <w:t>利。</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第十七条 双方权利义务</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1. 甲方权利义务</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（1）代表和维护产权人、使用人的合法权益；</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（2）审定乙方拟定的关于服务对象护理服务制度；</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（3）检查监督乙方管理工作的实施及制度的执行情况；</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（4）审定乙方提出的关于服务对象护理服务年度计划、财务预算及决算；</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（5）负责收集、整理关于服务对象护理服务所需全部图纸、档案、资料，根据管理需要向乙方提供房屋相关资料和设备、设施的安装、使用和维护保养技术资料；</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（6）按期支付关于服务对象护理服务费用；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（7）在不可预见的情况下，如发生煤气泄漏、漏电、火灾、救助人命、协助公安机关执行任务等突发事件的，甲方应积极配合乙方采取必要的紧急避险措施。</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（8）甲方监督乙方依照本合同规定内容所进行的管理和服务活动，组织对乙方工作综合考评，如出现乙方管理不善造成甲方重大经济等损失的情况，甲方有权终止合同并要求乙方给予赔偿。</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该服务对象护理服务项目的资金来源于财政资金，因此会面对财政审计的可能性，包括第三方的绩效评价与督查，乙方应无条件配合检查和审计，如实提供相关数据和材料。在审计和督查中发现中标人质量未达标或者其它重大问题的，甲方有权要求其整改，同时中标人应承担责任和经济赔偿（扣款或终止合同）。</w:t>
      </w:r>
    </w:p>
    <w:p>
      <w:pPr>
        <w:pStyle w:val="27"/>
        <w:spacing w:before="0" w:line="312" w:lineRule="auto"/>
        <w:ind w:firstLine="480"/>
        <w:rPr>
          <w:rFonts w:hint="eastAsia" w:ascii="仿宋" w:hAnsi="仿宋" w:eastAsia="仿宋" w:cs="仿宋"/>
          <w:color w:val="auto"/>
          <w:szCs w:val="24"/>
          <w:highlight w:val="none"/>
        </w:rPr>
      </w:pP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2.  乙方权利义务</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（1）根据有关法律法规及本合同的约定，制订关于服务对象护理服务制度、方案，根据甲方核定的关于服务对象护理服务制度、方案自主开展护理日常管理服务活动；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（2）按甲方要求及时如实向甲方报告关于服务对象护理服务实施情况；</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（3）征得甲方同意可选聘专营公司承担本护理的专项管理业务，但不得将本护理的管理责任转让给第三方；</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（4）协助做好房屋、附属建筑物、构筑物、设施、设备、绿化等的年度维修养护时的配合工作。</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（5）向甲方工作人员和其他使用人告知护理使用的有关规定，并负责监督；</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（6）建立、妥善保管和正确使用本护理相关的管理档案，并负责及时记载有关变更情况；</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（7）对本护理的公用设施不得擅自占用和改变使用功能；</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（8）因乙方在管理中的过错或违反本合同的约定进行管理造成甲方或第三人损失的，乙方应依法承担赔偿责任；</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（9）乙方自行承担办公桌、电脑、打印机、文件柜、纸、笔等自身使用的办公用品，自行承担所有人员服装费用，但服装样式需经过甲方认可。</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用于关于服务对象护理服务的操作实施时所用水电费用以及大件维修费用、护理服务中所需低值易耗品、清洁用品、用具、设备器材等由甲方承担；关于服务对象护理服务办公费（包括电话费）和服务中损坏物赔偿费等由服务方自行承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（11）本合同终止时，乙方必须向甲方移交全部管理用房及关于服务对象护理服务的全部档案资料，确保移交的资料和设备、设施完好无缺。</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（12）本合同终止时，乙方的主要技术骨干力量（护理楼长、50%以上护理员），无条件移交给另中标方。</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第十八条 乙方的人员配置</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  乙方的人员配置</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1.1乙方的项目主管</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，身份证号码：</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联系方式：</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1.2乙方必须采取措施，确保乙方人员稳定，特别是骨干人员。骨干人员变动须经甲方同意，其他人员变动须甲方备案。</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1.3乙方项目总负责人及部门负责人须及时与甲方沟通，第一时间报告重大、紧急事件；每月须向甲方汇报上月工作情况，并提供相关报告。</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护理人员要求：</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（1）所有相关人员的配备须获得相关主管部门认证的，须配证并持证上岗，且根据不同岗位统一着装。</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（2）所有相关人员要求政治上可靠，身体素质好，无不良行为记录。</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（3）重要岗位人员必须由甲方人事部门考核、政治审查通过方可录用。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（4）为提高关于服务对象护理服务水平，所有护理人员还需进行宾馆礼仪的培训。除乙方对服务人员的培训外，需接受甲方对服务人员的集中进行培训，培训费用由乙方承担。</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第十九条 争议处理</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1．合同在履行过程中发生争议时，甲方与乙方及时协商解决。协商不成时，提请杭州仲裁委员会根据仲裁规则仲裁。</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2．对于因违反或终止合同而引起的损失、损害的赔偿，由甲方与乙方友好协商解决，经协商仍未能达成一致的，提交杭州仲裁委员会仲裁。</w:t>
      </w:r>
    </w:p>
    <w:p>
      <w:pPr>
        <w:pStyle w:val="27"/>
        <w:spacing w:before="0" w:line="312" w:lineRule="auto"/>
        <w:ind w:firstLine="482"/>
        <w:rPr>
          <w:rFonts w:hint="eastAsia" w:ascii="仿宋" w:hAnsi="仿宋" w:eastAsia="仿宋" w:cs="仿宋"/>
          <w:b/>
          <w:color w:val="auto"/>
          <w:kern w:val="0"/>
          <w:szCs w:val="24"/>
          <w:highlight w:val="none"/>
          <w:lang w:val="zh-CN"/>
        </w:rPr>
      </w:pPr>
      <w:r>
        <w:rPr>
          <w:rFonts w:hint="eastAsia" w:ascii="仿宋" w:hAnsi="仿宋" w:eastAsia="仿宋" w:cs="仿宋"/>
          <w:b/>
          <w:color w:val="auto"/>
          <w:kern w:val="0"/>
          <w:szCs w:val="24"/>
          <w:highlight w:val="none"/>
          <w:lang w:val="zh-CN"/>
        </w:rPr>
        <w:t>第二十条 其他</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1．未经过甲方的书面同意，乙方不得转让其应履行的合同项下的义务，和将部分合同项下的义务分包给其他单位完成。</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2．乙方不得参与可能与合同规定的与甲方的利益相冲突的任何活动。</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3．乙方人员在甲方场地工作时，应遵守甲方相关规章、制度。</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3．本合同任何一方给另一方的通知，都应以书面或电传/传真/电报的形式发送，而另一方应以书面形式确认并发送到对方明确的地址。</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5．合同履行期内甲乙双方均不得随意变更或解除合同。合同若有未尽事宜，需经双方共同协商，并由招标代理机构鉴证，订立补充协议，补充协议与本合同有同等法律效力。</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6．采购文件（编号：          ）、投标文件及评标过程中形成的文字资料、询标纪要均作为本合同的组成部分，具有同等效力。</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7．采购文件后附的考核标准作为合同的一部分与本合同具有同等效力。</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7．本合同一式六份，甲方执四份、乙方执二份。</w:t>
      </w:r>
    </w:p>
    <w:p>
      <w:pPr>
        <w:pStyle w:val="27"/>
        <w:spacing w:before="0" w:line="312"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8．适用法律：本合同应按照中华人民共和国的法律进行解释。</w:t>
      </w:r>
    </w:p>
    <w:p>
      <w:pPr>
        <w:pStyle w:val="27"/>
        <w:spacing w:before="0" w:line="312" w:lineRule="auto"/>
        <w:ind w:firstLine="480"/>
        <w:rPr>
          <w:rFonts w:hint="eastAsia" w:ascii="仿宋" w:hAnsi="仿宋" w:eastAsia="仿宋" w:cs="仿宋"/>
          <w:color w:val="auto"/>
          <w:szCs w:val="24"/>
          <w:highlight w:val="none"/>
        </w:rPr>
      </w:pPr>
    </w:p>
    <w:p>
      <w:pPr>
        <w:pStyle w:val="27"/>
        <w:spacing w:before="0" w:line="312" w:lineRule="auto"/>
        <w:ind w:firstLine="480"/>
        <w:rPr>
          <w:rFonts w:hint="eastAsia" w:ascii="仿宋" w:hAnsi="仿宋" w:eastAsia="仿宋"/>
          <w:color w:val="auto"/>
          <w:szCs w:val="24"/>
          <w:highlight w:val="none"/>
        </w:rPr>
      </w:pPr>
    </w:p>
    <w:p>
      <w:pPr>
        <w:pStyle w:val="27"/>
        <w:spacing w:before="0" w:line="312" w:lineRule="auto"/>
        <w:ind w:firstLine="480"/>
        <w:rPr>
          <w:rFonts w:hint="eastAsia" w:ascii="仿宋" w:hAnsi="仿宋" w:eastAsia="仿宋"/>
          <w:color w:val="auto"/>
          <w:szCs w:val="24"/>
          <w:highlight w:val="none"/>
        </w:rPr>
      </w:pPr>
    </w:p>
    <w:p>
      <w:pPr>
        <w:pStyle w:val="27"/>
        <w:spacing w:before="0" w:line="312" w:lineRule="auto"/>
        <w:ind w:firstLine="480"/>
        <w:rPr>
          <w:rFonts w:hint="eastAsia" w:ascii="仿宋" w:hAnsi="仿宋" w:eastAsia="仿宋"/>
          <w:color w:val="auto"/>
          <w:szCs w:val="24"/>
          <w:highlight w:val="none"/>
        </w:rPr>
      </w:pP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甲方（盖章）：                             乙方（盖章）：        </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法定代表人或受委托人（签字）：             法定代表人或受委托人（签字）： </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联系人：                                  联系人：</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地址：余杭区仁和街道三星路32号           地址： </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电话和传真：                              电话传真：</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开户银行：                                开户银行： </w:t>
      </w:r>
    </w:p>
    <w:p>
      <w:pPr>
        <w:spacing w:line="312"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帐号：                                    帐号： </w:t>
      </w:r>
    </w:p>
    <w:p>
      <w:pPr>
        <w:pStyle w:val="27"/>
        <w:spacing w:before="0" w:line="312" w:lineRule="auto"/>
        <w:ind w:firstLine="480"/>
        <w:rPr>
          <w:rFonts w:hint="eastAsia" w:ascii="仿宋" w:hAnsi="仿宋" w:eastAsia="仿宋"/>
          <w:color w:val="auto"/>
          <w:szCs w:val="24"/>
          <w:highlight w:val="none"/>
        </w:rPr>
      </w:pPr>
    </w:p>
    <w:p>
      <w:pPr>
        <w:pStyle w:val="27"/>
        <w:spacing w:before="0" w:line="312" w:lineRule="auto"/>
        <w:ind w:firstLine="480"/>
        <w:rPr>
          <w:rFonts w:hint="eastAsia" w:ascii="仿宋" w:hAnsi="仿宋" w:eastAsia="仿宋"/>
          <w:color w:val="auto"/>
          <w:szCs w:val="24"/>
          <w:highlight w:val="none"/>
        </w:rPr>
      </w:pPr>
    </w:p>
    <w:p>
      <w:pPr>
        <w:pStyle w:val="27"/>
        <w:spacing w:before="0" w:line="312" w:lineRule="auto"/>
        <w:ind w:firstLine="480"/>
        <w:rPr>
          <w:rFonts w:hint="eastAsia" w:ascii="仿宋" w:hAnsi="仿宋" w:eastAsia="仿宋"/>
          <w:color w:val="auto"/>
          <w:szCs w:val="24"/>
          <w:highlight w:val="none"/>
        </w:rPr>
      </w:pPr>
      <w:r>
        <w:rPr>
          <w:rFonts w:hint="eastAsia" w:ascii="仿宋" w:hAnsi="仿宋" w:eastAsia="仿宋"/>
          <w:color w:val="auto"/>
          <w:szCs w:val="24"/>
          <w:highlight w:val="none"/>
        </w:rPr>
        <w:t>签约地点：</w:t>
      </w:r>
    </w:p>
    <w:p>
      <w:pPr>
        <w:pStyle w:val="27"/>
        <w:spacing w:before="0" w:line="312" w:lineRule="auto"/>
        <w:ind w:firstLine="480"/>
        <w:rPr>
          <w:rFonts w:hint="eastAsia" w:ascii="仿宋" w:hAnsi="仿宋" w:eastAsia="仿宋"/>
          <w:color w:val="auto"/>
          <w:szCs w:val="24"/>
          <w:highlight w:val="none"/>
        </w:rPr>
      </w:pPr>
      <w:r>
        <w:rPr>
          <w:rFonts w:hint="eastAsia" w:ascii="仿宋" w:hAnsi="仿宋" w:eastAsia="仿宋"/>
          <w:color w:val="auto"/>
          <w:szCs w:val="24"/>
          <w:highlight w:val="none"/>
        </w:rPr>
        <w:t>签约日期：</w:t>
      </w:r>
      <w:r>
        <w:rPr>
          <w:rFonts w:hint="eastAsia" w:ascii="仿宋" w:hAnsi="仿宋" w:eastAsia="仿宋"/>
          <w:color w:val="auto"/>
          <w:szCs w:val="24"/>
          <w:highlight w:val="none"/>
          <w:lang w:val="en-US" w:eastAsia="zh-CN"/>
        </w:rPr>
        <w:t xml:space="preserve">  </w:t>
      </w:r>
      <w:r>
        <w:rPr>
          <w:rFonts w:hint="eastAsia" w:ascii="仿宋" w:hAnsi="仿宋" w:eastAsia="仿宋"/>
          <w:color w:val="auto"/>
          <w:szCs w:val="24"/>
          <w:highlight w:val="none"/>
        </w:rPr>
        <w:t>年   月    日</w:t>
      </w:r>
    </w:p>
    <w:p>
      <w:pPr>
        <w:rPr>
          <w:rFonts w:hint="eastAsia"/>
          <w:color w:val="auto"/>
          <w:highlight w:val="none"/>
        </w:rPr>
      </w:pPr>
    </w:p>
    <w:p>
      <w:pPr>
        <w:adjustRightInd w:val="0"/>
        <w:snapToGrid w:val="0"/>
        <w:spacing w:line="360" w:lineRule="auto"/>
        <w:rPr>
          <w:rFonts w:ascii="仿宋" w:hAnsi="仿宋" w:eastAsia="仿宋" w:cs="仿宋"/>
          <w:color w:val="auto"/>
          <w:kern w:val="0"/>
          <w:sz w:val="24"/>
          <w:highlight w:val="none"/>
        </w:rPr>
      </w:pPr>
      <w:r>
        <w:rPr>
          <w:rFonts w:hint="eastAsia"/>
          <w:color w:val="auto"/>
          <w:highlight w:val="none"/>
        </w:rPr>
        <w:br w:type="page"/>
      </w:r>
    </w:p>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41" w:name="_Toc234764855"/>
      <w:bookmarkStart w:id="42" w:name="_Toc251566668"/>
      <w:bookmarkStart w:id="43" w:name="_Toc249760797"/>
      <w:bookmarkStart w:id="44" w:name="_Toc1306"/>
      <w:bookmarkStart w:id="45" w:name="_Toc25092"/>
      <w:r>
        <w:rPr>
          <w:rFonts w:hint="eastAsia" w:ascii="仿宋" w:hAnsi="仿宋" w:eastAsia="仿宋" w:cs="仿宋"/>
          <w:b/>
          <w:color w:val="auto"/>
          <w:sz w:val="30"/>
          <w:szCs w:val="30"/>
          <w:highlight w:val="none"/>
        </w:rPr>
        <w:t>第六部分  投标文件格式</w:t>
      </w:r>
      <w:bookmarkEnd w:id="41"/>
      <w:bookmarkEnd w:id="42"/>
      <w:bookmarkEnd w:id="43"/>
      <w:bookmarkEnd w:id="44"/>
      <w:bookmarkEnd w:id="45"/>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_GB2312" w:hAnsi="仿宋" w:eastAsia="仿宋_GB2312" w:cs="仿宋_GB2312"/>
          <w:b/>
          <w:color w:val="auto"/>
          <w:kern w:val="0"/>
          <w:sz w:val="36"/>
          <w:szCs w:val="36"/>
          <w:highlight w:val="none"/>
        </w:rPr>
      </w:pPr>
      <w:bookmarkStart w:id="46" w:name="_Toc23772"/>
      <w:bookmarkStart w:id="47" w:name="_Toc17481"/>
      <w:bookmarkStart w:id="48" w:name="_Toc32560"/>
      <w:bookmarkStart w:id="49" w:name="_Toc25507"/>
      <w:bookmarkStart w:id="50" w:name="_Toc22159"/>
      <w:r>
        <w:rPr>
          <w:rFonts w:hint="eastAsia" w:ascii="仿宋_GB2312" w:hAnsi="仿宋" w:eastAsia="仿宋_GB2312" w:cs="仿宋_GB2312"/>
          <w:b/>
          <w:color w:val="auto"/>
          <w:kern w:val="0"/>
          <w:sz w:val="36"/>
          <w:szCs w:val="36"/>
          <w:highlight w:val="none"/>
        </w:rPr>
        <w:t>资格文件部分</w:t>
      </w:r>
      <w:bookmarkEnd w:id="46"/>
      <w:bookmarkEnd w:id="47"/>
      <w:bookmarkEnd w:id="48"/>
      <w:bookmarkEnd w:id="49"/>
      <w:bookmarkEnd w:id="50"/>
    </w:p>
    <w:p>
      <w:pPr>
        <w:spacing w:line="360" w:lineRule="auto"/>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（4）联合协议………………………………………………………………（页码）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9"/>
        <w:rPr>
          <w:rFonts w:ascii="仿宋_GB2312" w:hAnsi="仿宋" w:eastAsia="仿宋_GB2312" w:cs="仿宋_GB2312"/>
          <w:color w:val="auto"/>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hint="eastAsia"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rPr>
          <w:color w:val="auto"/>
          <w:highlight w:val="none"/>
        </w:rPr>
      </w:pPr>
      <w:r>
        <w:rPr>
          <w:color w:val="auto"/>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72" w:firstLineChars="196"/>
        <w:jc w:val="left"/>
        <w:rPr>
          <w:rFonts w:ascii="仿宋_GB2312" w:hAnsi="仿宋" w:eastAsia="仿宋_GB2312" w:cs="仿宋_GB2312"/>
          <w:b/>
          <w:color w:val="auto"/>
          <w:sz w:val="24"/>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pPr>
        <w:widowControl/>
        <w:spacing w:line="360" w:lineRule="auto"/>
        <w:ind w:firstLine="472" w:firstLineChars="196"/>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djustRightInd w:val="0"/>
        <w:snapToGrid w:val="0"/>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adjustRightInd w:val="0"/>
        <w:snapToGrid w:val="0"/>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adjustRightInd w:val="0"/>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adjustRightInd w:val="0"/>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adjustRightInd w:val="0"/>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adjustRightInd w:val="0"/>
        <w:snapToGrid w:val="0"/>
        <w:ind w:left="664" w:leftChars="316" w:firstLine="228" w:firstLineChars="95"/>
        <w:rPr>
          <w:color w:val="auto"/>
          <w:highlight w:val="none"/>
        </w:rPr>
      </w:pPr>
      <w:r>
        <w:rPr>
          <w:rFonts w:hint="eastAsia" w:cs="仿宋_GB2312"/>
          <w:color w:val="auto"/>
          <w:kern w:val="0"/>
          <w:sz w:val="24"/>
          <w:highlight w:val="none"/>
        </w:rPr>
        <w:t>……</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adjustRightInd w:val="0"/>
        <w:snapToGrid w:val="0"/>
        <w:spacing w:line="440" w:lineRule="exact"/>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adjustRightInd w:val="0"/>
        <w:snapToGrid w:val="0"/>
        <w:spacing w:line="440" w:lineRule="exact"/>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adjustRightInd w:val="0"/>
        <w:snapToGrid w:val="0"/>
        <w:spacing w:line="440" w:lineRule="exact"/>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adjustRightInd w:val="0"/>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adjustRightInd w:val="0"/>
        <w:snapToGrid w:val="0"/>
        <w:spacing w:line="440" w:lineRule="exact"/>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adjustRightInd w:val="0"/>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adjustRightInd w:val="0"/>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adjustRightInd w:val="0"/>
        <w:snapToGrid w:val="0"/>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19"/>
        <w:rPr>
          <w:color w:val="auto"/>
          <w:highlight w:val="none"/>
        </w:rPr>
      </w:pPr>
      <w:r>
        <w:rPr>
          <w:color w:val="auto"/>
          <w:highlight w:val="none"/>
        </w:rPr>
        <w:br w:type="page"/>
      </w:r>
    </w:p>
    <w:p>
      <w:pPr>
        <w:pStyle w:val="37"/>
        <w:widowControl w:val="0"/>
        <w:adjustRightInd w:val="0"/>
        <w:snapToGrid w:val="0"/>
        <w:spacing w:line="360" w:lineRule="auto"/>
        <w:jc w:val="both"/>
        <w:rPr>
          <w:rFonts w:hint="eastAsia" w:ascii="仿宋" w:hAnsi="仿宋" w:eastAsia="仿宋" w:cs="仿宋"/>
          <w:b/>
          <w:color w:val="auto"/>
          <w:sz w:val="30"/>
          <w:szCs w:val="30"/>
          <w:highlight w:val="none"/>
          <w:lang w:val="en-US" w:eastAsia="zh-CN"/>
        </w:rPr>
      </w:pPr>
      <w:r>
        <w:rPr>
          <w:rFonts w:hint="eastAsia" w:ascii="仿宋" w:hAnsi="仿宋" w:eastAsia="仿宋" w:cs="仿宋"/>
          <w:b/>
          <w:color w:val="FF0000"/>
          <w:sz w:val="30"/>
          <w:szCs w:val="30"/>
          <w:highlight w:val="none"/>
          <w:lang w:val="en-US" w:eastAsia="zh-CN"/>
        </w:rPr>
        <w:t>适用于本项目的中小企业声明函示范格式</w:t>
      </w:r>
    </w:p>
    <w:p>
      <w:pPr>
        <w:pStyle w:val="37"/>
        <w:widowControl w:val="0"/>
        <w:adjustRightInd w:val="0"/>
        <w:snapToGrid w:val="0"/>
        <w:spacing w:line="360" w:lineRule="auto"/>
        <w:jc w:val="both"/>
        <w:rPr>
          <w:rFonts w:hint="eastAsia" w:ascii="仿宋" w:hAnsi="仿宋" w:eastAsia="仿宋" w:cs="仿宋"/>
          <w:b/>
          <w:color w:val="auto"/>
          <w:sz w:val="30"/>
          <w:szCs w:val="30"/>
          <w:highlight w:val="none"/>
          <w:lang w:val="en-US" w:eastAsia="zh-CN"/>
        </w:rPr>
      </w:pPr>
    </w:p>
    <w:p>
      <w:pPr>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杭州市第一社会福利院（杭州市精神病人社会福利院）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 w:hAnsi="仿宋" w:eastAsia="仿宋" w:cs="仿宋"/>
          <w:color w:val="auto"/>
          <w:sz w:val="24"/>
          <w:szCs w:val="24"/>
          <w:highlight w:val="none"/>
          <w:u w:val="single"/>
          <w:lang w:eastAsia="zh-CN"/>
        </w:rPr>
        <w:t>2023年度服务对象护理服务</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 xml:space="preserve"> </w:t>
      </w:r>
      <w:r>
        <w:rPr>
          <w:rFonts w:hint="eastAsia" w:ascii="仿宋_GB2312" w:hAnsi="仿宋" w:eastAsia="仿宋_GB2312" w:cs="Arial"/>
          <w:b/>
          <w:bCs/>
          <w:color w:val="auto"/>
          <w:kern w:val="0"/>
          <w:sz w:val="24"/>
          <w:highlight w:val="none"/>
          <w:u w:val="single"/>
          <w:lang w:eastAsia="zh-CN"/>
        </w:rPr>
        <w:t>服务对象护理服务</w:t>
      </w:r>
      <w:r>
        <w:rPr>
          <w:rFonts w:hint="eastAsia" w:ascii="仿宋_GB2312" w:hAnsi="仿宋" w:eastAsia="仿宋_GB2312" w:cs="Arial"/>
          <w:b/>
          <w:bCs/>
          <w:color w:val="auto"/>
          <w:kern w:val="0"/>
          <w:sz w:val="24"/>
          <w:highlight w:val="none"/>
          <w:u w:val="single"/>
          <w:lang w:val="en-US" w:eastAsia="zh-CN"/>
        </w:rPr>
        <w:t xml:space="preserve"> </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其他未列明行业</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hint="eastAsia" w:ascii="仿宋_GB2312" w:hAnsi="仿宋" w:eastAsia="仿宋_GB2312" w:cs="仿宋_GB2312"/>
          <w:color w:val="auto"/>
          <w:sz w:val="24"/>
          <w:highlight w:val="none"/>
        </w:rPr>
      </w:pP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pStyle w:val="19"/>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pStyle w:val="19"/>
        <w:jc w:val="center"/>
        <w:rPr>
          <w:rFonts w:hint="eastAsia" w:ascii="仿宋_GB2312" w:hAnsi="宋体" w:eastAsia="仿宋_GB2312"/>
          <w:color w:val="auto"/>
          <w:sz w:val="24"/>
          <w:highlight w:val="none"/>
        </w:rPr>
      </w:pPr>
    </w:p>
    <w:p>
      <w:pPr>
        <w:pStyle w:val="19"/>
        <w:jc w:val="center"/>
        <w:rPr>
          <w:rFonts w:hint="eastAsia" w:ascii="仿宋_GB2312" w:hAnsi="宋体" w:eastAsia="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9"/>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9"/>
        <w:rPr>
          <w:color w:val="auto"/>
          <w:highlight w:val="none"/>
        </w:rPr>
      </w:pPr>
      <w:r>
        <w:rPr>
          <w:color w:val="auto"/>
          <w:highlight w:val="none"/>
        </w:rPr>
        <w:br w:type="page"/>
      </w: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四、</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w:t>
      </w:r>
      <w:r>
        <w:rPr>
          <w:rFonts w:hint="eastAsia" w:ascii="仿宋_GB2312" w:hAnsi="仿宋" w:eastAsia="仿宋_GB2312" w:cs="仿宋_GB2312"/>
          <w:color w:val="auto"/>
          <w:kern w:val="0"/>
          <w:sz w:val="24"/>
          <w:highlight w:val="none"/>
          <w:lang w:val="en-US" w:eastAsia="zh-CN"/>
        </w:rPr>
        <w:t>服务</w:t>
      </w:r>
      <w:r>
        <w:rPr>
          <w:rFonts w:hint="eastAsia" w:ascii="仿宋_GB2312" w:hAnsi="仿宋" w:eastAsia="仿宋_GB2312" w:cs="仿宋_GB2312"/>
          <w:color w:val="auto"/>
          <w:kern w:val="0"/>
          <w:sz w:val="24"/>
          <w:highlight w:val="none"/>
        </w:rPr>
        <w:t>由小微企业</w:t>
      </w:r>
      <w:r>
        <w:rPr>
          <w:rFonts w:hint="eastAsia" w:ascii="仿宋_GB2312" w:hAnsi="仿宋" w:eastAsia="仿宋_GB2312" w:cs="仿宋_GB2312"/>
          <w:color w:val="auto"/>
          <w:kern w:val="0"/>
          <w:sz w:val="24"/>
          <w:highlight w:val="none"/>
          <w:lang w:val="en-US" w:eastAsia="zh-CN"/>
        </w:rPr>
        <w:t>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w:t>
      </w:r>
      <w:r>
        <w:rPr>
          <w:rFonts w:hint="eastAsia" w:ascii="仿宋_GB2312" w:hAnsi="仿宋" w:eastAsia="仿宋_GB2312" w:cs="仿宋_GB2312"/>
          <w:b/>
          <w:color w:val="auto"/>
          <w:kern w:val="0"/>
          <w:sz w:val="24"/>
          <w:highlight w:val="none"/>
          <w:lang w:val="en-US" w:eastAsia="zh-CN"/>
        </w:rPr>
        <w:t>服务</w:t>
      </w:r>
      <w:r>
        <w:rPr>
          <w:rFonts w:hint="eastAsia" w:ascii="仿宋_GB2312" w:hAnsi="仿宋" w:eastAsia="仿宋_GB2312" w:cs="仿宋_GB2312"/>
          <w:b/>
          <w:color w:val="auto"/>
          <w:kern w:val="0"/>
          <w:sz w:val="24"/>
          <w:highlight w:val="none"/>
          <w:lang w:val="zh-CN"/>
        </w:rPr>
        <w:t>全部由小微企业</w:t>
      </w:r>
      <w:r>
        <w:rPr>
          <w:rFonts w:hint="eastAsia" w:ascii="仿宋_GB2312" w:hAnsi="仿宋" w:eastAsia="仿宋_GB2312" w:cs="仿宋_GB2312"/>
          <w:b/>
          <w:color w:val="auto"/>
          <w:kern w:val="0"/>
          <w:sz w:val="24"/>
          <w:highlight w:val="none"/>
          <w:lang w:val="en-US" w:eastAsia="zh-CN"/>
        </w:rPr>
        <w:t>承接</w:t>
      </w:r>
      <w:r>
        <w:rPr>
          <w:rFonts w:hint="eastAsia" w:ascii="仿宋_GB2312" w:hAnsi="仿宋" w:eastAsia="仿宋_GB2312" w:cs="仿宋_GB2312"/>
          <w:b/>
          <w:color w:val="auto"/>
          <w:kern w:val="0"/>
          <w:sz w:val="24"/>
          <w:highlight w:val="none"/>
          <w:lang w:val="zh-CN"/>
        </w:rPr>
        <w:t>，且其合同份额占到合同总金额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color w:val="auto"/>
          <w:highlight w:val="none"/>
        </w:rPr>
      </w:pPr>
      <w:r>
        <w:rPr>
          <w:rFonts w:ascii="仿宋_GB2312" w:hAnsi="仿宋" w:eastAsia="仿宋_GB2312" w:cs="仿宋_GB2312"/>
          <w:color w:val="auto"/>
          <w:kern w:val="0"/>
          <w:sz w:val="24"/>
          <w:highlight w:val="none"/>
          <w:lang w:val="zh-CN"/>
        </w:rPr>
        <w:t xml:space="preserve">                                               日期：  年  月   日</w:t>
      </w:r>
    </w:p>
    <w:p>
      <w:pPr>
        <w:pStyle w:val="19"/>
        <w:ind w:left="0" w:leftChars="0" w:firstLine="0" w:firstLineChars="0"/>
        <w:rPr>
          <w:color w:val="auto"/>
          <w:highlight w:val="none"/>
        </w:rPr>
      </w:pPr>
    </w:p>
    <w:p>
      <w:pPr>
        <w:spacing w:line="360" w:lineRule="auto"/>
        <w:ind w:right="420"/>
        <w:jc w:val="center"/>
        <w:outlineLvl w:val="1"/>
        <w:rPr>
          <w:rFonts w:ascii="仿宋_GB2312" w:hAnsi="仿宋" w:eastAsia="仿宋_GB2312" w:cs="仿宋_GB2312"/>
          <w:b/>
          <w:color w:val="auto"/>
          <w:kern w:val="0"/>
          <w:sz w:val="36"/>
          <w:szCs w:val="36"/>
          <w:highlight w:val="none"/>
        </w:rPr>
      </w:pPr>
      <w:bookmarkStart w:id="51" w:name="_Toc22489"/>
      <w:bookmarkStart w:id="52" w:name="_Toc3036"/>
      <w:bookmarkStart w:id="53" w:name="_Toc23246"/>
      <w:bookmarkStart w:id="54" w:name="_Toc23502"/>
      <w:bookmarkStart w:id="55" w:name="_Toc3386"/>
      <w:r>
        <w:rPr>
          <w:rFonts w:hint="eastAsia" w:ascii="仿宋_GB2312" w:hAnsi="仿宋" w:eastAsia="仿宋_GB2312" w:cs="仿宋_GB2312"/>
          <w:b/>
          <w:color w:val="auto"/>
          <w:kern w:val="0"/>
          <w:sz w:val="36"/>
          <w:szCs w:val="36"/>
          <w:highlight w:val="none"/>
        </w:rPr>
        <w:t>商务技术文件部分</w:t>
      </w:r>
      <w:bookmarkEnd w:id="51"/>
      <w:bookmarkEnd w:id="52"/>
      <w:bookmarkEnd w:id="53"/>
      <w:bookmarkEnd w:id="54"/>
      <w:bookmarkEnd w:id="55"/>
    </w:p>
    <w:p>
      <w:pPr>
        <w:spacing w:line="360" w:lineRule="auto"/>
        <w:jc w:val="center"/>
        <w:rPr>
          <w:rFonts w:ascii="仿宋_GB2312" w:hAnsi="仿宋" w:eastAsia="仿宋_GB2312" w:cs="仿宋_GB2312"/>
          <w:b/>
          <w:color w:val="auto"/>
          <w:kern w:val="0"/>
          <w:sz w:val="24"/>
          <w:highlight w:val="none"/>
        </w:rPr>
      </w:pPr>
    </w:p>
    <w:p>
      <w:pPr>
        <w:spacing w:line="360" w:lineRule="auto"/>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rPr>
      </w:pPr>
    </w:p>
    <w:p>
      <w:pPr>
        <w:snapToGrid w:val="0"/>
        <w:spacing w:line="360" w:lineRule="auto"/>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rPr>
          <w:rFonts w:ascii="仿宋_GB2312" w:hAnsi="仿宋" w:eastAsia="仿宋_GB2312" w:cs="仿宋_GB2312"/>
          <w:b/>
          <w:color w:val="auto"/>
          <w:kern w:val="0"/>
          <w:sz w:val="32"/>
          <w:szCs w:val="32"/>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rPr>
      </w:pPr>
    </w:p>
    <w:p>
      <w:pPr>
        <w:snapToGrid w:val="0"/>
        <w:spacing w:line="360" w:lineRule="auto"/>
        <w:jc w:val="both"/>
        <w:rPr>
          <w:rFonts w:hint="eastAsia" w:ascii="仿宋_GB2312" w:hAnsi="仿宋" w:eastAsia="仿宋_GB2312" w:cs="仿宋_GB2312"/>
          <w:b/>
          <w:color w:val="auto"/>
          <w:kern w:val="0"/>
          <w:sz w:val="32"/>
          <w:szCs w:val="32"/>
          <w:highlight w:val="none"/>
        </w:rPr>
      </w:pPr>
    </w:p>
    <w:p>
      <w:pPr>
        <w:snapToGrid w:val="0"/>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adjustRightInd w:val="0"/>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adjustRightInd w:val="0"/>
        <w:snapToGrid w:val="0"/>
        <w:spacing w:line="40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adjustRightInd w:val="0"/>
        <w:snapToGrid w:val="0"/>
        <w:spacing w:line="40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adjustRightInd w:val="0"/>
        <w:snapToGrid w:val="0"/>
        <w:spacing w:line="4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；（提供中小企业声明函）</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；（本项目不适用）</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2.1.4联合协议。（如有）</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；（如有）</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商务技术偏离表；</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lang w:val="zh-CN"/>
        </w:rPr>
        <w:t>政府采购供应商廉洁自律承诺书；</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adjustRightInd w:val="0"/>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w:t>
      </w:r>
      <w:r>
        <w:rPr>
          <w:rFonts w:hint="eastAsia" w:ascii="仿宋_GB2312" w:hAnsi="仿宋" w:eastAsia="仿宋_GB2312" w:cs="仿宋_GB2312"/>
          <w:color w:val="auto"/>
          <w:sz w:val="24"/>
          <w:highlight w:val="none"/>
          <w:lang w:val="en-US" w:eastAsia="zh-CN"/>
        </w:rPr>
        <w:t>投标报价明细表</w:t>
      </w:r>
      <w:r>
        <w:rPr>
          <w:rFonts w:hint="eastAsia" w:ascii="仿宋_GB2312" w:hAnsi="仿宋" w:eastAsia="仿宋_GB2312" w:cs="仿宋_GB2312"/>
          <w:color w:val="auto"/>
          <w:sz w:val="24"/>
          <w:highlight w:val="none"/>
        </w:rPr>
        <w:t>。</w:t>
      </w:r>
    </w:p>
    <w:p>
      <w:pPr>
        <w:adjustRightInd w:val="0"/>
        <w:snapToGrid w:val="0"/>
        <w:spacing w:line="40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adjustRightInd w:val="0"/>
        <w:snapToGrid w:val="0"/>
        <w:spacing w:line="40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adjustRightInd w:val="0"/>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adjustRightInd w:val="0"/>
        <w:snapToGrid w:val="0"/>
        <w:spacing w:line="400" w:lineRule="exact"/>
        <w:ind w:firstLine="3600" w:firstLineChars="1500"/>
        <w:rPr>
          <w:rFonts w:ascii="仿宋_GB2312" w:hAnsi="仿宋" w:eastAsia="仿宋_GB2312" w:cs="仿宋_GB2312"/>
          <w:color w:val="auto"/>
          <w:sz w:val="24"/>
          <w:highlight w:val="none"/>
        </w:rPr>
      </w:pPr>
    </w:p>
    <w:p>
      <w:pPr>
        <w:adjustRightInd w:val="0"/>
        <w:snapToGrid w:val="0"/>
        <w:spacing w:line="40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adjustRightInd w:val="0"/>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pStyle w:val="19"/>
        <w:rPr>
          <w:color w:val="auto"/>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3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34"/>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ind w:left="664" w:leftChars="316" w:firstLine="228" w:firstLineChars="95"/>
        <w:rPr>
          <w:color w:val="auto"/>
          <w:highlight w:val="none"/>
        </w:rPr>
      </w:pPr>
      <w:r>
        <w:rPr>
          <w:rFonts w:hint="eastAsia" w:cs="仿宋_GB2312"/>
          <w:color w:val="auto"/>
          <w:kern w:val="0"/>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w:t>
      </w:r>
      <w:r>
        <w:rPr>
          <w:rFonts w:hint="eastAsia" w:ascii="仿宋_GB2312" w:hAnsi="仿宋" w:eastAsia="仿宋_GB2312" w:cs="仿宋_GB2312"/>
          <w:color w:val="auto"/>
          <w:kern w:val="0"/>
          <w:sz w:val="24"/>
          <w:highlight w:val="none"/>
          <w:u w:val="single"/>
          <w:lang w:val="en-US" w:eastAsia="zh-CN"/>
        </w:rPr>
        <w:t>服务</w:t>
      </w:r>
      <w:r>
        <w:rPr>
          <w:rFonts w:hint="eastAsia" w:ascii="仿宋_GB2312" w:hAnsi="仿宋" w:eastAsia="仿宋_GB2312" w:cs="仿宋_GB2312"/>
          <w:color w:val="auto"/>
          <w:kern w:val="0"/>
          <w:sz w:val="24"/>
          <w:highlight w:val="none"/>
          <w:u w:val="single"/>
        </w:rPr>
        <w:t>全部由小微企业</w:t>
      </w:r>
      <w:r>
        <w:rPr>
          <w:rFonts w:hint="eastAsia" w:ascii="仿宋_GB2312" w:hAnsi="仿宋" w:eastAsia="仿宋_GB2312" w:cs="仿宋_GB2312"/>
          <w:color w:val="auto"/>
          <w:kern w:val="0"/>
          <w:sz w:val="24"/>
          <w:highlight w:val="none"/>
          <w:u w:val="single"/>
          <w:lang w:val="en-US" w:eastAsia="zh-CN"/>
        </w:rPr>
        <w:t>承接</w:t>
      </w:r>
      <w:r>
        <w:rPr>
          <w:rFonts w:hint="eastAsia" w:ascii="仿宋_GB2312" w:hAnsi="仿宋" w:eastAsia="仿宋_GB2312" w:cs="仿宋_GB2312"/>
          <w:color w:val="auto"/>
          <w:kern w:val="0"/>
          <w:sz w:val="24"/>
          <w:highlight w:val="none"/>
          <w:u w:val="single"/>
        </w:rPr>
        <w:t>，</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w:t>
      </w:r>
      <w:r>
        <w:rPr>
          <w:rFonts w:hint="eastAsia" w:ascii="仿宋_GB2312" w:hAnsi="仿宋" w:eastAsia="仿宋_GB2312" w:cs="仿宋_GB2312"/>
          <w:b/>
          <w:color w:val="auto"/>
          <w:kern w:val="0"/>
          <w:sz w:val="24"/>
          <w:highlight w:val="none"/>
          <w:lang w:val="en-US" w:eastAsia="zh-CN"/>
        </w:rPr>
        <w:t>服务</w:t>
      </w:r>
      <w:r>
        <w:rPr>
          <w:rFonts w:hint="eastAsia" w:ascii="仿宋_GB2312" w:hAnsi="仿宋" w:eastAsia="仿宋_GB2312" w:cs="仿宋_GB2312"/>
          <w:b/>
          <w:color w:val="auto"/>
          <w:kern w:val="0"/>
          <w:sz w:val="24"/>
          <w:highlight w:val="none"/>
          <w:lang w:val="zh-CN"/>
        </w:rPr>
        <w:t>全部由小微企业</w:t>
      </w:r>
      <w:r>
        <w:rPr>
          <w:rFonts w:hint="eastAsia" w:ascii="仿宋_GB2312" w:hAnsi="仿宋" w:eastAsia="仿宋_GB2312" w:cs="仿宋_GB2312"/>
          <w:b/>
          <w:color w:val="auto"/>
          <w:kern w:val="0"/>
          <w:sz w:val="24"/>
          <w:highlight w:val="none"/>
          <w:lang w:val="en-US" w:eastAsia="zh-CN"/>
        </w:rPr>
        <w:t>承接</w:t>
      </w:r>
      <w:r>
        <w:rPr>
          <w:rFonts w:hint="eastAsia" w:ascii="仿宋_GB2312" w:hAnsi="仿宋" w:eastAsia="仿宋_GB2312" w:cs="仿宋_GB2312"/>
          <w:b/>
          <w:color w:val="auto"/>
          <w:kern w:val="0"/>
          <w:sz w:val="24"/>
          <w:highlight w:val="none"/>
          <w:lang w:val="zh-CN"/>
        </w:rPr>
        <w:t>，且其合同份额占到合同总金额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color w:val="auto"/>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19"/>
        <w:rPr>
          <w:color w:val="auto"/>
          <w:highlight w:val="none"/>
          <w:lang w:val="zh-CN"/>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四、符合性审查资料</w:t>
      </w:r>
    </w:p>
    <w:p>
      <w:pPr>
        <w:jc w:val="center"/>
        <w:rPr>
          <w:rFonts w:ascii="仿宋_GB2312" w:hAnsi="仿宋" w:eastAsia="仿宋_GB2312" w:cs="仿宋_GB2312"/>
          <w:b/>
          <w:color w:val="auto"/>
          <w:kern w:val="0"/>
          <w:sz w:val="32"/>
          <w:szCs w:val="32"/>
          <w:highlight w:val="none"/>
        </w:rPr>
      </w:pPr>
    </w:p>
    <w:tbl>
      <w:tblPr>
        <w:tblStyle w:val="2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adjustRightInd w:val="0"/>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adjustRightInd w:val="0"/>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adjustRightInd w:val="0"/>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adjustRightInd w:val="0"/>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pPr>
              <w:adjustRightInd w:val="0"/>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adjustRightInd w:val="0"/>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adjustRightInd w:val="0"/>
              <w:snapToGrid w:val="0"/>
              <w:spacing w:line="400" w:lineRule="exact"/>
              <w:rPr>
                <w:rFonts w:ascii="仿宋" w:hAnsi="仿宋" w:eastAsia="仿宋" w:cs="仿宋_GB2312"/>
                <w:color w:val="auto"/>
                <w:sz w:val="24"/>
                <w:highlight w:val="none"/>
              </w:rPr>
            </w:pPr>
          </w:p>
          <w:p>
            <w:pPr>
              <w:adjustRightInd w:val="0"/>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adjustRightInd w:val="0"/>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4245" w:type="dxa"/>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adjustRightInd w:val="0"/>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672" w:type="dxa"/>
            <w:vAlign w:val="center"/>
          </w:tcPr>
          <w:p>
            <w:pPr>
              <w:adjustRightInd w:val="0"/>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tabs>
                <w:tab w:val="left" w:pos="432"/>
              </w:tabs>
              <w:adjustRightInd w:val="0"/>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4245" w:type="dxa"/>
            <w:vAlign w:val="center"/>
          </w:tcPr>
          <w:p>
            <w:pPr>
              <w:adjustRightInd w:val="0"/>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adjustRightInd w:val="0"/>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adjustRightInd w:val="0"/>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adjustRightInd w:val="0"/>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4245" w:type="dxa"/>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adjustRightInd w:val="0"/>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adjustRightInd w:val="0"/>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adjustRightInd w:val="0"/>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19"/>
        <w:rPr>
          <w:color w:val="auto"/>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五、评标标准相应的商务技术资料</w:t>
      </w:r>
    </w:p>
    <w:p>
      <w:pPr>
        <w:snapToGrid w:val="0"/>
        <w:spacing w:line="360" w:lineRule="auto"/>
        <w:jc w:val="left"/>
        <w:rPr>
          <w:rFonts w:ascii="仿宋_GB2312" w:hAnsi="仿宋" w:eastAsia="仿宋_GB2312" w:cs="仿宋_GB2312"/>
          <w:b/>
          <w:color w:val="auto"/>
          <w:sz w:val="24"/>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pStyle w:val="19"/>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六、商务技术偏离表</w:t>
      </w:r>
    </w:p>
    <w:p>
      <w:pPr>
        <w:jc w:val="center"/>
        <w:rPr>
          <w:rFonts w:ascii="仿宋_GB2312" w:hAnsi="仿宋" w:eastAsia="仿宋_GB2312"/>
          <w:b/>
          <w:bCs/>
          <w:color w:val="auto"/>
          <w:sz w:val="24"/>
          <w:highlight w:val="none"/>
        </w:rPr>
      </w:pP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adjustRightInd w:val="0"/>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adjustRightInd w:val="0"/>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adjustRightInd w:val="0"/>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adjustRightInd w:val="0"/>
              <w:snapToGrid w:val="0"/>
              <w:spacing w:line="400" w:lineRule="exact"/>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 w:eastAsia="仿宋_GB2312" w:cs="仿宋_GB2312"/>
          <w:b/>
          <w:color w:val="auto"/>
          <w:kern w:val="0"/>
          <w:sz w:val="36"/>
          <w:szCs w:val="36"/>
          <w:highlight w:val="none"/>
        </w:rPr>
      </w:pPr>
      <w:bookmarkStart w:id="56" w:name="_Toc5590"/>
      <w:bookmarkStart w:id="57" w:name="_Toc3363"/>
      <w:bookmarkStart w:id="58" w:name="_Toc12628"/>
      <w:bookmarkStart w:id="59" w:name="_Toc3232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 w:eastAsia="仿宋_GB2312" w:cs="仿宋_GB2312"/>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 w:eastAsia="仿宋_GB2312" w:cs="仿宋_GB2312"/>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 w:eastAsia="仿宋_GB2312" w:cs="仿宋_GB2312"/>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 w:eastAsia="仿宋_GB2312" w:cs="仿宋_GB2312"/>
          <w:b/>
          <w:color w:val="auto"/>
          <w:kern w:val="0"/>
          <w:sz w:val="36"/>
          <w:szCs w:val="36"/>
          <w:highlight w:val="none"/>
        </w:rPr>
      </w:pPr>
    </w:p>
    <w:p>
      <w:pPr>
        <w:spacing w:line="360" w:lineRule="auto"/>
        <w:jc w:val="center"/>
        <w:outlineLvl w:val="1"/>
        <w:rPr>
          <w:rFonts w:ascii="仿宋_GB2312" w:hAnsi="仿宋" w:eastAsia="仿宋_GB2312" w:cs="仿宋_GB2312"/>
          <w:b/>
          <w:color w:val="auto"/>
          <w:kern w:val="0"/>
          <w:sz w:val="36"/>
          <w:szCs w:val="36"/>
          <w:highlight w:val="none"/>
        </w:rPr>
      </w:pPr>
      <w:bookmarkStart w:id="60" w:name="_Toc14277"/>
      <w:r>
        <w:rPr>
          <w:rFonts w:hint="eastAsia" w:ascii="仿宋_GB2312" w:hAnsi="仿宋" w:eastAsia="仿宋_GB2312" w:cs="仿宋_GB2312"/>
          <w:b/>
          <w:color w:val="auto"/>
          <w:kern w:val="0"/>
          <w:sz w:val="36"/>
          <w:szCs w:val="36"/>
          <w:highlight w:val="none"/>
        </w:rPr>
        <w:t>报价文件部分</w:t>
      </w:r>
      <w:bookmarkEnd w:id="56"/>
      <w:bookmarkEnd w:id="57"/>
      <w:bookmarkEnd w:id="58"/>
      <w:bookmarkEnd w:id="59"/>
      <w:bookmarkEnd w:id="60"/>
    </w:p>
    <w:p>
      <w:pPr>
        <w:spacing w:line="360" w:lineRule="auto"/>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投标报价明细表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8" w:type="default"/>
          <w:pgSz w:w="11906" w:h="16838"/>
          <w:pgMar w:top="1276" w:right="1418" w:bottom="1247" w:left="1418" w:header="851" w:footer="992" w:gutter="0"/>
          <w:cols w:space="720" w:num="1"/>
          <w:titlePg/>
          <w:docGrid w:linePitch="312" w:charSpace="0"/>
        </w:sect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bookmarkStart w:id="61" w:name="_Toc25033"/>
      <w:bookmarkStart w:id="62" w:name="_Toc13843"/>
      <w:bookmarkStart w:id="63" w:name="_Toc17397"/>
      <w:bookmarkStart w:id="64" w:name="_Toc27788"/>
      <w:bookmarkStart w:id="65" w:name="_Toc8039"/>
      <w:bookmarkStart w:id="66" w:name="_Toc21615"/>
      <w:bookmarkStart w:id="67" w:name="_Toc8263"/>
      <w:bookmarkStart w:id="68" w:name="_Toc32377"/>
      <w:bookmarkStart w:id="69" w:name="_Toc27185"/>
      <w:r>
        <w:rPr>
          <w:rFonts w:hint="eastAsia" w:ascii="仿宋_GB2312" w:hAnsi="仿宋" w:eastAsia="仿宋_GB2312" w:cs="仿宋_GB2312"/>
          <w:color w:val="auto"/>
          <w:kern w:val="2"/>
          <w:sz w:val="32"/>
          <w:szCs w:val="32"/>
          <w:highlight w:val="none"/>
        </w:rPr>
        <w:t>一、开标一览表（报价表）</w:t>
      </w:r>
      <w:bookmarkEnd w:id="61"/>
      <w:bookmarkEnd w:id="62"/>
      <w:bookmarkEnd w:id="63"/>
      <w:bookmarkEnd w:id="64"/>
      <w:bookmarkEnd w:id="65"/>
      <w:bookmarkEnd w:id="66"/>
      <w:bookmarkEnd w:id="67"/>
      <w:bookmarkEnd w:id="68"/>
      <w:bookmarkEnd w:id="69"/>
    </w:p>
    <w:p>
      <w:pPr>
        <w:snapToGrid w:val="0"/>
        <w:spacing w:line="360" w:lineRule="auto"/>
        <w:rPr>
          <w:rFonts w:hint="eastAsia" w:ascii="仿宋" w:hAnsi="仿宋" w:eastAsia="仿宋" w:cs="仿宋"/>
          <w:color w:val="auto"/>
          <w:spacing w:val="0"/>
          <w:w w:val="100"/>
          <w:kern w:val="21"/>
          <w:sz w:val="24"/>
          <w:highlight w:val="none"/>
        </w:rPr>
      </w:pPr>
      <w:r>
        <w:rPr>
          <w:rFonts w:hint="eastAsia" w:ascii="仿宋" w:hAnsi="仿宋" w:eastAsia="仿宋" w:cs="仿宋"/>
          <w:color w:val="auto"/>
          <w:spacing w:val="0"/>
          <w:w w:val="100"/>
          <w:kern w:val="21"/>
          <w:sz w:val="24"/>
          <w:highlight w:val="none"/>
          <w:u w:val="single"/>
        </w:rPr>
        <w:t>（采购人）、（采购代理机构）</w:t>
      </w:r>
      <w:r>
        <w:rPr>
          <w:rFonts w:hint="eastAsia" w:ascii="仿宋" w:hAnsi="仿宋" w:eastAsia="仿宋" w:cs="仿宋"/>
          <w:color w:val="auto"/>
          <w:spacing w:val="0"/>
          <w:w w:val="100"/>
          <w:kern w:val="21"/>
          <w:sz w:val="24"/>
          <w:highlight w:val="none"/>
          <w:lang w:val="zh-CN"/>
        </w:rPr>
        <w:t>：</w:t>
      </w:r>
    </w:p>
    <w:p>
      <w:pPr>
        <w:snapToGrid w:val="0"/>
        <w:spacing w:line="360" w:lineRule="auto"/>
        <w:ind w:firstLine="482"/>
        <w:rPr>
          <w:rFonts w:hint="eastAsia" w:ascii="仿宋" w:hAnsi="仿宋" w:eastAsia="仿宋" w:cs="仿宋"/>
          <w:color w:val="auto"/>
          <w:spacing w:val="0"/>
          <w:w w:val="100"/>
          <w:kern w:val="21"/>
          <w:sz w:val="24"/>
          <w:highlight w:val="none"/>
          <w:lang w:val="zh-CN"/>
        </w:rPr>
      </w:pPr>
      <w:r>
        <w:rPr>
          <w:rFonts w:hint="eastAsia" w:ascii="仿宋" w:hAnsi="仿宋" w:eastAsia="仿宋" w:cs="仿宋"/>
          <w:color w:val="auto"/>
          <w:spacing w:val="0"/>
          <w:w w:val="100"/>
          <w:kern w:val="21"/>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pacing w:val="0"/>
          <w:w w:val="100"/>
          <w:kern w:val="21"/>
          <w:sz w:val="24"/>
          <w:highlight w:val="none"/>
          <w:u w:val="single"/>
          <w:lang w:val="en-US" w:eastAsia="zh-CN"/>
        </w:rPr>
        <w:t xml:space="preserve">    </w:t>
      </w:r>
      <w:r>
        <w:rPr>
          <w:rFonts w:hint="eastAsia" w:ascii="仿宋" w:hAnsi="仿宋" w:eastAsia="仿宋" w:cs="仿宋"/>
          <w:color w:val="auto"/>
          <w:spacing w:val="0"/>
          <w:w w:val="100"/>
          <w:kern w:val="21"/>
          <w:sz w:val="24"/>
          <w:highlight w:val="none"/>
        </w:rPr>
        <w:t>（</w:t>
      </w:r>
      <w:r>
        <w:rPr>
          <w:rFonts w:hint="eastAsia" w:ascii="仿宋" w:hAnsi="仿宋" w:eastAsia="仿宋" w:cs="仿宋"/>
          <w:color w:val="auto"/>
          <w:spacing w:val="0"/>
          <w:w w:val="100"/>
          <w:kern w:val="21"/>
          <w:sz w:val="24"/>
          <w:highlight w:val="none"/>
          <w:u w:val="single"/>
        </w:rPr>
        <w:t>项目名称</w:t>
      </w:r>
      <w:r>
        <w:rPr>
          <w:rFonts w:hint="eastAsia" w:ascii="仿宋" w:hAnsi="仿宋" w:eastAsia="仿宋" w:cs="仿宋"/>
          <w:color w:val="auto"/>
          <w:spacing w:val="0"/>
          <w:w w:val="100"/>
          <w:kern w:val="21"/>
          <w:sz w:val="24"/>
          <w:highlight w:val="none"/>
        </w:rPr>
        <w:t>）</w:t>
      </w:r>
      <w:r>
        <w:rPr>
          <w:rFonts w:hint="eastAsia" w:ascii="仿宋" w:hAnsi="仿宋" w:eastAsia="仿宋" w:cs="仿宋"/>
          <w:color w:val="auto"/>
          <w:spacing w:val="0"/>
          <w:w w:val="100"/>
          <w:kern w:val="21"/>
          <w:sz w:val="24"/>
          <w:highlight w:val="none"/>
          <w:lang w:val="zh-CN"/>
        </w:rPr>
        <w:t>【</w:t>
      </w:r>
      <w:r>
        <w:rPr>
          <w:rFonts w:hint="eastAsia" w:ascii="仿宋" w:hAnsi="仿宋" w:eastAsia="仿宋" w:cs="仿宋"/>
          <w:color w:val="auto"/>
          <w:spacing w:val="0"/>
          <w:w w:val="100"/>
          <w:kern w:val="21"/>
          <w:sz w:val="24"/>
          <w:highlight w:val="none"/>
        </w:rPr>
        <w:t>采购编号</w:t>
      </w:r>
      <w:r>
        <w:rPr>
          <w:rFonts w:hint="eastAsia" w:ascii="仿宋" w:hAnsi="仿宋" w:eastAsia="仿宋" w:cs="仿宋"/>
          <w:color w:val="auto"/>
          <w:spacing w:val="0"/>
          <w:w w:val="100"/>
          <w:kern w:val="21"/>
          <w:sz w:val="24"/>
          <w:highlight w:val="none"/>
          <w:lang w:eastAsia="zh-CN"/>
        </w:rPr>
        <w:t>：</w:t>
      </w:r>
      <w:r>
        <w:rPr>
          <w:rFonts w:hint="eastAsia" w:ascii="仿宋" w:hAnsi="仿宋" w:eastAsia="仿宋" w:cs="仿宋"/>
          <w:color w:val="auto"/>
          <w:spacing w:val="0"/>
          <w:w w:val="100"/>
          <w:kern w:val="21"/>
          <w:sz w:val="24"/>
          <w:highlight w:val="none"/>
          <w:u w:val="single"/>
          <w:lang w:val="en-US" w:eastAsia="zh-CN"/>
        </w:rPr>
        <w:t xml:space="preserve">   </w:t>
      </w:r>
      <w:r>
        <w:rPr>
          <w:rFonts w:hint="eastAsia" w:ascii="仿宋" w:hAnsi="仿宋" w:eastAsia="仿宋" w:cs="仿宋"/>
          <w:color w:val="auto"/>
          <w:spacing w:val="0"/>
          <w:w w:val="100"/>
          <w:kern w:val="21"/>
          <w:sz w:val="24"/>
          <w:highlight w:val="none"/>
        </w:rPr>
        <w:t>】的实施</w:t>
      </w:r>
      <w:r>
        <w:rPr>
          <w:rFonts w:hint="eastAsia" w:ascii="仿宋" w:hAnsi="仿宋" w:eastAsia="仿宋" w:cs="仿宋"/>
          <w:color w:val="auto"/>
          <w:spacing w:val="0"/>
          <w:w w:val="100"/>
          <w:kern w:val="21"/>
          <w:sz w:val="24"/>
          <w:highlight w:val="none"/>
          <w:lang w:val="zh-CN"/>
        </w:rPr>
        <w:t>。</w:t>
      </w:r>
    </w:p>
    <w:p>
      <w:pPr>
        <w:spacing w:line="360" w:lineRule="auto"/>
        <w:jc w:val="center"/>
        <w:rPr>
          <w:rFonts w:hint="eastAsia" w:ascii="仿宋" w:hAnsi="仿宋" w:eastAsia="仿宋" w:cs="仿宋"/>
          <w:b/>
          <w:color w:val="auto"/>
          <w:spacing w:val="0"/>
          <w:w w:val="100"/>
          <w:kern w:val="21"/>
          <w:sz w:val="24"/>
          <w:highlight w:val="none"/>
          <w:lang w:val="zh-CN"/>
        </w:rPr>
      </w:pPr>
      <w:r>
        <w:rPr>
          <w:rFonts w:hint="eastAsia" w:ascii="仿宋" w:hAnsi="仿宋" w:eastAsia="仿宋" w:cs="仿宋"/>
          <w:b/>
          <w:color w:val="auto"/>
          <w:spacing w:val="0"/>
          <w:w w:val="100"/>
          <w:kern w:val="21"/>
          <w:sz w:val="24"/>
          <w:highlight w:val="none"/>
          <w:lang w:val="zh-CN"/>
        </w:rPr>
        <w:t>开标一览表（报价表）(单位均为人民币元)</w:t>
      </w:r>
    </w:p>
    <w:tbl>
      <w:tblPr>
        <w:tblStyle w:val="20"/>
        <w:tblW w:w="948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765"/>
        <w:gridCol w:w="1544"/>
        <w:gridCol w:w="802"/>
        <w:gridCol w:w="1434"/>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60" w:type="dxa"/>
            <w:gridSpan w:val="2"/>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费用名称</w:t>
            </w:r>
          </w:p>
        </w:tc>
        <w:tc>
          <w:tcPr>
            <w:tcW w:w="1544" w:type="dxa"/>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en-US" w:eastAsia="zh-CN"/>
              </w:rPr>
              <w:t>护理员人数</w:t>
            </w:r>
          </w:p>
        </w:tc>
        <w:tc>
          <w:tcPr>
            <w:tcW w:w="802" w:type="dxa"/>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仿宋"/>
                <w:b/>
                <w:bCs/>
                <w:color w:val="auto"/>
                <w:szCs w:val="21"/>
                <w:highlight w:val="none"/>
                <w:lang w:val="zh-CN"/>
              </w:rPr>
              <w:t>服务期限</w:t>
            </w:r>
          </w:p>
        </w:tc>
        <w:tc>
          <w:tcPr>
            <w:tcW w:w="1434" w:type="dxa"/>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单价</w:t>
            </w:r>
          </w:p>
          <w:p>
            <w:pPr>
              <w:tabs>
                <w:tab w:val="left" w:pos="2670"/>
              </w:tabs>
              <w:adjustRightInd w:val="0"/>
              <w:jc w:val="center"/>
              <w:rPr>
                <w:rFonts w:hint="eastAsia" w:ascii="仿宋" w:hAnsi="仿宋" w:eastAsia="仿宋" w:cs="宋体"/>
                <w:b/>
                <w:bCs/>
                <w:color w:val="auto"/>
                <w:sz w:val="24"/>
                <w:highlight w:val="none"/>
                <w:lang w:val="en-US" w:eastAsia="zh-CN"/>
              </w:rPr>
            </w:pP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w:t>
            </w:r>
          </w:p>
        </w:tc>
        <w:tc>
          <w:tcPr>
            <w:tcW w:w="1440" w:type="dxa"/>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合价</w:t>
            </w:r>
          </w:p>
        </w:tc>
        <w:tc>
          <w:tcPr>
            <w:tcW w:w="900" w:type="dxa"/>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360" w:type="dxa"/>
            <w:gridSpan w:val="2"/>
            <w:noWrap w:val="0"/>
            <w:vAlign w:val="center"/>
          </w:tcPr>
          <w:p>
            <w:pPr>
              <w:tabs>
                <w:tab w:val="left" w:pos="2670"/>
              </w:tabs>
              <w:adjustRightInd w:val="0"/>
              <w:jc w:val="center"/>
              <w:rPr>
                <w:rFonts w:hint="eastAsia" w:ascii="仿宋" w:hAnsi="仿宋" w:eastAsia="仿宋" w:cs="宋体"/>
                <w:bCs/>
                <w:color w:val="auto"/>
                <w:sz w:val="24"/>
                <w:szCs w:val="21"/>
                <w:highlight w:val="none"/>
                <w:lang w:val="zh-CN"/>
              </w:rPr>
            </w:pPr>
            <w:r>
              <w:rPr>
                <w:rFonts w:hint="eastAsia" w:ascii="仿宋" w:hAnsi="仿宋" w:eastAsia="仿宋" w:cs="宋体"/>
                <w:bCs/>
                <w:color w:val="auto"/>
                <w:sz w:val="24"/>
                <w:szCs w:val="21"/>
                <w:highlight w:val="none"/>
                <w:lang w:val="zh-CN" w:eastAsia="zh-CN"/>
              </w:rPr>
              <w:t>202</w:t>
            </w:r>
            <w:r>
              <w:rPr>
                <w:rFonts w:hint="eastAsia" w:ascii="仿宋" w:hAnsi="仿宋" w:eastAsia="仿宋" w:cs="宋体"/>
                <w:bCs/>
                <w:color w:val="auto"/>
                <w:sz w:val="24"/>
                <w:szCs w:val="21"/>
                <w:highlight w:val="none"/>
                <w:lang w:val="en-US" w:eastAsia="zh-CN"/>
              </w:rPr>
              <w:t>3</w:t>
            </w:r>
            <w:r>
              <w:rPr>
                <w:rFonts w:hint="eastAsia" w:ascii="仿宋" w:hAnsi="仿宋" w:eastAsia="仿宋" w:cs="宋体"/>
                <w:bCs/>
                <w:color w:val="auto"/>
                <w:sz w:val="24"/>
                <w:szCs w:val="21"/>
                <w:highlight w:val="none"/>
                <w:lang w:val="zh-CN" w:eastAsia="zh-CN"/>
              </w:rPr>
              <w:t>年度服务对象护理服务项目</w:t>
            </w:r>
          </w:p>
        </w:tc>
        <w:tc>
          <w:tcPr>
            <w:tcW w:w="1544" w:type="dxa"/>
            <w:noWrap w:val="0"/>
            <w:vAlign w:val="center"/>
          </w:tcPr>
          <w:p>
            <w:pPr>
              <w:tabs>
                <w:tab w:val="left" w:pos="2670"/>
              </w:tabs>
              <w:adjustRightInd w:val="0"/>
              <w:jc w:val="center"/>
              <w:rPr>
                <w:rFonts w:ascii="仿宋" w:hAnsi="仿宋" w:eastAsia="仿宋"/>
                <w:color w:val="auto"/>
                <w:sz w:val="24"/>
                <w:highlight w:val="none"/>
              </w:rPr>
            </w:pPr>
            <w:r>
              <w:rPr>
                <w:rFonts w:hint="eastAsia" w:ascii="仿宋" w:hAnsi="仿宋" w:eastAsia="仿宋"/>
                <w:color w:val="auto"/>
                <w:sz w:val="24"/>
                <w:highlight w:val="none"/>
                <w:lang w:val="en-US" w:eastAsia="zh-CN"/>
              </w:rPr>
              <w:t>108</w:t>
            </w:r>
            <w:r>
              <w:rPr>
                <w:rFonts w:hint="eastAsia" w:ascii="仿宋" w:hAnsi="仿宋" w:eastAsia="仿宋"/>
                <w:color w:val="auto"/>
                <w:sz w:val="24"/>
                <w:highlight w:val="none"/>
              </w:rPr>
              <w:t>人</w:t>
            </w:r>
          </w:p>
        </w:tc>
        <w:tc>
          <w:tcPr>
            <w:tcW w:w="802" w:type="dxa"/>
            <w:noWrap w:val="0"/>
            <w:vAlign w:val="center"/>
          </w:tcPr>
          <w:p>
            <w:pPr>
              <w:tabs>
                <w:tab w:val="left" w:pos="2670"/>
              </w:tabs>
              <w:adjustRightInd w:val="0"/>
              <w:jc w:val="center"/>
              <w:rPr>
                <w:rFonts w:hint="eastAsia" w:ascii="仿宋" w:hAnsi="仿宋" w:eastAsia="仿宋"/>
                <w:color w:val="auto"/>
                <w:sz w:val="24"/>
                <w:highlight w:val="none"/>
              </w:rPr>
            </w:pPr>
            <w:r>
              <w:rPr>
                <w:rFonts w:hint="eastAsia" w:ascii="仿宋" w:hAnsi="仿宋" w:eastAsia="仿宋" w:cs="仿宋"/>
                <w:b/>
                <w:color w:val="auto"/>
                <w:szCs w:val="21"/>
                <w:highlight w:val="none"/>
              </w:rPr>
              <w:t>12个月</w:t>
            </w:r>
          </w:p>
        </w:tc>
        <w:tc>
          <w:tcPr>
            <w:tcW w:w="1434" w:type="dxa"/>
            <w:noWrap w:val="0"/>
            <w:vAlign w:val="center"/>
          </w:tcPr>
          <w:p>
            <w:pPr>
              <w:tabs>
                <w:tab w:val="left" w:pos="2670"/>
              </w:tabs>
              <w:adjustRightInd w:val="0"/>
              <w:jc w:val="center"/>
              <w:rPr>
                <w:rFonts w:hint="eastAsia" w:ascii="仿宋" w:hAnsi="仿宋" w:eastAsia="仿宋"/>
                <w:color w:val="auto"/>
                <w:sz w:val="24"/>
                <w:highlight w:val="none"/>
              </w:rPr>
            </w:pPr>
          </w:p>
        </w:tc>
        <w:tc>
          <w:tcPr>
            <w:tcW w:w="1440" w:type="dxa"/>
            <w:noWrap w:val="0"/>
            <w:vAlign w:val="center"/>
          </w:tcPr>
          <w:p>
            <w:pPr>
              <w:tabs>
                <w:tab w:val="left" w:pos="2670"/>
              </w:tabs>
              <w:adjustRightInd w:val="0"/>
              <w:rPr>
                <w:rFonts w:hint="eastAsia" w:ascii="仿宋" w:hAnsi="仿宋" w:eastAsia="仿宋"/>
                <w:color w:val="auto"/>
                <w:sz w:val="24"/>
                <w:highlight w:val="none"/>
              </w:rPr>
            </w:pPr>
          </w:p>
        </w:tc>
        <w:tc>
          <w:tcPr>
            <w:tcW w:w="900" w:type="dxa"/>
            <w:noWrap w:val="0"/>
            <w:vAlign w:val="center"/>
          </w:tcPr>
          <w:p>
            <w:pPr>
              <w:tabs>
                <w:tab w:val="left" w:pos="2670"/>
              </w:tabs>
              <w:adjustRightInd w:val="0"/>
              <w:rPr>
                <w:rFonts w:hint="eastAsia"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595" w:type="dxa"/>
            <w:vMerge w:val="restart"/>
            <w:noWrap w:val="0"/>
            <w:vAlign w:val="center"/>
          </w:tcPr>
          <w:p>
            <w:pPr>
              <w:tabs>
                <w:tab w:val="left" w:pos="2670"/>
              </w:tabs>
              <w:adjustRightInd w:val="0"/>
              <w:jc w:val="center"/>
              <w:rPr>
                <w:rFonts w:hint="eastAsia"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投标报价</w:t>
            </w:r>
          </w:p>
        </w:tc>
        <w:tc>
          <w:tcPr>
            <w:tcW w:w="6885" w:type="dxa"/>
            <w:gridSpan w:val="6"/>
            <w:noWrap w:val="0"/>
            <w:vAlign w:val="center"/>
          </w:tcPr>
          <w:p>
            <w:pPr>
              <w:tabs>
                <w:tab w:val="left" w:pos="2670"/>
              </w:tabs>
              <w:adjustRightInd w:val="0"/>
              <w:rPr>
                <w:rFonts w:hint="eastAsia" w:ascii="仿宋" w:hAnsi="仿宋" w:eastAsia="仿宋" w:cs="宋体"/>
                <w:b/>
                <w:bCs/>
                <w:color w:val="auto"/>
                <w:sz w:val="24"/>
                <w:highlight w:val="none"/>
                <w:lang w:val="zh-CN"/>
              </w:rPr>
            </w:pPr>
            <w:r>
              <w:rPr>
                <w:rFonts w:hint="eastAsia" w:ascii="仿宋" w:hAnsi="仿宋" w:eastAsia="仿宋"/>
                <w:color w:val="auto"/>
                <w:sz w:val="24"/>
                <w:highlight w:val="none"/>
                <w:lang w:val="en-GB"/>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595" w:type="dxa"/>
            <w:vMerge w:val="continue"/>
            <w:noWrap w:val="0"/>
            <w:vAlign w:val="center"/>
          </w:tcPr>
          <w:p>
            <w:pPr>
              <w:tabs>
                <w:tab w:val="left" w:pos="2670"/>
              </w:tabs>
              <w:adjustRightInd w:val="0"/>
              <w:rPr>
                <w:rFonts w:hint="eastAsia" w:ascii="仿宋" w:hAnsi="仿宋" w:eastAsia="仿宋" w:cs="宋体"/>
                <w:bCs/>
                <w:color w:val="auto"/>
                <w:sz w:val="24"/>
                <w:highlight w:val="none"/>
                <w:lang w:val="zh-CN"/>
              </w:rPr>
            </w:pPr>
          </w:p>
        </w:tc>
        <w:tc>
          <w:tcPr>
            <w:tcW w:w="6885" w:type="dxa"/>
            <w:gridSpan w:val="6"/>
            <w:noWrap w:val="0"/>
            <w:vAlign w:val="center"/>
          </w:tcPr>
          <w:p>
            <w:pPr>
              <w:tabs>
                <w:tab w:val="left" w:pos="2670"/>
              </w:tabs>
              <w:adjustRightInd w:val="0"/>
              <w:rPr>
                <w:rFonts w:hint="eastAsia" w:ascii="仿宋" w:hAnsi="仿宋" w:eastAsia="仿宋" w:cs="宋体"/>
                <w:b/>
                <w:bCs/>
                <w:color w:val="auto"/>
                <w:sz w:val="24"/>
                <w:highlight w:val="none"/>
                <w:lang w:val="zh-CN"/>
              </w:rPr>
            </w:pPr>
            <w:r>
              <w:rPr>
                <w:rFonts w:hint="eastAsia" w:ascii="仿宋" w:hAnsi="仿宋" w:eastAsia="仿宋"/>
                <w:color w:val="auto"/>
                <w:sz w:val="24"/>
                <w:highlight w:val="none"/>
                <w:lang w:val="en-GB"/>
              </w:rPr>
              <w:t>大写：</w:t>
            </w:r>
          </w:p>
        </w:tc>
      </w:tr>
    </w:tbl>
    <w:p>
      <w:pPr>
        <w:keepNext w:val="0"/>
        <w:keepLines w:val="0"/>
        <w:pageBreakBefore w:val="0"/>
        <w:widowControl w:val="0"/>
        <w:kinsoku/>
        <w:wordWrap/>
        <w:overflowPunct/>
        <w:topLinePunct w:val="0"/>
        <w:autoSpaceDE/>
        <w:autoSpaceDN/>
        <w:bidi w:val="0"/>
        <w:adjustRightInd w:val="0"/>
        <w:snapToGrid w:val="0"/>
        <w:spacing w:line="312" w:lineRule="auto"/>
        <w:ind w:left="480"/>
        <w:textAlignment w:val="auto"/>
        <w:rPr>
          <w:rFonts w:hint="eastAsia" w:ascii="仿宋" w:hAnsi="仿宋" w:eastAsia="仿宋" w:cs="仿宋"/>
          <w:b/>
          <w:color w:val="auto"/>
          <w:spacing w:val="0"/>
          <w:w w:val="100"/>
          <w:kern w:val="21"/>
          <w:sz w:val="21"/>
          <w:szCs w:val="21"/>
          <w:highlight w:val="none"/>
          <w:lang w:val="zh-CN"/>
        </w:rPr>
      </w:pPr>
      <w:r>
        <w:rPr>
          <w:rFonts w:hint="eastAsia" w:ascii="仿宋" w:hAnsi="仿宋" w:eastAsia="仿宋" w:cs="仿宋"/>
          <w:b/>
          <w:color w:val="auto"/>
          <w:spacing w:val="0"/>
          <w:w w:val="100"/>
          <w:kern w:val="21"/>
          <w:sz w:val="21"/>
          <w:szCs w:val="21"/>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12" w:lineRule="auto"/>
        <w:ind w:left="-2" w:leftChars="-1" w:firstLine="420" w:firstLineChars="200"/>
        <w:textAlignment w:val="auto"/>
        <w:rPr>
          <w:rFonts w:hint="eastAsia" w:ascii="仿宋" w:hAnsi="仿宋" w:eastAsia="仿宋" w:cs="仿宋"/>
          <w:color w:val="auto"/>
          <w:spacing w:val="0"/>
          <w:w w:val="100"/>
          <w:kern w:val="21"/>
          <w:sz w:val="21"/>
          <w:szCs w:val="21"/>
          <w:highlight w:val="none"/>
          <w:lang w:val="zh-CN"/>
        </w:rPr>
      </w:pPr>
      <w:r>
        <w:rPr>
          <w:rFonts w:hint="eastAsia" w:ascii="仿宋" w:hAnsi="仿宋" w:eastAsia="仿宋" w:cs="仿宋"/>
          <w:color w:val="auto"/>
          <w:spacing w:val="0"/>
          <w:w w:val="100"/>
          <w:kern w:val="21"/>
          <w:sz w:val="21"/>
          <w:szCs w:val="21"/>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auto"/>
          <w:spacing w:val="0"/>
          <w:w w:val="100"/>
          <w:kern w:val="21"/>
          <w:sz w:val="21"/>
          <w:szCs w:val="21"/>
          <w:highlight w:val="none"/>
          <w:lang w:val="zh-CN"/>
        </w:rPr>
      </w:pPr>
      <w:r>
        <w:rPr>
          <w:rFonts w:hint="eastAsia" w:ascii="仿宋" w:hAnsi="仿宋" w:eastAsia="仿宋" w:cs="仿宋"/>
          <w:color w:val="auto"/>
          <w:spacing w:val="0"/>
          <w:w w:val="100"/>
          <w:kern w:val="21"/>
          <w:sz w:val="21"/>
          <w:szCs w:val="21"/>
          <w:highlight w:val="none"/>
          <w:lang w:val="zh-CN"/>
        </w:rPr>
        <w:t>2、有关本项目实施所涉及的一切费用均计入报价。</w:t>
      </w:r>
      <w:r>
        <w:rPr>
          <w:rFonts w:hint="eastAsia" w:ascii="仿宋" w:hAnsi="仿宋" w:eastAsia="仿宋" w:cs="仿宋"/>
          <w:b/>
          <w:color w:val="auto"/>
          <w:spacing w:val="0"/>
          <w:w w:val="100"/>
          <w:kern w:val="21"/>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spacing w:val="0"/>
          <w:w w:val="100"/>
          <w:kern w:val="21"/>
          <w:sz w:val="21"/>
          <w:szCs w:val="21"/>
          <w:highlight w:val="none"/>
          <w:lang w:val="zh-CN"/>
        </w:rPr>
        <w:t>，</w:t>
      </w:r>
      <w:r>
        <w:rPr>
          <w:rFonts w:hint="eastAsia" w:ascii="仿宋" w:hAnsi="仿宋" w:eastAsia="仿宋" w:cs="仿宋"/>
          <w:b/>
          <w:color w:val="auto"/>
          <w:spacing w:val="0"/>
          <w:w w:val="100"/>
          <w:kern w:val="21"/>
          <w:sz w:val="21"/>
          <w:szCs w:val="21"/>
          <w:highlight w:val="none"/>
          <w:lang w:val="zh-CN"/>
        </w:rPr>
        <w:t>不得出现“0元”“免费赠送”等形式的无偿报价，</w:t>
      </w:r>
      <w:r>
        <w:rPr>
          <w:rFonts w:hint="eastAsia" w:ascii="仿宋" w:hAnsi="仿宋" w:eastAsia="仿宋" w:cs="仿宋"/>
          <w:b/>
          <w:color w:val="auto"/>
          <w:spacing w:val="0"/>
          <w:w w:val="100"/>
          <w:kern w:val="21"/>
          <w:sz w:val="21"/>
          <w:szCs w:val="21"/>
          <w:highlight w:val="none"/>
        </w:rPr>
        <w:t>否则视为投标文件含有采购人不能接受的附加条件的，投标无效</w:t>
      </w:r>
      <w:r>
        <w:rPr>
          <w:rFonts w:hint="eastAsia" w:ascii="仿宋" w:hAnsi="仿宋" w:eastAsia="仿宋" w:cs="仿宋"/>
          <w:b/>
          <w:color w:val="auto"/>
          <w:spacing w:val="0"/>
          <w:w w:val="100"/>
          <w:kern w:val="21"/>
          <w:sz w:val="21"/>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auto"/>
          <w:spacing w:val="0"/>
          <w:w w:val="100"/>
          <w:kern w:val="21"/>
          <w:sz w:val="21"/>
          <w:szCs w:val="21"/>
          <w:highlight w:val="none"/>
          <w:lang w:val="zh-CN"/>
        </w:rPr>
      </w:pPr>
      <w:r>
        <w:rPr>
          <w:rFonts w:hint="eastAsia" w:ascii="仿宋" w:hAnsi="仿宋" w:eastAsia="仿宋" w:cs="仿宋"/>
          <w:color w:val="auto"/>
          <w:spacing w:val="0"/>
          <w:w w:val="100"/>
          <w:kern w:val="21"/>
          <w:sz w:val="21"/>
          <w:szCs w:val="21"/>
          <w:highlight w:val="none"/>
          <w:lang w:val="zh-CN"/>
        </w:rPr>
        <w:t>3、特别提示：采购代理机构将对项目名称和项目编号，中标供应商名称、地址和中标金额，主要中标标的的名称、规格型号、数量、单价、服务要求等予以公示。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auto"/>
          <w:spacing w:val="0"/>
          <w:w w:val="100"/>
          <w:kern w:val="21"/>
          <w:sz w:val="21"/>
          <w:szCs w:val="21"/>
          <w:highlight w:val="none"/>
          <w:lang w:val="en-US" w:eastAsia="zh-CN"/>
        </w:rPr>
      </w:pPr>
      <w:r>
        <w:rPr>
          <w:rFonts w:hint="eastAsia" w:ascii="仿宋" w:hAnsi="仿宋" w:eastAsia="仿宋" w:cs="仿宋"/>
          <w:color w:val="auto"/>
          <w:spacing w:val="0"/>
          <w:w w:val="100"/>
          <w:kern w:val="21"/>
          <w:sz w:val="21"/>
          <w:szCs w:val="21"/>
          <w:highlight w:val="none"/>
          <w:lang w:val="en-US" w:eastAsia="zh-CN"/>
        </w:rPr>
        <w:t>4</w:t>
      </w:r>
      <w:r>
        <w:rPr>
          <w:rFonts w:hint="eastAsia" w:ascii="仿宋" w:hAnsi="仿宋" w:eastAsia="仿宋" w:cs="仿宋"/>
          <w:color w:val="auto"/>
          <w:spacing w:val="0"/>
          <w:w w:val="100"/>
          <w:kern w:val="21"/>
          <w:sz w:val="21"/>
          <w:szCs w:val="21"/>
          <w:highlight w:val="none"/>
          <w:lang w:val="zh-CN"/>
        </w:rPr>
        <w:t>、</w:t>
      </w:r>
      <w:r>
        <w:rPr>
          <w:rFonts w:hint="eastAsia" w:ascii="仿宋" w:hAnsi="仿宋" w:eastAsia="仿宋" w:cs="仿宋"/>
          <w:color w:val="auto"/>
          <w:spacing w:val="0"/>
          <w:w w:val="100"/>
          <w:kern w:val="21"/>
          <w:sz w:val="21"/>
          <w:szCs w:val="21"/>
          <w:highlight w:val="none"/>
          <w:lang w:val="en-US" w:eastAsia="zh-CN"/>
        </w:rPr>
        <w:t xml:space="preserve">本表中的“投标报价”用于报价评分，合同金额按实结算。 </w:t>
      </w:r>
    </w:p>
    <w:p>
      <w:pPr>
        <w:rPr>
          <w:rFonts w:hint="eastAsia" w:ascii="仿宋" w:hAnsi="仿宋" w:eastAsia="仿宋" w:cs="仿宋"/>
          <w:color w:val="auto"/>
          <w:highlight w:val="none"/>
        </w:rPr>
      </w:pPr>
    </w:p>
    <w:p>
      <w:pPr>
        <w:rPr>
          <w:rFonts w:hint="eastAsia"/>
          <w:color w:val="auto"/>
          <w:highlight w:val="none"/>
        </w:rPr>
      </w:pPr>
    </w:p>
    <w:p>
      <w:pPr>
        <w:spacing w:line="360" w:lineRule="auto"/>
        <w:ind w:firstLine="482" w:firstLineChars="200"/>
        <w:rPr>
          <w:rFonts w:ascii="仿宋_GB2312" w:hAnsi="仿宋" w:eastAsia="仿宋_GB2312"/>
          <w:b/>
          <w:color w:val="auto"/>
          <w:kern w:val="0"/>
          <w:sz w:val="24"/>
          <w:highlight w:val="none"/>
        </w:r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rPr>
          <w:rFonts w:hint="default"/>
          <w:highlight w:val="none"/>
          <w:lang w:val="en-US" w:eastAsia="zh-CN"/>
        </w:rPr>
      </w:pPr>
      <w:r>
        <w:rPr>
          <w:rFonts w:hint="eastAsia"/>
          <w:highlight w:val="none"/>
          <w:lang w:val="en-US" w:eastAsia="zh-CN"/>
        </w:rPr>
        <w:t xml:space="preserve"> </w:t>
      </w:r>
    </w:p>
    <w:p>
      <w:pPr>
        <w:spacing w:before="120" w:beforeLines="50" w:line="36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二、</w:t>
      </w:r>
      <w:r>
        <w:rPr>
          <w:rFonts w:hint="eastAsia" w:ascii="仿宋" w:hAnsi="仿宋" w:eastAsia="仿宋"/>
          <w:b/>
          <w:color w:val="auto"/>
          <w:sz w:val="28"/>
          <w:szCs w:val="28"/>
          <w:highlight w:val="none"/>
        </w:rPr>
        <w:t>投标报价明细表</w:t>
      </w:r>
    </w:p>
    <w:p>
      <w:pPr>
        <w:rPr>
          <w:rFonts w:hint="eastAsia" w:ascii="仿宋" w:hAnsi="仿宋" w:eastAsia="仿宋"/>
          <w:color w:val="auto"/>
          <w:sz w:val="24"/>
          <w:highlight w:val="none"/>
        </w:rPr>
      </w:pPr>
      <w:r>
        <w:rPr>
          <w:rFonts w:hint="eastAsia" w:ascii="仿宋" w:hAnsi="仿宋" w:eastAsia="仿宋"/>
          <w:color w:val="auto"/>
          <w:sz w:val="24"/>
          <w:highlight w:val="none"/>
        </w:rPr>
        <w:t>项目名称：</w:t>
      </w:r>
    </w:p>
    <w:p>
      <w:pPr>
        <w:rPr>
          <w:rFonts w:hint="eastAsia" w:ascii="仿宋" w:hAnsi="仿宋" w:eastAsia="仿宋"/>
          <w:color w:val="auto"/>
          <w:sz w:val="24"/>
          <w:highlight w:val="none"/>
        </w:rPr>
      </w:pPr>
      <w:r>
        <w:rPr>
          <w:rFonts w:hint="eastAsia" w:ascii="仿宋" w:hAnsi="仿宋" w:eastAsia="仿宋"/>
          <w:color w:val="auto"/>
          <w:sz w:val="24"/>
          <w:highlight w:val="none"/>
        </w:rPr>
        <w:t>采购编号：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10"/>
        <w:gridCol w:w="225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tabs>
                <w:tab w:val="left" w:pos="2670"/>
              </w:tabs>
              <w:adjustRightInd w:val="0"/>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3510" w:type="dxa"/>
            <w:noWrap w:val="0"/>
            <w:vAlign w:val="center"/>
          </w:tcPr>
          <w:p>
            <w:pPr>
              <w:tabs>
                <w:tab w:val="left" w:pos="2670"/>
              </w:tabs>
              <w:adjustRightInd w:val="0"/>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费用名称</w:t>
            </w:r>
          </w:p>
        </w:tc>
        <w:tc>
          <w:tcPr>
            <w:tcW w:w="2250" w:type="dxa"/>
            <w:noWrap w:val="0"/>
            <w:vAlign w:val="center"/>
          </w:tcPr>
          <w:p>
            <w:pPr>
              <w:tabs>
                <w:tab w:val="left" w:pos="2670"/>
              </w:tabs>
              <w:adjustRightInd w:val="0"/>
              <w:ind w:firstLine="413" w:firstLineChars="196"/>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单位（元）</w:t>
            </w:r>
          </w:p>
        </w:tc>
        <w:tc>
          <w:tcPr>
            <w:tcW w:w="2520" w:type="dxa"/>
            <w:noWrap w:val="0"/>
            <w:vAlign w:val="center"/>
          </w:tcPr>
          <w:p>
            <w:pPr>
              <w:tabs>
                <w:tab w:val="left" w:pos="2670"/>
              </w:tabs>
              <w:adjustRightInd w:val="0"/>
              <w:ind w:firstLine="413" w:firstLineChars="196"/>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有关说明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1</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人员工资（含社保等）</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2</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物料材料费</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3</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企业管理费</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4</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企业利润</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5</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其它</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6</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风险费</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7</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8</w:t>
            </w: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税金、规费等</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3510" w:type="dxa"/>
            <w:noWrap w:val="0"/>
            <w:vAlign w:val="center"/>
          </w:tcPr>
          <w:p>
            <w:pPr>
              <w:tabs>
                <w:tab w:val="left" w:pos="2670"/>
              </w:tabs>
              <w:adjustRightInd w:val="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合计</w:t>
            </w:r>
          </w:p>
        </w:tc>
        <w:tc>
          <w:tcPr>
            <w:tcW w:w="225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c>
          <w:tcPr>
            <w:tcW w:w="2520" w:type="dxa"/>
            <w:noWrap w:val="0"/>
            <w:vAlign w:val="center"/>
          </w:tcPr>
          <w:p>
            <w:pPr>
              <w:tabs>
                <w:tab w:val="left" w:pos="2670"/>
              </w:tabs>
              <w:adjustRightInd w:val="0"/>
              <w:rPr>
                <w:rFonts w:hint="eastAsia" w:ascii="仿宋" w:hAnsi="仿宋" w:eastAsia="仿宋" w:cs="仿宋"/>
                <w:bCs/>
                <w:color w:val="auto"/>
                <w:szCs w:val="21"/>
                <w:highlight w:val="none"/>
                <w:lang w:val="zh-CN"/>
              </w:rPr>
            </w:pPr>
          </w:p>
        </w:tc>
      </w:tr>
    </w:tbl>
    <w:p>
      <w:pPr>
        <w:rPr>
          <w:rFonts w:hint="eastAsia" w:ascii="仿宋" w:hAnsi="仿宋" w:eastAsia="仿宋" w:cs="仿宋"/>
          <w:color w:val="auto"/>
          <w:szCs w:val="21"/>
          <w:highlight w:val="none"/>
        </w:rPr>
      </w:pPr>
    </w:p>
    <w:p>
      <w:pPr>
        <w:adjustRightInd w:val="0"/>
        <w:snapToGrid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表格中投标单位可进一步细分或添加，栏数不够可自加，应包括为完成本项目各项服务可能发生的全部费用及投标人的利润和应交纳的税金等（包括人员工资、《劳动合同法》规定的各种社会保险费、工具、办公费等其他费用）详细列出。投标人对合同内容的费用、质量、安全、文明服务等实行全面承包等所涉及的一切费用。最终汇总价应和开标一览表（报价表）中报价保持一致。</w:t>
      </w:r>
    </w:p>
    <w:p>
      <w:pPr>
        <w:rPr>
          <w:rFonts w:hint="eastAsia" w:ascii="仿宋" w:hAnsi="仿宋" w:eastAsia="仿宋" w:cs="仿宋"/>
          <w:color w:val="auto"/>
          <w:szCs w:val="21"/>
          <w:highlight w:val="none"/>
        </w:rPr>
      </w:pPr>
    </w:p>
    <w:p>
      <w:pPr>
        <w:rPr>
          <w:rFonts w:hint="default"/>
          <w:color w:val="auto"/>
          <w:highlight w:val="none"/>
          <w:lang w:val="en-US" w:eastAsia="zh-CN"/>
        </w:rPr>
      </w:pPr>
      <w:r>
        <w:rPr>
          <w:rFonts w:hint="eastAsia"/>
          <w:color w:val="auto"/>
          <w:highlight w:val="none"/>
          <w:lang w:val="en-US" w:eastAsia="zh-CN"/>
        </w:rPr>
        <w:t xml:space="preserve"> </w:t>
      </w:r>
    </w:p>
    <w:p>
      <w:pPr>
        <w:rPr>
          <w:rFonts w:ascii="仿宋_GB2312" w:hAnsi="仿宋" w:eastAsia="仿宋_GB2312"/>
          <w:b/>
          <w:bCs/>
          <w:color w:val="auto"/>
          <w:highlight w:val="none"/>
        </w:rPr>
      </w:pPr>
      <w:r>
        <w:rPr>
          <w:rFonts w:hint="eastAsia" w:ascii="仿宋_GB2312" w:hAnsi="仿宋" w:eastAsia="仿宋_GB2312" w:cs="仿宋_GB2312"/>
          <w:b/>
          <w:color w:val="auto"/>
          <w:sz w:val="32"/>
          <w:szCs w:val="32"/>
          <w:highlight w:val="none"/>
        </w:rPr>
        <w:br w:type="page"/>
      </w:r>
      <w:bookmarkStart w:id="70" w:name="_Toc465665161"/>
      <w:r>
        <w:rPr>
          <w:rFonts w:hint="eastAsia" w:ascii="仿宋_GB2312" w:hAnsi="仿宋" w:eastAsia="仿宋_GB2312"/>
          <w:b/>
          <w:bCs/>
          <w:color w:val="auto"/>
          <w:highlight w:val="none"/>
        </w:rPr>
        <w:t>附件</w:t>
      </w:r>
      <w:bookmarkEnd w:id="70"/>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71" w:name="OLE_LINK13"/>
      <w:bookmarkStart w:id="72" w:name="OLE_LINK14"/>
      <w:r>
        <w:rPr>
          <w:rFonts w:hint="eastAsia" w:ascii="仿宋_GB2312" w:hAnsi="仿宋" w:eastAsia="仿宋_GB2312"/>
          <w:b/>
          <w:color w:val="auto"/>
          <w:spacing w:val="6"/>
          <w:sz w:val="32"/>
          <w:szCs w:val="32"/>
          <w:highlight w:val="none"/>
        </w:rPr>
        <w:t>残疾人福利性单位声明函</w:t>
      </w:r>
    </w:p>
    <w:bookmarkEnd w:id="71"/>
    <w:bookmarkEnd w:id="72"/>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pStyle w:val="19"/>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pStyle w:val="19"/>
        <w:rPr>
          <w:color w:val="auto"/>
          <w:highlight w:val="none"/>
        </w:rPr>
      </w:pPr>
    </w:p>
    <w:p>
      <w:pPr>
        <w:pStyle w:val="19"/>
        <w:rPr>
          <w:color w:val="auto"/>
          <w:highlight w:val="none"/>
        </w:rPr>
      </w:pP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widowControl/>
        <w:spacing w:line="360" w:lineRule="auto"/>
        <w:ind w:firstLine="420" w:firstLineChars="200"/>
        <w:jc w:val="left"/>
        <w:rPr>
          <w:color w:val="auto"/>
          <w:highlight w:val="non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92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02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left"/>
        <w:rPr>
          <w:rFonts w:hint="eastAsia" w:ascii="仿宋_GB2312" w:hAnsi="宋体" w:eastAsia="仿宋_GB2312"/>
          <w:b w:val="0"/>
          <w:bCs/>
          <w:color w:val="auto"/>
          <w:sz w:val="24"/>
          <w:szCs w:val="24"/>
          <w:highlight w:val="none"/>
          <w:lang w:eastAsia="zh-CN"/>
        </w:rPr>
      </w:pPr>
      <w:r>
        <w:rPr>
          <w:rFonts w:hint="eastAsia" w:ascii="仿宋_GB2312" w:hAnsi="宋体" w:eastAsia="仿宋_GB2312"/>
          <w:b w:val="0"/>
          <w:bCs/>
          <w:color w:val="auto"/>
          <w:sz w:val="24"/>
          <w:szCs w:val="24"/>
          <w:highlight w:val="none"/>
          <w:lang w:eastAsia="zh-CN"/>
        </w:rPr>
        <w:t>（</w:t>
      </w:r>
      <w:r>
        <w:rPr>
          <w:rFonts w:hint="eastAsia" w:ascii="仿宋_GB2312" w:hAnsi="宋体" w:eastAsia="仿宋_GB2312"/>
          <w:b w:val="0"/>
          <w:bCs/>
          <w:color w:val="auto"/>
          <w:sz w:val="24"/>
          <w:szCs w:val="24"/>
          <w:highlight w:val="none"/>
          <w:lang w:val="en-US" w:eastAsia="zh-CN"/>
        </w:rPr>
        <w:t>示范格式见资格文件部分</w:t>
      </w:r>
      <w:r>
        <w:rPr>
          <w:rFonts w:hint="eastAsia" w:ascii="仿宋_GB2312" w:hAnsi="宋体" w:eastAsia="仿宋_GB2312"/>
          <w:b w:val="0"/>
          <w:bCs/>
          <w:color w:val="auto"/>
          <w:sz w:val="24"/>
          <w:szCs w:val="24"/>
          <w:highlight w:val="none"/>
          <w:lang w:eastAsia="zh-CN"/>
        </w:rPr>
        <w:t>）</w:t>
      </w:r>
    </w:p>
    <w:p>
      <w:pPr>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right="1120" w:firstLine="4680" w:firstLineChars="1950"/>
        <w:rPr>
          <w:rFonts w:ascii="仿宋_GB2312" w:hAnsi="宋体" w:eastAsia="仿宋_GB2312"/>
          <w:color w:val="auto"/>
          <w:sz w:val="24"/>
          <w:highlight w:val="none"/>
        </w:rPr>
      </w:pPr>
    </w:p>
    <w:p>
      <w:pPr>
        <w:spacing w:line="360" w:lineRule="auto"/>
        <w:ind w:right="1120" w:firstLine="4680" w:firstLineChars="1950"/>
        <w:rPr>
          <w:rFonts w:ascii="仿宋_GB2312" w:hAnsi="宋体" w:eastAsia="仿宋_GB2312"/>
          <w:color w:val="auto"/>
          <w:sz w:val="24"/>
          <w:highlight w:val="none"/>
        </w:rPr>
      </w:pPr>
    </w:p>
    <w:p>
      <w:pPr>
        <w:spacing w:line="360" w:lineRule="auto"/>
        <w:ind w:right="1120" w:firstLine="4680" w:firstLineChars="1950"/>
        <w:rPr>
          <w:rFonts w:ascii="仿宋_GB2312" w:hAnsi="宋体" w:eastAsia="仿宋_GB2312"/>
          <w:color w:val="auto"/>
          <w:sz w:val="24"/>
          <w:highlight w:val="none"/>
        </w:rPr>
      </w:pPr>
    </w:p>
    <w:p>
      <w:pPr>
        <w:spacing w:line="360" w:lineRule="auto"/>
        <w:ind w:right="1120" w:firstLine="4680" w:firstLineChars="1950"/>
        <w:rPr>
          <w:rFonts w:ascii="仿宋_GB2312" w:hAnsi="宋体" w:eastAsia="仿宋_GB2312"/>
          <w:color w:val="auto"/>
          <w:sz w:val="24"/>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填写时应明确是中型或小型或微型；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仿宋" w:hAnsi="仿宋" w:eastAsia="仿宋" w:cs="仿宋"/>
          <w:color w:val="auto"/>
          <w:szCs w:val="21"/>
          <w:highlight w:val="none"/>
        </w:rPr>
      </w:pPr>
      <w:r>
        <w:rPr>
          <w:rFonts w:hint="eastAsia" w:ascii="仿宋_GB2312" w:hAnsi="宋体" w:eastAsia="仿宋_GB2312"/>
          <w:color w:val="auto"/>
          <w:sz w:val="24"/>
          <w:highlight w:val="none"/>
        </w:rPr>
        <w:t>3、对于联合体中一方提供的货物全部由小微企业制造的，本声明函中“项目名称”部分标明联合体成员小微企业制造的标的内容。</w:t>
      </w:r>
    </w:p>
    <w:p>
      <w:pPr>
        <w:spacing w:line="360" w:lineRule="auto"/>
        <w:ind w:right="420"/>
        <w:rPr>
          <w:rFonts w:ascii="仿宋" w:hAnsi="仿宋" w:eastAsia="仿宋" w:cs="仿宋"/>
          <w:color w:val="auto"/>
          <w:szCs w:val="21"/>
          <w:highlight w:val="none"/>
        </w:rPr>
      </w:pPr>
    </w:p>
    <w:p>
      <w:pPr>
        <w:spacing w:line="360" w:lineRule="auto"/>
        <w:ind w:right="420"/>
        <w:rPr>
          <w:rFonts w:ascii="仿宋" w:hAnsi="仿宋" w:eastAsia="仿宋" w:cs="仿宋"/>
          <w:color w:val="auto"/>
          <w:sz w:val="20"/>
          <w:szCs w:val="20"/>
          <w:highlight w:val="none"/>
        </w:rPr>
      </w:pPr>
    </w:p>
    <w:p>
      <w:pPr>
        <w:spacing w:line="360" w:lineRule="auto"/>
        <w:ind w:right="420"/>
        <w:rPr>
          <w:color w:val="auto"/>
          <w:highlight w:val="none"/>
        </w:rPr>
      </w:pP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9" w:type="default"/>
          <w:footerReference r:id="rId10" w:type="default"/>
          <w:pgSz w:w="11906" w:h="16838"/>
          <w:pgMar w:top="1247" w:right="1588" w:bottom="1089" w:left="1588" w:header="851" w:footer="992" w:gutter="0"/>
          <w:cols w:space="720" w:num="1"/>
          <w:docGrid w:linePitch="312" w:charSpace="0"/>
        </w:sectPr>
      </w:pPr>
    </w:p>
    <w:p>
      <w:pPr>
        <w:autoSpaceDE w:val="0"/>
        <w:autoSpaceDN w:val="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附件6：</w:t>
      </w:r>
    </w:p>
    <w:p>
      <w:pPr>
        <w:tabs>
          <w:tab w:val="left" w:pos="8085"/>
        </w:tabs>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ind w:firstLine="960" w:firstLineChars="400"/>
        <w:rPr>
          <w:rFonts w:ascii="仿宋" w:eastAsia="仿宋"/>
          <w:color w:val="auto"/>
          <w:sz w:val="24"/>
          <w:highlight w:val="none"/>
        </w:rPr>
      </w:pPr>
      <w:r>
        <w:rPr>
          <w:rFonts w:hint="eastAsia" w:ascii="仿宋" w:eastAsia="仿宋"/>
          <w:color w:val="auto"/>
          <w:sz w:val="24"/>
          <w:highlight w:val="none"/>
        </w:rPr>
        <w:t>（三）杭州e融平台申请融资</w:t>
      </w:r>
    </w:p>
    <w:p>
      <w:pPr>
        <w:tabs>
          <w:tab w:val="left" w:pos="432"/>
        </w:tabs>
        <w:ind w:firstLine="960" w:firstLineChars="400"/>
        <w:rPr>
          <w:rFonts w:ascii="仿宋" w:eastAsia="仿宋"/>
          <w:color w:val="auto"/>
          <w:sz w:val="24"/>
          <w:highlight w:val="none"/>
        </w:rPr>
      </w:pPr>
      <w:r>
        <w:rPr>
          <w:rFonts w:hint="eastAsia" w:ascii="仿宋" w:eastAsia="仿宋"/>
          <w:color w:val="auto"/>
          <w:sz w:val="24"/>
          <w:highlight w:val="none"/>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b/>
          <w:color w:val="auto"/>
          <w:sz w:val="30"/>
          <w:szCs w:val="30"/>
          <w:highlight w:val="none"/>
        </w:rPr>
        <w:br w:type="page"/>
      </w: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b/>
          <w:color w:val="auto"/>
          <w:sz w:val="30"/>
          <w:szCs w:val="30"/>
          <w:highlight w:val="none"/>
        </w:rPr>
        <w:t>附件7：中小企业相关政策</w:t>
      </w:r>
    </w:p>
    <w:p>
      <w:pPr>
        <w:pStyle w:val="37"/>
        <w:widowControl w:val="0"/>
        <w:snapToGrid w:val="0"/>
        <w:spacing w:line="500" w:lineRule="exact"/>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37"/>
        <w:widowControl w:val="0"/>
        <w:snapToGrid w:val="0"/>
        <w:spacing w:line="500" w:lineRule="exact"/>
        <w:jc w:val="center"/>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7"/>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ascii="仿宋" w:hAnsi="仿宋" w:eastAsia="仿宋" w:cs="仿宋"/>
          <w:color w:val="auto"/>
          <w:spacing w:val="6"/>
          <w:szCs w:val="21"/>
          <w:highlight w:val="none"/>
        </w:rPr>
        <w:t>四、各行业划型标准为：</w:t>
      </w:r>
    </w:p>
    <w:p>
      <w:pPr>
        <w:pStyle w:val="37"/>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lang w:eastAsia="zh-CN"/>
        </w:rPr>
      </w:pP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37"/>
        <w:widowControl w:val="0"/>
        <w:adjustRightInd w:val="0"/>
        <w:snapToGrid w:val="0"/>
        <w:spacing w:line="360" w:lineRule="auto"/>
        <w:ind w:firstLine="444" w:firstLineChars="200"/>
        <w:jc w:val="both"/>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r>
        <w:rPr>
          <w:rFonts w:ascii="仿宋" w:hAnsi="仿宋" w:eastAsia="仿宋" w:cs="仿宋"/>
          <w:color w:val="auto"/>
          <w:szCs w:val="21"/>
          <w:highlight w:val="none"/>
        </w:rPr>
        <w:t xml:space="preserve"> </w:t>
      </w: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72830" cy="5240655"/>
                    </a:xfrm>
                    <a:prstGeom prst="rect">
                      <a:avLst/>
                    </a:prstGeom>
                    <a:noFill/>
                    <a:ln>
                      <a:noFill/>
                    </a:ln>
                  </pic:spPr>
                </pic:pic>
              </a:graphicData>
            </a:graphic>
          </wp:inline>
        </w:drawing>
      </w:r>
    </w:p>
    <w:sectPr>
      <w:headerReference r:id="rId11" w:type="default"/>
      <w:footerReference r:id="rId12"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仿宋" w:hAnsi="仿宋" w:eastAsia="仿宋"/>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jc w:val="cente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39</w:t>
                          </w:r>
                          <w:r>
                            <w:rPr>
                              <w:rFonts w:ascii="仿宋" w:hAnsi="仿宋" w:eastAsia="仿宋"/>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12"/>
                      <w:jc w:val="cente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39</w:t>
                    </w:r>
                    <w:r>
                      <w:rPr>
                        <w:rFonts w:ascii="仿宋" w:hAnsi="仿宋" w:eastAsia="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ascii="仿宋_GB2312" w:eastAsia="仿宋_GB2312"/>
        <w:b/>
        <w:i/>
        <w:u w:val="single"/>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ABE0"/>
    <w:multiLevelType w:val="singleLevel"/>
    <w:tmpl w:val="85A0ABE0"/>
    <w:lvl w:ilvl="0" w:tentative="0">
      <w:start w:val="1"/>
      <w:numFmt w:val="decimal"/>
      <w:suff w:val="nothing"/>
      <w:lvlText w:val="%1、"/>
      <w:lvlJc w:val="left"/>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DB3996B"/>
    <w:multiLevelType w:val="singleLevel"/>
    <w:tmpl w:val="CDB3996B"/>
    <w:lvl w:ilvl="0" w:tentative="0">
      <w:start w:val="1"/>
      <w:numFmt w:val="decimal"/>
      <w:suff w:val="nothing"/>
      <w:lvlText w:val="%1、"/>
      <w:lvlJc w:val="left"/>
      <w:pPr>
        <w:ind w:left="420" w:firstLine="0"/>
      </w:pPr>
    </w:lvl>
  </w:abstractNum>
  <w:abstractNum w:abstractNumId="3">
    <w:nsid w:val="CF4D6A07"/>
    <w:multiLevelType w:val="singleLevel"/>
    <w:tmpl w:val="CF4D6A07"/>
    <w:lvl w:ilvl="0" w:tentative="0">
      <w:start w:val="1"/>
      <w:numFmt w:val="decimal"/>
      <w:suff w:val="nothing"/>
      <w:lvlText w:val="%1）"/>
      <w:lvlJc w:val="left"/>
    </w:lvl>
  </w:abstractNum>
  <w:abstractNum w:abstractNumId="4">
    <w:nsid w:val="E2B523EF"/>
    <w:multiLevelType w:val="singleLevel"/>
    <w:tmpl w:val="E2B523EF"/>
    <w:lvl w:ilvl="0" w:tentative="0">
      <w:start w:val="1"/>
      <w:numFmt w:val="decimal"/>
      <w:suff w:val="nothing"/>
      <w:lvlText w:val="%1、"/>
      <w:lvlJc w:val="left"/>
    </w:lvl>
  </w:abstractNum>
  <w:abstractNum w:abstractNumId="5">
    <w:nsid w:val="1277375B"/>
    <w:multiLevelType w:val="singleLevel"/>
    <w:tmpl w:val="1277375B"/>
    <w:lvl w:ilvl="0" w:tentative="0">
      <w:start w:val="2"/>
      <w:numFmt w:val="decimal"/>
      <w:suff w:val="space"/>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mQ2ZWU5MGE2Njc4YjQyMzk3NjY4MmEzZTNiMmMifQ=="/>
  </w:docVars>
  <w:rsids>
    <w:rsidRoot w:val="DD5FC2C6"/>
    <w:rsid w:val="001C7ACA"/>
    <w:rsid w:val="001E226F"/>
    <w:rsid w:val="00AE7AE4"/>
    <w:rsid w:val="00E5087C"/>
    <w:rsid w:val="00F34EA6"/>
    <w:rsid w:val="01EB56DC"/>
    <w:rsid w:val="028963E4"/>
    <w:rsid w:val="03072C48"/>
    <w:rsid w:val="04D243C4"/>
    <w:rsid w:val="05C107B6"/>
    <w:rsid w:val="083D43FD"/>
    <w:rsid w:val="0AF50259"/>
    <w:rsid w:val="0B387B45"/>
    <w:rsid w:val="0DBB027F"/>
    <w:rsid w:val="0E204FF3"/>
    <w:rsid w:val="0E756F57"/>
    <w:rsid w:val="0E8E3E1D"/>
    <w:rsid w:val="0ED10A99"/>
    <w:rsid w:val="0F345318"/>
    <w:rsid w:val="0FB643BC"/>
    <w:rsid w:val="10BC20E4"/>
    <w:rsid w:val="11463EC0"/>
    <w:rsid w:val="14CA605D"/>
    <w:rsid w:val="15F46EEA"/>
    <w:rsid w:val="18C13529"/>
    <w:rsid w:val="18CD0C0C"/>
    <w:rsid w:val="191B442C"/>
    <w:rsid w:val="19EC5FE5"/>
    <w:rsid w:val="1B043186"/>
    <w:rsid w:val="1B593EEC"/>
    <w:rsid w:val="1CF77971"/>
    <w:rsid w:val="1E25455A"/>
    <w:rsid w:val="1E38756D"/>
    <w:rsid w:val="1F77854C"/>
    <w:rsid w:val="20F05529"/>
    <w:rsid w:val="21801F41"/>
    <w:rsid w:val="22547B99"/>
    <w:rsid w:val="24B4395E"/>
    <w:rsid w:val="265035FE"/>
    <w:rsid w:val="26C6077D"/>
    <w:rsid w:val="29AC36EE"/>
    <w:rsid w:val="29E8711D"/>
    <w:rsid w:val="2A587C8A"/>
    <w:rsid w:val="2AFF3ACB"/>
    <w:rsid w:val="2B6E4B20"/>
    <w:rsid w:val="2BBD2F39"/>
    <w:rsid w:val="2DA03A0E"/>
    <w:rsid w:val="2EE048F0"/>
    <w:rsid w:val="2F9F17EA"/>
    <w:rsid w:val="2FC362BC"/>
    <w:rsid w:val="2FFAABBA"/>
    <w:rsid w:val="305565D6"/>
    <w:rsid w:val="31CC0C87"/>
    <w:rsid w:val="32AB107A"/>
    <w:rsid w:val="32DE3810"/>
    <w:rsid w:val="340D7180"/>
    <w:rsid w:val="345938A1"/>
    <w:rsid w:val="36E44884"/>
    <w:rsid w:val="36E64FE4"/>
    <w:rsid w:val="36EB73AB"/>
    <w:rsid w:val="38485AC2"/>
    <w:rsid w:val="38A90538"/>
    <w:rsid w:val="3B8003E6"/>
    <w:rsid w:val="3B853D46"/>
    <w:rsid w:val="3CAC1FBF"/>
    <w:rsid w:val="3CD36689"/>
    <w:rsid w:val="3D7F0B25"/>
    <w:rsid w:val="3DB9206B"/>
    <w:rsid w:val="3F0A1B31"/>
    <w:rsid w:val="3F7843B6"/>
    <w:rsid w:val="4012329D"/>
    <w:rsid w:val="4058158C"/>
    <w:rsid w:val="40CF62FE"/>
    <w:rsid w:val="41807006"/>
    <w:rsid w:val="42733875"/>
    <w:rsid w:val="4334666A"/>
    <w:rsid w:val="43FE7245"/>
    <w:rsid w:val="445C56FA"/>
    <w:rsid w:val="44A41DCD"/>
    <w:rsid w:val="463E16B3"/>
    <w:rsid w:val="4730677D"/>
    <w:rsid w:val="478657BA"/>
    <w:rsid w:val="480540FF"/>
    <w:rsid w:val="490B427D"/>
    <w:rsid w:val="4916491B"/>
    <w:rsid w:val="499C6A8D"/>
    <w:rsid w:val="4B0610C8"/>
    <w:rsid w:val="4B6F082A"/>
    <w:rsid w:val="4B9A4C5D"/>
    <w:rsid w:val="4BE37819"/>
    <w:rsid w:val="4C856238"/>
    <w:rsid w:val="4EDDD27C"/>
    <w:rsid w:val="519D317B"/>
    <w:rsid w:val="523919CF"/>
    <w:rsid w:val="529B63C8"/>
    <w:rsid w:val="534D2352"/>
    <w:rsid w:val="55925B9D"/>
    <w:rsid w:val="56FF52A9"/>
    <w:rsid w:val="5B546E9E"/>
    <w:rsid w:val="5BE81C6C"/>
    <w:rsid w:val="5D1F37E7"/>
    <w:rsid w:val="5DECB326"/>
    <w:rsid w:val="60222D5A"/>
    <w:rsid w:val="606E39B0"/>
    <w:rsid w:val="60BE016A"/>
    <w:rsid w:val="625012C8"/>
    <w:rsid w:val="625C7E81"/>
    <w:rsid w:val="62F46E2D"/>
    <w:rsid w:val="644D3559"/>
    <w:rsid w:val="64A509D2"/>
    <w:rsid w:val="64F25A2D"/>
    <w:rsid w:val="66216982"/>
    <w:rsid w:val="66AA4BC9"/>
    <w:rsid w:val="67E906BB"/>
    <w:rsid w:val="67FB9621"/>
    <w:rsid w:val="68703BA2"/>
    <w:rsid w:val="68911A93"/>
    <w:rsid w:val="692F4765"/>
    <w:rsid w:val="6AAA163C"/>
    <w:rsid w:val="6ACC24A7"/>
    <w:rsid w:val="6AF753AB"/>
    <w:rsid w:val="6BAF6814"/>
    <w:rsid w:val="6D17014F"/>
    <w:rsid w:val="6E027099"/>
    <w:rsid w:val="6E6B04B6"/>
    <w:rsid w:val="71F73FFD"/>
    <w:rsid w:val="72A41D99"/>
    <w:rsid w:val="73602B43"/>
    <w:rsid w:val="73EA626E"/>
    <w:rsid w:val="741A3669"/>
    <w:rsid w:val="745D74C8"/>
    <w:rsid w:val="75574876"/>
    <w:rsid w:val="778C5C39"/>
    <w:rsid w:val="77A40FA3"/>
    <w:rsid w:val="77F74ED8"/>
    <w:rsid w:val="7BBF5333"/>
    <w:rsid w:val="7BF30969"/>
    <w:rsid w:val="7E596CC0"/>
    <w:rsid w:val="7E5F222B"/>
    <w:rsid w:val="7E7EA1B5"/>
    <w:rsid w:val="7ED6157A"/>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pPr>
  </w:style>
  <w:style w:type="paragraph" w:styleId="7">
    <w:name w:val="Normal Indent"/>
    <w:basedOn w:val="1"/>
    <w:qFormat/>
    <w:uiPriority w:val="0"/>
    <w:pPr>
      <w:widowControl/>
      <w:ind w:firstLine="420"/>
      <w:jc w:val="left"/>
    </w:pPr>
    <w:rPr>
      <w:rFonts w:ascii="Arial" w:hAnsi="Arial" w:cs="Arial"/>
      <w:kern w:val="0"/>
      <w:sz w:val="20"/>
      <w:szCs w:val="20"/>
    </w:rPr>
  </w:style>
  <w:style w:type="paragraph" w:styleId="8">
    <w:name w:val="annotation text"/>
    <w:basedOn w:val="1"/>
    <w:qFormat/>
    <w:uiPriority w:val="0"/>
    <w:pPr>
      <w:jc w:val="left"/>
    </w:pPr>
  </w:style>
  <w:style w:type="paragraph" w:styleId="9">
    <w:name w:val="Body Text Indent"/>
    <w:basedOn w:val="1"/>
    <w:next w:val="1"/>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qFormat/>
    <w:uiPriority w:val="0"/>
    <w:rPr>
      <w:rFonts w:ascii="Century Gothic" w:hAnsi="楷体_GB2312" w:eastAsia="Century Gothic" w:cs="楷体_GB2312"/>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4">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5">
    <w:name w:val="toc 2"/>
    <w:basedOn w:val="1"/>
    <w:next w:val="1"/>
    <w:qFormat/>
    <w:uiPriority w:val="39"/>
    <w:pPr>
      <w:tabs>
        <w:tab w:val="right" w:leader="dot" w:pos="8720"/>
      </w:tabs>
      <w:adjustRightInd w:val="0"/>
      <w:snapToGrid w:val="0"/>
      <w:jc w:val="left"/>
    </w:pPr>
    <w:rPr>
      <w:smallCaps/>
      <w:sz w:val="20"/>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18">
    <w:name w:val="Title"/>
    <w:basedOn w:val="1"/>
    <w:next w:val="1"/>
    <w:qFormat/>
    <w:uiPriority w:val="0"/>
    <w:pPr>
      <w:tabs>
        <w:tab w:val="left" w:pos="1200"/>
      </w:tabs>
      <w:spacing w:afterLines="200"/>
      <w:ind w:left="1440" w:hanging="720"/>
      <w:jc w:val="center"/>
    </w:pPr>
    <w:rPr>
      <w:b/>
      <w:bCs/>
      <w:spacing w:val="60"/>
      <w:sz w:val="32"/>
    </w:rPr>
  </w:style>
  <w:style w:type="paragraph" w:styleId="19">
    <w:name w:val="Body Text First Indent 2"/>
    <w:basedOn w:val="9"/>
    <w:next w:val="1"/>
    <w:qFormat/>
    <w:uiPriority w:val="0"/>
    <w:pPr>
      <w:adjustRightInd/>
      <w:spacing w:after="120" w:line="240" w:lineRule="auto"/>
      <w:ind w:left="420" w:leftChars="200" w:firstLine="210"/>
    </w:pPr>
    <w:rPr>
      <w:sz w:val="21"/>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qFormat/>
    <w:uiPriority w:val="0"/>
    <w:rPr>
      <w:color w:val="0000FF"/>
      <w:u w:val="single"/>
    </w:rPr>
  </w:style>
  <w:style w:type="paragraph" w:customStyle="1" w:styleId="25">
    <w:name w:val="正文文字"/>
    <w:basedOn w:val="1"/>
    <w:qFormat/>
    <w:uiPriority w:val="0"/>
    <w:pPr>
      <w:widowControl/>
      <w:spacing w:line="952" w:lineRule="atLeast"/>
      <w:ind w:firstLine="419"/>
    </w:pPr>
    <w:rPr>
      <w:b/>
      <w:color w:val="000000"/>
      <w:sz w:val="44"/>
      <w:szCs w:val="20"/>
    </w:rPr>
  </w:style>
  <w:style w:type="paragraph" w:customStyle="1" w:styleId="2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0">
    <w:name w:val="首行缩进"/>
    <w:basedOn w:val="1"/>
    <w:next w:val="1"/>
    <w:qFormat/>
    <w:uiPriority w:val="0"/>
    <w:pPr>
      <w:spacing w:line="360" w:lineRule="auto"/>
      <w:ind w:firstLine="480" w:firstLineChars="200"/>
    </w:pPr>
    <w:rPr>
      <w:rFonts w:ascii="宋体"/>
      <w:sz w:val="24"/>
      <w:szCs w:val="20"/>
    </w:rPr>
  </w:style>
  <w:style w:type="character" w:customStyle="1" w:styleId="31">
    <w:name w:val="font21"/>
    <w:basedOn w:val="22"/>
    <w:qFormat/>
    <w:uiPriority w:val="0"/>
    <w:rPr>
      <w:rFonts w:hint="default" w:ascii="Arial" w:hAnsi="Arial" w:cs="Arial"/>
      <w:color w:val="000000"/>
      <w:sz w:val="21"/>
      <w:szCs w:val="21"/>
      <w:u w:val="none"/>
    </w:rPr>
  </w:style>
  <w:style w:type="paragraph" w:customStyle="1" w:styleId="3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纯文本1"/>
    <w:basedOn w:val="38"/>
    <w:qFormat/>
    <w:uiPriority w:val="0"/>
    <w:pPr>
      <w:widowControl/>
      <w:jc w:val="left"/>
    </w:pPr>
    <w:rPr>
      <w:rFonts w:ascii="宋体" w:hAnsi="Courier New"/>
    </w:rPr>
  </w:style>
  <w:style w:type="paragraph" w:customStyle="1" w:styleId="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9">
    <w:name w:val="NormalCharacter"/>
    <w:qFormat/>
    <w:uiPriority w:val="0"/>
  </w:style>
  <w:style w:type="paragraph" w:customStyle="1" w:styleId="40">
    <w:name w:val="Default"/>
    <w:next w:val="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2">
    <w:name w:val="List Paragraph"/>
    <w:basedOn w:val="1"/>
    <w:qFormat/>
    <w:uiPriority w:val="99"/>
    <w:pPr>
      <w:ind w:firstLine="420" w:firstLineChars="200"/>
    </w:pPr>
  </w:style>
  <w:style w:type="paragraph" w:customStyle="1" w:styleId="43">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53087</Words>
  <Characters>56003</Characters>
  <Lines>83</Lines>
  <Paragraphs>103</Paragraphs>
  <TotalTime>5</TotalTime>
  <ScaleCrop>false</ScaleCrop>
  <LinksUpToDate>false</LinksUpToDate>
  <CharactersWithSpaces>61600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小昕嘟嘟爹</cp:lastModifiedBy>
  <cp:lastPrinted>2022-09-17T03:08:00Z</cp:lastPrinted>
  <dcterms:modified xsi:type="dcterms:W3CDTF">2022-12-27T06:47:08Z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04F7E22CD6E84E479008FB4F97BEA52B</vt:lpwstr>
  </property>
</Properties>
</file>